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page" w:tblpX="1248" w:tblpY="15820"/>
        <w:tblOverlap w:val="never"/>
        <w:tblW w:w="9412" w:type="dxa"/>
        <w:tblCellMar>
          <w:left w:w="0" w:type="dxa"/>
          <w:right w:w="0" w:type="dxa"/>
        </w:tblCellMar>
        <w:tblLook w:val="01E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ESMA_T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2" w:history="1">
        <w:r w:rsidRPr="00295156">
          <w:rPr>
            <w:rStyle w:val="Lienhypertexte"/>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3" w:history="1">
        <w:r w:rsidRPr="00295156">
          <w:rPr>
            <w:rStyle w:val="Lienhypertexte"/>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Titre1"/>
        <w:numPr>
          <w:ilvl w:val="0"/>
          <w:numId w:val="0"/>
        </w:numPr>
        <w:rPr>
          <w:sz w:val="22"/>
          <w:szCs w:val="22"/>
        </w:rPr>
      </w:pPr>
      <w:r w:rsidRPr="0026621B">
        <w:rPr>
          <w:sz w:val="22"/>
          <w:szCs w:val="22"/>
        </w:rPr>
        <w:lastRenderedPageBreak/>
        <w:t>General information about respondent</w:t>
      </w:r>
    </w:p>
    <w:tbl>
      <w:tblPr>
        <w:tblStyle w:val="Grilledutableau"/>
        <w:tblW w:w="0" w:type="auto"/>
        <w:tblLook w:val="04A0"/>
      </w:tblPr>
      <w:tblGrid>
        <w:gridCol w:w="3510"/>
        <w:gridCol w:w="6118"/>
      </w:tblGrid>
      <w:tr w:rsidR="00473916" w:rsidRPr="0026621B" w:rsidTr="00C203B1">
        <w:tc>
          <w:tcPr>
            <w:tcW w:w="3510" w:type="dxa"/>
          </w:tcPr>
          <w:p w:rsidR="00473916" w:rsidRPr="0026621B" w:rsidRDefault="00473916" w:rsidP="00C203B1">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07744E" w:rsidP="00C203B1">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Content>
                <w:permStart w:id="0" w:edGrp="everyone"/>
                <w:r w:rsidR="00C203B1">
                  <w:rPr>
                    <w:rFonts w:cs="Arial"/>
                    <w:szCs w:val="22"/>
                  </w:rPr>
                  <w:t>Yes</w:t>
                </w:r>
                <w:permEnd w:id="0"/>
              </w:sdtContent>
            </w:sdt>
          </w:p>
        </w:tc>
      </w:tr>
      <w:tr w:rsidR="00473916" w:rsidRPr="0026621B" w:rsidTr="00C203B1">
        <w:tc>
          <w:tcPr>
            <w:tcW w:w="3510" w:type="dxa"/>
          </w:tcPr>
          <w:p w:rsidR="00473916" w:rsidRPr="0026621B" w:rsidRDefault="00473916" w:rsidP="00C203B1">
            <w:pPr>
              <w:rPr>
                <w:rFonts w:cs="Arial"/>
                <w:szCs w:val="22"/>
              </w:rPr>
            </w:pPr>
            <w:r w:rsidRPr="0026621B">
              <w:rPr>
                <w:rFonts w:cs="Arial"/>
                <w:szCs w:val="22"/>
              </w:rPr>
              <w:t>Activity:</w:t>
            </w:r>
          </w:p>
        </w:tc>
        <w:tc>
          <w:tcPr>
            <w:tcW w:w="6118" w:type="dxa"/>
          </w:tcPr>
          <w:p w:rsidR="00473916" w:rsidRPr="0026621B" w:rsidRDefault="0007744E" w:rsidP="00C203B1">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 w:edGrp="everyone"/>
                <w:r w:rsidR="00C203B1">
                  <w:rPr>
                    <w:rFonts w:cs="Arial"/>
                    <w:szCs w:val="22"/>
                  </w:rPr>
                  <w:t>Investment Firm</w:t>
                </w:r>
                <w:permEnd w:id="1"/>
              </w:sdtContent>
            </w:sdt>
          </w:p>
        </w:tc>
      </w:tr>
      <w:tr w:rsidR="00473916" w:rsidRPr="0026621B" w:rsidTr="00C203B1">
        <w:tc>
          <w:tcPr>
            <w:tcW w:w="3510" w:type="dxa"/>
          </w:tcPr>
          <w:p w:rsidR="00473916" w:rsidRPr="0026621B" w:rsidRDefault="00473916" w:rsidP="00C203B1">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2" w:edGrp="everyone" w:displacedByCustomXml="prev"/>
            <w:tc>
              <w:tcPr>
                <w:tcW w:w="6118" w:type="dxa"/>
              </w:tcPr>
              <w:p w:rsidR="00473916" w:rsidRPr="0026621B" w:rsidRDefault="00C203B1" w:rsidP="00C203B1">
                <w:pPr>
                  <w:rPr>
                    <w:rFonts w:cs="Arial"/>
                    <w:szCs w:val="22"/>
                  </w:rPr>
                </w:pPr>
                <w:r>
                  <w:rPr>
                    <w:rFonts w:cs="Arial"/>
                    <w:szCs w:val="22"/>
                  </w:rPr>
                  <w:t>France</w:t>
                </w:r>
              </w:p>
            </w:tc>
            <w:permEnd w:id="2" w:displacedByCustomXml="next"/>
          </w:sdtContent>
        </w:sdt>
      </w:tr>
    </w:tbl>
    <w:p w:rsidR="007F4106" w:rsidRDefault="007F4106">
      <w:pPr>
        <w:rPr>
          <w:b/>
        </w:rPr>
      </w:pPr>
      <w:r>
        <w:br w:type="page"/>
      </w:r>
    </w:p>
    <w:p w:rsidR="00D12AFD" w:rsidRDefault="00D12AFD" w:rsidP="00965B03">
      <w:pPr>
        <w:pStyle w:val="Titre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Titre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Titre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C203B1" w:rsidRDefault="00C203B1" w:rsidP="0065306A">
      <w:pPr>
        <w:pBdr>
          <w:top w:val="single" w:sz="4" w:space="0" w:color="auto"/>
          <w:left w:val="single" w:sz="4" w:space="4" w:color="auto"/>
          <w:bottom w:val="single" w:sz="4" w:space="1" w:color="auto"/>
          <w:right w:val="single" w:sz="4" w:space="4" w:color="auto"/>
        </w:pBdr>
        <w:spacing w:line="240" w:lineRule="atLeast"/>
        <w:rPr>
          <w:b/>
        </w:rPr>
      </w:pPr>
      <w:permStart w:id="3" w:edGrp="everyone"/>
      <w:r w:rsidRPr="00C203B1">
        <w:rPr>
          <w:b/>
        </w:rPr>
        <w:t>Preliminary Remarks</w:t>
      </w:r>
      <w:r>
        <w:rPr>
          <w:b/>
        </w:rPr>
        <w:t xml:space="preserve"> on the whole document</w:t>
      </w:r>
    </w:p>
    <w:p w:rsidR="00C203B1" w:rsidRDefault="00C203B1" w:rsidP="0065306A">
      <w:pPr>
        <w:pBdr>
          <w:top w:val="single" w:sz="4" w:space="0" w:color="auto"/>
          <w:left w:val="single" w:sz="4" w:space="4" w:color="auto"/>
          <w:bottom w:val="single" w:sz="4" w:space="1" w:color="auto"/>
          <w:right w:val="single" w:sz="4" w:space="4" w:color="auto"/>
        </w:pBdr>
        <w:spacing w:line="240" w:lineRule="atLeast"/>
        <w:rPr>
          <w:b/>
        </w:rPr>
      </w:pPr>
    </w:p>
    <w:p w:rsidR="00C203B1" w:rsidRDefault="00C203B1" w:rsidP="0065306A">
      <w:pPr>
        <w:pBdr>
          <w:top w:val="single" w:sz="4" w:space="0" w:color="auto"/>
          <w:left w:val="single" w:sz="4" w:space="4" w:color="auto"/>
          <w:bottom w:val="single" w:sz="4" w:space="1" w:color="auto"/>
          <w:right w:val="single" w:sz="4" w:space="4" w:color="auto"/>
        </w:pBdr>
        <w:spacing w:line="240" w:lineRule="atLeast"/>
      </w:pPr>
      <w:r>
        <w:t xml:space="preserve">Since it </w:t>
      </w:r>
      <w:r w:rsidR="00B71367">
        <w:t>does not</w:t>
      </w:r>
      <w:r>
        <w:t xml:space="preserve"> seem possible to </w:t>
      </w:r>
      <w:r w:rsidR="003F7DA5">
        <w:t xml:space="preserve">make general comments on the Consultation Paper (CP) in the ESMA’s form to reply document, </w:t>
      </w:r>
      <w:r w:rsidR="00B71367">
        <w:t xml:space="preserve">some </w:t>
      </w:r>
      <w:r w:rsidR="003F7DA5">
        <w:t>general comments are provided below.</w:t>
      </w:r>
    </w:p>
    <w:p w:rsidR="003F7DA5" w:rsidRDefault="003F7DA5" w:rsidP="0065306A">
      <w:pPr>
        <w:pBdr>
          <w:top w:val="single" w:sz="4" w:space="0" w:color="auto"/>
          <w:left w:val="single" w:sz="4" w:space="4" w:color="auto"/>
          <w:bottom w:val="single" w:sz="4" w:space="1" w:color="auto"/>
          <w:right w:val="single" w:sz="4" w:space="4" w:color="auto"/>
        </w:pBdr>
        <w:spacing w:line="240" w:lineRule="atLeast"/>
      </w:pPr>
    </w:p>
    <w:p w:rsidR="003F7DA5" w:rsidRDefault="003F7DA5" w:rsidP="0065306A">
      <w:pPr>
        <w:pBdr>
          <w:top w:val="single" w:sz="4" w:space="0" w:color="auto"/>
          <w:left w:val="single" w:sz="4" w:space="4" w:color="auto"/>
          <w:bottom w:val="single" w:sz="4" w:space="1" w:color="auto"/>
          <w:right w:val="single" w:sz="4" w:space="4" w:color="auto"/>
        </w:pBdr>
        <w:spacing w:line="240" w:lineRule="atLeast"/>
        <w:jc w:val="both"/>
      </w:pPr>
      <w:r w:rsidRPr="003F7DA5">
        <w:rPr>
          <w:b/>
        </w:rPr>
        <w:t>Association française des marchés financiers</w:t>
      </w:r>
      <w:r w:rsidRPr="003F7DA5">
        <w:t xml:space="preserve"> (AMAFI) is the trade organisation working at national, European and international levels to represent financial market participants in France. It acts on behalf of credit institutions, investment firms and trading and post-trade infrastructures, regardless of where they operate or where their clients or counterparties are located. AMAFI has more than 120 members operating for their own account or for clients in different segments, particularly organised and over-the-counter markets for equities, fixed-income products and derivatives. Nearly one-third of its members are subsidiaries or branches of non-French instit</w:t>
      </w:r>
      <w:r w:rsidRPr="003F7DA5">
        <w:t>u</w:t>
      </w:r>
      <w:r w:rsidRPr="003F7DA5">
        <w:t>tions</w:t>
      </w:r>
      <w:r>
        <w:t>.</w:t>
      </w:r>
    </w:p>
    <w:p w:rsidR="003F7DA5" w:rsidRDefault="003F7DA5" w:rsidP="0065306A">
      <w:pPr>
        <w:pBdr>
          <w:top w:val="single" w:sz="4" w:space="0" w:color="auto"/>
          <w:left w:val="single" w:sz="4" w:space="4" w:color="auto"/>
          <w:bottom w:val="single" w:sz="4" w:space="1" w:color="auto"/>
          <w:right w:val="single" w:sz="4" w:space="4" w:color="auto"/>
        </w:pBdr>
        <w:spacing w:line="240" w:lineRule="atLeast"/>
      </w:pPr>
    </w:p>
    <w:p w:rsidR="003F7DA5" w:rsidRDefault="003F7DA5" w:rsidP="0065306A">
      <w:pPr>
        <w:pBdr>
          <w:top w:val="single" w:sz="4" w:space="0" w:color="auto"/>
          <w:left w:val="single" w:sz="4" w:space="4" w:color="auto"/>
          <w:bottom w:val="single" w:sz="4" w:space="1" w:color="auto"/>
          <w:right w:val="single" w:sz="4" w:space="4" w:color="auto"/>
        </w:pBdr>
        <w:spacing w:line="240" w:lineRule="atLeast"/>
        <w:jc w:val="both"/>
      </w:pPr>
      <w:r>
        <w:t xml:space="preserve">AMAFI’s members are involved in the settlement and clearing process and are therefore in the scope of CSD regulation. Given the activities of AMAFI’s members, we have chosen to answer to two parts of the </w:t>
      </w:r>
      <w:r w:rsidR="00DA3FE0">
        <w:t>CP:</w:t>
      </w:r>
      <w:r>
        <w:t xml:space="preserve"> </w:t>
      </w:r>
      <w:r w:rsidRPr="001B7C86">
        <w:rPr>
          <w:b/>
        </w:rPr>
        <w:t xml:space="preserve">settlement discipline </w:t>
      </w:r>
      <w:r w:rsidR="00DA3FE0" w:rsidRPr="001B7C86">
        <w:rPr>
          <w:b/>
        </w:rPr>
        <w:t>and internalised settlement</w:t>
      </w:r>
      <w:r w:rsidR="00DA3FE0">
        <w:t>.</w:t>
      </w:r>
      <w:r>
        <w:t xml:space="preserve"> </w:t>
      </w:r>
      <w:r w:rsidR="00B47B9D">
        <w:t>The answer was elaborated in close relationship with the “Association Française des Profes</w:t>
      </w:r>
      <w:r w:rsidR="006C2536">
        <w:t>sionnels du Titre” (</w:t>
      </w:r>
      <w:r w:rsidR="006C2536" w:rsidRPr="00D45B1E">
        <w:rPr>
          <w:b/>
        </w:rPr>
        <w:t>AFTI</w:t>
      </w:r>
      <w:r w:rsidR="006C2536">
        <w:t xml:space="preserve">) </w:t>
      </w:r>
      <w:r w:rsidR="00D45B1E">
        <w:t>and AMAFI endorses its responses to the CP.</w:t>
      </w:r>
      <w:r w:rsidR="006C2536">
        <w:t xml:space="preserve"> </w:t>
      </w:r>
      <w:r w:rsidR="00DA3FE0">
        <w:t>The answer must be read taking into a</w:t>
      </w:r>
      <w:r w:rsidR="00DA3FE0">
        <w:t>c</w:t>
      </w:r>
      <w:r w:rsidR="00DA3FE0">
        <w:t>count the general following considerations:</w:t>
      </w:r>
    </w:p>
    <w:p w:rsidR="00DA3FE0" w:rsidRDefault="00DA3FE0" w:rsidP="0065306A">
      <w:pPr>
        <w:pBdr>
          <w:top w:val="single" w:sz="4" w:space="0" w:color="auto"/>
          <w:left w:val="single" w:sz="4" w:space="4" w:color="auto"/>
          <w:bottom w:val="single" w:sz="4" w:space="1" w:color="auto"/>
          <w:right w:val="single" w:sz="4" w:space="4" w:color="auto"/>
        </w:pBdr>
        <w:spacing w:line="240" w:lineRule="atLeast"/>
      </w:pPr>
    </w:p>
    <w:p w:rsidR="00DA3FE0" w:rsidRPr="00DA3FE0" w:rsidRDefault="00DA3FE0" w:rsidP="0065306A">
      <w:pPr>
        <w:pBdr>
          <w:top w:val="single" w:sz="4" w:space="0" w:color="auto"/>
          <w:left w:val="single" w:sz="4" w:space="4" w:color="auto"/>
          <w:bottom w:val="single" w:sz="4" w:space="1" w:color="auto"/>
          <w:right w:val="single" w:sz="4" w:space="4" w:color="auto"/>
        </w:pBdr>
        <w:spacing w:line="240" w:lineRule="atLeast"/>
        <w:rPr>
          <w:b/>
        </w:rPr>
      </w:pPr>
      <w:r w:rsidRPr="00DA3FE0">
        <w:rPr>
          <w:b/>
        </w:rPr>
        <w:t>Phase</w:t>
      </w:r>
      <w:r w:rsidR="00B71367">
        <w:rPr>
          <w:b/>
        </w:rPr>
        <w:t>-in for settlement discipline</w:t>
      </w:r>
    </w:p>
    <w:p w:rsidR="00C203B1" w:rsidRDefault="00C203B1" w:rsidP="0065306A">
      <w:pPr>
        <w:pBdr>
          <w:top w:val="single" w:sz="4" w:space="0" w:color="auto"/>
          <w:left w:val="single" w:sz="4" w:space="4" w:color="auto"/>
          <w:bottom w:val="single" w:sz="4" w:space="1" w:color="auto"/>
          <w:right w:val="single" w:sz="4" w:space="4" w:color="auto"/>
        </w:pBdr>
        <w:spacing w:line="240" w:lineRule="atLeast"/>
      </w:pPr>
    </w:p>
    <w:p w:rsidR="00C203B1" w:rsidRDefault="00DA3FE0" w:rsidP="0065306A">
      <w:pPr>
        <w:pBdr>
          <w:top w:val="single" w:sz="4" w:space="0" w:color="auto"/>
          <w:left w:val="single" w:sz="4" w:space="4" w:color="auto"/>
          <w:bottom w:val="single" w:sz="4" w:space="1" w:color="auto"/>
          <w:right w:val="single" w:sz="4" w:space="4" w:color="auto"/>
        </w:pBdr>
        <w:spacing w:line="240" w:lineRule="atLeast"/>
        <w:jc w:val="both"/>
        <w:rPr>
          <w:rFonts w:cs="Arial"/>
          <w:bCs/>
          <w:color w:val="000000" w:themeColor="text1"/>
          <w:szCs w:val="22"/>
          <w:lang w:val="en-US"/>
        </w:rPr>
      </w:pPr>
      <w:r>
        <w:t xml:space="preserve">AMAFI considers that the date of application of the settlement discipline regime </w:t>
      </w:r>
      <w:r w:rsidR="000A1830">
        <w:t xml:space="preserve">should be liaised to the timeframe of the “Target 2 securities” (T2S) project and </w:t>
      </w:r>
      <w:r w:rsidR="00A275AE">
        <w:t xml:space="preserve">that the regime </w:t>
      </w:r>
      <w:r w:rsidR="000A1830">
        <w:t>should be deve</w:t>
      </w:r>
      <w:r w:rsidR="000A1830">
        <w:t>l</w:t>
      </w:r>
      <w:r w:rsidR="000A1830">
        <w:t>oped</w:t>
      </w:r>
      <w:r w:rsidR="00A275AE">
        <w:t xml:space="preserve"> once</w:t>
      </w:r>
      <w:r w:rsidR="000A1830">
        <w:t xml:space="preserve"> at the T2S level rather than at each CSD level. Given that, AMAFI welcomes</w:t>
      </w:r>
      <w:r w:rsidR="00A275AE">
        <w:t xml:space="preserve"> the</w:t>
      </w:r>
      <w:r w:rsidR="000A1830">
        <w:t xml:space="preserve"> possibility</w:t>
      </w:r>
      <w:r w:rsidR="000A1830" w:rsidRPr="00804E5C">
        <w:rPr>
          <w:rFonts w:cs="Arial"/>
          <w:bCs/>
          <w:color w:val="000000" w:themeColor="text1"/>
          <w:szCs w:val="22"/>
          <w:lang w:val="en-US"/>
        </w:rPr>
        <w:t xml:space="preserve"> to delay the entry in</w:t>
      </w:r>
      <w:r w:rsidR="000A1830">
        <w:rPr>
          <w:rFonts w:cs="Arial"/>
          <w:bCs/>
          <w:color w:val="000000" w:themeColor="text1"/>
          <w:szCs w:val="22"/>
          <w:lang w:val="en-US"/>
        </w:rPr>
        <w:t>to</w:t>
      </w:r>
      <w:r w:rsidR="000A1830" w:rsidRPr="00804E5C">
        <w:rPr>
          <w:rFonts w:cs="Arial"/>
          <w:bCs/>
          <w:color w:val="000000" w:themeColor="text1"/>
          <w:szCs w:val="22"/>
          <w:lang w:val="en-US"/>
        </w:rPr>
        <w:t xml:space="preserve"> force of the RTS on settlement regime</w:t>
      </w:r>
      <w:r w:rsidR="00B71367">
        <w:rPr>
          <w:rFonts w:cs="Arial"/>
          <w:bCs/>
          <w:color w:val="000000" w:themeColor="text1"/>
          <w:szCs w:val="22"/>
          <w:lang w:val="en-US"/>
        </w:rPr>
        <w:t xml:space="preserve"> but really doubts that an 18-</w:t>
      </w:r>
      <w:r w:rsidR="000A1830">
        <w:rPr>
          <w:rFonts w:cs="Arial"/>
          <w:bCs/>
          <w:color w:val="000000" w:themeColor="text1"/>
          <w:szCs w:val="22"/>
          <w:lang w:val="en-US"/>
        </w:rPr>
        <w:t>month period would be sufficient.</w:t>
      </w:r>
    </w:p>
    <w:p w:rsidR="000A1830" w:rsidRDefault="000A1830" w:rsidP="0065306A">
      <w:pPr>
        <w:pBdr>
          <w:top w:val="single" w:sz="4" w:space="0" w:color="auto"/>
          <w:left w:val="single" w:sz="4" w:space="4" w:color="auto"/>
          <w:bottom w:val="single" w:sz="4" w:space="1" w:color="auto"/>
          <w:right w:val="single" w:sz="4" w:space="4" w:color="auto"/>
        </w:pBdr>
        <w:spacing w:line="240" w:lineRule="atLeast"/>
        <w:jc w:val="both"/>
        <w:rPr>
          <w:rFonts w:cs="Arial"/>
          <w:bCs/>
          <w:color w:val="000000" w:themeColor="text1"/>
          <w:szCs w:val="22"/>
          <w:lang w:val="en-US"/>
        </w:rPr>
      </w:pPr>
    </w:p>
    <w:p w:rsidR="000A1830" w:rsidRDefault="00814116" w:rsidP="0065306A">
      <w:pPr>
        <w:pBdr>
          <w:top w:val="single" w:sz="4" w:space="0" w:color="auto"/>
          <w:left w:val="single" w:sz="4" w:space="4" w:color="auto"/>
          <w:bottom w:val="single" w:sz="4" w:space="1" w:color="auto"/>
          <w:right w:val="single" w:sz="4" w:space="4" w:color="auto"/>
        </w:pBdr>
        <w:spacing w:line="240" w:lineRule="atLeast"/>
        <w:rPr>
          <w:b/>
        </w:rPr>
      </w:pPr>
      <w:r>
        <w:rPr>
          <w:b/>
        </w:rPr>
        <w:t>Cash penalties regime</w:t>
      </w:r>
    </w:p>
    <w:p w:rsidR="000A1830" w:rsidRDefault="000A1830" w:rsidP="0065306A">
      <w:pPr>
        <w:pBdr>
          <w:top w:val="single" w:sz="4" w:space="0" w:color="auto"/>
          <w:left w:val="single" w:sz="4" w:space="4" w:color="auto"/>
          <w:bottom w:val="single" w:sz="4" w:space="1" w:color="auto"/>
          <w:right w:val="single" w:sz="4" w:space="4" w:color="auto"/>
        </w:pBdr>
        <w:spacing w:line="240" w:lineRule="atLeast"/>
        <w:rPr>
          <w:b/>
        </w:rPr>
      </w:pPr>
    </w:p>
    <w:p w:rsidR="000A1830" w:rsidRDefault="000A1830" w:rsidP="0065306A">
      <w:pPr>
        <w:pBdr>
          <w:top w:val="single" w:sz="4" w:space="0" w:color="auto"/>
          <w:left w:val="single" w:sz="4" w:space="4" w:color="auto"/>
          <w:bottom w:val="single" w:sz="4" w:space="1" w:color="auto"/>
          <w:right w:val="single" w:sz="4" w:space="4" w:color="auto"/>
        </w:pBdr>
        <w:spacing w:line="240" w:lineRule="atLeast"/>
        <w:jc w:val="both"/>
      </w:pPr>
      <w:r>
        <w:t xml:space="preserve">AMAFI </w:t>
      </w:r>
      <w:r w:rsidR="00814116">
        <w:t>understand</w:t>
      </w:r>
      <w:r w:rsidR="004F2E1D">
        <w:t>s</w:t>
      </w:r>
      <w:r w:rsidR="00814116">
        <w:t xml:space="preserve"> that ESMA has chosen to put in place a system based </w:t>
      </w:r>
      <w:r w:rsidR="004F2E1D">
        <w:t>on the distribution of the amount of the penalty to the participant that suffers from the fail rather than a system aiming to cover the costs of the penalty mechanism (with a remaining part that could be redistributed to the suffering party and/or be redistributed to the “</w:t>
      </w:r>
      <w:r w:rsidR="00A275AE">
        <w:t>virtuous</w:t>
      </w:r>
      <w:r w:rsidR="004F2E1D">
        <w:t>” participants</w:t>
      </w:r>
      <w:r w:rsidR="00B71367">
        <w:t>)</w:t>
      </w:r>
      <w:r w:rsidR="004F2E1D">
        <w:t>.</w:t>
      </w:r>
    </w:p>
    <w:p w:rsidR="00A275AE" w:rsidRDefault="00A275AE" w:rsidP="0065306A">
      <w:pPr>
        <w:pBdr>
          <w:top w:val="single" w:sz="4" w:space="0" w:color="auto"/>
          <w:left w:val="single" w:sz="4" w:space="4" w:color="auto"/>
          <w:bottom w:val="single" w:sz="4" w:space="1" w:color="auto"/>
          <w:right w:val="single" w:sz="4" w:space="4" w:color="auto"/>
        </w:pBdr>
        <w:spacing w:line="240" w:lineRule="atLeast"/>
        <w:jc w:val="both"/>
      </w:pPr>
    </w:p>
    <w:p w:rsidR="00B17999" w:rsidRDefault="00A275AE" w:rsidP="0065306A">
      <w:pPr>
        <w:pBdr>
          <w:top w:val="single" w:sz="4" w:space="0" w:color="auto"/>
          <w:left w:val="single" w:sz="4" w:space="4" w:color="auto"/>
          <w:bottom w:val="single" w:sz="4" w:space="1" w:color="auto"/>
          <w:right w:val="single" w:sz="4" w:space="4" w:color="auto"/>
        </w:pBdr>
        <w:spacing w:line="240" w:lineRule="atLeast"/>
        <w:jc w:val="both"/>
      </w:pPr>
      <w:r>
        <w:t>AMAFI is not opposed, on principle, to ESMA’s proposal but considers that it has serious dra</w:t>
      </w:r>
      <w:r>
        <w:t>w</w:t>
      </w:r>
      <w:r>
        <w:t>backs. First of all, it is very difficult to put in place in an area where both gross and net settl</w:t>
      </w:r>
      <w:r>
        <w:t>e</w:t>
      </w:r>
      <w:r>
        <w:t>ment regimes are mixed (see our detail</w:t>
      </w:r>
      <w:r w:rsidR="00B71367">
        <w:t>ed</w:t>
      </w:r>
      <w:r>
        <w:t xml:space="preserve"> answer</w:t>
      </w:r>
      <w:r w:rsidR="00C458E5">
        <w:t>s</w:t>
      </w:r>
      <w:r>
        <w:t xml:space="preserve"> below). But also, such a system supposes that there is a common view and understanding of the right </w:t>
      </w:r>
      <w:r w:rsidR="00C458E5">
        <w:t xml:space="preserve">level of the compensation of the suffering party when the securities </w:t>
      </w:r>
      <w:r w:rsidR="0065306A">
        <w:t>have</w:t>
      </w:r>
      <w:r w:rsidR="00C458E5">
        <w:t xml:space="preserve"> not be settled in due time. AMAFI regrets that ESMA has not elaborated on this subject which is closely related t</w:t>
      </w:r>
      <w:r w:rsidR="00E90363">
        <w:t>o the level of the cash penalty</w:t>
      </w:r>
      <w:r w:rsidR="00B17999">
        <w:t>.</w:t>
      </w:r>
    </w:p>
    <w:p w:rsidR="00B17999" w:rsidRDefault="00B17999" w:rsidP="0065306A">
      <w:pPr>
        <w:pBdr>
          <w:top w:val="single" w:sz="4" w:space="0" w:color="auto"/>
          <w:left w:val="single" w:sz="4" w:space="4" w:color="auto"/>
          <w:bottom w:val="single" w:sz="4" w:space="1" w:color="auto"/>
          <w:right w:val="single" w:sz="4" w:space="4" w:color="auto"/>
        </w:pBdr>
        <w:spacing w:line="240" w:lineRule="atLeast"/>
        <w:jc w:val="both"/>
        <w:rPr>
          <w:b/>
        </w:rPr>
      </w:pPr>
      <w:r w:rsidRPr="00B17999">
        <w:rPr>
          <w:b/>
        </w:rPr>
        <w:lastRenderedPageBreak/>
        <w:t>Buy-in Process</w:t>
      </w:r>
    </w:p>
    <w:p w:rsidR="00B17999" w:rsidRDefault="00B17999" w:rsidP="0065306A">
      <w:pPr>
        <w:pBdr>
          <w:top w:val="single" w:sz="4" w:space="0" w:color="auto"/>
          <w:left w:val="single" w:sz="4" w:space="4" w:color="auto"/>
          <w:bottom w:val="single" w:sz="4" w:space="1" w:color="auto"/>
          <w:right w:val="single" w:sz="4" w:space="4" w:color="auto"/>
        </w:pBdr>
        <w:spacing w:line="240" w:lineRule="atLeast"/>
        <w:jc w:val="both"/>
        <w:rPr>
          <w:b/>
        </w:rPr>
      </w:pPr>
    </w:p>
    <w:p w:rsidR="00B17999" w:rsidRPr="00B17999" w:rsidRDefault="00B17999" w:rsidP="0065306A">
      <w:pPr>
        <w:pBdr>
          <w:top w:val="single" w:sz="4" w:space="0" w:color="auto"/>
          <w:left w:val="single" w:sz="4" w:space="4" w:color="auto"/>
          <w:bottom w:val="single" w:sz="4" w:space="1" w:color="auto"/>
          <w:right w:val="single" w:sz="4" w:space="4" w:color="auto"/>
        </w:pBdr>
        <w:spacing w:line="240" w:lineRule="atLeast"/>
        <w:jc w:val="both"/>
      </w:pPr>
      <w:r>
        <w:t xml:space="preserve">AMAFI considers that ESMA’s proposal should be totally reconsidered on the basis </w:t>
      </w:r>
      <w:r w:rsidR="0065306A">
        <w:t>of</w:t>
      </w:r>
      <w:r>
        <w:t xml:space="preserve"> a clear definition yet to be determine</w:t>
      </w:r>
      <w:r w:rsidR="0065306A">
        <w:t>d</w:t>
      </w:r>
      <w:r>
        <w:t xml:space="preserve"> of </w:t>
      </w:r>
      <w:r w:rsidR="004B66A3">
        <w:t>buy</w:t>
      </w:r>
      <w:r w:rsidR="0065306A">
        <w:t>-</w:t>
      </w:r>
      <w:r w:rsidR="004B66A3">
        <w:t>in.</w:t>
      </w:r>
    </w:p>
    <w:p w:rsidR="00B17999" w:rsidRDefault="00B17999" w:rsidP="00E90363">
      <w:pPr>
        <w:rPr>
          <w:b/>
        </w:rPr>
      </w:pPr>
    </w:p>
    <w:p w:rsidR="00E90363" w:rsidRPr="00E90363" w:rsidRDefault="00E90363" w:rsidP="00E90363">
      <w:pPr>
        <w:rPr>
          <w:b/>
        </w:rPr>
      </w:pPr>
      <w:r w:rsidRPr="00E90363">
        <w:rPr>
          <w:b/>
        </w:rPr>
        <w:t>AMAFI’s answer to Q1</w:t>
      </w:r>
    </w:p>
    <w:p w:rsidR="00AE2522" w:rsidRPr="00AE2522" w:rsidRDefault="00E90363" w:rsidP="0065306A">
      <w:pPr>
        <w:spacing w:line="240" w:lineRule="atLeast"/>
        <w:jc w:val="both"/>
      </w:pPr>
      <w:r>
        <w:t>AMAFI supports the timing proposed by ESMA for allocations and confirmations which are in phase with the current market best practices.</w:t>
      </w:r>
    </w:p>
    <w:p w:rsidR="00E90363" w:rsidRDefault="00E90363" w:rsidP="0065306A">
      <w:pPr>
        <w:spacing w:line="240" w:lineRule="atLeast"/>
      </w:pPr>
    </w:p>
    <w:p w:rsidR="00E90363" w:rsidRPr="0065306A" w:rsidRDefault="006061E9" w:rsidP="0065306A">
      <w:pPr>
        <w:spacing w:line="240" w:lineRule="atLeast"/>
        <w:jc w:val="both"/>
        <w:rPr>
          <w:rFonts w:cs="Arial"/>
          <w:color w:val="000000" w:themeColor="text1"/>
          <w:szCs w:val="22"/>
        </w:rPr>
      </w:pPr>
      <w:r w:rsidRPr="0065306A">
        <w:rPr>
          <w:b/>
        </w:rPr>
        <w:t xml:space="preserve">But </w:t>
      </w:r>
      <w:r w:rsidRPr="0065306A">
        <w:rPr>
          <w:rFonts w:cs="Arial"/>
          <w:color w:val="000000" w:themeColor="text1"/>
          <w:szCs w:val="22"/>
        </w:rPr>
        <w:t>AMAFI</w:t>
      </w:r>
      <w:r w:rsidR="00E90363" w:rsidRPr="0065306A">
        <w:rPr>
          <w:rFonts w:cs="Arial"/>
          <w:color w:val="000000" w:themeColor="text1"/>
          <w:szCs w:val="22"/>
        </w:rPr>
        <w:t xml:space="preserve"> disagrees with the fact to </w:t>
      </w:r>
      <w:r w:rsidRPr="0065306A">
        <w:rPr>
          <w:rFonts w:cs="Arial"/>
          <w:color w:val="000000" w:themeColor="text1"/>
          <w:szCs w:val="22"/>
        </w:rPr>
        <w:t xml:space="preserve">include </w:t>
      </w:r>
      <w:r w:rsidRPr="0065306A">
        <w:rPr>
          <w:rFonts w:cs="Arial"/>
          <w:b/>
          <w:color w:val="000000" w:themeColor="text1"/>
          <w:szCs w:val="22"/>
        </w:rPr>
        <w:t>transaction type</w:t>
      </w:r>
      <w:r w:rsidRPr="0065306A">
        <w:rPr>
          <w:rFonts w:cs="Arial"/>
          <w:color w:val="000000" w:themeColor="text1"/>
          <w:szCs w:val="22"/>
        </w:rPr>
        <w:t xml:space="preserve"> in the confirmation/allocation process.</w:t>
      </w:r>
      <w:r w:rsidR="00AE2522" w:rsidRPr="0065306A">
        <w:rPr>
          <w:rFonts w:cs="Arial"/>
          <w:color w:val="000000" w:themeColor="text1"/>
          <w:szCs w:val="22"/>
        </w:rPr>
        <w:t xml:space="preserve"> Such data is not required today and will need technical adjustments for every party to a transaction. Besides that, adding this new field will probably delay the sending of the confirm</w:t>
      </w:r>
      <w:r w:rsidR="00AE2522" w:rsidRPr="0065306A">
        <w:rPr>
          <w:rFonts w:cs="Arial"/>
          <w:color w:val="000000" w:themeColor="text1"/>
          <w:szCs w:val="22"/>
        </w:rPr>
        <w:t>a</w:t>
      </w:r>
      <w:r w:rsidR="00AE2522" w:rsidRPr="0065306A">
        <w:rPr>
          <w:rFonts w:cs="Arial"/>
          <w:color w:val="000000" w:themeColor="text1"/>
          <w:szCs w:val="22"/>
        </w:rPr>
        <w:t>tions and may jeopardi</w:t>
      </w:r>
      <w:r w:rsidR="0065306A" w:rsidRPr="0065306A">
        <w:rPr>
          <w:rFonts w:cs="Arial"/>
          <w:color w:val="000000" w:themeColor="text1"/>
          <w:szCs w:val="22"/>
        </w:rPr>
        <w:t>s</w:t>
      </w:r>
      <w:r w:rsidR="00AE2522" w:rsidRPr="0065306A">
        <w:rPr>
          <w:rFonts w:cs="Arial"/>
          <w:color w:val="000000" w:themeColor="text1"/>
          <w:szCs w:val="22"/>
        </w:rPr>
        <w:t xml:space="preserve">e the deadline considered. Moreover, AMAFI does not </w:t>
      </w:r>
      <w:r w:rsidR="0065306A">
        <w:rPr>
          <w:rFonts w:cs="Arial"/>
          <w:color w:val="000000" w:themeColor="text1"/>
          <w:szCs w:val="22"/>
        </w:rPr>
        <w:t xml:space="preserve">see </w:t>
      </w:r>
      <w:r w:rsidR="00AE2522" w:rsidRPr="0065306A">
        <w:rPr>
          <w:rFonts w:cs="Arial"/>
          <w:color w:val="000000" w:themeColor="text1"/>
          <w:szCs w:val="22"/>
        </w:rPr>
        <w:t>the benefits of this new field from a regulatory purpose. It doesn’t improve the settlement process</w:t>
      </w:r>
      <w:r w:rsidR="00B5270A" w:rsidRPr="0065306A">
        <w:rPr>
          <w:rFonts w:cs="Arial"/>
          <w:color w:val="000000" w:themeColor="text1"/>
          <w:szCs w:val="22"/>
        </w:rPr>
        <w:t xml:space="preserve"> and this type of information will be available to European </w:t>
      </w:r>
      <w:r w:rsidR="0065306A">
        <w:rPr>
          <w:rFonts w:cs="Arial"/>
          <w:color w:val="000000" w:themeColor="text1"/>
          <w:szCs w:val="22"/>
        </w:rPr>
        <w:t>supervisory bodies through the MiFID 2- MiFI</w:t>
      </w:r>
      <w:r w:rsidR="00B5270A" w:rsidRPr="0065306A">
        <w:rPr>
          <w:rFonts w:cs="Arial"/>
          <w:color w:val="000000" w:themeColor="text1"/>
          <w:szCs w:val="22"/>
        </w:rPr>
        <w:t xml:space="preserve">R and Regulation on Securities and </w:t>
      </w:r>
      <w:r w:rsidR="0065306A">
        <w:rPr>
          <w:rFonts w:cs="Arial"/>
          <w:color w:val="000000" w:themeColor="text1"/>
          <w:szCs w:val="22"/>
        </w:rPr>
        <w:t>F</w:t>
      </w:r>
      <w:r w:rsidR="00B5270A" w:rsidRPr="0065306A">
        <w:rPr>
          <w:rFonts w:cs="Arial"/>
          <w:color w:val="000000" w:themeColor="text1"/>
          <w:szCs w:val="22"/>
        </w:rPr>
        <w:t xml:space="preserve">inancing </w:t>
      </w:r>
      <w:r w:rsidR="0065306A">
        <w:rPr>
          <w:rFonts w:cs="Arial"/>
          <w:color w:val="000000" w:themeColor="text1"/>
          <w:szCs w:val="22"/>
        </w:rPr>
        <w:t>T</w:t>
      </w:r>
      <w:r w:rsidR="00B5270A" w:rsidRPr="0065306A">
        <w:rPr>
          <w:rFonts w:cs="Arial"/>
          <w:color w:val="000000" w:themeColor="text1"/>
          <w:szCs w:val="22"/>
        </w:rPr>
        <w:t>ransactions (SFT) reporting mechanism</w:t>
      </w:r>
      <w:r w:rsidR="0065306A">
        <w:rPr>
          <w:rFonts w:cs="Arial"/>
          <w:color w:val="000000" w:themeColor="text1"/>
          <w:szCs w:val="22"/>
        </w:rPr>
        <w:t>s</w:t>
      </w:r>
      <w:r w:rsidR="00B5270A" w:rsidRPr="0065306A">
        <w:rPr>
          <w:rFonts w:cs="Arial"/>
          <w:color w:val="000000" w:themeColor="text1"/>
          <w:szCs w:val="22"/>
        </w:rPr>
        <w:t>. This</w:t>
      </w:r>
      <w:r w:rsidR="0045581C" w:rsidRPr="0065306A">
        <w:rPr>
          <w:rFonts w:cs="Arial"/>
          <w:color w:val="000000" w:themeColor="text1"/>
          <w:szCs w:val="22"/>
        </w:rPr>
        <w:t xml:space="preserve"> could, </w:t>
      </w:r>
      <w:r w:rsidR="0045581C" w:rsidRPr="0065306A">
        <w:rPr>
          <w:rFonts w:cs="Arial"/>
          <w:i/>
          <w:color w:val="000000" w:themeColor="text1"/>
          <w:szCs w:val="22"/>
        </w:rPr>
        <w:t xml:space="preserve">a </w:t>
      </w:r>
      <w:proofErr w:type="spellStart"/>
      <w:r w:rsidR="0045581C" w:rsidRPr="0065306A">
        <w:rPr>
          <w:rFonts w:cs="Arial"/>
          <w:i/>
          <w:color w:val="000000" w:themeColor="text1"/>
          <w:szCs w:val="22"/>
        </w:rPr>
        <w:t>contrario</w:t>
      </w:r>
      <w:proofErr w:type="spellEnd"/>
      <w:r w:rsidR="00B5270A" w:rsidRPr="0065306A">
        <w:rPr>
          <w:rFonts w:cs="Arial"/>
          <w:color w:val="000000" w:themeColor="text1"/>
          <w:szCs w:val="22"/>
        </w:rPr>
        <w:t xml:space="preserve">, creates discrepancy </w:t>
      </w:r>
      <w:r w:rsidR="0045581C" w:rsidRPr="0065306A">
        <w:rPr>
          <w:rFonts w:cs="Arial"/>
          <w:color w:val="000000" w:themeColor="text1"/>
          <w:szCs w:val="22"/>
        </w:rPr>
        <w:t>because of a lack of harmoni</w:t>
      </w:r>
      <w:r w:rsidR="0065306A">
        <w:rPr>
          <w:rFonts w:cs="Arial"/>
          <w:color w:val="000000" w:themeColor="text1"/>
          <w:szCs w:val="22"/>
        </w:rPr>
        <w:t xml:space="preserve">sation on </w:t>
      </w:r>
      <w:r w:rsidR="0045581C" w:rsidRPr="0065306A">
        <w:rPr>
          <w:rFonts w:cs="Arial"/>
          <w:color w:val="000000" w:themeColor="text1"/>
          <w:szCs w:val="22"/>
        </w:rPr>
        <w:t xml:space="preserve">what </w:t>
      </w:r>
      <w:r w:rsidR="0065306A">
        <w:rPr>
          <w:rFonts w:cs="Arial"/>
          <w:color w:val="000000" w:themeColor="text1"/>
          <w:szCs w:val="22"/>
        </w:rPr>
        <w:t xml:space="preserve">a </w:t>
      </w:r>
      <w:r w:rsidR="0045581C" w:rsidRPr="0065306A">
        <w:rPr>
          <w:rFonts w:cs="Arial"/>
          <w:color w:val="000000" w:themeColor="text1"/>
          <w:szCs w:val="22"/>
        </w:rPr>
        <w:t>type of transac</w:t>
      </w:r>
      <w:r w:rsidR="0065306A">
        <w:rPr>
          <w:rFonts w:cs="Arial"/>
          <w:color w:val="000000" w:themeColor="text1"/>
          <w:szCs w:val="22"/>
        </w:rPr>
        <w:t>tion means in each of</w:t>
      </w:r>
      <w:r w:rsidR="0045581C" w:rsidRPr="0065306A">
        <w:rPr>
          <w:rFonts w:cs="Arial"/>
          <w:color w:val="000000" w:themeColor="text1"/>
          <w:szCs w:val="22"/>
        </w:rPr>
        <w:t xml:space="preserve"> the various European rules.</w:t>
      </w:r>
    </w:p>
    <w:permEnd w:id="3"/>
    <w:p w:rsidR="00D12AFD" w:rsidRDefault="00D12AFD" w:rsidP="00D12AFD">
      <w:r>
        <w:t>&lt;ESMA_QUESTION_TS_CSDR_1&gt;</w:t>
      </w:r>
    </w:p>
    <w:p w:rsidR="00D12AFD" w:rsidRDefault="00D12AFD" w:rsidP="00B874B2">
      <w:pPr>
        <w:pStyle w:val="Titre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Titre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6F0E85" w:rsidRDefault="0065306A" w:rsidP="0065306A">
      <w:pPr>
        <w:spacing w:line="240" w:lineRule="atLeast"/>
        <w:rPr>
          <w:rFonts w:cs="Arial"/>
          <w:color w:val="000000" w:themeColor="text1"/>
          <w:szCs w:val="22"/>
          <w:lang w:val="en-US"/>
        </w:rPr>
      </w:pPr>
      <w:permStart w:id="4" w:edGrp="everyone"/>
      <w:r>
        <w:rPr>
          <w:rFonts w:cs="Arial"/>
          <w:color w:val="000000" w:themeColor="text1"/>
          <w:szCs w:val="22"/>
          <w:lang w:val="en-US"/>
        </w:rPr>
        <w:t>Yes, AMAFI</w:t>
      </w:r>
      <w:r w:rsidR="006F0E85">
        <w:rPr>
          <w:rFonts w:cs="Arial"/>
          <w:color w:val="000000" w:themeColor="text1"/>
          <w:szCs w:val="22"/>
          <w:lang w:val="en-US"/>
        </w:rPr>
        <w:t xml:space="preserve"> agrees with this ESMA’s approach.</w:t>
      </w:r>
    </w:p>
    <w:p w:rsidR="006F0E85" w:rsidRPr="00804E5C" w:rsidRDefault="006F0E85" w:rsidP="0065306A">
      <w:pPr>
        <w:spacing w:line="240" w:lineRule="atLeast"/>
        <w:rPr>
          <w:rFonts w:cs="Arial"/>
          <w:color w:val="000000" w:themeColor="text1"/>
          <w:szCs w:val="22"/>
          <w:lang w:val="en-US"/>
        </w:rPr>
      </w:pPr>
    </w:p>
    <w:p w:rsidR="006F0E85" w:rsidRPr="00804E5C" w:rsidRDefault="006F0E85" w:rsidP="0065306A">
      <w:pPr>
        <w:spacing w:line="240" w:lineRule="atLeast"/>
        <w:jc w:val="both"/>
        <w:rPr>
          <w:rFonts w:cs="Arial"/>
          <w:color w:val="000000" w:themeColor="text1"/>
          <w:szCs w:val="22"/>
          <w:lang w:val="en-US"/>
        </w:rPr>
      </w:pPr>
      <w:r w:rsidRPr="00804E5C">
        <w:rPr>
          <w:rFonts w:cs="Arial"/>
          <w:color w:val="000000" w:themeColor="text1"/>
          <w:szCs w:val="22"/>
          <w:lang w:val="en-US"/>
        </w:rPr>
        <w:t xml:space="preserve">However we would like to highlight that the already matched concept is a T2S concept and should be </w:t>
      </w:r>
      <w:r w:rsidRPr="006F0E85">
        <w:rPr>
          <w:rFonts w:cs="Arial"/>
          <w:b/>
          <w:color w:val="000000" w:themeColor="text1"/>
          <w:szCs w:val="22"/>
          <w:lang w:val="en-US"/>
        </w:rPr>
        <w:t xml:space="preserve">precisely defined in the same way </w:t>
      </w:r>
      <w:r w:rsidR="0065306A">
        <w:rPr>
          <w:rFonts w:cs="Arial"/>
          <w:b/>
          <w:color w:val="000000" w:themeColor="text1"/>
          <w:szCs w:val="22"/>
          <w:lang w:val="en-US"/>
        </w:rPr>
        <w:t>for</w:t>
      </w:r>
      <w:r w:rsidRPr="006F0E85">
        <w:rPr>
          <w:rFonts w:cs="Arial"/>
          <w:b/>
          <w:color w:val="000000" w:themeColor="text1"/>
          <w:szCs w:val="22"/>
          <w:lang w:val="en-US"/>
        </w:rPr>
        <w:t xml:space="preserve"> the non T2S markets.</w:t>
      </w:r>
    </w:p>
    <w:permEnd w:id="4"/>
    <w:p w:rsidR="00D12AFD" w:rsidRDefault="00D12AFD" w:rsidP="00D12AFD">
      <w:r>
        <w:t>&lt;ESMA_QUESTION_TS_CSDR_2&gt;</w:t>
      </w:r>
    </w:p>
    <w:p w:rsidR="00D12AFD" w:rsidRDefault="00D12AFD" w:rsidP="00965B03">
      <w:pPr>
        <w:pStyle w:val="Titre5"/>
        <w:ind w:left="567" w:hanging="567"/>
      </w:pPr>
      <w:r w:rsidRPr="002C4F00">
        <w:t xml:space="preserve">What are your views on the proposed approach under Article 3(11) of the draft RTS included in Chapter II of Annex I? </w:t>
      </w:r>
    </w:p>
    <w:p w:rsidR="00D12AFD" w:rsidRDefault="00D12AFD" w:rsidP="00BA1DEE">
      <w:pPr>
        <w:pStyle w:val="Titre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Titre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E56A3B" w:rsidRPr="00804E5C" w:rsidRDefault="00E56A3B" w:rsidP="0065306A">
      <w:pPr>
        <w:spacing w:line="240" w:lineRule="atLeast"/>
        <w:rPr>
          <w:rFonts w:cs="Arial"/>
          <w:color w:val="000000" w:themeColor="text1"/>
          <w:szCs w:val="22"/>
          <w:lang w:val="en-US"/>
        </w:rPr>
      </w:pPr>
      <w:permStart w:id="5" w:edGrp="everyone"/>
      <w:r>
        <w:rPr>
          <w:rFonts w:cs="Arial"/>
          <w:color w:val="000000" w:themeColor="text1"/>
          <w:szCs w:val="22"/>
          <w:lang w:val="en-US"/>
        </w:rPr>
        <w:t>AMAFI does not</w:t>
      </w:r>
      <w:r w:rsidRPr="00804E5C">
        <w:rPr>
          <w:rFonts w:cs="Arial"/>
          <w:color w:val="000000" w:themeColor="text1"/>
          <w:szCs w:val="22"/>
          <w:lang w:val="en-US"/>
        </w:rPr>
        <w:t xml:space="preserve"> share ESMA’s approach.</w:t>
      </w:r>
    </w:p>
    <w:p w:rsidR="00E56A3B" w:rsidRDefault="00E56A3B" w:rsidP="0065306A">
      <w:pPr>
        <w:spacing w:line="240" w:lineRule="atLeast"/>
        <w:rPr>
          <w:rFonts w:cs="Arial"/>
          <w:color w:val="000000" w:themeColor="text1"/>
          <w:szCs w:val="22"/>
          <w:lang w:val="en-US"/>
        </w:rPr>
      </w:pPr>
    </w:p>
    <w:p w:rsidR="00F43C9A" w:rsidRPr="0065306A" w:rsidRDefault="00F43C9A" w:rsidP="0065306A">
      <w:pPr>
        <w:spacing w:line="240" w:lineRule="atLeast"/>
        <w:ind w:right="61"/>
        <w:jc w:val="both"/>
        <w:rPr>
          <w:rFonts w:cs="Arial"/>
        </w:rPr>
      </w:pPr>
      <w:r w:rsidRPr="0065306A">
        <w:rPr>
          <w:rFonts w:cs="Arial"/>
        </w:rPr>
        <w:t xml:space="preserve">We consider that CSDs should offer the same basic services to their clients and </w:t>
      </w:r>
      <w:r w:rsidR="00F83ECA" w:rsidRPr="0065306A">
        <w:rPr>
          <w:rFonts w:cs="Arial"/>
        </w:rPr>
        <w:t>do</w:t>
      </w:r>
      <w:r w:rsidRPr="0065306A">
        <w:rPr>
          <w:rFonts w:cs="Arial"/>
        </w:rPr>
        <w:t xml:space="preserve"> not agree with the suggested exemptions nor the respective thresholds. T2S will provide this functionality and participating CSDs are encouraged to utili</w:t>
      </w:r>
      <w:r w:rsidR="0065306A" w:rsidRPr="0065306A">
        <w:rPr>
          <w:rFonts w:cs="Arial"/>
        </w:rPr>
        <w:t>s</w:t>
      </w:r>
      <w:r w:rsidRPr="0065306A">
        <w:rPr>
          <w:rFonts w:cs="Arial"/>
        </w:rPr>
        <w:t>e this.</w:t>
      </w:r>
    </w:p>
    <w:p w:rsidR="00F43C9A" w:rsidRDefault="00F43C9A" w:rsidP="0065306A">
      <w:pPr>
        <w:spacing w:line="240" w:lineRule="atLeast"/>
        <w:ind w:right="61"/>
        <w:jc w:val="both"/>
        <w:rPr>
          <w:rFonts w:cs="Arial"/>
          <w:lang w:val="en-US"/>
        </w:rPr>
      </w:pPr>
    </w:p>
    <w:p w:rsidR="00F43C9A" w:rsidRDefault="00F43C9A" w:rsidP="0065306A">
      <w:pPr>
        <w:spacing w:line="240" w:lineRule="atLeast"/>
        <w:ind w:right="61"/>
        <w:jc w:val="both"/>
        <w:rPr>
          <w:rFonts w:cs="Arial"/>
        </w:rPr>
      </w:pPr>
      <w:r w:rsidRPr="0065306A">
        <w:rPr>
          <w:rFonts w:cs="Arial"/>
        </w:rPr>
        <w:lastRenderedPageBreak/>
        <w:t>Moreover such exceptions would go against the harmoni</w:t>
      </w:r>
      <w:r w:rsidR="0065306A">
        <w:rPr>
          <w:rFonts w:cs="Arial"/>
        </w:rPr>
        <w:t>sation efforts</w:t>
      </w:r>
      <w:r w:rsidRPr="0065306A">
        <w:rPr>
          <w:rFonts w:cs="Arial"/>
        </w:rPr>
        <w:t xml:space="preserve"> the market is currently undergoing. We note that such rules could be seen beneficial for some CSDs. However, from a participant point of view with multiple market access point, having to build different settlement processes for certain markets is not desirable. </w:t>
      </w:r>
    </w:p>
    <w:p w:rsidR="0065306A" w:rsidRPr="0065306A" w:rsidRDefault="0065306A" w:rsidP="0065306A">
      <w:pPr>
        <w:spacing w:line="240" w:lineRule="atLeast"/>
        <w:ind w:right="61"/>
        <w:jc w:val="both"/>
        <w:rPr>
          <w:rFonts w:cs="Arial"/>
        </w:rPr>
      </w:pPr>
    </w:p>
    <w:p w:rsidR="00F43C9A" w:rsidRPr="0065306A" w:rsidRDefault="00F43C9A" w:rsidP="0065306A">
      <w:pPr>
        <w:spacing w:line="240" w:lineRule="atLeast"/>
        <w:ind w:right="61"/>
        <w:jc w:val="both"/>
        <w:rPr>
          <w:rFonts w:cs="Arial"/>
        </w:rPr>
      </w:pPr>
      <w:r w:rsidRPr="0065306A">
        <w:rPr>
          <w:rFonts w:cs="Arial"/>
        </w:rPr>
        <w:t>More specifically, we would like to point it out that:</w:t>
      </w:r>
    </w:p>
    <w:p w:rsidR="00F43C9A" w:rsidRPr="0065306A" w:rsidRDefault="00F43C9A" w:rsidP="0065306A">
      <w:pPr>
        <w:spacing w:line="240" w:lineRule="atLeast"/>
        <w:ind w:right="61"/>
        <w:jc w:val="both"/>
        <w:rPr>
          <w:rFonts w:cs="Arial"/>
        </w:rPr>
      </w:pPr>
    </w:p>
    <w:p w:rsidR="00F43C9A" w:rsidRPr="0065306A" w:rsidRDefault="00F43C9A" w:rsidP="0065306A">
      <w:pPr>
        <w:pStyle w:val="Paragraphedeliste"/>
        <w:numPr>
          <w:ilvl w:val="0"/>
          <w:numId w:val="34"/>
        </w:numPr>
        <w:spacing w:line="240" w:lineRule="atLeast"/>
        <w:jc w:val="both"/>
        <w:rPr>
          <w:rFonts w:cs="Arial"/>
          <w:color w:val="000000" w:themeColor="text1"/>
          <w:szCs w:val="22"/>
        </w:rPr>
      </w:pPr>
      <w:r w:rsidRPr="0065306A">
        <w:rPr>
          <w:rFonts w:cs="Arial"/>
          <w:color w:val="000000" w:themeColor="text1"/>
          <w:szCs w:val="22"/>
        </w:rPr>
        <w:t>the hold and release function eases an early matching in the CSD and therefore contri</w:t>
      </w:r>
      <w:r w:rsidRPr="0065306A">
        <w:rPr>
          <w:rFonts w:cs="Arial"/>
          <w:color w:val="000000" w:themeColor="text1"/>
          <w:szCs w:val="22"/>
        </w:rPr>
        <w:t>b</w:t>
      </w:r>
      <w:r w:rsidRPr="0065306A">
        <w:rPr>
          <w:rFonts w:cs="Arial"/>
          <w:color w:val="000000" w:themeColor="text1"/>
          <w:szCs w:val="22"/>
        </w:rPr>
        <w:t>utes to a settlement on time (most of the instructions put on hold will have been released on ISD);</w:t>
      </w:r>
    </w:p>
    <w:p w:rsidR="00F43C9A" w:rsidRPr="0065306A" w:rsidRDefault="00F43C9A" w:rsidP="0065306A">
      <w:pPr>
        <w:pStyle w:val="Paragraphedeliste"/>
        <w:numPr>
          <w:ilvl w:val="0"/>
          <w:numId w:val="34"/>
        </w:numPr>
        <w:spacing w:line="240" w:lineRule="atLeast"/>
        <w:jc w:val="both"/>
        <w:rPr>
          <w:rFonts w:cs="Arial"/>
          <w:color w:val="000000" w:themeColor="text1"/>
          <w:szCs w:val="22"/>
        </w:rPr>
      </w:pPr>
      <w:r w:rsidRPr="0065306A">
        <w:rPr>
          <w:rFonts w:cs="Arial"/>
          <w:color w:val="000000" w:themeColor="text1"/>
          <w:szCs w:val="22"/>
        </w:rPr>
        <w:t>partial settlement as well as recycling are essential to an efficient settlement;</w:t>
      </w:r>
    </w:p>
    <w:p w:rsidR="00E56A3B" w:rsidRPr="00F43C9A" w:rsidRDefault="00F43C9A" w:rsidP="0065306A">
      <w:pPr>
        <w:pStyle w:val="Paragraphedeliste"/>
        <w:numPr>
          <w:ilvl w:val="0"/>
          <w:numId w:val="34"/>
        </w:numPr>
        <w:spacing w:line="240" w:lineRule="atLeast"/>
        <w:jc w:val="both"/>
        <w:rPr>
          <w:rFonts w:cs="Arial"/>
          <w:color w:val="000000" w:themeColor="text1"/>
          <w:szCs w:val="22"/>
          <w:lang w:val="en-US"/>
        </w:rPr>
      </w:pPr>
      <w:proofErr w:type="gramStart"/>
      <w:r w:rsidRPr="0065306A">
        <w:rPr>
          <w:rFonts w:cs="Arial"/>
          <w:color w:val="000000" w:themeColor="text1"/>
          <w:szCs w:val="22"/>
        </w:rPr>
        <w:t>the</w:t>
      </w:r>
      <w:proofErr w:type="gramEnd"/>
      <w:r w:rsidRPr="0065306A">
        <w:rPr>
          <w:rFonts w:cs="Arial"/>
          <w:color w:val="000000" w:themeColor="text1"/>
          <w:szCs w:val="22"/>
        </w:rPr>
        <w:t xml:space="preserve"> penalty regime aims to penali</w:t>
      </w:r>
      <w:r w:rsidR="0065306A">
        <w:rPr>
          <w:rFonts w:cs="Arial"/>
          <w:color w:val="000000" w:themeColor="text1"/>
          <w:szCs w:val="22"/>
        </w:rPr>
        <w:t>s</w:t>
      </w:r>
      <w:r w:rsidRPr="0065306A">
        <w:rPr>
          <w:rFonts w:cs="Arial"/>
          <w:color w:val="000000" w:themeColor="text1"/>
          <w:szCs w:val="22"/>
        </w:rPr>
        <w:t>e the real defaulters and that cannot be achieved if a participant is charged a penalty because the system operated by the CSD offer less fun</w:t>
      </w:r>
      <w:r w:rsidRPr="0065306A">
        <w:rPr>
          <w:rFonts w:cs="Arial"/>
          <w:color w:val="000000" w:themeColor="text1"/>
          <w:szCs w:val="22"/>
        </w:rPr>
        <w:t>c</w:t>
      </w:r>
      <w:r w:rsidRPr="0065306A">
        <w:rPr>
          <w:rFonts w:cs="Arial"/>
          <w:color w:val="000000" w:themeColor="text1"/>
          <w:szCs w:val="22"/>
        </w:rPr>
        <w:t>tionalities than another</w:t>
      </w:r>
      <w:r>
        <w:rPr>
          <w:rFonts w:cs="Arial"/>
          <w:color w:val="000000" w:themeColor="text1"/>
          <w:szCs w:val="22"/>
          <w:lang w:val="en-US"/>
        </w:rPr>
        <w:t>.</w:t>
      </w:r>
    </w:p>
    <w:permEnd w:id="5"/>
    <w:p w:rsidR="00D12AFD" w:rsidRDefault="00D12AFD" w:rsidP="00D12AFD">
      <w:r>
        <w:t>&lt;ESMA_QUESTION_TS_CSDR_3&gt;</w:t>
      </w:r>
    </w:p>
    <w:p w:rsidR="00D12AFD" w:rsidRPr="002C4F00" w:rsidRDefault="00D12AFD" w:rsidP="00965B03">
      <w:pPr>
        <w:pStyle w:val="Titre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F83ECA" w:rsidRPr="0065306A" w:rsidRDefault="00F83ECA" w:rsidP="0065306A">
      <w:pPr>
        <w:widowControl w:val="0"/>
        <w:spacing w:line="240" w:lineRule="atLeast"/>
        <w:ind w:right="61"/>
        <w:jc w:val="both"/>
        <w:rPr>
          <w:rFonts w:eastAsia="Arial" w:cs="Arial"/>
          <w:bCs/>
          <w:szCs w:val="22"/>
          <w:lang w:eastAsia="en-US"/>
        </w:rPr>
      </w:pPr>
      <w:permStart w:id="6" w:edGrp="everyone"/>
      <w:r w:rsidRPr="0065306A">
        <w:rPr>
          <w:rFonts w:eastAsia="Arial" w:cs="Arial"/>
          <w:bCs/>
          <w:szCs w:val="22"/>
          <w:lang w:eastAsia="en-US"/>
        </w:rPr>
        <w:t>AMAFE broadly supports the proposed standards, but would like to raise the following co</w:t>
      </w:r>
      <w:r w:rsidRPr="0065306A">
        <w:rPr>
          <w:rFonts w:eastAsia="Arial" w:cs="Arial"/>
          <w:bCs/>
          <w:szCs w:val="22"/>
          <w:lang w:eastAsia="en-US"/>
        </w:rPr>
        <w:t>m</w:t>
      </w:r>
      <w:r w:rsidRPr="0065306A">
        <w:rPr>
          <w:rFonts w:eastAsia="Arial" w:cs="Arial"/>
          <w:bCs/>
          <w:szCs w:val="22"/>
          <w:lang w:eastAsia="en-US"/>
        </w:rPr>
        <w:t xml:space="preserve">ments: </w:t>
      </w:r>
    </w:p>
    <w:p w:rsidR="00F83ECA" w:rsidRPr="0065306A" w:rsidRDefault="00F83ECA" w:rsidP="0065306A">
      <w:pPr>
        <w:widowControl w:val="0"/>
        <w:spacing w:line="240" w:lineRule="atLeast"/>
        <w:ind w:right="61"/>
        <w:jc w:val="both"/>
        <w:rPr>
          <w:rFonts w:eastAsia="Arial" w:cs="Arial"/>
          <w:bCs/>
          <w:szCs w:val="22"/>
          <w:lang w:eastAsia="en-US"/>
        </w:rPr>
      </w:pPr>
    </w:p>
    <w:p w:rsidR="00F83ECA" w:rsidRPr="0065306A" w:rsidRDefault="00F83ECA" w:rsidP="0065306A">
      <w:pPr>
        <w:widowControl w:val="0"/>
        <w:spacing w:line="240" w:lineRule="atLeast"/>
        <w:ind w:right="61"/>
        <w:jc w:val="both"/>
        <w:rPr>
          <w:rFonts w:eastAsia="Arial" w:cs="Arial"/>
          <w:bCs/>
          <w:szCs w:val="22"/>
          <w:lang w:eastAsia="en-US"/>
        </w:rPr>
      </w:pPr>
      <w:r w:rsidRPr="0065306A">
        <w:rPr>
          <w:rFonts w:eastAsia="Arial" w:cs="Arial"/>
          <w:b/>
          <w:bCs/>
          <w:szCs w:val="22"/>
          <w:lang w:eastAsia="en-US"/>
        </w:rPr>
        <w:t>We totally disagree</w:t>
      </w:r>
      <w:r w:rsidRPr="0065306A">
        <w:rPr>
          <w:rFonts w:eastAsia="Arial" w:cs="Arial"/>
          <w:bCs/>
          <w:szCs w:val="22"/>
          <w:lang w:eastAsia="en-US"/>
        </w:rPr>
        <w:t xml:space="preserve"> with the introduction in Article 3.3 of  a matching field “Transaction Type” introduced in Article 3.3 (</w:t>
      </w:r>
      <w:r w:rsidRPr="0065306A">
        <w:rPr>
          <w:rFonts w:eastAsia="Arial" w:cs="Arial"/>
          <w:bCs/>
          <w:i/>
          <w:szCs w:val="22"/>
          <w:lang w:eastAsia="en-US"/>
        </w:rPr>
        <w:t>see our answer to Q1 above</w:t>
      </w:r>
      <w:r w:rsidRPr="0065306A">
        <w:rPr>
          <w:rFonts w:eastAsia="Arial" w:cs="Arial"/>
          <w:bCs/>
          <w:szCs w:val="22"/>
          <w:lang w:eastAsia="en-US"/>
        </w:rPr>
        <w:t>). It is currently not widely used in the European securities settlement systems. Adding a new mandatory matching criteria will lead to important IT developments at every stage (from the party of the transaction to the CSD … and T2S) and may impede the matching efficiency. Therefore such change needs clear rationale. At the moment we do not see the purpose of this requirement</w:t>
      </w:r>
      <w:r w:rsidR="0065306A" w:rsidRPr="0065306A">
        <w:rPr>
          <w:rFonts w:eastAsia="Arial" w:cs="Arial"/>
          <w:bCs/>
          <w:szCs w:val="22"/>
          <w:lang w:eastAsia="en-US"/>
        </w:rPr>
        <w:t>.</w:t>
      </w:r>
    </w:p>
    <w:p w:rsidR="00F83ECA" w:rsidRPr="0065306A" w:rsidRDefault="00F83ECA" w:rsidP="0065306A">
      <w:pPr>
        <w:widowControl w:val="0"/>
        <w:spacing w:line="240" w:lineRule="atLeast"/>
        <w:ind w:right="61"/>
        <w:jc w:val="both"/>
        <w:rPr>
          <w:rFonts w:eastAsia="Arial" w:cs="Arial"/>
          <w:bCs/>
          <w:szCs w:val="22"/>
          <w:lang w:eastAsia="en-US"/>
        </w:rPr>
      </w:pPr>
    </w:p>
    <w:p w:rsidR="00F83ECA" w:rsidRPr="0065306A" w:rsidRDefault="00F83ECA" w:rsidP="0065306A">
      <w:pPr>
        <w:widowControl w:val="0"/>
        <w:spacing w:line="240" w:lineRule="atLeast"/>
        <w:ind w:right="61"/>
        <w:jc w:val="both"/>
        <w:rPr>
          <w:rFonts w:cs="Arial"/>
          <w:color w:val="000000" w:themeColor="text1"/>
          <w:szCs w:val="22"/>
        </w:rPr>
      </w:pPr>
      <w:r w:rsidRPr="0065306A">
        <w:rPr>
          <w:rFonts w:cs="Arial"/>
          <w:color w:val="000000" w:themeColor="text1"/>
          <w:szCs w:val="22"/>
        </w:rPr>
        <w:t>Manual interventions by the CSDs should be restricted to the minimum possible: contingency for instance, i.e.: when a participant is not able to send/amend/cancel its settlement instructions. In such cases, the CSD manual intervention needs to be based on its participant instructions and be processed through GUI enabling a consistency check of settlement instructions. In addition, each CSD must validate this possibility with its local regulator. Therefore a clear pr</w:t>
      </w:r>
      <w:r w:rsidRPr="0065306A">
        <w:rPr>
          <w:rFonts w:cs="Arial"/>
          <w:color w:val="000000" w:themeColor="text1"/>
          <w:szCs w:val="22"/>
        </w:rPr>
        <w:t>o</w:t>
      </w:r>
      <w:r w:rsidRPr="0065306A">
        <w:rPr>
          <w:rFonts w:cs="Arial"/>
          <w:color w:val="000000" w:themeColor="text1"/>
          <w:szCs w:val="22"/>
        </w:rPr>
        <w:t>cedure should be established between the CSD and its relevant regulator</w:t>
      </w:r>
    </w:p>
    <w:p w:rsidR="00F83ECA" w:rsidRPr="0065306A" w:rsidRDefault="00F83ECA" w:rsidP="0065306A">
      <w:pPr>
        <w:widowControl w:val="0"/>
        <w:spacing w:line="240" w:lineRule="atLeast"/>
        <w:ind w:right="61"/>
        <w:jc w:val="both"/>
        <w:rPr>
          <w:rFonts w:cs="Arial"/>
          <w:color w:val="000000" w:themeColor="text1"/>
          <w:szCs w:val="22"/>
        </w:rPr>
      </w:pPr>
    </w:p>
    <w:p w:rsidR="00F83ECA" w:rsidRPr="0065306A" w:rsidRDefault="00F83ECA" w:rsidP="0065306A">
      <w:pPr>
        <w:spacing w:line="240" w:lineRule="atLeast"/>
        <w:rPr>
          <w:rFonts w:cs="Arial"/>
          <w:color w:val="000000" w:themeColor="text1"/>
          <w:szCs w:val="22"/>
        </w:rPr>
      </w:pPr>
      <w:r w:rsidRPr="0065306A">
        <w:rPr>
          <w:rFonts w:cs="Arial"/>
          <w:color w:val="000000" w:themeColor="text1"/>
          <w:szCs w:val="22"/>
        </w:rPr>
        <w:t>We propose to add to the measures identified as facilitating the settlement, the auto collateral</w:t>
      </w:r>
      <w:r w:rsidRPr="0065306A">
        <w:rPr>
          <w:rFonts w:cs="Arial"/>
          <w:color w:val="000000" w:themeColor="text1"/>
          <w:szCs w:val="22"/>
        </w:rPr>
        <w:t>i</w:t>
      </w:r>
      <w:r w:rsidR="0065306A">
        <w:rPr>
          <w:rFonts w:cs="Arial"/>
          <w:color w:val="000000" w:themeColor="text1"/>
          <w:szCs w:val="22"/>
        </w:rPr>
        <w:t>s</w:t>
      </w:r>
      <w:r w:rsidRPr="0065306A">
        <w:rPr>
          <w:rFonts w:cs="Arial"/>
          <w:color w:val="000000" w:themeColor="text1"/>
          <w:szCs w:val="22"/>
        </w:rPr>
        <w:t>ation mechanism.</w:t>
      </w:r>
    </w:p>
    <w:p w:rsidR="00F83ECA" w:rsidRPr="0065306A" w:rsidRDefault="00F83ECA" w:rsidP="0065306A">
      <w:pPr>
        <w:spacing w:line="240" w:lineRule="atLeast"/>
        <w:rPr>
          <w:rFonts w:cs="Arial"/>
          <w:color w:val="000000" w:themeColor="text1"/>
          <w:szCs w:val="22"/>
        </w:rPr>
      </w:pPr>
    </w:p>
    <w:p w:rsidR="00F83ECA" w:rsidRPr="0065306A" w:rsidRDefault="00F83ECA" w:rsidP="0065306A">
      <w:pPr>
        <w:spacing w:line="240" w:lineRule="atLeast"/>
        <w:rPr>
          <w:rFonts w:cs="Arial"/>
          <w:color w:val="000000" w:themeColor="text1"/>
          <w:szCs w:val="22"/>
        </w:rPr>
      </w:pPr>
      <w:r w:rsidRPr="0065306A">
        <w:rPr>
          <w:rFonts w:cs="Arial"/>
          <w:color w:val="000000" w:themeColor="text1"/>
          <w:szCs w:val="22"/>
        </w:rPr>
        <w:t xml:space="preserve">We also push for the wider adoption of the T2S features described below in the </w:t>
      </w:r>
      <w:proofErr w:type="spellStart"/>
      <w:r w:rsidRPr="0065306A">
        <w:rPr>
          <w:rFonts w:cs="Arial"/>
          <w:color w:val="000000" w:themeColor="text1"/>
          <w:szCs w:val="22"/>
        </w:rPr>
        <w:t>allegement</w:t>
      </w:r>
      <w:proofErr w:type="spellEnd"/>
      <w:r w:rsidRPr="0065306A">
        <w:rPr>
          <w:rFonts w:cs="Arial"/>
          <w:color w:val="000000" w:themeColor="text1"/>
          <w:szCs w:val="22"/>
        </w:rPr>
        <w:t xml:space="preserve"> period. This type of details allows us for a proper monitoring of our settlement fails.</w:t>
      </w:r>
    </w:p>
    <w:p w:rsidR="00F83ECA" w:rsidRPr="00804E5C" w:rsidRDefault="00F83ECA" w:rsidP="00F83ECA">
      <w:pPr>
        <w:rPr>
          <w:rFonts w:cs="Arial"/>
          <w:color w:val="000000" w:themeColor="text1"/>
          <w:szCs w:val="22"/>
          <w:lang w:val="en-US"/>
        </w:rPr>
      </w:pPr>
    </w:p>
    <w:p w:rsidR="00F83ECA" w:rsidRPr="00804E5C" w:rsidRDefault="00F83ECA" w:rsidP="00F83ECA">
      <w:pPr>
        <w:rPr>
          <w:rFonts w:cs="Arial"/>
          <w:i/>
          <w:color w:val="000000" w:themeColor="text1"/>
          <w:szCs w:val="22"/>
          <w:lang w:val="en-US"/>
        </w:rPr>
      </w:pPr>
      <w:r w:rsidRPr="00804E5C">
        <w:rPr>
          <w:rFonts w:cs="Arial"/>
          <w:b/>
          <w:i/>
          <w:color w:val="000000" w:themeColor="text1"/>
          <w:szCs w:val="22"/>
          <w:lang w:val="en-US"/>
        </w:rPr>
        <w:t>Allegement delay periods</w:t>
      </w:r>
      <w:r w:rsidRPr="00804E5C">
        <w:rPr>
          <w:rFonts w:cs="Arial"/>
          <w:i/>
          <w:color w:val="000000" w:themeColor="text1"/>
          <w:szCs w:val="22"/>
          <w:lang w:val="en-US"/>
        </w:rPr>
        <w:t xml:space="preserve"> </w:t>
      </w:r>
    </w:p>
    <w:p w:rsidR="00F83ECA" w:rsidRPr="00804E5C" w:rsidRDefault="00F83ECA" w:rsidP="00F83ECA">
      <w:pPr>
        <w:rPr>
          <w:rFonts w:cs="Arial"/>
          <w:i/>
          <w:color w:val="000000" w:themeColor="text1"/>
          <w:szCs w:val="22"/>
          <w:lang w:val="en-US"/>
        </w:rPr>
      </w:pPr>
      <w:r w:rsidRPr="00804E5C">
        <w:rPr>
          <w:rFonts w:cs="Arial"/>
          <w:i/>
          <w:color w:val="000000" w:themeColor="text1"/>
          <w:szCs w:val="22"/>
          <w:lang w:val="en-US"/>
        </w:rPr>
        <w:t xml:space="preserve">The allegement message is sent after a certain delay, following the first unsuccessful matching attempt. The delay depends on time of receipt of the instruction. </w:t>
      </w:r>
    </w:p>
    <w:p w:rsidR="00F83ECA" w:rsidRPr="00804E5C" w:rsidRDefault="00F83ECA" w:rsidP="00F83ECA">
      <w:pPr>
        <w:rPr>
          <w:rFonts w:cs="Arial"/>
          <w:i/>
          <w:color w:val="000000" w:themeColor="text1"/>
          <w:szCs w:val="22"/>
          <w:lang w:val="en-US"/>
        </w:rPr>
      </w:pPr>
    </w:p>
    <w:p w:rsidR="00F83ECA" w:rsidRPr="00F83ECA" w:rsidRDefault="00F83ECA" w:rsidP="00F83ECA">
      <w:pPr>
        <w:rPr>
          <w:rFonts w:cs="Arial"/>
          <w:i/>
          <w:color w:val="000000" w:themeColor="text1"/>
          <w:szCs w:val="22"/>
        </w:rPr>
      </w:pPr>
      <w:r w:rsidRPr="00804E5C">
        <w:rPr>
          <w:rFonts w:cs="Arial"/>
          <w:noProof/>
          <w:color w:val="000000" w:themeColor="text1"/>
          <w:szCs w:val="22"/>
          <w:lang w:val="fr-FR" w:eastAsia="fr-FR"/>
        </w:rPr>
        <w:drawing>
          <wp:inline distT="0" distB="0" distL="0" distR="0">
            <wp:extent cx="5793921" cy="647193"/>
            <wp:effectExtent l="0" t="0" r="0" b="635"/>
            <wp:docPr id="2" name="Picture 4" descr="cid:_1_0A4DCA6C0A4DBB20004FF98DC1257D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_1_0A4DCA6C0A4DBB20004FF98DC1257DD3"/>
                    <pic:cNvPicPr>
                      <a:picLocks noChangeAspect="1" noChangeArrowheads="1"/>
                    </pic:cNvPicPr>
                  </pic:nvPicPr>
                  <pic:blipFill>
                    <a:blip r:embed="rId14" r:link="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93921" cy="647193"/>
                    </a:xfrm>
                    <a:prstGeom prst="rect">
                      <a:avLst/>
                    </a:prstGeom>
                    <a:noFill/>
                    <a:ln>
                      <a:noFill/>
                    </a:ln>
                  </pic:spPr>
                </pic:pic>
              </a:graphicData>
            </a:graphic>
          </wp:inline>
        </w:drawing>
      </w:r>
      <w:r w:rsidRPr="00804E5C">
        <w:rPr>
          <w:rFonts w:cs="Arial"/>
          <w:color w:val="000000" w:themeColor="text1"/>
          <w:szCs w:val="22"/>
        </w:rPr>
        <w:br/>
      </w:r>
      <w:r w:rsidRPr="00804E5C">
        <w:rPr>
          <w:rFonts w:cs="Arial"/>
          <w:i/>
          <w:color w:val="000000" w:themeColor="text1"/>
          <w:szCs w:val="22"/>
          <w:lang w:val="en-US"/>
        </w:rPr>
        <w:t>The 13:00 timing is defined as a 5-hour delay period measured backward from the FOP cut-off time (18:00).</w:t>
      </w:r>
      <w:r w:rsidRPr="00804E5C">
        <w:rPr>
          <w:rFonts w:cs="Arial"/>
          <w:i/>
          <w:color w:val="000000" w:themeColor="text1"/>
          <w:szCs w:val="22"/>
        </w:rPr>
        <w:t xml:space="preserve"> </w:t>
      </w:r>
    </w:p>
    <w:permEnd w:id="6"/>
    <w:p w:rsidR="00D12AFD" w:rsidRDefault="00D12AFD" w:rsidP="00D12AFD">
      <w:r>
        <w:lastRenderedPageBreak/>
        <w:t>&lt;ESMA_QUESTION_TS_CSDR_4&gt;</w:t>
      </w:r>
    </w:p>
    <w:p w:rsidR="00D12AFD" w:rsidRPr="002C4F00" w:rsidRDefault="00D12AFD" w:rsidP="00965B03">
      <w:pPr>
        <w:pStyle w:val="Titre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F4572C" w:rsidRPr="00804E5C" w:rsidRDefault="00F4572C" w:rsidP="0065306A">
      <w:pPr>
        <w:spacing w:line="240" w:lineRule="atLeast"/>
        <w:rPr>
          <w:rFonts w:cs="Arial"/>
          <w:color w:val="000000" w:themeColor="text1"/>
          <w:szCs w:val="22"/>
          <w:lang w:val="en-US"/>
        </w:rPr>
      </w:pPr>
      <w:permStart w:id="7" w:edGrp="everyone"/>
      <w:r>
        <w:rPr>
          <w:rFonts w:cs="Arial"/>
          <w:color w:val="000000" w:themeColor="text1"/>
          <w:szCs w:val="22"/>
          <w:lang w:val="en-US"/>
        </w:rPr>
        <w:t>AMAFI broadly agrees with the draft RTS.</w:t>
      </w:r>
    </w:p>
    <w:p w:rsidR="00F4572C" w:rsidRPr="00804E5C" w:rsidRDefault="00F4572C" w:rsidP="0065306A">
      <w:pPr>
        <w:spacing w:line="240" w:lineRule="atLeast"/>
        <w:rPr>
          <w:rFonts w:cs="Arial"/>
          <w:color w:val="000000" w:themeColor="text1"/>
          <w:szCs w:val="22"/>
          <w:lang w:val="en-US"/>
        </w:rPr>
      </w:pPr>
    </w:p>
    <w:p w:rsidR="00F4572C" w:rsidRPr="00804E5C" w:rsidRDefault="00F4572C" w:rsidP="0065306A">
      <w:pPr>
        <w:spacing w:line="240" w:lineRule="atLeast"/>
        <w:jc w:val="both"/>
        <w:rPr>
          <w:rFonts w:cs="Arial"/>
          <w:color w:val="000000" w:themeColor="text1"/>
          <w:szCs w:val="22"/>
          <w:lang w:val="en-US"/>
        </w:rPr>
      </w:pPr>
      <w:r w:rsidRPr="00804E5C">
        <w:rPr>
          <w:rFonts w:cs="Arial"/>
          <w:color w:val="000000" w:themeColor="text1"/>
          <w:szCs w:val="22"/>
          <w:lang w:val="en-US"/>
        </w:rPr>
        <w:t xml:space="preserve">However some of the information to be published by the CSDs </w:t>
      </w:r>
      <w:r>
        <w:rPr>
          <w:rFonts w:cs="Arial"/>
          <w:color w:val="000000" w:themeColor="text1"/>
          <w:szCs w:val="22"/>
          <w:lang w:val="en-US"/>
        </w:rPr>
        <w:t xml:space="preserve">seems to </w:t>
      </w:r>
      <w:r w:rsidR="002178C5">
        <w:rPr>
          <w:rFonts w:cs="Arial"/>
          <w:color w:val="000000" w:themeColor="text1"/>
          <w:szCs w:val="22"/>
          <w:lang w:val="en-US"/>
        </w:rPr>
        <w:t xml:space="preserve">be </w:t>
      </w:r>
      <w:r w:rsidR="002178C5" w:rsidRPr="00804E5C">
        <w:rPr>
          <w:rFonts w:cs="Arial"/>
          <w:color w:val="000000" w:themeColor="text1"/>
          <w:szCs w:val="22"/>
          <w:lang w:val="en-US"/>
        </w:rPr>
        <w:t>burdensome</w:t>
      </w:r>
      <w:r w:rsidRPr="00804E5C">
        <w:rPr>
          <w:rFonts w:cs="Arial"/>
          <w:color w:val="000000" w:themeColor="text1"/>
          <w:szCs w:val="22"/>
          <w:lang w:val="en-US"/>
        </w:rPr>
        <w:t xml:space="preserve"> and we do not see their added value with respect with the original goal researched. (Report per asset classes for instance)</w:t>
      </w:r>
    </w:p>
    <w:permEnd w:id="7"/>
    <w:p w:rsidR="00D12AFD" w:rsidRDefault="00D12AFD" w:rsidP="00D12AFD">
      <w:r>
        <w:t>&lt;ESMA_QUESTION_TS_CSDR_5&gt;</w:t>
      </w:r>
    </w:p>
    <w:p w:rsidR="00D12AFD" w:rsidRPr="002C4F00" w:rsidRDefault="00D12AFD" w:rsidP="00965B03">
      <w:pPr>
        <w:pStyle w:val="Titre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F4572C" w:rsidRPr="0065306A" w:rsidRDefault="00EF6A28" w:rsidP="0065306A">
      <w:pPr>
        <w:spacing w:line="240" w:lineRule="atLeast"/>
        <w:jc w:val="both"/>
        <w:rPr>
          <w:rFonts w:cs="Arial"/>
          <w:color w:val="000000" w:themeColor="text1"/>
          <w:szCs w:val="22"/>
        </w:rPr>
      </w:pPr>
      <w:permStart w:id="8" w:edGrp="everyone"/>
      <w:r w:rsidRPr="0065306A">
        <w:rPr>
          <w:rFonts w:cs="Arial"/>
          <w:color w:val="000000" w:themeColor="text1"/>
          <w:szCs w:val="22"/>
        </w:rPr>
        <w:t>As we have stated in our answer to ESMA’s DP on CSDR in may 2014 (</w:t>
      </w:r>
      <w:r w:rsidR="00C0064F" w:rsidRPr="0065306A">
        <w:rPr>
          <w:rFonts w:cs="Arial"/>
          <w:i/>
          <w:color w:val="000000" w:themeColor="text1"/>
          <w:szCs w:val="22"/>
        </w:rPr>
        <w:t>AMAFI / 14-</w:t>
      </w:r>
      <w:r w:rsidRPr="0065306A">
        <w:rPr>
          <w:rFonts w:cs="Arial"/>
          <w:i/>
          <w:color w:val="000000" w:themeColor="text1"/>
          <w:szCs w:val="22"/>
        </w:rPr>
        <w:t>20</w:t>
      </w:r>
      <w:r w:rsidRPr="0065306A">
        <w:rPr>
          <w:rFonts w:cs="Arial"/>
          <w:color w:val="000000" w:themeColor="text1"/>
          <w:szCs w:val="22"/>
        </w:rPr>
        <w:t>)</w:t>
      </w:r>
      <w:r w:rsidR="00C51F3D" w:rsidRPr="0065306A">
        <w:rPr>
          <w:rFonts w:cs="Arial"/>
          <w:color w:val="000000" w:themeColor="text1"/>
          <w:szCs w:val="22"/>
        </w:rPr>
        <w:t xml:space="preserve"> </w:t>
      </w:r>
      <w:r w:rsidRPr="0065306A">
        <w:rPr>
          <w:rFonts w:cs="Arial"/>
          <w:color w:val="000000" w:themeColor="text1"/>
          <w:szCs w:val="22"/>
        </w:rPr>
        <w:t>and have recalled in an AMAFI-AFTI letter to ESMA in December 2014</w:t>
      </w:r>
      <w:r w:rsidR="00C0064F" w:rsidRPr="0065306A">
        <w:rPr>
          <w:rFonts w:cs="Arial"/>
          <w:color w:val="000000" w:themeColor="text1"/>
          <w:szCs w:val="22"/>
        </w:rPr>
        <w:t xml:space="preserve"> (</w:t>
      </w:r>
      <w:r w:rsidR="00C0064F" w:rsidRPr="0065306A">
        <w:rPr>
          <w:rFonts w:cs="Arial"/>
          <w:i/>
          <w:color w:val="000000" w:themeColor="text1"/>
          <w:szCs w:val="22"/>
        </w:rPr>
        <w:t>AMAFI / 14-52</w:t>
      </w:r>
      <w:r w:rsidR="00C0064F" w:rsidRPr="0065306A">
        <w:rPr>
          <w:rFonts w:cs="Arial"/>
          <w:color w:val="000000" w:themeColor="text1"/>
          <w:szCs w:val="22"/>
        </w:rPr>
        <w:t xml:space="preserve">), AMAFI is in </w:t>
      </w:r>
      <w:r w:rsidR="0065306A" w:rsidRPr="0065306A">
        <w:rPr>
          <w:rFonts w:cs="Arial"/>
          <w:color w:val="000000" w:themeColor="text1"/>
          <w:szCs w:val="22"/>
        </w:rPr>
        <w:t>favour</w:t>
      </w:r>
      <w:r w:rsidR="00C0064F" w:rsidRPr="0065306A">
        <w:rPr>
          <w:rFonts w:cs="Arial"/>
          <w:color w:val="000000" w:themeColor="text1"/>
          <w:szCs w:val="22"/>
        </w:rPr>
        <w:t xml:space="preserve"> of a penalty mechanism based on a net calculation regime</w:t>
      </w:r>
      <w:r w:rsidR="00F4572C" w:rsidRPr="0065306A">
        <w:rPr>
          <w:rFonts w:cs="Arial"/>
          <w:color w:val="000000" w:themeColor="text1"/>
          <w:szCs w:val="22"/>
        </w:rPr>
        <w:t xml:space="preserve">. We are not convinced that </w:t>
      </w:r>
      <w:r w:rsidR="00C0064F" w:rsidRPr="0065306A">
        <w:rPr>
          <w:rFonts w:cs="Arial"/>
          <w:color w:val="000000" w:themeColor="text1"/>
          <w:szCs w:val="22"/>
        </w:rPr>
        <w:t>ESMA’s proposal</w:t>
      </w:r>
      <w:r w:rsidR="00F4572C" w:rsidRPr="0065306A">
        <w:rPr>
          <w:rFonts w:cs="Arial"/>
          <w:color w:val="000000" w:themeColor="text1"/>
          <w:szCs w:val="22"/>
        </w:rPr>
        <w:t xml:space="preserve"> is fair for intermediaries (brokers), often in the middle in a chain of settlement instructions on the same underlying security. We remain of the opinion that </w:t>
      </w:r>
      <w:r w:rsidR="00C0064F" w:rsidRPr="0065306A">
        <w:rPr>
          <w:rFonts w:cs="Arial"/>
          <w:color w:val="000000" w:themeColor="text1"/>
          <w:szCs w:val="22"/>
        </w:rPr>
        <w:t>ESMA’s regime</w:t>
      </w:r>
      <w:r w:rsidR="00F4572C" w:rsidRPr="0065306A">
        <w:rPr>
          <w:rFonts w:cs="Arial"/>
          <w:color w:val="000000" w:themeColor="text1"/>
          <w:szCs w:val="22"/>
        </w:rPr>
        <w:t xml:space="preserve"> will create an inflation of penalties to be paid and received and an important reconciliation workload to properly address and bill the relevant defaulting party. Indeed with this regime the main part of the collected amount will be used to offset the effect of a penalty, which should not have been paid. The proposed collection and redistribution mechanism aims to pass to the beginning of the chain the indemnity received by the “end of chain” participant (the defaulting one). Such a mechanism would be cumbersome and can easily be equivalent to a net system, which we </w:t>
      </w:r>
      <w:r w:rsidR="0065306A" w:rsidRPr="0065306A">
        <w:rPr>
          <w:rFonts w:cs="Arial"/>
          <w:color w:val="000000" w:themeColor="text1"/>
          <w:szCs w:val="22"/>
        </w:rPr>
        <w:t>favour</w:t>
      </w:r>
      <w:r w:rsidR="00F4572C" w:rsidRPr="0065306A">
        <w:rPr>
          <w:rFonts w:cs="Arial"/>
          <w:color w:val="000000" w:themeColor="text1"/>
          <w:szCs w:val="22"/>
        </w:rPr>
        <w:t>, and be more or less equivalent.</w:t>
      </w:r>
    </w:p>
    <w:p w:rsidR="00F4572C" w:rsidRPr="0065306A" w:rsidRDefault="00F4572C" w:rsidP="0065306A">
      <w:pPr>
        <w:spacing w:line="240" w:lineRule="atLeast"/>
        <w:rPr>
          <w:rFonts w:cs="Arial"/>
          <w:color w:val="000000" w:themeColor="text1"/>
          <w:szCs w:val="22"/>
        </w:rPr>
      </w:pPr>
    </w:p>
    <w:p w:rsidR="00F4572C" w:rsidRPr="0065306A" w:rsidRDefault="00F4572C" w:rsidP="0065306A">
      <w:pPr>
        <w:widowControl w:val="0"/>
        <w:spacing w:before="11" w:line="240" w:lineRule="atLeast"/>
        <w:jc w:val="both"/>
        <w:rPr>
          <w:rFonts w:cs="Arial"/>
          <w:color w:val="000000" w:themeColor="text1"/>
          <w:szCs w:val="22"/>
        </w:rPr>
      </w:pPr>
      <w:r w:rsidRPr="0065306A">
        <w:rPr>
          <w:rFonts w:cs="Arial"/>
          <w:color w:val="000000" w:themeColor="text1"/>
          <w:szCs w:val="22"/>
        </w:rPr>
        <w:t>We understand ESMA’s preference is for a “gross model” (a calculation at the failing settlement instruction level) going with a full redistribution of penalties perceived in order to take into a</w:t>
      </w:r>
      <w:r w:rsidRPr="0065306A">
        <w:rPr>
          <w:rFonts w:cs="Arial"/>
          <w:color w:val="000000" w:themeColor="text1"/>
          <w:szCs w:val="22"/>
        </w:rPr>
        <w:t>c</w:t>
      </w:r>
      <w:r w:rsidRPr="0065306A">
        <w:rPr>
          <w:rFonts w:cs="Arial"/>
          <w:color w:val="000000" w:themeColor="text1"/>
          <w:szCs w:val="22"/>
        </w:rPr>
        <w:t>count the context of fail chains (a participant may be unable to deliver only because it didn’t receive what it expected; so it will be charged and reciprocally indemnified) rather than a “net model” (a calculation on a net failing position) based on the assumption that taking into account settlement instructions is levelling the playing field between CSD operating on an omnibus basis and those who don’t.</w:t>
      </w:r>
    </w:p>
    <w:p w:rsidR="00F4572C" w:rsidRPr="0065306A" w:rsidRDefault="00F4572C" w:rsidP="0065306A">
      <w:pPr>
        <w:spacing w:line="240" w:lineRule="atLeast"/>
        <w:rPr>
          <w:rFonts w:cs="Arial"/>
          <w:color w:val="000000" w:themeColor="text1"/>
          <w:szCs w:val="22"/>
        </w:rPr>
      </w:pPr>
    </w:p>
    <w:p w:rsidR="00F4572C" w:rsidRPr="0065306A" w:rsidRDefault="00F4572C" w:rsidP="0065306A">
      <w:pPr>
        <w:spacing w:line="240" w:lineRule="atLeast"/>
        <w:jc w:val="both"/>
        <w:rPr>
          <w:rFonts w:cs="Arial"/>
          <w:color w:val="000000" w:themeColor="text1"/>
          <w:szCs w:val="22"/>
        </w:rPr>
      </w:pPr>
      <w:r w:rsidRPr="0065306A">
        <w:rPr>
          <w:rFonts w:cs="Arial"/>
          <w:color w:val="000000" w:themeColor="text1"/>
          <w:szCs w:val="22"/>
        </w:rPr>
        <w:t xml:space="preserve">Therefore we would like to draw ESMA’s attention on the fact that in </w:t>
      </w:r>
      <w:r w:rsidR="00C0064F" w:rsidRPr="0065306A">
        <w:rPr>
          <w:rFonts w:cs="Arial"/>
          <w:color w:val="000000" w:themeColor="text1"/>
          <w:szCs w:val="22"/>
        </w:rPr>
        <w:t>many</w:t>
      </w:r>
      <w:r w:rsidRPr="0065306A">
        <w:rPr>
          <w:rFonts w:cs="Arial"/>
          <w:color w:val="000000" w:themeColor="text1"/>
          <w:szCs w:val="22"/>
        </w:rPr>
        <w:t xml:space="preserve"> cases the proposed model would not work or not achieve its aim to penali</w:t>
      </w:r>
      <w:r w:rsidR="00FA6017">
        <w:rPr>
          <w:rFonts w:cs="Arial"/>
          <w:color w:val="000000" w:themeColor="text1"/>
          <w:szCs w:val="22"/>
        </w:rPr>
        <w:t>s</w:t>
      </w:r>
      <w:r w:rsidRPr="0065306A">
        <w:rPr>
          <w:rFonts w:cs="Arial"/>
          <w:color w:val="000000" w:themeColor="text1"/>
          <w:szCs w:val="22"/>
        </w:rPr>
        <w:t>e the real defaulting party.</w:t>
      </w:r>
      <w:r w:rsidR="00C0064F" w:rsidRPr="0065306A">
        <w:rPr>
          <w:rFonts w:cs="Arial"/>
          <w:color w:val="000000" w:themeColor="text1"/>
          <w:szCs w:val="22"/>
        </w:rPr>
        <w:t xml:space="preserve"> Some exa</w:t>
      </w:r>
      <w:r w:rsidR="00C0064F" w:rsidRPr="0065306A">
        <w:rPr>
          <w:rFonts w:cs="Arial"/>
          <w:color w:val="000000" w:themeColor="text1"/>
          <w:szCs w:val="22"/>
        </w:rPr>
        <w:t>m</w:t>
      </w:r>
      <w:r w:rsidR="00C0064F" w:rsidRPr="0065306A">
        <w:rPr>
          <w:rFonts w:cs="Arial"/>
          <w:color w:val="000000" w:themeColor="text1"/>
          <w:szCs w:val="22"/>
        </w:rPr>
        <w:t xml:space="preserve">ples have been developed in relationship with AFTI and are </w:t>
      </w:r>
      <w:r w:rsidR="0008011C" w:rsidRPr="0065306A">
        <w:rPr>
          <w:rFonts w:cs="Arial"/>
          <w:color w:val="000000" w:themeColor="text1"/>
          <w:szCs w:val="22"/>
        </w:rPr>
        <w:t>provided</w:t>
      </w:r>
      <w:r w:rsidR="00C0064F" w:rsidRPr="0065306A">
        <w:rPr>
          <w:rFonts w:cs="Arial"/>
          <w:color w:val="000000" w:themeColor="text1"/>
          <w:szCs w:val="22"/>
        </w:rPr>
        <w:t xml:space="preserve"> in its response to the co</w:t>
      </w:r>
      <w:r w:rsidR="00C0064F" w:rsidRPr="0065306A">
        <w:rPr>
          <w:rFonts w:cs="Arial"/>
          <w:color w:val="000000" w:themeColor="text1"/>
          <w:szCs w:val="22"/>
        </w:rPr>
        <w:t>n</w:t>
      </w:r>
      <w:r w:rsidR="00C0064F" w:rsidRPr="0065306A">
        <w:rPr>
          <w:rFonts w:cs="Arial"/>
          <w:color w:val="000000" w:themeColor="text1"/>
          <w:szCs w:val="22"/>
        </w:rPr>
        <w:t xml:space="preserve">sultation. </w:t>
      </w:r>
      <w:r w:rsidR="00C0064F" w:rsidRPr="0065306A">
        <w:rPr>
          <w:rFonts w:cs="Arial"/>
          <w:b/>
          <w:color w:val="000000" w:themeColor="text1"/>
          <w:szCs w:val="22"/>
        </w:rPr>
        <w:t xml:space="preserve">We fully endorse the examples provided by AFTI in </w:t>
      </w:r>
      <w:r w:rsidR="0008011C" w:rsidRPr="0065306A">
        <w:rPr>
          <w:rFonts w:cs="Arial"/>
          <w:b/>
          <w:color w:val="000000" w:themeColor="text1"/>
          <w:szCs w:val="22"/>
        </w:rPr>
        <w:t>its</w:t>
      </w:r>
      <w:r w:rsidR="00C0064F" w:rsidRPr="0065306A">
        <w:rPr>
          <w:rFonts w:cs="Arial"/>
          <w:b/>
          <w:color w:val="000000" w:themeColor="text1"/>
          <w:szCs w:val="22"/>
        </w:rPr>
        <w:t xml:space="preserve"> response</w:t>
      </w:r>
      <w:r w:rsidR="0008011C" w:rsidRPr="0065306A">
        <w:rPr>
          <w:rFonts w:cs="Arial"/>
          <w:b/>
          <w:color w:val="000000" w:themeColor="text1"/>
          <w:szCs w:val="22"/>
        </w:rPr>
        <w:t>.</w:t>
      </w:r>
      <w:r w:rsidR="00C0064F" w:rsidRPr="0065306A">
        <w:rPr>
          <w:rFonts w:cs="Arial"/>
          <w:color w:val="000000" w:themeColor="text1"/>
          <w:szCs w:val="22"/>
        </w:rPr>
        <w:t xml:space="preserve"> </w:t>
      </w:r>
    </w:p>
    <w:permEnd w:id="8"/>
    <w:p w:rsidR="00D12AFD" w:rsidRDefault="00D12AFD" w:rsidP="00D12AFD">
      <w:r>
        <w:t>&lt;ESMA_QUESTION_TS_CSDR_6&gt;</w:t>
      </w:r>
    </w:p>
    <w:p w:rsidR="00D12AFD" w:rsidRDefault="00D12AFD" w:rsidP="00965B03">
      <w:pPr>
        <w:pStyle w:val="Titre5"/>
        <w:ind w:left="567" w:hanging="567"/>
      </w:pPr>
      <w:r w:rsidRPr="002C4F00">
        <w:lastRenderedPageBreak/>
        <w:t>What are your views on the proposed draft RTS related to the buy-in process?</w:t>
      </w:r>
    </w:p>
    <w:p w:rsidR="00D12AFD" w:rsidRDefault="00D12AFD" w:rsidP="00BA1DEE">
      <w:pPr>
        <w:pStyle w:val="Titre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Titre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2178C5" w:rsidRPr="00FA6017" w:rsidRDefault="00352A35" w:rsidP="00FA6017">
      <w:pPr>
        <w:spacing w:line="240" w:lineRule="atLeast"/>
        <w:jc w:val="both"/>
        <w:rPr>
          <w:rFonts w:cs="Arial"/>
          <w:color w:val="000000" w:themeColor="text1"/>
          <w:szCs w:val="22"/>
        </w:rPr>
      </w:pPr>
      <w:permStart w:id="9" w:edGrp="everyone"/>
      <w:r w:rsidRPr="00FA6017">
        <w:rPr>
          <w:rFonts w:cs="Arial"/>
          <w:color w:val="000000" w:themeColor="text1"/>
          <w:szCs w:val="22"/>
        </w:rPr>
        <w:t>AMAFI fully recogni</w:t>
      </w:r>
      <w:r w:rsidR="00FA6017">
        <w:rPr>
          <w:rFonts w:cs="Arial"/>
          <w:color w:val="000000" w:themeColor="text1"/>
          <w:szCs w:val="22"/>
        </w:rPr>
        <w:t>s</w:t>
      </w:r>
      <w:r w:rsidRPr="00FA6017">
        <w:rPr>
          <w:rFonts w:cs="Arial"/>
          <w:color w:val="000000" w:themeColor="text1"/>
          <w:szCs w:val="22"/>
        </w:rPr>
        <w:t>es</w:t>
      </w:r>
      <w:r w:rsidR="002178C5" w:rsidRPr="00FA6017">
        <w:rPr>
          <w:rFonts w:cs="Arial"/>
          <w:color w:val="000000" w:themeColor="text1"/>
          <w:szCs w:val="22"/>
        </w:rPr>
        <w:t xml:space="preserve"> and deeply regrets that CSDR</w:t>
      </w:r>
      <w:r w:rsidR="00B17999" w:rsidRPr="00FA6017">
        <w:rPr>
          <w:rFonts w:cs="Arial"/>
          <w:color w:val="000000" w:themeColor="text1"/>
          <w:szCs w:val="22"/>
        </w:rPr>
        <w:t xml:space="preserve"> provisions on mandatory buy-in</w:t>
      </w:r>
      <w:r w:rsidR="002178C5" w:rsidRPr="00FA6017">
        <w:rPr>
          <w:rFonts w:cs="Arial"/>
          <w:color w:val="000000" w:themeColor="text1"/>
          <w:szCs w:val="22"/>
        </w:rPr>
        <w:t xml:space="preserve"> (article 7) are particularly unclear</w:t>
      </w:r>
      <w:r w:rsidR="00C809C3">
        <w:rPr>
          <w:rFonts w:cs="Arial"/>
          <w:color w:val="000000" w:themeColor="text1"/>
          <w:szCs w:val="22"/>
        </w:rPr>
        <w:t>, as such,</w:t>
      </w:r>
      <w:r w:rsidR="002178C5" w:rsidRPr="00FA6017">
        <w:rPr>
          <w:rFonts w:cs="Arial"/>
          <w:color w:val="000000" w:themeColor="text1"/>
          <w:szCs w:val="22"/>
        </w:rPr>
        <w:t xml:space="preserve"> and concretely very difficult to put in place.</w:t>
      </w:r>
    </w:p>
    <w:p w:rsidR="002178C5" w:rsidRPr="00FA6017" w:rsidRDefault="00FA6017" w:rsidP="00FA6017">
      <w:pPr>
        <w:tabs>
          <w:tab w:val="left" w:pos="3150"/>
        </w:tabs>
        <w:spacing w:line="240" w:lineRule="atLeast"/>
        <w:jc w:val="both"/>
        <w:rPr>
          <w:rFonts w:cs="Arial"/>
          <w:color w:val="000000" w:themeColor="text1"/>
          <w:szCs w:val="22"/>
        </w:rPr>
      </w:pPr>
      <w:r w:rsidRPr="00FA6017">
        <w:rPr>
          <w:rFonts w:cs="Arial"/>
          <w:color w:val="000000" w:themeColor="text1"/>
          <w:szCs w:val="22"/>
        </w:rPr>
        <w:tab/>
      </w:r>
    </w:p>
    <w:p w:rsidR="00352A35" w:rsidRPr="00FA6017" w:rsidRDefault="002178C5" w:rsidP="00FA6017">
      <w:pPr>
        <w:spacing w:line="240" w:lineRule="atLeast"/>
        <w:jc w:val="both"/>
        <w:rPr>
          <w:rFonts w:cs="Arial"/>
          <w:color w:val="000000" w:themeColor="text1"/>
          <w:szCs w:val="22"/>
        </w:rPr>
      </w:pPr>
      <w:r w:rsidRPr="00FA6017">
        <w:rPr>
          <w:rFonts w:cs="Arial"/>
          <w:color w:val="000000" w:themeColor="text1"/>
          <w:szCs w:val="22"/>
        </w:rPr>
        <w:t xml:space="preserve">Indeed, </w:t>
      </w:r>
      <w:r w:rsidRPr="00FA6017">
        <w:rPr>
          <w:rFonts w:cs="Arial"/>
          <w:bCs/>
        </w:rPr>
        <w:t>buy-in is a very costly process that has a profound impact on relationships, contracts, and the “economics” of trades and it must be noted that the level 1 text does not give any defin</w:t>
      </w:r>
      <w:r w:rsidRPr="00FA6017">
        <w:rPr>
          <w:rFonts w:cs="Arial"/>
          <w:bCs/>
        </w:rPr>
        <w:t>i</w:t>
      </w:r>
      <w:r w:rsidRPr="00FA6017">
        <w:rPr>
          <w:rFonts w:cs="Arial"/>
          <w:bCs/>
        </w:rPr>
        <w:t xml:space="preserve">tion </w:t>
      </w:r>
      <w:r w:rsidR="00FA6017">
        <w:rPr>
          <w:rFonts w:cs="Arial"/>
          <w:bCs/>
        </w:rPr>
        <w:t>of buy-</w:t>
      </w:r>
      <w:r w:rsidR="00435759" w:rsidRPr="00FA6017">
        <w:rPr>
          <w:rFonts w:cs="Arial"/>
          <w:bCs/>
        </w:rPr>
        <w:t xml:space="preserve">in with the exception of </w:t>
      </w:r>
      <w:r w:rsidR="00FA6017">
        <w:rPr>
          <w:rFonts w:cs="Arial"/>
          <w:bCs/>
        </w:rPr>
        <w:t xml:space="preserve">the </w:t>
      </w:r>
      <w:r w:rsidR="00435759" w:rsidRPr="00FA6017">
        <w:rPr>
          <w:rFonts w:cs="Arial"/>
          <w:bCs/>
        </w:rPr>
        <w:t>reference made in the CSDR preamble (15) to the need to “</w:t>
      </w:r>
      <w:r w:rsidR="00435759" w:rsidRPr="00FA6017">
        <w:rPr>
          <w:rFonts w:cs="Arial"/>
          <w:bCs/>
          <w:i/>
        </w:rPr>
        <w:t>require failing participants to be subject to a compulsory enforcement of the original agre</w:t>
      </w:r>
      <w:r w:rsidR="00435759" w:rsidRPr="00FA6017">
        <w:rPr>
          <w:rFonts w:cs="Arial"/>
          <w:bCs/>
          <w:i/>
        </w:rPr>
        <w:t>e</w:t>
      </w:r>
      <w:r w:rsidR="00435759" w:rsidRPr="00FA6017">
        <w:rPr>
          <w:rFonts w:cs="Arial"/>
          <w:bCs/>
          <w:i/>
        </w:rPr>
        <w:t>ment”.</w:t>
      </w:r>
    </w:p>
    <w:p w:rsidR="00352A35" w:rsidRPr="00FA6017" w:rsidRDefault="00352A35" w:rsidP="00FA6017">
      <w:pPr>
        <w:pStyle w:val="Default"/>
        <w:spacing w:line="240" w:lineRule="atLeast"/>
        <w:rPr>
          <w:rFonts w:asciiTheme="minorHAnsi" w:eastAsiaTheme="minorHAnsi" w:hAnsiTheme="minorHAnsi" w:cs="Calibri"/>
          <w:sz w:val="22"/>
          <w:szCs w:val="22"/>
          <w:lang w:val="en-GB"/>
        </w:rPr>
      </w:pPr>
    </w:p>
    <w:p w:rsidR="00435759" w:rsidRPr="00FA6017" w:rsidRDefault="00435759" w:rsidP="00FA6017">
      <w:pPr>
        <w:spacing w:line="240" w:lineRule="atLeast"/>
        <w:jc w:val="both"/>
        <w:rPr>
          <w:rFonts w:cs="Arial"/>
          <w:bCs/>
        </w:rPr>
      </w:pPr>
      <w:r w:rsidRPr="00FA6017">
        <w:rPr>
          <w:rFonts w:cs="Arial"/>
          <w:bCs/>
        </w:rPr>
        <w:t>The lack of definition raises a number of fundamental questions and issues, such as:</w:t>
      </w:r>
    </w:p>
    <w:p w:rsidR="00435759" w:rsidRPr="00FA6017" w:rsidRDefault="00435759" w:rsidP="00FA6017">
      <w:pPr>
        <w:spacing w:line="240" w:lineRule="atLeast"/>
        <w:jc w:val="both"/>
        <w:rPr>
          <w:rFonts w:cs="Arial"/>
          <w:bCs/>
        </w:rPr>
      </w:pPr>
    </w:p>
    <w:p w:rsidR="00435759" w:rsidRPr="00FA6017" w:rsidRDefault="00435759" w:rsidP="00FA6017">
      <w:pPr>
        <w:spacing w:line="240" w:lineRule="atLeast"/>
        <w:jc w:val="both"/>
        <w:rPr>
          <w:rFonts w:cs="Arial"/>
          <w:b/>
          <w:bCs/>
        </w:rPr>
      </w:pPr>
      <w:r w:rsidRPr="00FA6017">
        <w:rPr>
          <w:rFonts w:cs="Arial"/>
          <w:b/>
          <w:bCs/>
        </w:rPr>
        <w:t xml:space="preserve">Which agreement is to be compulsory enforced/subject to a buy-in: </w:t>
      </w:r>
    </w:p>
    <w:p w:rsidR="00435759" w:rsidRPr="00FA6017" w:rsidRDefault="00435759" w:rsidP="00FA6017">
      <w:pPr>
        <w:pStyle w:val="Paragraphedeliste"/>
        <w:spacing w:line="240" w:lineRule="atLeast"/>
        <w:jc w:val="both"/>
        <w:rPr>
          <w:rFonts w:cs="Arial"/>
          <w:bCs/>
        </w:rPr>
      </w:pPr>
      <w:r w:rsidRPr="00FA6017">
        <w:rPr>
          <w:rFonts w:cs="Arial"/>
          <w:bCs/>
        </w:rPr>
        <w:br/>
        <w:t>- is it the trading agreement</w:t>
      </w:r>
      <w:r w:rsidR="00FA6017">
        <w:rPr>
          <w:rFonts w:cs="Arial"/>
          <w:bCs/>
        </w:rPr>
        <w:t xml:space="preserve"> between trading counterparties?</w:t>
      </w:r>
      <w:r w:rsidRPr="00FA6017">
        <w:rPr>
          <w:rFonts w:cs="Arial"/>
          <w:bCs/>
        </w:rPr>
        <w:t xml:space="preserve"> </w:t>
      </w:r>
    </w:p>
    <w:p w:rsidR="00435759" w:rsidRPr="00FA6017" w:rsidRDefault="00435759" w:rsidP="00FA6017">
      <w:pPr>
        <w:pStyle w:val="Paragraphedeliste"/>
        <w:spacing w:line="240" w:lineRule="atLeast"/>
        <w:jc w:val="both"/>
        <w:rPr>
          <w:rFonts w:cs="Arial"/>
          <w:bCs/>
        </w:rPr>
      </w:pPr>
      <w:r w:rsidRPr="00FA6017">
        <w:rPr>
          <w:rFonts w:cs="Arial"/>
          <w:bCs/>
        </w:rPr>
        <w:br/>
        <w:t xml:space="preserve">- </w:t>
      </w:r>
      <w:proofErr w:type="gramStart"/>
      <w:r w:rsidRPr="00FA6017">
        <w:rPr>
          <w:rFonts w:cs="Arial"/>
          <w:bCs/>
        </w:rPr>
        <w:t>an</w:t>
      </w:r>
      <w:proofErr w:type="gramEnd"/>
      <w:r w:rsidRPr="00FA6017">
        <w:rPr>
          <w:rFonts w:cs="Arial"/>
          <w:bCs/>
        </w:rPr>
        <w:t xml:space="preserve"> agreement between settlement agents</w:t>
      </w:r>
      <w:r w:rsidR="00FA6017">
        <w:rPr>
          <w:rFonts w:cs="Arial"/>
          <w:bCs/>
        </w:rPr>
        <w:t>?</w:t>
      </w:r>
    </w:p>
    <w:p w:rsidR="00435759" w:rsidRPr="00FA6017" w:rsidRDefault="00435759" w:rsidP="00FA6017">
      <w:pPr>
        <w:pStyle w:val="Paragraphedeliste"/>
        <w:spacing w:line="240" w:lineRule="atLeast"/>
        <w:jc w:val="both"/>
        <w:rPr>
          <w:rFonts w:cs="Arial"/>
          <w:bCs/>
        </w:rPr>
      </w:pPr>
      <w:r w:rsidRPr="00FA6017">
        <w:rPr>
          <w:rFonts w:cs="Arial"/>
          <w:bCs/>
        </w:rPr>
        <w:t xml:space="preserve"> </w:t>
      </w:r>
      <w:r w:rsidRPr="00FA6017">
        <w:rPr>
          <w:rFonts w:cs="Arial"/>
          <w:bCs/>
        </w:rPr>
        <w:br/>
        <w:t xml:space="preserve">- </w:t>
      </w:r>
      <w:proofErr w:type="gramStart"/>
      <w:r w:rsidRPr="00FA6017">
        <w:rPr>
          <w:rFonts w:cs="Arial"/>
          <w:bCs/>
        </w:rPr>
        <w:t>or</w:t>
      </w:r>
      <w:proofErr w:type="gramEnd"/>
      <w:r w:rsidRPr="00FA6017">
        <w:rPr>
          <w:rFonts w:cs="Arial"/>
          <w:bCs/>
        </w:rPr>
        <w:t xml:space="preserve"> is something else</w:t>
      </w:r>
      <w:r w:rsidR="00FA6017">
        <w:rPr>
          <w:rFonts w:cs="Arial"/>
          <w:bCs/>
        </w:rPr>
        <w:t>?</w:t>
      </w:r>
    </w:p>
    <w:p w:rsidR="00435759" w:rsidRPr="00FA6017" w:rsidRDefault="00435759" w:rsidP="00FA6017">
      <w:pPr>
        <w:spacing w:line="240" w:lineRule="atLeast"/>
        <w:rPr>
          <w:rFonts w:cs="Arial"/>
          <w:bCs/>
        </w:rPr>
      </w:pPr>
    </w:p>
    <w:p w:rsidR="00435759" w:rsidRPr="00FA6017" w:rsidRDefault="00435759" w:rsidP="00FA6017">
      <w:pPr>
        <w:spacing w:line="240" w:lineRule="atLeast"/>
        <w:rPr>
          <w:rFonts w:cs="Arial"/>
          <w:b/>
          <w:bCs/>
        </w:rPr>
      </w:pPr>
      <w:r w:rsidRPr="00FA6017">
        <w:rPr>
          <w:rFonts w:cs="Arial"/>
          <w:b/>
          <w:bCs/>
        </w:rPr>
        <w:t xml:space="preserve">Who are the failing participants? </w:t>
      </w:r>
    </w:p>
    <w:p w:rsidR="00435759" w:rsidRPr="00FA6017" w:rsidRDefault="00435759" w:rsidP="00FA6017">
      <w:pPr>
        <w:spacing w:line="240" w:lineRule="atLeast"/>
        <w:jc w:val="both"/>
        <w:rPr>
          <w:rFonts w:cs="Arial"/>
          <w:bCs/>
        </w:rPr>
      </w:pPr>
    </w:p>
    <w:p w:rsidR="00435759" w:rsidRPr="00FA6017" w:rsidRDefault="00435759" w:rsidP="00FA6017">
      <w:pPr>
        <w:spacing w:line="240" w:lineRule="atLeast"/>
        <w:jc w:val="both"/>
        <w:rPr>
          <w:rFonts w:cs="Arial"/>
          <w:bCs/>
        </w:rPr>
      </w:pPr>
      <w:r w:rsidRPr="00FA6017">
        <w:rPr>
          <w:rFonts w:cs="Arial"/>
          <w:bCs/>
        </w:rPr>
        <w:t>CSDR defines failing participants as “</w:t>
      </w:r>
      <w:r w:rsidRPr="00FA6017">
        <w:rPr>
          <w:rFonts w:cs="Arial"/>
          <w:bCs/>
          <w:i/>
        </w:rPr>
        <w:t>participants that cause settlement fails</w:t>
      </w:r>
      <w:r w:rsidRPr="00FA6017">
        <w:rPr>
          <w:rFonts w:cs="Arial"/>
          <w:bCs/>
        </w:rPr>
        <w:t>” (CSDR Art 7.3), and participant as “</w:t>
      </w:r>
      <w:r w:rsidRPr="00FA6017">
        <w:rPr>
          <w:rFonts w:cs="Arial"/>
          <w:bCs/>
          <w:i/>
        </w:rPr>
        <w:t>any participant... in a securities</w:t>
      </w:r>
      <w:r w:rsidRPr="00FA6017">
        <w:rPr>
          <w:rFonts w:cs="Arial"/>
          <w:bCs/>
        </w:rPr>
        <w:t xml:space="preserve"> </w:t>
      </w:r>
      <w:r w:rsidRPr="00FA6017">
        <w:rPr>
          <w:rFonts w:cs="Arial"/>
          <w:bCs/>
          <w:i/>
        </w:rPr>
        <w:t>settlement system</w:t>
      </w:r>
      <w:r w:rsidRPr="00FA6017">
        <w:rPr>
          <w:rFonts w:cs="Arial"/>
          <w:bCs/>
        </w:rPr>
        <w:t xml:space="preserve">” </w:t>
      </w:r>
      <w:r w:rsidRPr="00FA6017">
        <w:rPr>
          <w:rFonts w:cs="Arial"/>
          <w:bCs/>
        </w:rPr>
        <w:br/>
        <w:t>In many (most) cases, trading counterparties use one or more l</w:t>
      </w:r>
      <w:r w:rsidR="00CB5607">
        <w:rPr>
          <w:rFonts w:cs="Arial"/>
          <w:bCs/>
        </w:rPr>
        <w:t xml:space="preserve">evels of intermediaries such as, clearer, </w:t>
      </w:r>
      <w:r w:rsidRPr="00FA6017">
        <w:rPr>
          <w:rFonts w:cs="Arial"/>
          <w:bCs/>
        </w:rPr>
        <w:t>custodians and agent banks to settle securities and cash in the securities settlement sy</w:t>
      </w:r>
      <w:r w:rsidRPr="00FA6017">
        <w:rPr>
          <w:rFonts w:cs="Arial"/>
          <w:bCs/>
        </w:rPr>
        <w:t>s</w:t>
      </w:r>
      <w:r w:rsidRPr="00FA6017">
        <w:rPr>
          <w:rFonts w:cs="Arial"/>
          <w:bCs/>
        </w:rPr>
        <w:t>tem of any particular CSD. These custodians/banks act in the capacity of settlement agent</w:t>
      </w:r>
      <w:r w:rsidRPr="00FA6017">
        <w:rPr>
          <w:rStyle w:val="Appelnotedebasdep"/>
          <w:rFonts w:cs="Arial"/>
          <w:bCs/>
        </w:rPr>
        <w:footnoteReference w:id="2"/>
      </w:r>
      <w:r w:rsidRPr="00FA6017">
        <w:rPr>
          <w:rFonts w:cs="Arial"/>
          <w:bCs/>
        </w:rPr>
        <w:t>, and do not assume responsibility for the performance of the trading contract obligations of their clients, of which they are often not aware. Moreover, these settlement agents do not have (nor need) any agreements with other settlement agents (hence the reference above to a non-existing agre</w:t>
      </w:r>
      <w:r w:rsidRPr="00FA6017">
        <w:rPr>
          <w:rFonts w:cs="Arial"/>
          <w:bCs/>
        </w:rPr>
        <w:t>e</w:t>
      </w:r>
      <w:r w:rsidRPr="00FA6017">
        <w:rPr>
          <w:rFonts w:cs="Arial"/>
          <w:bCs/>
        </w:rPr>
        <w:t xml:space="preserve">ment) which can be enforced. </w:t>
      </w:r>
    </w:p>
    <w:p w:rsidR="00435759" w:rsidRPr="00FA6017" w:rsidRDefault="00435759" w:rsidP="00FA6017">
      <w:pPr>
        <w:spacing w:line="240" w:lineRule="atLeast"/>
        <w:jc w:val="both"/>
        <w:rPr>
          <w:rFonts w:cs="Arial"/>
          <w:bCs/>
        </w:rPr>
      </w:pPr>
    </w:p>
    <w:p w:rsidR="00435759" w:rsidRPr="00FA6017" w:rsidRDefault="00435759" w:rsidP="00FA6017">
      <w:pPr>
        <w:spacing w:line="240" w:lineRule="atLeast"/>
        <w:jc w:val="both"/>
        <w:rPr>
          <w:rFonts w:cs="Arial"/>
          <w:bCs/>
        </w:rPr>
      </w:pPr>
      <w:r w:rsidRPr="00FA6017">
        <w:rPr>
          <w:rFonts w:cs="Arial"/>
          <w:bCs/>
        </w:rPr>
        <w:t xml:space="preserve">Agents also do not usually ’cause settlement fails’: it is their clients (or clients of clients) who due to </w:t>
      </w:r>
      <w:r w:rsidR="00FA6017">
        <w:rPr>
          <w:rFonts w:cs="Arial"/>
          <w:bCs/>
        </w:rPr>
        <w:t xml:space="preserve">a </w:t>
      </w:r>
      <w:r w:rsidRPr="00FA6017">
        <w:rPr>
          <w:rFonts w:cs="Arial"/>
          <w:bCs/>
        </w:rPr>
        <w:t xml:space="preserve">lack of securities (or cash for penalties) </w:t>
      </w:r>
      <w:r w:rsidR="00FA6017">
        <w:rPr>
          <w:rFonts w:cs="Arial"/>
          <w:bCs/>
        </w:rPr>
        <w:t xml:space="preserve">make </w:t>
      </w:r>
      <w:r w:rsidRPr="00FA6017">
        <w:rPr>
          <w:rFonts w:cs="Arial"/>
          <w:bCs/>
        </w:rPr>
        <w:t>their delivery instructions fail and they are often subject to a mandatory buy-in.</w:t>
      </w:r>
    </w:p>
    <w:p w:rsidR="00435759" w:rsidRPr="00FA6017" w:rsidRDefault="00435759" w:rsidP="00FA6017">
      <w:pPr>
        <w:pStyle w:val="Paragraphedeliste"/>
        <w:spacing w:line="240" w:lineRule="atLeast"/>
        <w:ind w:left="1230"/>
        <w:rPr>
          <w:rFonts w:cs="Arial"/>
          <w:bCs/>
        </w:rPr>
      </w:pPr>
    </w:p>
    <w:p w:rsidR="00435759" w:rsidRPr="00FA6017" w:rsidRDefault="00435759" w:rsidP="00FA6017">
      <w:pPr>
        <w:spacing w:line="240" w:lineRule="atLeast"/>
        <w:rPr>
          <w:rFonts w:cs="Arial"/>
          <w:bCs/>
        </w:rPr>
      </w:pPr>
      <w:r w:rsidRPr="00FA6017">
        <w:rPr>
          <w:rFonts w:cs="Arial"/>
          <w:bCs/>
        </w:rPr>
        <w:t>This creates a fundamental mismatch between:</w:t>
      </w:r>
    </w:p>
    <w:p w:rsidR="00435759" w:rsidRPr="00FA6017" w:rsidRDefault="00435759" w:rsidP="00FA6017">
      <w:pPr>
        <w:spacing w:line="240" w:lineRule="atLeast"/>
        <w:rPr>
          <w:rFonts w:cs="Arial"/>
          <w:bCs/>
        </w:rPr>
      </w:pPr>
    </w:p>
    <w:p w:rsidR="00435759" w:rsidRPr="00FA6017" w:rsidRDefault="00435759" w:rsidP="00FA6017">
      <w:pPr>
        <w:pStyle w:val="Paragraphedeliste"/>
        <w:spacing w:line="240" w:lineRule="atLeast"/>
        <w:jc w:val="both"/>
        <w:rPr>
          <w:rFonts w:cs="Arial"/>
          <w:bCs/>
        </w:rPr>
      </w:pPr>
      <w:r w:rsidRPr="00FA6017">
        <w:rPr>
          <w:rFonts w:cs="Arial"/>
          <w:bCs/>
        </w:rPr>
        <w:t xml:space="preserve">-  </w:t>
      </w:r>
      <w:proofErr w:type="gramStart"/>
      <w:r w:rsidR="00FA6017">
        <w:rPr>
          <w:rFonts w:cs="Arial"/>
          <w:bCs/>
        </w:rPr>
        <w:t>w</w:t>
      </w:r>
      <w:r w:rsidRPr="00FA6017">
        <w:rPr>
          <w:rFonts w:cs="Arial"/>
          <w:bCs/>
        </w:rPr>
        <w:t>hich</w:t>
      </w:r>
      <w:proofErr w:type="gramEnd"/>
      <w:r w:rsidRPr="00FA6017">
        <w:rPr>
          <w:rFonts w:cs="Arial"/>
          <w:bCs/>
        </w:rPr>
        <w:t xml:space="preserve"> contract needs to be enforced: trading contract between counterparties or se</w:t>
      </w:r>
      <w:r w:rsidRPr="00FA6017">
        <w:rPr>
          <w:rFonts w:cs="Arial"/>
          <w:bCs/>
        </w:rPr>
        <w:t>t</w:t>
      </w:r>
      <w:r w:rsidRPr="00FA6017">
        <w:rPr>
          <w:rFonts w:cs="Arial"/>
          <w:bCs/>
        </w:rPr>
        <w:t>tlement contract arrangements?</w:t>
      </w:r>
    </w:p>
    <w:p w:rsidR="00435759" w:rsidRPr="00FA6017" w:rsidRDefault="00435759" w:rsidP="00FA6017">
      <w:pPr>
        <w:pStyle w:val="Paragraphedeliste"/>
        <w:spacing w:line="240" w:lineRule="atLeast"/>
        <w:jc w:val="both"/>
        <w:rPr>
          <w:rFonts w:cs="Arial"/>
          <w:bCs/>
        </w:rPr>
      </w:pPr>
    </w:p>
    <w:p w:rsidR="00435759" w:rsidRPr="00FA6017" w:rsidRDefault="00435759" w:rsidP="00FA6017">
      <w:pPr>
        <w:pStyle w:val="Paragraphedeliste"/>
        <w:spacing w:line="240" w:lineRule="atLeast"/>
        <w:jc w:val="both"/>
        <w:rPr>
          <w:rFonts w:cs="Arial"/>
          <w:bCs/>
        </w:rPr>
      </w:pPr>
      <w:r w:rsidRPr="00FA6017">
        <w:rPr>
          <w:rFonts w:cs="Arial"/>
          <w:bCs/>
        </w:rPr>
        <w:t xml:space="preserve">- </w:t>
      </w:r>
      <w:proofErr w:type="gramStart"/>
      <w:r w:rsidR="00FA6017">
        <w:rPr>
          <w:rFonts w:cs="Arial"/>
          <w:bCs/>
        </w:rPr>
        <w:t>w</w:t>
      </w:r>
      <w:r w:rsidRPr="00FA6017">
        <w:rPr>
          <w:rFonts w:cs="Arial"/>
          <w:bCs/>
        </w:rPr>
        <w:t>ho</w:t>
      </w:r>
      <w:proofErr w:type="gramEnd"/>
      <w:r w:rsidRPr="00FA6017">
        <w:rPr>
          <w:rFonts w:cs="Arial"/>
          <w:bCs/>
        </w:rPr>
        <w:t xml:space="preserve"> is held responsible for the fail and is charged with the buy-in; the settlement agent at CSD level or Settlement’s agent client</w:t>
      </w:r>
      <w:r w:rsidR="00FA6017">
        <w:rPr>
          <w:rFonts w:cs="Arial"/>
          <w:bCs/>
        </w:rPr>
        <w:t>?</w:t>
      </w:r>
    </w:p>
    <w:p w:rsidR="00435759" w:rsidRPr="00FA6017" w:rsidRDefault="00435759" w:rsidP="00FA6017">
      <w:pPr>
        <w:pStyle w:val="Paragraphedeliste"/>
        <w:spacing w:line="240" w:lineRule="atLeast"/>
        <w:jc w:val="both"/>
        <w:rPr>
          <w:rFonts w:cs="Arial"/>
          <w:bCs/>
        </w:rPr>
      </w:pPr>
      <w:r w:rsidRPr="00FA6017">
        <w:rPr>
          <w:rFonts w:cs="Arial"/>
          <w:bCs/>
        </w:rPr>
        <w:br/>
        <w:t xml:space="preserve">- </w:t>
      </w:r>
      <w:proofErr w:type="gramStart"/>
      <w:r w:rsidRPr="00FA6017">
        <w:rPr>
          <w:rFonts w:cs="Arial"/>
          <w:bCs/>
        </w:rPr>
        <w:t>who</w:t>
      </w:r>
      <w:proofErr w:type="gramEnd"/>
      <w:r w:rsidRPr="00FA6017">
        <w:rPr>
          <w:rFonts w:cs="Arial"/>
          <w:bCs/>
        </w:rPr>
        <w:t xml:space="preserve"> has caused the fail; Settlement agent or the client</w:t>
      </w:r>
      <w:r w:rsidR="00FA6017">
        <w:rPr>
          <w:rFonts w:cs="Arial"/>
          <w:bCs/>
        </w:rPr>
        <w:t>?</w:t>
      </w:r>
    </w:p>
    <w:p w:rsidR="00435759" w:rsidRPr="00FA6017" w:rsidRDefault="00435759" w:rsidP="00FA6017">
      <w:pPr>
        <w:spacing w:line="240" w:lineRule="atLeast"/>
        <w:jc w:val="both"/>
        <w:rPr>
          <w:rFonts w:cs="Arial"/>
          <w:bCs/>
        </w:rPr>
      </w:pPr>
    </w:p>
    <w:p w:rsidR="00435759" w:rsidRDefault="002A4E33" w:rsidP="00FA6017">
      <w:pPr>
        <w:spacing w:line="240" w:lineRule="atLeast"/>
        <w:jc w:val="both"/>
        <w:rPr>
          <w:rFonts w:cs="Arial"/>
          <w:bCs/>
        </w:rPr>
      </w:pPr>
      <w:r w:rsidRPr="00FA6017">
        <w:rPr>
          <w:rFonts w:cs="Arial"/>
          <w:bCs/>
        </w:rPr>
        <w:t xml:space="preserve">ESMA does not provide further clarity on </w:t>
      </w:r>
      <w:r w:rsidR="00C95AE3" w:rsidRPr="00FA6017">
        <w:rPr>
          <w:rFonts w:cs="Arial"/>
          <w:bCs/>
        </w:rPr>
        <w:t>these fundamental questions</w:t>
      </w:r>
      <w:r w:rsidRPr="00FA6017">
        <w:rPr>
          <w:rFonts w:cs="Arial"/>
          <w:bCs/>
        </w:rPr>
        <w:t xml:space="preserve"> </w:t>
      </w:r>
      <w:r w:rsidR="00C95AE3" w:rsidRPr="00FA6017">
        <w:rPr>
          <w:rFonts w:cs="Arial"/>
          <w:bCs/>
        </w:rPr>
        <w:t>and therefore has draft</w:t>
      </w:r>
      <w:r w:rsidR="00FA6017">
        <w:rPr>
          <w:rFonts w:cs="Arial"/>
          <w:bCs/>
        </w:rPr>
        <w:t>ed</w:t>
      </w:r>
      <w:r w:rsidR="00C95AE3" w:rsidRPr="00FA6017">
        <w:rPr>
          <w:rFonts w:cs="Arial"/>
          <w:bCs/>
        </w:rPr>
        <w:t xml:space="preserve"> proposals which will make the implementation of the regime extremely difficult and in a number of cases impossible. Most of these concerns stem from the approach taken by ESMA to have buy-ins purely </w:t>
      </w:r>
      <w:r w:rsidR="00FA6017">
        <w:rPr>
          <w:rFonts w:cs="Arial"/>
          <w:bCs/>
        </w:rPr>
        <w:t>applied at CSD settlement level</w:t>
      </w:r>
      <w:r w:rsidR="00C809C3">
        <w:rPr>
          <w:rFonts w:cs="Arial"/>
          <w:bCs/>
        </w:rPr>
        <w:t>.</w:t>
      </w:r>
    </w:p>
    <w:p w:rsidR="00C809C3" w:rsidRPr="00FA6017" w:rsidRDefault="00C809C3" w:rsidP="00FA6017">
      <w:pPr>
        <w:spacing w:line="240" w:lineRule="atLeast"/>
        <w:jc w:val="both"/>
        <w:rPr>
          <w:rFonts w:cs="Arial"/>
          <w:bCs/>
        </w:rPr>
      </w:pPr>
    </w:p>
    <w:p w:rsidR="00C95AE3" w:rsidRPr="00FA6017" w:rsidRDefault="00C95AE3" w:rsidP="00FA6017">
      <w:pPr>
        <w:spacing w:line="240" w:lineRule="atLeast"/>
        <w:jc w:val="both"/>
        <w:rPr>
          <w:rFonts w:cs="Arial"/>
          <w:bCs/>
        </w:rPr>
      </w:pPr>
      <w:r w:rsidRPr="00FA6017">
        <w:rPr>
          <w:rFonts w:cs="Arial"/>
          <w:bCs/>
        </w:rPr>
        <w:t xml:space="preserve">Therefore, AMAFI considers that ESMA should work further in relation with the industry in order to elaborate a workable regime. This is a very important issue because </w:t>
      </w:r>
      <w:r w:rsidR="00FA1E13" w:rsidRPr="00FA6017">
        <w:rPr>
          <w:rFonts w:cs="Arial"/>
          <w:bCs/>
        </w:rPr>
        <w:t>if such a buy-in regime is enforced in the European capital markets this will have severe negative repercussions for ma</w:t>
      </w:r>
      <w:r w:rsidR="00FA1E13" w:rsidRPr="00FA6017">
        <w:rPr>
          <w:rFonts w:cs="Arial"/>
          <w:bCs/>
        </w:rPr>
        <w:t>r</w:t>
      </w:r>
      <w:r w:rsidR="00FA1E13" w:rsidRPr="00FA6017">
        <w:rPr>
          <w:rFonts w:cs="Arial"/>
          <w:bCs/>
        </w:rPr>
        <w:t>ket efficiency and liquidity.</w:t>
      </w:r>
    </w:p>
    <w:p w:rsidR="00C95AE3" w:rsidRPr="00FA6017" w:rsidRDefault="00C95AE3" w:rsidP="00FA6017">
      <w:pPr>
        <w:spacing w:line="240" w:lineRule="atLeast"/>
        <w:jc w:val="both"/>
        <w:rPr>
          <w:rFonts w:cs="Arial"/>
          <w:bCs/>
        </w:rPr>
      </w:pPr>
    </w:p>
    <w:p w:rsidR="00C51F3D" w:rsidRPr="00C809C3" w:rsidRDefault="00FA1E13" w:rsidP="00C809C3">
      <w:pPr>
        <w:spacing w:line="240" w:lineRule="atLeast"/>
        <w:jc w:val="both"/>
        <w:rPr>
          <w:rFonts w:cs="Arial"/>
          <w:bCs/>
        </w:rPr>
      </w:pPr>
      <w:r w:rsidRPr="00FA6017">
        <w:rPr>
          <w:rFonts w:cs="Arial"/>
          <w:bCs/>
        </w:rPr>
        <w:t>Given that, AMAFI does not find it useful to answer the technical questions raised by ESMA in the CP or try to amend the Draft Technic</w:t>
      </w:r>
      <w:r w:rsidR="00C809C3">
        <w:rPr>
          <w:rFonts w:cs="Arial"/>
          <w:bCs/>
        </w:rPr>
        <w:t>al Standard (article 16 to 19).</w:t>
      </w:r>
    </w:p>
    <w:permEnd w:id="9"/>
    <w:p w:rsidR="00D12AFD" w:rsidRDefault="00D12AFD" w:rsidP="00D12AFD">
      <w:r>
        <w:t>&lt;ESMA_QUESTION_TS_CSDR_7&gt;</w:t>
      </w:r>
    </w:p>
    <w:p w:rsidR="00D12AFD" w:rsidRPr="002C4F00" w:rsidRDefault="00D12AFD" w:rsidP="00965B03">
      <w:pPr>
        <w:pStyle w:val="Titre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124278" w:rsidRDefault="005B5A20" w:rsidP="00124278">
      <w:permStart w:id="10" w:edGrp="everyone"/>
      <w:r>
        <w:t>See our answer on Q7 above</w:t>
      </w:r>
    </w:p>
    <w:permEnd w:id="10"/>
    <w:p w:rsidR="00D12AFD" w:rsidRDefault="00D12AFD" w:rsidP="00D12AFD">
      <w:r>
        <w:t>&lt;ESMA_QUESTION_TS_CSDR_8&gt;</w:t>
      </w:r>
    </w:p>
    <w:p w:rsidR="00D12AFD" w:rsidRPr="002C4F00" w:rsidRDefault="00D12AFD" w:rsidP="00965B03">
      <w:pPr>
        <w:pStyle w:val="Titre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5B5A20" w:rsidRDefault="005B5A20" w:rsidP="005B5A20">
      <w:permStart w:id="11" w:edGrp="everyone"/>
      <w:r>
        <w:t>See our answer on Q7 above</w:t>
      </w:r>
    </w:p>
    <w:permEnd w:id="11"/>
    <w:p w:rsidR="00D12AFD" w:rsidRDefault="00D12AFD" w:rsidP="00D12AFD">
      <w:r>
        <w:t>&lt;ESMA_QUESTION_TS_CSDR_9&gt;</w:t>
      </w:r>
    </w:p>
    <w:p w:rsidR="00D12AFD" w:rsidRPr="002C4F00" w:rsidRDefault="00D12AFD" w:rsidP="00965B03">
      <w:pPr>
        <w:pStyle w:val="Titre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5B5A20" w:rsidRDefault="005B5A20" w:rsidP="005B5A20">
      <w:permStart w:id="12" w:edGrp="everyone"/>
      <w:r>
        <w:t>See our answer on Q7 above</w:t>
      </w:r>
    </w:p>
    <w:permEnd w:id="12"/>
    <w:p w:rsidR="00D12AFD" w:rsidRDefault="00D12AFD" w:rsidP="00D12AFD">
      <w:r>
        <w:t>&lt;ESMA_QUESTION_TS_CSDR_10&gt;</w:t>
      </w:r>
    </w:p>
    <w:p w:rsidR="00D12AFD" w:rsidRPr="002C4F00" w:rsidRDefault="00D12AFD" w:rsidP="00965B03">
      <w:pPr>
        <w:pStyle w:val="Titre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B17999" w:rsidRDefault="00B17999" w:rsidP="00B17999">
      <w:permStart w:id="13" w:edGrp="everyone"/>
      <w:r>
        <w:t>See our answer on Q7 above</w:t>
      </w:r>
    </w:p>
    <w:permEnd w:id="13"/>
    <w:p w:rsidR="00D12AFD" w:rsidRDefault="00D12AFD" w:rsidP="00D12AFD">
      <w:r>
        <w:t>&lt;ESMA_QUESTION_TS_CSDR_11&gt;</w:t>
      </w:r>
    </w:p>
    <w:p w:rsidR="00D12AFD" w:rsidRPr="002C4F00" w:rsidRDefault="00D12AFD" w:rsidP="00965B03">
      <w:pPr>
        <w:pStyle w:val="Titre5"/>
        <w:ind w:left="567" w:hanging="567"/>
      </w:pPr>
      <w:r w:rsidRPr="002C4F00">
        <w:lastRenderedPageBreak/>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B17999" w:rsidRDefault="00B17999" w:rsidP="00B17999">
      <w:permStart w:id="14" w:edGrp="everyone"/>
      <w:r>
        <w:t>See our answer on Q7 above</w:t>
      </w:r>
    </w:p>
    <w:permEnd w:id="14"/>
    <w:p w:rsidR="00D12AFD" w:rsidRDefault="00D12AFD" w:rsidP="00D12AFD">
      <w:r>
        <w:t>&lt;ESMA_QUESTION_TS_CSDR_12&gt;</w:t>
      </w:r>
    </w:p>
    <w:p w:rsidR="00D12AFD" w:rsidRPr="002C4F00" w:rsidRDefault="00D12AFD" w:rsidP="00965B03">
      <w:pPr>
        <w:pStyle w:val="Titre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B17999" w:rsidRDefault="00B17999" w:rsidP="00B17999">
      <w:permStart w:id="15" w:edGrp="everyone"/>
      <w:r>
        <w:t>See our answer on Q7 above</w:t>
      </w:r>
    </w:p>
    <w:permEnd w:id="15"/>
    <w:p w:rsidR="00D12AFD" w:rsidRDefault="00D12AFD" w:rsidP="00D12AFD">
      <w:r>
        <w:t>&lt;ESMA_QUESTION_TS_CSDR_13&gt;</w:t>
      </w:r>
    </w:p>
    <w:p w:rsidR="00D12AFD" w:rsidRPr="002C4F00" w:rsidRDefault="00D12AFD" w:rsidP="00965B03">
      <w:pPr>
        <w:pStyle w:val="Titre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4643DD" w:rsidRPr="00804E5C" w:rsidRDefault="004643DD" w:rsidP="004643DD">
      <w:pPr>
        <w:jc w:val="both"/>
        <w:rPr>
          <w:rFonts w:cs="Arial"/>
          <w:bCs/>
          <w:color w:val="000000" w:themeColor="text1"/>
          <w:szCs w:val="22"/>
          <w:lang w:val="en-US"/>
        </w:rPr>
      </w:pPr>
      <w:permStart w:id="16" w:edGrp="everyone"/>
      <w:r>
        <w:rPr>
          <w:rFonts w:cs="Arial"/>
          <w:bCs/>
          <w:color w:val="000000" w:themeColor="text1"/>
          <w:szCs w:val="22"/>
          <w:lang w:val="en-US"/>
        </w:rPr>
        <w:t>AMAFI welcome</w:t>
      </w:r>
      <w:r w:rsidRPr="00804E5C">
        <w:rPr>
          <w:rFonts w:cs="Arial"/>
          <w:bCs/>
          <w:color w:val="000000" w:themeColor="text1"/>
          <w:szCs w:val="22"/>
          <w:lang w:val="en-US"/>
        </w:rPr>
        <w:t xml:space="preserve"> the ESMA proposal to delay the entry in force of the RTS on settlement regime. As ESMA knows, the French market as well as 20 other European markets is in the process to migrate all its settlement in a common platform. </w:t>
      </w:r>
    </w:p>
    <w:p w:rsidR="004643DD" w:rsidRPr="00804E5C" w:rsidRDefault="004643DD" w:rsidP="004643DD">
      <w:pPr>
        <w:rPr>
          <w:rFonts w:cs="Arial"/>
          <w:bCs/>
          <w:color w:val="000000" w:themeColor="text1"/>
          <w:szCs w:val="22"/>
          <w:lang w:val="en-US"/>
        </w:rPr>
      </w:pPr>
    </w:p>
    <w:p w:rsidR="004643DD" w:rsidRPr="00804E5C" w:rsidRDefault="004643DD" w:rsidP="004643DD">
      <w:pPr>
        <w:jc w:val="both"/>
        <w:rPr>
          <w:rFonts w:cs="Arial"/>
          <w:bCs/>
          <w:color w:val="000000" w:themeColor="text1"/>
          <w:szCs w:val="22"/>
          <w:lang w:val="en-US"/>
        </w:rPr>
      </w:pPr>
      <w:r w:rsidRPr="00804E5C">
        <w:rPr>
          <w:rFonts w:cs="Arial"/>
          <w:bCs/>
          <w:color w:val="000000" w:themeColor="text1"/>
          <w:szCs w:val="22"/>
          <w:lang w:val="en-US"/>
        </w:rPr>
        <w:t>T2S is one the major and complex initiative European actors have to face with. This project which started almost 9 years ago is about to go live. CSDs and their participants will enter in the migration phases after a deep testing phase. They should focus their attention, resources on the migration. As for any project a black window should start where the only changes allowed should be to fix potential bugs. Moreover there should be a period after the migrations where no change should be made. This is of the upmost importance to state that T2S runs well.</w:t>
      </w:r>
    </w:p>
    <w:p w:rsidR="004643DD" w:rsidRPr="00804E5C" w:rsidRDefault="004643DD" w:rsidP="004643DD">
      <w:pPr>
        <w:rPr>
          <w:rFonts w:cs="Arial"/>
          <w:bCs/>
          <w:color w:val="000000" w:themeColor="text1"/>
          <w:szCs w:val="22"/>
          <w:lang w:val="en-US"/>
        </w:rPr>
      </w:pPr>
    </w:p>
    <w:p w:rsidR="004643DD" w:rsidRPr="00804E5C" w:rsidRDefault="004643DD" w:rsidP="004643DD">
      <w:pPr>
        <w:jc w:val="both"/>
        <w:rPr>
          <w:rFonts w:cs="Arial"/>
          <w:bCs/>
          <w:color w:val="000000" w:themeColor="text1"/>
          <w:szCs w:val="22"/>
          <w:lang w:val="en-US"/>
        </w:rPr>
      </w:pPr>
      <w:r w:rsidRPr="00804E5C">
        <w:rPr>
          <w:rFonts w:cs="Arial"/>
          <w:bCs/>
          <w:color w:val="000000" w:themeColor="text1"/>
          <w:szCs w:val="22"/>
          <w:lang w:val="en-US"/>
        </w:rPr>
        <w:t xml:space="preserve">Thus if it is clear that the RTS could not enter into force 20 days after its publication, </w:t>
      </w:r>
      <w:r w:rsidR="00C809C3">
        <w:rPr>
          <w:rFonts w:cs="Arial"/>
          <w:bCs/>
          <w:color w:val="000000" w:themeColor="text1"/>
          <w:szCs w:val="22"/>
          <w:lang w:val="en-US"/>
        </w:rPr>
        <w:t>AMAFI</w:t>
      </w:r>
      <w:r w:rsidRPr="00804E5C">
        <w:rPr>
          <w:rFonts w:cs="Arial"/>
          <w:bCs/>
          <w:color w:val="000000" w:themeColor="text1"/>
          <w:szCs w:val="22"/>
          <w:lang w:val="en-US"/>
        </w:rPr>
        <w:t xml:space="preserve"> is of the view that a 18 months period is still not sufficient.</w:t>
      </w:r>
    </w:p>
    <w:p w:rsidR="004643DD" w:rsidRPr="00804E5C" w:rsidRDefault="004643DD" w:rsidP="004643DD">
      <w:pPr>
        <w:rPr>
          <w:rFonts w:cs="Arial"/>
          <w:b/>
          <w:bCs/>
          <w:color w:val="000000" w:themeColor="text1"/>
          <w:szCs w:val="22"/>
          <w:lang w:val="en-US"/>
        </w:rPr>
      </w:pPr>
    </w:p>
    <w:p w:rsidR="00612896" w:rsidRDefault="00612896" w:rsidP="00612896">
      <w:pPr>
        <w:jc w:val="both"/>
        <w:rPr>
          <w:rFonts w:cs="Arial"/>
          <w:bCs/>
        </w:rPr>
      </w:pPr>
      <w:r w:rsidRPr="00AF383F">
        <w:rPr>
          <w:rFonts w:cs="Arial"/>
          <w:bCs/>
        </w:rPr>
        <w:t>However, there are still some concerns to be raised with respect to the proposed timeline of 18 months after the publication of the RTS, which would practically-speaking point to an impleme</w:t>
      </w:r>
      <w:r w:rsidRPr="00AF383F">
        <w:rPr>
          <w:rFonts w:cs="Arial"/>
          <w:bCs/>
        </w:rPr>
        <w:t>n</w:t>
      </w:r>
      <w:r w:rsidRPr="00AF383F">
        <w:rPr>
          <w:rFonts w:cs="Arial"/>
          <w:bCs/>
        </w:rPr>
        <w:t xml:space="preserve">tation deadline around mid-2017. The main concern relates to how this timeline would align with the migration activities for T2S, which will extend until February 2017 for the </w:t>
      </w:r>
      <w:r w:rsidR="00763434">
        <w:rPr>
          <w:rFonts w:cs="Arial"/>
          <w:bCs/>
        </w:rPr>
        <w:t>fourth</w:t>
      </w:r>
      <w:r w:rsidRPr="00AF383F">
        <w:rPr>
          <w:rFonts w:cs="Arial"/>
          <w:bCs/>
        </w:rPr>
        <w:t xml:space="preserve"> migration wave, and possibly up to May 2017 in case an emergency migration wave will need to be adopted. </w:t>
      </w:r>
      <w:r>
        <w:rPr>
          <w:rFonts w:cs="Arial"/>
          <w:bCs/>
        </w:rPr>
        <w:t>Moreover it is foreseen that following completion of the T2S migration a phase of mon</w:t>
      </w:r>
      <w:r>
        <w:rPr>
          <w:rFonts w:cs="Arial"/>
          <w:bCs/>
        </w:rPr>
        <w:t>i</w:t>
      </w:r>
      <w:r>
        <w:rPr>
          <w:rFonts w:cs="Arial"/>
          <w:bCs/>
        </w:rPr>
        <w:t>toring the system stability and performance will be conducted. This will allow all market partic</w:t>
      </w:r>
      <w:r>
        <w:rPr>
          <w:rFonts w:cs="Arial"/>
          <w:bCs/>
        </w:rPr>
        <w:t>i</w:t>
      </w:r>
      <w:r>
        <w:rPr>
          <w:rFonts w:cs="Arial"/>
          <w:bCs/>
        </w:rPr>
        <w:t>pants to get used to the platform and revised settlement process.</w:t>
      </w:r>
    </w:p>
    <w:p w:rsidR="00612896" w:rsidRDefault="00612896" w:rsidP="00612896">
      <w:pPr>
        <w:rPr>
          <w:rFonts w:cs="Arial"/>
          <w:bCs/>
        </w:rPr>
      </w:pPr>
    </w:p>
    <w:p w:rsidR="00612896" w:rsidRDefault="00612896" w:rsidP="00612896">
      <w:pPr>
        <w:jc w:val="both"/>
        <w:rPr>
          <w:rFonts w:cs="Arial"/>
          <w:bCs/>
        </w:rPr>
      </w:pPr>
      <w:r>
        <w:rPr>
          <w:rFonts w:cs="Arial"/>
          <w:bCs/>
        </w:rPr>
        <w:t>AMAFI believes</w:t>
      </w:r>
      <w:r w:rsidRPr="00AF383F" w:rsidDel="009803AD">
        <w:rPr>
          <w:rFonts w:cs="Arial"/>
          <w:bCs/>
        </w:rPr>
        <w:t xml:space="preserve"> </w:t>
      </w:r>
      <w:r w:rsidRPr="00AF383F">
        <w:rPr>
          <w:rFonts w:cs="Arial"/>
          <w:bCs/>
        </w:rPr>
        <w:t>that T2S will be the logical place for the implementation of a central operational utility for the management of settlement discipline across all participating CSDs, it is very unlikely that the technical specifications, system development, testing, implementation and assessment of any operational impacts may all be completed within only 3-4 months after the end of the T2S migration period.</w:t>
      </w:r>
    </w:p>
    <w:p w:rsidR="00612896" w:rsidRPr="00AF383F" w:rsidRDefault="00612896" w:rsidP="00612896">
      <w:pPr>
        <w:rPr>
          <w:rFonts w:cs="Arial"/>
          <w:bCs/>
        </w:rPr>
      </w:pPr>
    </w:p>
    <w:p w:rsidR="00612896" w:rsidRDefault="00612896" w:rsidP="00612896">
      <w:pPr>
        <w:jc w:val="both"/>
        <w:rPr>
          <w:rFonts w:cs="Arial"/>
          <w:b/>
          <w:bCs/>
        </w:rPr>
      </w:pPr>
      <w:r w:rsidRPr="00AF383F">
        <w:rPr>
          <w:rFonts w:cs="Arial"/>
          <w:bCs/>
        </w:rPr>
        <w:t>We would therefore recommend that a longer period of time may be allowed for the full impl</w:t>
      </w:r>
      <w:r w:rsidRPr="00AF383F">
        <w:rPr>
          <w:rFonts w:cs="Arial"/>
          <w:bCs/>
        </w:rPr>
        <w:t>e</w:t>
      </w:r>
      <w:r w:rsidRPr="00AF383F">
        <w:rPr>
          <w:rFonts w:cs="Arial"/>
          <w:bCs/>
        </w:rPr>
        <w:t xml:space="preserve">mentation of the new settlement discipline measures, </w:t>
      </w:r>
      <w:r w:rsidRPr="00612896">
        <w:rPr>
          <w:rFonts w:cs="Arial"/>
          <w:b/>
          <w:bCs/>
        </w:rPr>
        <w:t xml:space="preserve">at least up to one full year after the </w:t>
      </w:r>
      <w:r w:rsidRPr="00612896">
        <w:rPr>
          <w:rFonts w:cs="Arial"/>
          <w:b/>
          <w:bCs/>
        </w:rPr>
        <w:lastRenderedPageBreak/>
        <w:t>completion of the T2S migration (i.e. at least up to end of Q1 2018, or up to end of Q2 2018 in case of use of the emergency migration wave).</w:t>
      </w:r>
    </w:p>
    <w:p w:rsidR="00612896" w:rsidRDefault="00612896" w:rsidP="00612896">
      <w:pPr>
        <w:jc w:val="both"/>
        <w:rPr>
          <w:rFonts w:cs="Arial"/>
          <w:b/>
          <w:bCs/>
        </w:rPr>
      </w:pPr>
    </w:p>
    <w:p w:rsidR="004643DD" w:rsidRPr="00612896" w:rsidRDefault="00612896" w:rsidP="004643DD">
      <w:pPr>
        <w:jc w:val="both"/>
        <w:rPr>
          <w:rFonts w:cs="Arial"/>
          <w:bCs/>
        </w:rPr>
      </w:pPr>
      <w:r>
        <w:rPr>
          <w:rFonts w:cs="Arial"/>
          <w:bCs/>
        </w:rPr>
        <w:t>In addition AMAFI suggests following the applicability of the new standards applying a monito</w:t>
      </w:r>
      <w:r>
        <w:rPr>
          <w:rFonts w:cs="Arial"/>
          <w:bCs/>
        </w:rPr>
        <w:t>r</w:t>
      </w:r>
      <w:r>
        <w:rPr>
          <w:rFonts w:cs="Arial"/>
          <w:bCs/>
        </w:rPr>
        <w:t>ing period of 6 months where fines and other sanctions are reported but not ultimately charged. Such adaptation period allow competent authorities, CSDs and CSD participants to analyse the consequences of the new procedures and make necessary alignments to the processing.  To this extend and in order to cater for a harmonised application of the above rules, the delayed implementation should be valid for all markets irrespective of their participation in T2S.</w:t>
      </w:r>
    </w:p>
    <w:permEnd w:id="16"/>
    <w:p w:rsidR="00D12AFD" w:rsidRDefault="00D12AFD" w:rsidP="00D12AFD">
      <w:r>
        <w:t>&lt;ESMA_QUESTION_TS_CSDR_14&gt;</w:t>
      </w:r>
    </w:p>
    <w:p w:rsidR="00D12AFD" w:rsidRPr="002C4F00" w:rsidRDefault="00D12AFD" w:rsidP="00965B03">
      <w:pPr>
        <w:pStyle w:val="Titre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B17999" w:rsidP="00124278">
      <w:permStart w:id="17" w:edGrp="everyone"/>
      <w:r>
        <w:t>Not relevant for AMAFI</w:t>
      </w:r>
    </w:p>
    <w:permEnd w:id="17"/>
    <w:p w:rsidR="00D12AFD" w:rsidRDefault="00D12AFD" w:rsidP="00D12AFD">
      <w:r>
        <w:t>&lt;ESMA_QUESTION_TS_CSDR_15&gt;</w:t>
      </w:r>
    </w:p>
    <w:p w:rsidR="00D12AFD" w:rsidRPr="002C4F00" w:rsidRDefault="00D12AFD" w:rsidP="00965B03">
      <w:pPr>
        <w:pStyle w:val="Titre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B17999" w:rsidRDefault="00B17999" w:rsidP="00B17999">
      <w:permStart w:id="18" w:edGrp="everyone"/>
      <w:r>
        <w:t>Not relevant for AMAFI</w:t>
      </w:r>
    </w:p>
    <w:permEnd w:id="18"/>
    <w:p w:rsidR="00D12AFD" w:rsidRDefault="00D12AFD" w:rsidP="00D12AFD">
      <w:r>
        <w:t>&lt;ESMA_QUESTION_TS_CSDR_16&gt;</w:t>
      </w:r>
    </w:p>
    <w:p w:rsidR="00D12AFD" w:rsidRPr="002C4F00" w:rsidRDefault="00D12AFD" w:rsidP="00965B03">
      <w:pPr>
        <w:pStyle w:val="Titre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B17999" w:rsidRDefault="00B17999" w:rsidP="00B17999">
      <w:permStart w:id="19" w:edGrp="everyone"/>
      <w:r>
        <w:t>Not relevant for AMAFI</w:t>
      </w:r>
    </w:p>
    <w:permEnd w:id="19"/>
    <w:p w:rsidR="00D12AFD" w:rsidRDefault="00D12AFD" w:rsidP="00D12AFD">
      <w:r>
        <w:t>&lt;ESMA_QUESTION_TS_CSDR_17&gt;</w:t>
      </w:r>
    </w:p>
    <w:p w:rsidR="00D12AFD" w:rsidRPr="002C4F00" w:rsidRDefault="00D12AFD" w:rsidP="00965B03">
      <w:pPr>
        <w:pStyle w:val="Titre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B17999" w:rsidRDefault="00B17999" w:rsidP="00B17999">
      <w:permStart w:id="20" w:edGrp="everyone"/>
      <w:r>
        <w:t>Not relevant for AMAFI</w:t>
      </w:r>
    </w:p>
    <w:permEnd w:id="20"/>
    <w:p w:rsidR="00D12AFD" w:rsidRDefault="00D12AFD" w:rsidP="00D12AFD">
      <w:r>
        <w:t>&lt;ESMA_QUESTION_TS_CSDR_18&gt;</w:t>
      </w:r>
    </w:p>
    <w:p w:rsidR="00D12AFD" w:rsidRPr="002C4F00" w:rsidRDefault="00D12AFD" w:rsidP="00965B03">
      <w:pPr>
        <w:pStyle w:val="Titre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B17999" w:rsidRDefault="00B17999" w:rsidP="00B17999">
      <w:permStart w:id="21" w:edGrp="everyone"/>
      <w:r>
        <w:t>Not relevant for AMAFI</w:t>
      </w:r>
    </w:p>
    <w:permEnd w:id="21"/>
    <w:p w:rsidR="00D12AFD" w:rsidRDefault="00D12AFD" w:rsidP="00D12AFD">
      <w:r>
        <w:t>&lt;ESMA_QUESTION_TS_CSDR_19&gt;</w:t>
      </w:r>
    </w:p>
    <w:p w:rsidR="00D12AFD" w:rsidRPr="002C4F00" w:rsidRDefault="00D12AFD" w:rsidP="00965B03">
      <w:pPr>
        <w:pStyle w:val="Titre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B17999" w:rsidRDefault="00B17999" w:rsidP="00B17999">
      <w:permStart w:id="22" w:edGrp="everyone"/>
      <w:r>
        <w:t>Not relevant for AMAFI</w:t>
      </w:r>
    </w:p>
    <w:permEnd w:id="22"/>
    <w:p w:rsidR="00D12AFD" w:rsidRDefault="00D12AFD" w:rsidP="00D12AFD">
      <w:r>
        <w:t>&lt;ESMA_QUESTION_TS_CSDR_20&gt;</w:t>
      </w:r>
    </w:p>
    <w:p w:rsidR="00D12AFD" w:rsidRPr="002C4F00" w:rsidRDefault="00D12AFD" w:rsidP="00965B03">
      <w:pPr>
        <w:pStyle w:val="Titre5"/>
        <w:ind w:left="567" w:hanging="567"/>
      </w:pPr>
      <w:r w:rsidRPr="002C4F00">
        <w:lastRenderedPageBreak/>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B17999" w:rsidRDefault="00B17999" w:rsidP="00B17999">
      <w:permStart w:id="23" w:edGrp="everyone"/>
      <w:r>
        <w:t>Not relevant for AMAFI</w:t>
      </w:r>
    </w:p>
    <w:permEnd w:id="23"/>
    <w:p w:rsidR="00D12AFD" w:rsidRDefault="00D12AFD" w:rsidP="00D12AFD">
      <w:r>
        <w:t>&lt;ESMA_QUESTION_TS_CSDR_21&gt;</w:t>
      </w:r>
    </w:p>
    <w:p w:rsidR="00D12AFD" w:rsidRDefault="00D12AFD" w:rsidP="00965B03">
      <w:pPr>
        <w:pStyle w:val="Titre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B17999" w:rsidRDefault="00B17999" w:rsidP="00B17999">
      <w:permStart w:id="24" w:edGrp="everyone"/>
      <w:r>
        <w:t>Not relevant for AMAFI</w:t>
      </w:r>
    </w:p>
    <w:permEnd w:id="24"/>
    <w:p w:rsidR="00D12AFD" w:rsidRDefault="00D12AFD" w:rsidP="00D12AFD">
      <w:r>
        <w:t>&lt;ESMA_QUESTION_TS_CSDR_22&gt;</w:t>
      </w:r>
    </w:p>
    <w:p w:rsidR="00D12AFD" w:rsidRDefault="00D12AFD" w:rsidP="00965B03">
      <w:pPr>
        <w:pStyle w:val="Titre5"/>
        <w:ind w:left="567" w:hanging="567"/>
      </w:pPr>
      <w:r w:rsidRPr="00C8467F">
        <w:t>What are your views on the proposed draft RTS on CS</w:t>
      </w:r>
      <w:bookmarkStart w:id="3" w:name="_GoBack"/>
      <w:bookmarkEnd w:id="3"/>
      <w:r w:rsidRPr="00C8467F">
        <w:t>D record keeping (Chapter IV of Annex III) and draft ITS on CSD record keeping (Annex VII)?</w:t>
      </w:r>
    </w:p>
    <w:p w:rsidR="00D12AFD" w:rsidRDefault="00D12AFD" w:rsidP="00D12AFD"/>
    <w:p w:rsidR="00D12AFD" w:rsidRDefault="00D12AFD" w:rsidP="00D12AFD">
      <w:r>
        <w:t>&lt;ESMA_QUESTION_TS_CSDR_23&gt;</w:t>
      </w:r>
    </w:p>
    <w:p w:rsidR="00B17999" w:rsidRDefault="00B17999" w:rsidP="00B17999">
      <w:permStart w:id="25" w:edGrp="everyone"/>
      <w:r>
        <w:t>Not relevant for AMAFI</w:t>
      </w:r>
    </w:p>
    <w:permEnd w:id="25"/>
    <w:p w:rsidR="00D12AFD" w:rsidRDefault="00D12AFD" w:rsidP="00D12AFD">
      <w:r>
        <w:t>&lt;ESMA_QUESTION_TS_CSDR_23&gt;</w:t>
      </w:r>
    </w:p>
    <w:p w:rsidR="00D12AFD" w:rsidRPr="002C4F00" w:rsidRDefault="00D12AFD" w:rsidP="00965B03">
      <w:pPr>
        <w:pStyle w:val="Titre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B17999" w:rsidRDefault="00B17999" w:rsidP="00B17999">
      <w:permStart w:id="26" w:edGrp="everyone"/>
      <w:r>
        <w:t>Not relevant for AMAFI</w:t>
      </w:r>
    </w:p>
    <w:permEnd w:id="26"/>
    <w:p w:rsidR="00D12AFD" w:rsidRDefault="00D12AFD" w:rsidP="00D12AFD">
      <w:r>
        <w:t>&lt;ESMA_QUESTION_TS_CSDR_25&gt;</w:t>
      </w:r>
    </w:p>
    <w:p w:rsidR="00D12AFD" w:rsidRPr="002C4F00" w:rsidRDefault="00D12AFD" w:rsidP="00965B03">
      <w:pPr>
        <w:pStyle w:val="Titre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B17999" w:rsidRDefault="00B17999" w:rsidP="00B17999">
      <w:permStart w:id="27" w:edGrp="everyone"/>
      <w:r>
        <w:t>Not relevant for AMAFI</w:t>
      </w:r>
    </w:p>
    <w:permEnd w:id="27"/>
    <w:p w:rsidR="00D12AFD" w:rsidRDefault="00D12AFD" w:rsidP="00D12AFD">
      <w:r>
        <w:t>&lt;ESMA_QUESTION_TS_CSDR_25&gt;</w:t>
      </w:r>
    </w:p>
    <w:p w:rsidR="00D12AFD" w:rsidRPr="002C4F00" w:rsidRDefault="00D12AFD" w:rsidP="00965B03">
      <w:pPr>
        <w:pStyle w:val="Titre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B17999" w:rsidRDefault="00B17999" w:rsidP="00B17999">
      <w:permStart w:id="28" w:edGrp="everyone"/>
      <w:r>
        <w:t>Not relevant for AMAFI</w:t>
      </w:r>
    </w:p>
    <w:permEnd w:id="28"/>
    <w:p w:rsidR="00D12AFD" w:rsidRDefault="00D12AFD" w:rsidP="00D12AFD">
      <w:r>
        <w:t>&lt;ESMA_QUESTION_TS_CSDR_26&gt;</w:t>
      </w:r>
    </w:p>
    <w:p w:rsidR="00F1314C" w:rsidRDefault="00F1314C" w:rsidP="00F1314C">
      <w:pPr>
        <w:pStyle w:val="Titre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B17999" w:rsidRDefault="00B17999" w:rsidP="00B17999">
      <w:permStart w:id="29" w:edGrp="everyone"/>
      <w:r>
        <w:t>Not relevant for AMAFI</w:t>
      </w:r>
    </w:p>
    <w:permEnd w:id="29"/>
    <w:p w:rsidR="00252063" w:rsidRDefault="00252063" w:rsidP="00252063">
      <w:r>
        <w:lastRenderedPageBreak/>
        <w:t>&lt;ESMA_QUESTION_TS_CSDR_27&gt;</w:t>
      </w:r>
    </w:p>
    <w:p w:rsidR="00F1314C" w:rsidRPr="00F1314C" w:rsidRDefault="00F1314C" w:rsidP="00F1314C"/>
    <w:p w:rsidR="00D12AFD" w:rsidRPr="002C4F00" w:rsidRDefault="00D12AFD" w:rsidP="00965B03">
      <w:pPr>
        <w:pStyle w:val="Titre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B17999" w:rsidRDefault="00B17999" w:rsidP="00B17999">
      <w:permStart w:id="30" w:edGrp="everyone"/>
      <w:r>
        <w:t>Not relevant for AMAFI</w:t>
      </w:r>
    </w:p>
    <w:permEnd w:id="30"/>
    <w:p w:rsidR="00D12AFD" w:rsidRDefault="00D12AFD" w:rsidP="00D12AFD">
      <w:r>
        <w:t>&lt;ESMA_QUESTION_TS_CSDR_2</w:t>
      </w:r>
      <w:r w:rsidR="00252063">
        <w:t>8</w:t>
      </w:r>
      <w:r>
        <w:t>&gt;</w:t>
      </w:r>
    </w:p>
    <w:p w:rsidR="00D12AFD" w:rsidRPr="002C4F00" w:rsidRDefault="00D12AFD" w:rsidP="00965B03">
      <w:pPr>
        <w:pStyle w:val="Titre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B17999" w:rsidRDefault="00B17999" w:rsidP="00B17999">
      <w:permStart w:id="31" w:edGrp="everyone"/>
      <w:r>
        <w:t>Not relevant for AMAFI</w:t>
      </w:r>
    </w:p>
    <w:permEnd w:id="31"/>
    <w:p w:rsidR="00D12AFD" w:rsidRDefault="00D12AFD" w:rsidP="00D12AFD">
      <w:r>
        <w:t>&lt;ESMA_QUESTION_TS_CSDR_2</w:t>
      </w:r>
      <w:r w:rsidR="00252063">
        <w:t>9</w:t>
      </w:r>
      <w:r>
        <w:t>&gt;</w:t>
      </w:r>
    </w:p>
    <w:p w:rsidR="00D12AFD" w:rsidRPr="002C4F00" w:rsidRDefault="00D12AFD" w:rsidP="00965B03">
      <w:pPr>
        <w:pStyle w:val="Titre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B17999" w:rsidRDefault="00B17999" w:rsidP="00B17999">
      <w:permStart w:id="32" w:edGrp="everyone"/>
      <w:r>
        <w:t>Not relevant for AMAFI</w:t>
      </w:r>
    </w:p>
    <w:permEnd w:id="32"/>
    <w:p w:rsidR="00D12AFD" w:rsidRDefault="00D12AFD" w:rsidP="00D12AFD">
      <w:r>
        <w:t>&lt;ESMA_QUESTION_TS_CSDR_</w:t>
      </w:r>
      <w:r w:rsidR="00252063">
        <w:t>30</w:t>
      </w:r>
      <w:r>
        <w:t>&gt;</w:t>
      </w:r>
    </w:p>
    <w:p w:rsidR="00D12AFD" w:rsidRPr="002C4F00" w:rsidRDefault="00D12AFD" w:rsidP="00965B03">
      <w:pPr>
        <w:pStyle w:val="Titre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B17999" w:rsidRDefault="00B17999" w:rsidP="00B17999">
      <w:permStart w:id="33" w:edGrp="everyone"/>
      <w:r>
        <w:t>Not relevant for AMAFI</w:t>
      </w:r>
    </w:p>
    <w:permEnd w:id="33"/>
    <w:p w:rsidR="00D12AFD" w:rsidRPr="002C4F00" w:rsidRDefault="00D12AFD" w:rsidP="00D12AFD">
      <w:r>
        <w:t>&lt;ESMA_QUESTION_TS_CSDR_3</w:t>
      </w:r>
      <w:r w:rsidR="00252063">
        <w:t>1</w:t>
      </w:r>
      <w:r>
        <w:t>&gt;</w:t>
      </w:r>
    </w:p>
    <w:p w:rsidR="00D12AFD" w:rsidRPr="002C4F00" w:rsidRDefault="00D12AFD" w:rsidP="00965B03">
      <w:pPr>
        <w:pStyle w:val="Titre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D1063A" w:rsidRDefault="003E0BC4" w:rsidP="00763434">
      <w:pPr>
        <w:spacing w:line="240" w:lineRule="atLeast"/>
        <w:jc w:val="both"/>
        <w:rPr>
          <w:rFonts w:cs="Arial"/>
          <w:bCs/>
          <w:color w:val="000000" w:themeColor="text1"/>
          <w:szCs w:val="22"/>
          <w:lang w:val="en-US"/>
        </w:rPr>
      </w:pPr>
      <w:permStart w:id="34" w:edGrp="everyone"/>
      <w:r>
        <w:rPr>
          <w:rFonts w:cs="Arial"/>
          <w:bCs/>
          <w:color w:val="000000" w:themeColor="text1"/>
          <w:szCs w:val="22"/>
        </w:rPr>
        <w:t xml:space="preserve">AMAFI </w:t>
      </w:r>
      <w:r w:rsidR="00612896" w:rsidRPr="00804E5C">
        <w:rPr>
          <w:rFonts w:cs="Arial"/>
          <w:bCs/>
          <w:color w:val="000000" w:themeColor="text1"/>
          <w:szCs w:val="22"/>
          <w:lang w:val="en-US"/>
        </w:rPr>
        <w:t xml:space="preserve">is of the opinion that </w:t>
      </w:r>
      <w:r>
        <w:rPr>
          <w:rFonts w:cs="Arial"/>
          <w:bCs/>
          <w:color w:val="000000" w:themeColor="text1"/>
          <w:szCs w:val="22"/>
          <w:lang w:val="en-US"/>
        </w:rPr>
        <w:t>the proposed regime is far too burdensome and</w:t>
      </w:r>
      <w:r w:rsidR="00763434">
        <w:rPr>
          <w:rFonts w:cs="Arial"/>
          <w:bCs/>
          <w:color w:val="000000" w:themeColor="text1"/>
          <w:szCs w:val="22"/>
          <w:lang w:val="en-US"/>
        </w:rPr>
        <w:t xml:space="preserve"> that</w:t>
      </w:r>
      <w:r>
        <w:rPr>
          <w:rFonts w:cs="Arial"/>
          <w:bCs/>
          <w:color w:val="000000" w:themeColor="text1"/>
          <w:szCs w:val="22"/>
          <w:lang w:val="en-US"/>
        </w:rPr>
        <w:t xml:space="preserve"> at least a </w:t>
      </w:r>
      <w:r>
        <w:rPr>
          <w:rFonts w:cs="Arial"/>
          <w:bCs/>
          <w:i/>
          <w:color w:val="000000" w:themeColor="text1"/>
          <w:szCs w:val="22"/>
          <w:lang w:val="en-US"/>
        </w:rPr>
        <w:t xml:space="preserve">de minimis rule” </w:t>
      </w:r>
      <w:r w:rsidR="00763434">
        <w:rPr>
          <w:rFonts w:cs="Arial"/>
          <w:bCs/>
          <w:color w:val="000000" w:themeColor="text1"/>
          <w:szCs w:val="22"/>
          <w:lang w:val="en-US"/>
        </w:rPr>
        <w:t xml:space="preserve">through thresholds and / </w:t>
      </w:r>
      <w:r>
        <w:rPr>
          <w:rFonts w:cs="Arial"/>
          <w:bCs/>
          <w:color w:val="000000" w:themeColor="text1"/>
          <w:szCs w:val="22"/>
          <w:lang w:val="en-US"/>
        </w:rPr>
        <w:t xml:space="preserve">or exemptions should be </w:t>
      </w:r>
      <w:r w:rsidR="00D1063A">
        <w:rPr>
          <w:rFonts w:cs="Arial"/>
          <w:bCs/>
          <w:color w:val="000000" w:themeColor="text1"/>
          <w:szCs w:val="22"/>
          <w:lang w:val="en-US"/>
        </w:rPr>
        <w:t xml:space="preserve">implemented. Besides that </w:t>
      </w:r>
      <w:r w:rsidR="00D1063A" w:rsidRPr="00763434">
        <w:rPr>
          <w:rFonts w:cs="Arial"/>
          <w:bCs/>
          <w:color w:val="000000" w:themeColor="text1"/>
          <w:szCs w:val="22"/>
          <w:lang w:val="en-US"/>
        </w:rPr>
        <w:t>some</w:t>
      </w:r>
      <w:r w:rsidR="00612896" w:rsidRPr="00804E5C">
        <w:rPr>
          <w:rFonts w:cs="Arial"/>
          <w:bCs/>
          <w:color w:val="000000" w:themeColor="text1"/>
          <w:szCs w:val="22"/>
          <w:lang w:val="en-US"/>
        </w:rPr>
        <w:t xml:space="preserve"> information required are not </w:t>
      </w:r>
      <w:r w:rsidR="00D1063A">
        <w:rPr>
          <w:rFonts w:cs="Arial"/>
          <w:bCs/>
          <w:color w:val="000000" w:themeColor="text1"/>
          <w:szCs w:val="22"/>
          <w:lang w:val="en-US"/>
        </w:rPr>
        <w:t>available</w:t>
      </w:r>
      <w:r w:rsidR="00612896" w:rsidRPr="00804E5C">
        <w:rPr>
          <w:rFonts w:cs="Arial"/>
          <w:bCs/>
          <w:color w:val="000000" w:themeColor="text1"/>
          <w:szCs w:val="22"/>
          <w:lang w:val="en-US"/>
        </w:rPr>
        <w:t xml:space="preserve"> today and should therefore be asked to the trading party: </w:t>
      </w:r>
      <w:r w:rsidR="00763434" w:rsidRPr="00804E5C">
        <w:rPr>
          <w:rFonts w:cs="Arial"/>
          <w:bCs/>
          <w:color w:val="000000" w:themeColor="text1"/>
          <w:szCs w:val="22"/>
          <w:lang w:val="en-US"/>
        </w:rPr>
        <w:t>e.</w:t>
      </w:r>
      <w:r w:rsidR="00763434">
        <w:rPr>
          <w:rFonts w:cs="Arial"/>
          <w:bCs/>
          <w:color w:val="000000" w:themeColor="text1"/>
          <w:szCs w:val="22"/>
          <w:lang w:val="en-US"/>
        </w:rPr>
        <w:t>g.</w:t>
      </w:r>
      <w:r w:rsidR="00612896" w:rsidRPr="00804E5C">
        <w:rPr>
          <w:rFonts w:cs="Arial"/>
          <w:bCs/>
          <w:color w:val="000000" w:themeColor="text1"/>
          <w:szCs w:val="22"/>
          <w:lang w:val="en-US"/>
        </w:rPr>
        <w:t xml:space="preserve"> client typolo</w:t>
      </w:r>
      <w:r w:rsidR="00763434">
        <w:rPr>
          <w:rFonts w:cs="Arial"/>
          <w:bCs/>
          <w:color w:val="000000" w:themeColor="text1"/>
          <w:szCs w:val="22"/>
          <w:lang w:val="en-US"/>
        </w:rPr>
        <w:t>gy, assets classes.</w:t>
      </w:r>
    </w:p>
    <w:p w:rsidR="00D1063A" w:rsidRDefault="00763434" w:rsidP="00763434">
      <w:pPr>
        <w:tabs>
          <w:tab w:val="left" w:pos="2820"/>
        </w:tabs>
        <w:spacing w:line="240" w:lineRule="atLeast"/>
        <w:jc w:val="both"/>
        <w:rPr>
          <w:rFonts w:cs="Arial"/>
          <w:bCs/>
          <w:color w:val="000000" w:themeColor="text1"/>
          <w:szCs w:val="22"/>
          <w:lang w:val="en-US"/>
        </w:rPr>
      </w:pPr>
      <w:r>
        <w:rPr>
          <w:rFonts w:cs="Arial"/>
          <w:bCs/>
          <w:color w:val="000000" w:themeColor="text1"/>
          <w:szCs w:val="22"/>
          <w:lang w:val="en-US"/>
        </w:rPr>
        <w:tab/>
      </w: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Beyond that</w:t>
      </w:r>
      <w:r w:rsidR="00763434">
        <w:rPr>
          <w:rFonts w:cs="Arial"/>
          <w:bCs/>
          <w:color w:val="000000" w:themeColor="text1"/>
          <w:szCs w:val="22"/>
          <w:lang w:val="en-US"/>
        </w:rPr>
        <w:t>,</w:t>
      </w:r>
      <w:r w:rsidRPr="00804E5C">
        <w:rPr>
          <w:rFonts w:cs="Arial"/>
          <w:bCs/>
          <w:color w:val="000000" w:themeColor="text1"/>
          <w:szCs w:val="22"/>
          <w:lang w:val="en-US"/>
        </w:rPr>
        <w:t xml:space="preserve"> we have several concerns due to ESMA’s proposal.</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rPr>
          <w:rFonts w:cs="Arial"/>
          <w:bCs/>
          <w:color w:val="000000" w:themeColor="text1"/>
          <w:szCs w:val="22"/>
          <w:lang w:val="en-US"/>
        </w:rPr>
      </w:pPr>
    </w:p>
    <w:p w:rsidR="00612896" w:rsidRPr="00763434" w:rsidRDefault="00612896" w:rsidP="00763434">
      <w:pPr>
        <w:spacing w:line="240" w:lineRule="atLeast"/>
        <w:jc w:val="both"/>
        <w:rPr>
          <w:rFonts w:cs="Arial"/>
          <w:b/>
          <w:iCs/>
          <w:color w:val="000000" w:themeColor="text1"/>
          <w:szCs w:val="22"/>
          <w:lang w:val="en-US"/>
        </w:rPr>
      </w:pPr>
      <w:r w:rsidRPr="00763434">
        <w:rPr>
          <w:rFonts w:cs="Arial"/>
          <w:b/>
          <w:iCs/>
          <w:color w:val="000000" w:themeColor="text1"/>
          <w:szCs w:val="22"/>
          <w:lang w:val="en-US"/>
        </w:rPr>
        <w:t>Scope and level of granularity of the suggested requirements</w:t>
      </w:r>
    </w:p>
    <w:p w:rsidR="00612896" w:rsidRPr="00804E5C" w:rsidRDefault="00612896" w:rsidP="00763434">
      <w:pPr>
        <w:spacing w:line="240" w:lineRule="atLeast"/>
        <w:rPr>
          <w:rFonts w:cs="Arial"/>
          <w:bCs/>
          <w:color w:val="000000" w:themeColor="text1"/>
          <w:szCs w:val="22"/>
          <w:u w:val="single"/>
          <w:lang w:val="en-US"/>
        </w:rPr>
      </w:pPr>
    </w:p>
    <w:p w:rsidR="00612896" w:rsidRPr="00804E5C" w:rsidRDefault="00612896" w:rsidP="00763434">
      <w:pPr>
        <w:spacing w:line="240" w:lineRule="atLeast"/>
        <w:rPr>
          <w:rFonts w:cs="Arial"/>
          <w:bCs/>
          <w:i/>
          <w:color w:val="000000" w:themeColor="text1"/>
          <w:szCs w:val="22"/>
          <w:lang w:val="en-US"/>
        </w:rPr>
      </w:pPr>
      <w:r w:rsidRPr="00804E5C">
        <w:rPr>
          <w:rFonts w:cs="Arial"/>
          <w:bCs/>
          <w:i/>
          <w:color w:val="000000" w:themeColor="text1"/>
          <w:szCs w:val="22"/>
          <w:lang w:val="en-US"/>
        </w:rPr>
        <w:t>Risk of misinterpreting</w:t>
      </w:r>
    </w:p>
    <w:p w:rsidR="00612896" w:rsidRPr="00804E5C" w:rsidRDefault="00612896" w:rsidP="00763434">
      <w:pPr>
        <w:spacing w:line="240" w:lineRule="atLeast"/>
        <w:rPr>
          <w:rFonts w:cs="Arial"/>
          <w:bCs/>
          <w:color w:val="000000" w:themeColor="text1"/>
          <w:szCs w:val="22"/>
          <w:u w:val="single"/>
          <w:lang w:val="en-US"/>
        </w:rPr>
      </w:pP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Article 9 states that “</w:t>
      </w:r>
      <w:r w:rsidRPr="00804E5C">
        <w:rPr>
          <w:rFonts w:cs="Arial"/>
          <w:bCs/>
          <w:i/>
          <w:color w:val="000000" w:themeColor="text1"/>
          <w:szCs w:val="22"/>
          <w:lang w:val="en-US"/>
        </w:rPr>
        <w:t xml:space="preserve">Settlement internalisers shall report to the competent authorities of their place of establishment on a quarterly basis </w:t>
      </w:r>
      <w:r w:rsidRPr="00804E5C">
        <w:rPr>
          <w:rFonts w:cs="Arial"/>
          <w:b/>
          <w:bCs/>
          <w:i/>
          <w:color w:val="000000" w:themeColor="text1"/>
          <w:szCs w:val="22"/>
          <w:lang w:val="en-US"/>
        </w:rPr>
        <w:t>the aggregated volume and value of all securities transactions</w:t>
      </w:r>
      <w:r w:rsidRPr="00804E5C">
        <w:rPr>
          <w:rFonts w:cs="Arial"/>
          <w:bCs/>
          <w:i/>
          <w:color w:val="000000" w:themeColor="text1"/>
          <w:szCs w:val="22"/>
          <w:lang w:val="en-US"/>
        </w:rPr>
        <w:t xml:space="preserve"> that they settle outside securities settlement systems</w:t>
      </w:r>
      <w:r w:rsidRPr="00804E5C">
        <w:rPr>
          <w:rFonts w:cs="Arial"/>
          <w:bCs/>
          <w:color w:val="000000" w:themeColor="text1"/>
          <w:szCs w:val="22"/>
          <w:lang w:val="en-US"/>
        </w:rPr>
        <w:t>.”</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And the mandate says “</w:t>
      </w:r>
      <w:r w:rsidRPr="00804E5C">
        <w:rPr>
          <w:rFonts w:cs="Arial"/>
          <w:bCs/>
          <w:i/>
          <w:color w:val="000000" w:themeColor="text1"/>
          <w:szCs w:val="22"/>
          <w:lang w:val="en-US"/>
        </w:rPr>
        <w:t>ESMA may, in close cooperation with the members of the ESCB, deve</w:t>
      </w:r>
      <w:r w:rsidRPr="00804E5C">
        <w:rPr>
          <w:rFonts w:cs="Arial"/>
          <w:bCs/>
          <w:i/>
          <w:color w:val="000000" w:themeColor="text1"/>
          <w:szCs w:val="22"/>
          <w:lang w:val="en-US"/>
        </w:rPr>
        <w:t>l</w:t>
      </w:r>
      <w:r w:rsidRPr="00804E5C">
        <w:rPr>
          <w:rFonts w:cs="Arial"/>
          <w:bCs/>
          <w:i/>
          <w:color w:val="000000" w:themeColor="text1"/>
          <w:szCs w:val="22"/>
          <w:lang w:val="en-US"/>
        </w:rPr>
        <w:t>op draft regulatory technical standards further specifying the content of such reporting</w:t>
      </w:r>
      <w:r w:rsidRPr="00804E5C">
        <w:rPr>
          <w:rFonts w:cs="Arial"/>
          <w:bCs/>
          <w:color w:val="000000" w:themeColor="text1"/>
          <w:szCs w:val="22"/>
          <w:lang w:val="en-US"/>
        </w:rPr>
        <w:t>.”</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 xml:space="preserve">In no case it has been foreseen to require aggregated information split under different criteria. </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Moreover such new requirement may i</w:t>
      </w:r>
      <w:r w:rsidR="00763434">
        <w:rPr>
          <w:rFonts w:cs="Arial"/>
          <w:bCs/>
          <w:color w:val="000000" w:themeColor="text1"/>
          <w:szCs w:val="22"/>
          <w:lang w:val="en-US"/>
        </w:rPr>
        <w:t xml:space="preserve">ntroduce some confusion. Indeed, </w:t>
      </w:r>
      <w:r w:rsidRPr="00804E5C">
        <w:rPr>
          <w:rFonts w:cs="Arial"/>
          <w:bCs/>
          <w:color w:val="000000" w:themeColor="text1"/>
          <w:szCs w:val="22"/>
          <w:lang w:val="en-US"/>
        </w:rPr>
        <w:t xml:space="preserve">what is expected by the Commission is a reporting of </w:t>
      </w:r>
      <w:r w:rsidRPr="00804E5C">
        <w:rPr>
          <w:rFonts w:cs="Arial"/>
          <w:b/>
          <w:bCs/>
          <w:color w:val="000000" w:themeColor="text1"/>
          <w:szCs w:val="22"/>
          <w:lang w:val="en-US"/>
        </w:rPr>
        <w:t>securities transactions</w:t>
      </w:r>
      <w:r w:rsidRPr="00804E5C">
        <w:rPr>
          <w:rFonts w:cs="Arial"/>
          <w:bCs/>
          <w:color w:val="000000" w:themeColor="text1"/>
          <w:szCs w:val="22"/>
          <w:lang w:val="en-US"/>
        </w:rPr>
        <w:t xml:space="preserve"> that are internally settled. Even if we can regret once again this mix between trading and settlement levels this will have no impact until reports are global.</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 xml:space="preserve">Having the information split then things will be different. What would it mean and how would it be used if a participant declares that it settled mostly for credit institutions? Would it be understood as “most of the transactions are concluded by credit institutions”? </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A settlement done internally doesn’t mean that the transaction has been concluded internally too. Clients of a participant are not always final ones. It is likely that they have clients behind them and therefore instruct their custodian for an aggregated or even for a netted quantity.</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rPr>
          <w:rFonts w:cs="Arial"/>
          <w:bCs/>
          <w:i/>
          <w:color w:val="000000" w:themeColor="text1"/>
          <w:szCs w:val="22"/>
          <w:lang w:val="en-US"/>
        </w:rPr>
      </w:pPr>
      <w:r w:rsidRPr="00804E5C">
        <w:rPr>
          <w:rFonts w:cs="Arial"/>
          <w:bCs/>
          <w:color w:val="000000" w:themeColor="text1"/>
          <w:szCs w:val="22"/>
          <w:lang w:val="en-US"/>
        </w:rPr>
        <w:t>Therefore we disagree for any split of aggregated data</w:t>
      </w:r>
      <w:r w:rsidR="00763434">
        <w:rPr>
          <w:rFonts w:cs="Arial"/>
          <w:bCs/>
          <w:color w:val="000000" w:themeColor="text1"/>
          <w:szCs w:val="22"/>
          <w:lang w:val="en-US"/>
        </w:rPr>
        <w:t>.</w:t>
      </w:r>
      <w:r w:rsidRPr="00804E5C">
        <w:rPr>
          <w:rFonts w:cs="Arial"/>
          <w:bCs/>
          <w:i/>
          <w:color w:val="000000" w:themeColor="text1"/>
          <w:szCs w:val="22"/>
          <w:lang w:val="en-US"/>
        </w:rPr>
        <w:t xml:space="preserve"> </w:t>
      </w:r>
    </w:p>
    <w:p w:rsidR="00612896" w:rsidRPr="00804E5C" w:rsidRDefault="00612896" w:rsidP="00763434">
      <w:pPr>
        <w:spacing w:line="240" w:lineRule="atLeast"/>
        <w:rPr>
          <w:rFonts w:cs="Arial"/>
          <w:bCs/>
          <w:i/>
          <w:color w:val="000000" w:themeColor="text1"/>
          <w:szCs w:val="22"/>
          <w:lang w:val="en-US"/>
        </w:rPr>
      </w:pPr>
    </w:p>
    <w:p w:rsidR="00612896" w:rsidRPr="00804E5C" w:rsidRDefault="00612896" w:rsidP="00763434">
      <w:pPr>
        <w:spacing w:line="240" w:lineRule="atLeast"/>
        <w:rPr>
          <w:rFonts w:cs="Arial"/>
          <w:bCs/>
          <w:i/>
          <w:color w:val="000000" w:themeColor="text1"/>
          <w:szCs w:val="22"/>
          <w:lang w:val="en-US"/>
        </w:rPr>
      </w:pPr>
      <w:r w:rsidRPr="00804E5C">
        <w:rPr>
          <w:rFonts w:cs="Arial"/>
          <w:bCs/>
          <w:i/>
          <w:color w:val="000000" w:themeColor="text1"/>
          <w:szCs w:val="22"/>
          <w:lang w:val="en-US"/>
        </w:rPr>
        <w:t>Type of client</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Should the type of client be maintained then we ask ESMA to use the M</w:t>
      </w:r>
      <w:r w:rsidR="00763434">
        <w:rPr>
          <w:rFonts w:cs="Arial"/>
          <w:bCs/>
          <w:color w:val="000000" w:themeColor="text1"/>
          <w:szCs w:val="22"/>
          <w:lang w:val="en-US"/>
        </w:rPr>
        <w:t>i</w:t>
      </w:r>
      <w:r w:rsidRPr="00804E5C">
        <w:rPr>
          <w:rFonts w:cs="Arial"/>
          <w:bCs/>
          <w:color w:val="000000" w:themeColor="text1"/>
          <w:szCs w:val="22"/>
          <w:lang w:val="en-US"/>
        </w:rPr>
        <w:t>FID classification (retail, professional, eligible counterparty) rather than a too detailed one that will unlikely be useful and accurately populated (the client known by the participant is not always the final one and more</w:t>
      </w:r>
      <w:r w:rsidRPr="00804E5C">
        <w:rPr>
          <w:rFonts w:cs="Arial"/>
          <w:bCs/>
          <w:color w:val="000000" w:themeColor="text1"/>
          <w:szCs w:val="22"/>
          <w:lang w:val="en-US"/>
        </w:rPr>
        <w:t>o</w:t>
      </w:r>
      <w:r w:rsidRPr="00804E5C">
        <w:rPr>
          <w:rFonts w:cs="Arial"/>
          <w:bCs/>
          <w:color w:val="000000" w:themeColor="text1"/>
          <w:szCs w:val="22"/>
          <w:lang w:val="en-US"/>
        </w:rPr>
        <w:t>ver may represent several types of underlying clients involved in the transactions).</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rPr>
          <w:rFonts w:cs="Arial"/>
          <w:bCs/>
          <w:i/>
          <w:color w:val="000000" w:themeColor="text1"/>
          <w:szCs w:val="22"/>
          <w:lang w:val="en-US"/>
        </w:rPr>
      </w:pPr>
      <w:r w:rsidRPr="00804E5C">
        <w:rPr>
          <w:rFonts w:cs="Arial"/>
          <w:bCs/>
          <w:i/>
          <w:color w:val="000000" w:themeColor="text1"/>
          <w:szCs w:val="22"/>
          <w:lang w:val="en-US"/>
        </w:rPr>
        <w:t>Scope of financial instruments</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We understand that the requirement is only for financial instruments admitted by a CSD regula</w:t>
      </w:r>
      <w:r w:rsidRPr="00804E5C">
        <w:rPr>
          <w:rFonts w:cs="Arial"/>
          <w:bCs/>
          <w:color w:val="000000" w:themeColor="text1"/>
          <w:szCs w:val="22"/>
          <w:lang w:val="en-US"/>
        </w:rPr>
        <w:t>t</w:t>
      </w:r>
      <w:r w:rsidRPr="00804E5C">
        <w:rPr>
          <w:rFonts w:cs="Arial"/>
          <w:bCs/>
          <w:color w:val="000000" w:themeColor="text1"/>
          <w:szCs w:val="22"/>
          <w:lang w:val="en-US"/>
        </w:rPr>
        <w:t>ed under the CSDR. Indeed information related to non EU ones will not be comparable to CSDs’ figures.</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jc w:val="both"/>
        <w:rPr>
          <w:rFonts w:cs="Arial"/>
          <w:bCs/>
          <w:i/>
          <w:color w:val="000000" w:themeColor="text1"/>
          <w:szCs w:val="22"/>
          <w:lang w:val="en-US"/>
        </w:rPr>
      </w:pPr>
      <w:r w:rsidRPr="00804E5C">
        <w:rPr>
          <w:rFonts w:cs="Arial"/>
          <w:bCs/>
          <w:color w:val="000000" w:themeColor="text1"/>
          <w:szCs w:val="22"/>
          <w:lang w:val="en-US"/>
        </w:rPr>
        <w:t>To avoid any misinterpretation, we would appreciate that ESMA clarifies the point in its draft RTS.</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rPr>
          <w:rFonts w:cs="Arial"/>
          <w:bCs/>
          <w:i/>
          <w:color w:val="000000" w:themeColor="text1"/>
          <w:szCs w:val="22"/>
          <w:lang w:val="en-US"/>
        </w:rPr>
      </w:pPr>
      <w:r w:rsidRPr="00804E5C">
        <w:rPr>
          <w:rFonts w:cs="Arial"/>
          <w:bCs/>
          <w:i/>
          <w:color w:val="000000" w:themeColor="text1"/>
          <w:szCs w:val="22"/>
          <w:lang w:val="en-US"/>
        </w:rPr>
        <w:t>Practical issues</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We would appreciate some clarification on the requirements:</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pStyle w:val="Paragraphedeliste"/>
        <w:numPr>
          <w:ilvl w:val="0"/>
          <w:numId w:val="40"/>
        </w:numPr>
        <w:spacing w:line="240" w:lineRule="atLeast"/>
        <w:jc w:val="both"/>
        <w:rPr>
          <w:rFonts w:cs="Arial"/>
          <w:bCs/>
          <w:color w:val="000000" w:themeColor="text1"/>
          <w:szCs w:val="22"/>
          <w:lang w:val="en-US"/>
        </w:rPr>
      </w:pPr>
      <w:r w:rsidRPr="00804E5C">
        <w:rPr>
          <w:rFonts w:cs="Arial"/>
          <w:bCs/>
          <w:color w:val="000000" w:themeColor="text1"/>
          <w:szCs w:val="22"/>
          <w:lang w:val="en-US"/>
        </w:rPr>
        <w:t>does “failed transfer orders” means “failed matched transfer orders” (the definition doesn’t mention it)?</w:t>
      </w:r>
    </w:p>
    <w:p w:rsidR="00612896" w:rsidRPr="00804E5C" w:rsidRDefault="00612896" w:rsidP="00763434">
      <w:pPr>
        <w:pStyle w:val="Paragraphedeliste"/>
        <w:numPr>
          <w:ilvl w:val="0"/>
          <w:numId w:val="40"/>
        </w:numPr>
        <w:spacing w:line="240" w:lineRule="atLeast"/>
        <w:jc w:val="both"/>
        <w:rPr>
          <w:rFonts w:cs="Arial"/>
          <w:bCs/>
          <w:color w:val="000000" w:themeColor="text1"/>
          <w:szCs w:val="22"/>
          <w:lang w:val="en-US"/>
        </w:rPr>
      </w:pPr>
      <w:r w:rsidRPr="00804E5C">
        <w:rPr>
          <w:rFonts w:cs="Arial"/>
          <w:bCs/>
          <w:color w:val="000000" w:themeColor="text1"/>
          <w:szCs w:val="22"/>
          <w:lang w:val="en-US"/>
        </w:rPr>
        <w:t>is it clear for ESMA that the settlement internaliser will report both legs? (a delivery for 10 by A and a receipt for 10 by B settle together will appear in the reporting as a settled quantity of 20)</w:t>
      </w:r>
    </w:p>
    <w:p w:rsidR="00612896" w:rsidRPr="00804E5C" w:rsidRDefault="00612896" w:rsidP="00763434">
      <w:pPr>
        <w:pStyle w:val="Paragraphedeliste"/>
        <w:numPr>
          <w:ilvl w:val="0"/>
          <w:numId w:val="40"/>
        </w:numPr>
        <w:spacing w:line="240" w:lineRule="atLeast"/>
        <w:jc w:val="both"/>
        <w:rPr>
          <w:rFonts w:cs="Arial"/>
          <w:bCs/>
          <w:color w:val="000000" w:themeColor="text1"/>
          <w:szCs w:val="22"/>
          <w:lang w:val="en-US"/>
        </w:rPr>
      </w:pPr>
      <w:r w:rsidRPr="00804E5C">
        <w:rPr>
          <w:rFonts w:cs="Arial"/>
          <w:bCs/>
          <w:color w:val="000000" w:themeColor="text1"/>
          <w:szCs w:val="22"/>
          <w:lang w:val="en-US"/>
        </w:rPr>
        <w:t>the volume of failed transfer orders is in the sub-column of “number of transfer orders” does it mean that only transfer orders that finally settle are to be reported?</w:t>
      </w:r>
    </w:p>
    <w:p w:rsidR="00612896" w:rsidRPr="00804E5C" w:rsidRDefault="00612896" w:rsidP="00763434">
      <w:pPr>
        <w:pStyle w:val="Paragraphedeliste"/>
        <w:spacing w:line="240" w:lineRule="atLeast"/>
        <w:rPr>
          <w:rFonts w:cs="Arial"/>
          <w:bCs/>
          <w:color w:val="000000" w:themeColor="text1"/>
          <w:szCs w:val="22"/>
          <w:lang w:val="en-US"/>
        </w:rPr>
      </w:pPr>
    </w:p>
    <w:p w:rsidR="00612896" w:rsidRPr="00804E5C" w:rsidRDefault="00612896" w:rsidP="00763434">
      <w:pPr>
        <w:spacing w:line="240" w:lineRule="atLeast"/>
        <w:rPr>
          <w:rFonts w:cs="Arial"/>
          <w:iCs/>
          <w:color w:val="000000" w:themeColor="text1"/>
          <w:szCs w:val="22"/>
          <w:u w:val="single"/>
          <w:lang w:val="en-US"/>
        </w:rPr>
      </w:pPr>
    </w:p>
    <w:p w:rsidR="00612896" w:rsidRPr="00C809C3" w:rsidRDefault="00612896" w:rsidP="00763434">
      <w:pPr>
        <w:spacing w:line="240" w:lineRule="atLeast"/>
        <w:rPr>
          <w:rFonts w:cs="Arial"/>
          <w:bCs/>
          <w:i/>
          <w:color w:val="000000" w:themeColor="text1"/>
          <w:szCs w:val="22"/>
          <w:lang w:val="en-US"/>
        </w:rPr>
      </w:pPr>
      <w:r w:rsidRPr="00C809C3">
        <w:rPr>
          <w:rFonts w:cs="Arial"/>
          <w:i/>
          <w:iCs/>
          <w:color w:val="000000" w:themeColor="text1"/>
          <w:szCs w:val="22"/>
          <w:lang w:val="en-US"/>
        </w:rPr>
        <w:t>Settlement fails’ in the context of internalised settlement</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lastRenderedPageBreak/>
        <w:t>Once again, we would like to highlight that neither the article 9 of level 2 nor the mandate given to ESMA require information beyond the “</w:t>
      </w:r>
      <w:r w:rsidRPr="00804E5C">
        <w:rPr>
          <w:rFonts w:cs="Arial"/>
          <w:b/>
          <w:bCs/>
          <w:i/>
          <w:color w:val="000000" w:themeColor="text1"/>
          <w:szCs w:val="22"/>
          <w:lang w:val="en-US"/>
        </w:rPr>
        <w:t>aggregated volume and value of all securities transactions</w:t>
      </w:r>
      <w:r w:rsidRPr="00804E5C">
        <w:rPr>
          <w:rFonts w:cs="Arial"/>
          <w:bCs/>
          <w:i/>
          <w:color w:val="000000" w:themeColor="text1"/>
          <w:szCs w:val="22"/>
          <w:lang w:val="en-US"/>
        </w:rPr>
        <w:t xml:space="preserve"> that they settle outside securities settlement systems</w:t>
      </w:r>
      <w:r w:rsidRPr="00804E5C">
        <w:rPr>
          <w:rFonts w:cs="Arial"/>
          <w:bCs/>
          <w:color w:val="000000" w:themeColor="text1"/>
          <w:szCs w:val="22"/>
          <w:lang w:val="en-US"/>
        </w:rPr>
        <w:t>”.</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So we ask ESMA to limit its requirements to an aggregated volume and value of all settlement instructions that settle outside a securities settlement system.</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rPr>
          <w:rFonts w:cs="Arial"/>
          <w:bCs/>
          <w:color w:val="000000" w:themeColor="text1"/>
          <w:szCs w:val="22"/>
          <w:lang w:val="en-US"/>
        </w:rPr>
      </w:pPr>
      <w:r w:rsidRPr="00804E5C">
        <w:rPr>
          <w:rFonts w:cs="Arial"/>
          <w:bCs/>
          <w:color w:val="000000" w:themeColor="text1"/>
          <w:szCs w:val="22"/>
          <w:lang w:val="en-US"/>
        </w:rPr>
        <w:t>Regarding fails,ESMA considers that:</w:t>
      </w: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w:t>
      </w:r>
      <w:r w:rsidRPr="00804E5C">
        <w:rPr>
          <w:rFonts w:cs="Arial"/>
          <w:bCs/>
          <w:i/>
          <w:color w:val="000000" w:themeColor="text1"/>
          <w:szCs w:val="22"/>
          <w:lang w:val="en-US"/>
        </w:rPr>
        <w:t>338. … it is important to cover the investor protection aspect. ESMA is aware of the fact that ‘settlement fails’ in the sense of the CSDR definition cannot be used in the context of interna</w:t>
      </w:r>
      <w:r w:rsidRPr="00804E5C">
        <w:rPr>
          <w:rFonts w:cs="Arial"/>
          <w:bCs/>
          <w:i/>
          <w:color w:val="000000" w:themeColor="text1"/>
          <w:szCs w:val="22"/>
          <w:lang w:val="en-US"/>
        </w:rPr>
        <w:t>l</w:t>
      </w:r>
      <w:r w:rsidRPr="00804E5C">
        <w:rPr>
          <w:rFonts w:cs="Arial"/>
          <w:bCs/>
          <w:i/>
          <w:color w:val="000000" w:themeColor="text1"/>
          <w:szCs w:val="22"/>
          <w:lang w:val="en-US"/>
        </w:rPr>
        <w:t>ised settlement, however ESMA believes that the technical standards may focus on whether the transfers made in the books of the settlement internalisers occur when intended (according to the settlement internalisers’ clients instructions, and evidenced by settlement or payment confi</w:t>
      </w:r>
      <w:r w:rsidRPr="00804E5C">
        <w:rPr>
          <w:rFonts w:cs="Arial"/>
          <w:bCs/>
          <w:i/>
          <w:color w:val="000000" w:themeColor="text1"/>
          <w:szCs w:val="22"/>
          <w:lang w:val="en-US"/>
        </w:rPr>
        <w:t>r</w:t>
      </w:r>
      <w:r w:rsidRPr="00804E5C">
        <w:rPr>
          <w:rFonts w:cs="Arial"/>
          <w:bCs/>
          <w:i/>
          <w:color w:val="000000" w:themeColor="text1"/>
          <w:szCs w:val="22"/>
          <w:lang w:val="en-US"/>
        </w:rPr>
        <w:t>mations, end-of-day statement of transactions). ESMA has included a template for the reporting of failed transfer orders by settlement internalisers, which is a simplified version of the template proposed in the RTS on the reporting of settlement fails by CSDs</w:t>
      </w:r>
      <w:r w:rsidRPr="00804E5C">
        <w:rPr>
          <w:rFonts w:cs="Arial"/>
          <w:bCs/>
          <w:color w:val="000000" w:themeColor="text1"/>
          <w:szCs w:val="22"/>
          <w:lang w:val="en-US"/>
        </w:rPr>
        <w:t>” (page 95 of the CP on RTS)</w:t>
      </w:r>
    </w:p>
    <w:p w:rsidR="00612896" w:rsidRPr="00804E5C" w:rsidRDefault="00612896" w:rsidP="00763434">
      <w:pPr>
        <w:spacing w:line="240" w:lineRule="atLeast"/>
        <w:rPr>
          <w:rFonts w:cs="Arial"/>
          <w:bCs/>
          <w:color w:val="000000" w:themeColor="text1"/>
          <w:szCs w:val="22"/>
          <w:lang w:val="en-US"/>
        </w:rPr>
      </w:pPr>
    </w:p>
    <w:p w:rsidR="00612896" w:rsidRPr="00804E5C" w:rsidRDefault="00612896" w:rsidP="00763434">
      <w:pPr>
        <w:spacing w:line="240" w:lineRule="atLeast"/>
        <w:jc w:val="both"/>
        <w:rPr>
          <w:rFonts w:cs="Arial"/>
          <w:bCs/>
          <w:color w:val="000000" w:themeColor="text1"/>
          <w:szCs w:val="22"/>
          <w:lang w:val="en-US"/>
        </w:rPr>
      </w:pPr>
      <w:r w:rsidRPr="00804E5C">
        <w:rPr>
          <w:rFonts w:cs="Arial"/>
          <w:bCs/>
          <w:color w:val="000000" w:themeColor="text1"/>
          <w:szCs w:val="22"/>
          <w:lang w:val="en-US"/>
        </w:rPr>
        <w:t>If the protection of the investor is crucial and if we understand ESMA’s intention</w:t>
      </w:r>
      <w:r w:rsidR="00763434">
        <w:rPr>
          <w:rFonts w:cs="Arial"/>
          <w:bCs/>
          <w:color w:val="000000" w:themeColor="text1"/>
          <w:szCs w:val="22"/>
          <w:lang w:val="en-US"/>
        </w:rPr>
        <w:t>,</w:t>
      </w:r>
      <w:r w:rsidRPr="00804E5C">
        <w:rPr>
          <w:rFonts w:cs="Arial"/>
          <w:bCs/>
          <w:color w:val="000000" w:themeColor="text1"/>
          <w:szCs w:val="22"/>
          <w:lang w:val="en-US"/>
        </w:rPr>
        <w:t xml:space="preserve"> we are not convinced that such reporting on settlement instructions that failed to settle internally on ISD will cover this objective. As for external settlements, a failing instruction may be synonym of investor protection since it shows that no unintended use of financial instruments has</w:t>
      </w:r>
      <w:r w:rsidR="00C809C3">
        <w:rPr>
          <w:rFonts w:cs="Arial"/>
          <w:bCs/>
          <w:color w:val="000000" w:themeColor="text1"/>
          <w:szCs w:val="22"/>
          <w:lang w:val="en-US"/>
        </w:rPr>
        <w:t xml:space="preserve"> been made by the participant. </w:t>
      </w:r>
    </w:p>
    <w:permEnd w:id="34"/>
    <w:p w:rsidR="00F05A8C" w:rsidRDefault="00D12AFD" w:rsidP="00CE149D">
      <w:r>
        <w:t>&lt;ESMA_QUESTION_TS_CSDR_3</w:t>
      </w:r>
      <w:r w:rsidR="00252063">
        <w:t>2</w:t>
      </w:r>
      <w:r>
        <w:t>&gt;</w:t>
      </w:r>
    </w:p>
    <w:sectPr w:rsidR="00F05A8C" w:rsidSect="000D17AA">
      <w:headerReference w:type="even" r:id="rId16"/>
      <w:headerReference w:type="first" r:id="rId17"/>
      <w:footerReference w:type="first" r:id="rId18"/>
      <w:pgSz w:w="11906" w:h="16838" w:code="9"/>
      <w:pgMar w:top="2552" w:right="1247" w:bottom="1135" w:left="124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0A92" w:rsidRDefault="00E20A92">
      <w:r>
        <w:separator/>
      </w:r>
    </w:p>
    <w:p w:rsidR="00E20A92" w:rsidRDefault="00E20A92"/>
  </w:endnote>
  <w:endnote w:type="continuationSeparator" w:id="0">
    <w:p w:rsidR="00E20A92" w:rsidRDefault="00E20A92">
      <w:r>
        <w:continuationSeparator/>
      </w:r>
    </w:p>
    <w:p w:rsidR="00E20A92" w:rsidRDefault="00E20A92"/>
  </w:endnote>
  <w:endnote w:type="continuationNotice" w:id="1">
    <w:p w:rsidR="00E20A92" w:rsidRDefault="00E20A9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B17999" w:rsidRPr="00315E96" w:rsidTr="00315E96">
      <w:trPr>
        <w:trHeight w:val="284"/>
      </w:trPr>
      <w:tc>
        <w:tcPr>
          <w:tcW w:w="8460" w:type="dxa"/>
        </w:tcPr>
        <w:p w:rsidR="00B17999" w:rsidRPr="00315E96" w:rsidRDefault="00B17999" w:rsidP="00315E96">
          <w:pPr>
            <w:pStyle w:val="00Footer"/>
            <w:rPr>
              <w:lang w:val="fr-FR"/>
            </w:rPr>
          </w:pPr>
        </w:p>
      </w:tc>
      <w:tc>
        <w:tcPr>
          <w:tcW w:w="952" w:type="dxa"/>
        </w:tcPr>
        <w:p w:rsidR="00B17999" w:rsidRPr="002C5B2D" w:rsidRDefault="0007744E" w:rsidP="002C5B2D">
          <w:pPr>
            <w:pStyle w:val="00aPagenumber"/>
          </w:pPr>
          <w:fldSimple w:instr=" PAGE ">
            <w:r w:rsidR="00CB5607">
              <w:rPr>
                <w:noProof/>
              </w:rPr>
              <w:t>9</w:t>
            </w:r>
          </w:fldSimple>
        </w:p>
      </w:tc>
    </w:tr>
  </w:tbl>
  <w:p w:rsidR="00B17999" w:rsidRDefault="00B17999">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99" w:rsidRDefault="00B1799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0A92" w:rsidRDefault="00E20A92">
      <w:r>
        <w:separator/>
      </w:r>
    </w:p>
    <w:p w:rsidR="00E20A92" w:rsidRDefault="00E20A92"/>
  </w:footnote>
  <w:footnote w:type="continuationSeparator" w:id="0">
    <w:p w:rsidR="00E20A92" w:rsidRDefault="00E20A92">
      <w:r>
        <w:continuationSeparator/>
      </w:r>
    </w:p>
    <w:p w:rsidR="00E20A92" w:rsidRDefault="00E20A92"/>
  </w:footnote>
  <w:footnote w:type="continuationNotice" w:id="1">
    <w:p w:rsidR="00E20A92" w:rsidRDefault="00E20A92"/>
  </w:footnote>
  <w:footnote w:id="2">
    <w:p w:rsidR="00B17999" w:rsidRPr="00365D7F" w:rsidRDefault="00B17999" w:rsidP="00435759">
      <w:pPr>
        <w:autoSpaceDE w:val="0"/>
        <w:autoSpaceDN w:val="0"/>
        <w:adjustRightInd w:val="0"/>
        <w:rPr>
          <w:sz w:val="16"/>
          <w:szCs w:val="20"/>
        </w:rPr>
      </w:pPr>
      <w:r>
        <w:rPr>
          <w:rStyle w:val="Appelnotedebasdep"/>
        </w:rPr>
        <w:footnoteRef/>
      </w:r>
      <w:r>
        <w:t xml:space="preserve"> </w:t>
      </w:r>
      <w:r w:rsidRPr="00365D7F">
        <w:rPr>
          <w:sz w:val="16"/>
          <w:szCs w:val="20"/>
        </w:rPr>
        <w:t>Directive 98/26/EC defines 'settlement agent` shall mean an entity providing to institutions and/or a central counterparty participa</w:t>
      </w:r>
      <w:r w:rsidRPr="00365D7F">
        <w:rPr>
          <w:sz w:val="16"/>
          <w:szCs w:val="20"/>
        </w:rPr>
        <w:t>t</w:t>
      </w:r>
      <w:r w:rsidRPr="00365D7F">
        <w:rPr>
          <w:sz w:val="16"/>
          <w:szCs w:val="20"/>
        </w:rPr>
        <w:t>ing in systems, settlement accounts through which transfer orders within such systems are settled and, as the case may be, exten</w:t>
      </w:r>
      <w:r w:rsidRPr="00365D7F">
        <w:rPr>
          <w:sz w:val="16"/>
          <w:szCs w:val="20"/>
        </w:rPr>
        <w:t>d</w:t>
      </w:r>
      <w:r w:rsidRPr="00365D7F">
        <w:rPr>
          <w:sz w:val="16"/>
          <w:szCs w:val="20"/>
        </w:rPr>
        <w:t>ing credit to those institutions and/or central counterparties for settlement purposes;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99" w:rsidRDefault="00B17999">
    <w:pPr>
      <w:pStyle w:val="En-tte"/>
    </w:pPr>
    <w:r>
      <w:rPr>
        <w:noProof/>
        <w:lang w:val="fr-FR" w:eastAsia="fr-FR"/>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anchor>
      </w:drawing>
    </w:r>
    <w:r w:rsidR="0007744E" w:rsidRPr="0007744E">
      <w:rPr>
        <w:noProof/>
        <w:lang w:eastAsia="en-GB"/>
      </w:rPr>
      <w:pict>
        <v:line id="Line 16" o:spid="_x0000_s2049" style="position:absolute;z-index:251656192;visibility:visible;mso-wrap-distance-left:3.17486mm;mso-wrap-distance-right:3.17486mm;mso-position-horizontal-relative:page;mso-position-vertical-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99" w:rsidRDefault="00B17999" w:rsidP="00013CCE">
    <w:pPr>
      <w:pStyle w:val="En-tte"/>
      <w:jc w:val="right"/>
    </w:pPr>
    <w:r>
      <w:rPr>
        <w:noProof/>
        <w:lang w:val="fr-FR" w:eastAsia="fr-FR"/>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r>
      <w:rPr>
        <w:noProof/>
        <w:lang w:val="fr-FR" w:eastAsia="fr-FR"/>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anchor>
      </w:drawing>
    </w:r>
    <w: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99" w:rsidRDefault="00B17999"/>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B17999" w:rsidRPr="002F4496" w:rsidTr="000C06C9">
      <w:trPr>
        <w:trHeight w:val="284"/>
      </w:trPr>
      <w:tc>
        <w:tcPr>
          <w:tcW w:w="8460" w:type="dxa"/>
        </w:tcPr>
        <w:p w:rsidR="00B17999" w:rsidRPr="000C3B6D" w:rsidRDefault="00B17999" w:rsidP="000C06C9">
          <w:pPr>
            <w:pStyle w:val="00Footer"/>
            <w:rPr>
              <w:lang w:val="fr-FR"/>
            </w:rPr>
          </w:pPr>
        </w:p>
      </w:tc>
      <w:tc>
        <w:tcPr>
          <w:tcW w:w="952" w:type="dxa"/>
        </w:tcPr>
        <w:p w:rsidR="00B17999" w:rsidRPr="00146B34" w:rsidRDefault="00B17999" w:rsidP="000C06C9">
          <w:pPr>
            <w:pStyle w:val="00aPagenumber"/>
            <w:rPr>
              <w:lang w:val="fr-FR"/>
            </w:rPr>
          </w:pPr>
        </w:p>
      </w:tc>
    </w:tr>
  </w:tbl>
  <w:p w:rsidR="00B17999" w:rsidRPr="00DB46C3" w:rsidRDefault="00B17999">
    <w:pPr>
      <w:rPr>
        <w:lang w:val="fr-FR"/>
      </w:rPr>
    </w:pPr>
  </w:p>
  <w:p w:rsidR="00B17999" w:rsidRPr="002F4496" w:rsidRDefault="00B17999">
    <w:pPr>
      <w:pStyle w:val="En-tte"/>
      <w:rPr>
        <w:lang w:val="fr-FR"/>
      </w:rPr>
    </w:pPr>
  </w:p>
  <w:p w:rsidR="00B17999" w:rsidRPr="002F4496" w:rsidRDefault="00B17999" w:rsidP="000C06C9">
    <w:pPr>
      <w:pStyle w:val="En-tte"/>
      <w:tabs>
        <w:tab w:val="clear" w:pos="4536"/>
        <w:tab w:val="clear" w:pos="9072"/>
        <w:tab w:val="left" w:pos="8227"/>
      </w:tabs>
      <w:rPr>
        <w:lang w:val="fr-FR"/>
      </w:rPr>
    </w:pPr>
  </w:p>
  <w:p w:rsidR="00B17999" w:rsidRPr="002F4496" w:rsidRDefault="00B17999" w:rsidP="000C06C9">
    <w:pPr>
      <w:pStyle w:val="En-tte"/>
      <w:tabs>
        <w:tab w:val="clear" w:pos="4536"/>
        <w:tab w:val="clear" w:pos="9072"/>
        <w:tab w:val="left" w:pos="8227"/>
      </w:tabs>
      <w:rPr>
        <w:lang w:val="fr-FR"/>
      </w:rPr>
    </w:pPr>
  </w:p>
  <w:p w:rsidR="00B17999" w:rsidRPr="002F4496" w:rsidRDefault="00B17999">
    <w:pPr>
      <w:pStyle w:val="En-tte"/>
      <w:rPr>
        <w:lang w:val="fr-FR"/>
      </w:rPr>
    </w:pPr>
  </w:p>
  <w:p w:rsidR="00B17999" w:rsidRPr="002F4496" w:rsidRDefault="00B17999">
    <w:pPr>
      <w:pStyle w:val="En-tte"/>
      <w:rPr>
        <w:lang w:val="fr-FR"/>
      </w:rPr>
    </w:pPr>
  </w:p>
  <w:p w:rsidR="00B17999" w:rsidRPr="002F4496" w:rsidRDefault="00B17999">
    <w:pPr>
      <w:pStyle w:val="En-tte"/>
      <w:rPr>
        <w:lang w:val="fr-FR"/>
      </w:rPr>
    </w:pPr>
  </w:p>
  <w:p w:rsidR="00B17999" w:rsidRPr="002F4496" w:rsidRDefault="00B17999">
    <w:pPr>
      <w:pStyle w:val="En-tte"/>
      <w:rPr>
        <w:lang w:val="fr-FR"/>
      </w:rPr>
    </w:pPr>
  </w:p>
  <w:p w:rsidR="00B17999" w:rsidRPr="002F4496" w:rsidRDefault="00B17999">
    <w:pPr>
      <w:pStyle w:val="En-tte"/>
      <w:rPr>
        <w:highlight w:val="yellow"/>
        <w:lang w:val="fr-FR"/>
      </w:rPr>
    </w:pPr>
  </w:p>
  <w:p w:rsidR="00B17999" w:rsidRDefault="0007744E">
    <w:pPr>
      <w:pStyle w:val="En-tte"/>
    </w:pPr>
    <w:r w:rsidRPr="0007744E">
      <w:rPr>
        <w:noProof/>
        <w:lang w:eastAsia="en-GB"/>
      </w:rPr>
      <w:pict>
        <v:line id="Straight Connector 138" o:spid="_x0000_s2050" style="position:absolute;z-index:251660288;visibility:visible;mso-wrap-distance-left:3.17497mm;mso-wrap-distance-right:3.17497mm;mso-position-horizontal-relative:page;mso-position-vertical-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w:r>
    <w:r w:rsidR="00B17999">
      <w:rPr>
        <w:noProof/>
        <w:lang w:val="fr-FR" w:eastAsia="fr-FR"/>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epuces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6">
    <w:nsid w:val="1DAE53C8"/>
    <w:multiLevelType w:val="multilevel"/>
    <w:tmpl w:val="ACFA87A8"/>
    <w:lvl w:ilvl="0">
      <w:start w:val="1"/>
      <w:numFmt w:val="decimal"/>
      <w:pStyle w:val="Corpsdetexte"/>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
    <w:nsid w:val="33BE3E25"/>
    <w:multiLevelType w:val="hybridMultilevel"/>
    <w:tmpl w:val="A17C948C"/>
    <w:lvl w:ilvl="0" w:tplc="589CDE78">
      <w:numFmt w:val="bullet"/>
      <w:lvlText w:val="-"/>
      <w:lvlJc w:val="left"/>
      <w:pPr>
        <w:ind w:left="720" w:hanging="360"/>
      </w:pPr>
      <w:rPr>
        <w:rFonts w:ascii="Calibri" w:eastAsiaTheme="minorEastAsia"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3EC3059"/>
    <w:multiLevelType w:val="hybridMultilevel"/>
    <w:tmpl w:val="CC0A1016"/>
    <w:lvl w:ilvl="0" w:tplc="6E32DDE6">
      <w:start w:val="1"/>
      <w:numFmt w:val="lowerLetter"/>
      <w:lvlText w:val="%1)"/>
      <w:lvlJc w:val="left"/>
      <w:pPr>
        <w:ind w:left="510" w:hanging="360"/>
      </w:pPr>
      <w:rPr>
        <w:rFonts w:hint="default"/>
      </w:rPr>
    </w:lvl>
    <w:lvl w:ilvl="1" w:tplc="00DA126C">
      <w:start w:val="1"/>
      <w:numFmt w:val="lowerRoman"/>
      <w:lvlText w:val="%2."/>
      <w:lvlJc w:val="left"/>
      <w:pPr>
        <w:ind w:left="1230" w:hanging="360"/>
      </w:pPr>
      <w:rPr>
        <w:rFonts w:hint="default"/>
      </w:r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3">
    <w:nsid w:val="37BC6D02"/>
    <w:multiLevelType w:val="hybridMultilevel"/>
    <w:tmpl w:val="45846C96"/>
    <w:lvl w:ilvl="0" w:tplc="B9AEC8AE">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nsid w:val="3A841364"/>
    <w:multiLevelType w:val="hybridMultilevel"/>
    <w:tmpl w:val="21CCF614"/>
    <w:lvl w:ilvl="0" w:tplc="08090017">
      <w:start w:val="1"/>
      <w:numFmt w:val="lowerLetter"/>
      <w:pStyle w:val="Listepuces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4941BF9"/>
    <w:multiLevelType w:val="hybridMultilevel"/>
    <w:tmpl w:val="A72E34B8"/>
    <w:lvl w:ilvl="0" w:tplc="B5785E82">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nsid w:val="4C7151D2"/>
    <w:multiLevelType w:val="hybridMultilevel"/>
    <w:tmpl w:val="DE90C632"/>
    <w:lvl w:ilvl="0" w:tplc="08090001">
      <w:start w:val="1"/>
      <w:numFmt w:val="bullet"/>
      <w:pStyle w:val="Listepuces"/>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nsid w:val="4C842549"/>
    <w:multiLevelType w:val="hybridMultilevel"/>
    <w:tmpl w:val="F74CBF88"/>
    <w:lvl w:ilvl="0" w:tplc="AB78B940">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nsid w:val="55DE60E9"/>
    <w:multiLevelType w:val="hybridMultilevel"/>
    <w:tmpl w:val="1084069A"/>
    <w:lvl w:ilvl="0" w:tplc="B532C018">
      <w:start w:val="2"/>
      <w:numFmt w:val="upperRoman"/>
      <w:pStyle w:val="Titre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0">
    <w:nsid w:val="577C761F"/>
    <w:multiLevelType w:val="hybridMultilevel"/>
    <w:tmpl w:val="68EA33CA"/>
    <w:lvl w:ilvl="0" w:tplc="00DA126C">
      <w:start w:val="1"/>
      <w:numFmt w:val="lowerRoman"/>
      <w:lvlText w:val="%1."/>
      <w:lvlJc w:val="left"/>
      <w:pPr>
        <w:ind w:left="765" w:hanging="360"/>
      </w:pPr>
      <w:rPr>
        <w:rFonts w:hint="default"/>
      </w:rPr>
    </w:lvl>
    <w:lvl w:ilvl="1" w:tplc="04090001">
      <w:start w:val="1"/>
      <w:numFmt w:val="bullet"/>
      <w:lvlText w:val=""/>
      <w:lvlJc w:val="left"/>
      <w:pPr>
        <w:ind w:left="1485" w:hanging="360"/>
      </w:pPr>
      <w:rPr>
        <w:rFonts w:ascii="Symbol" w:hAnsi="Symbol" w:hint="default"/>
      </w:r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1">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3">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nsid w:val="605735B9"/>
    <w:multiLevelType w:val="hybridMultilevel"/>
    <w:tmpl w:val="FE2226F2"/>
    <w:lvl w:ilvl="0" w:tplc="659EE572">
      <w:start w:val="1"/>
      <w:numFmt w:val="decimal"/>
      <w:pStyle w:val="Titre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2970F71"/>
    <w:multiLevelType w:val="singleLevel"/>
    <w:tmpl w:val="A8CADBFA"/>
    <w:name w:val="Bullet 0"/>
    <w:lvl w:ilvl="0">
      <w:start w:val="1"/>
      <w:numFmt w:val="bullet"/>
      <w:pStyle w:val="Listenumros"/>
      <w:lvlText w:val="–"/>
      <w:lvlJc w:val="left"/>
      <w:pPr>
        <w:tabs>
          <w:tab w:val="num" w:pos="1417"/>
        </w:tabs>
        <w:ind w:left="1417" w:hanging="567"/>
      </w:pPr>
    </w:lvl>
  </w:abstractNum>
  <w:abstractNum w:abstractNumId="36">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nsid w:val="693C635D"/>
    <w:multiLevelType w:val="hybridMultilevel"/>
    <w:tmpl w:val="97FAE946"/>
    <w:lvl w:ilvl="0" w:tplc="77D82A5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8">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8"/>
  </w:num>
  <w:num w:numId="2">
    <w:abstractNumId w:val="20"/>
  </w:num>
  <w:num w:numId="3">
    <w:abstractNumId w:val="14"/>
  </w:num>
  <w:num w:numId="4">
    <w:abstractNumId w:val="26"/>
  </w:num>
  <w:num w:numId="5">
    <w:abstractNumId w:val="3"/>
  </w:num>
  <w:num w:numId="6">
    <w:abstractNumId w:val="28"/>
  </w:num>
  <w:num w:numId="7">
    <w:abstractNumId w:val="0"/>
  </w:num>
  <w:num w:numId="8">
    <w:abstractNumId w:val="5"/>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num>
  <w:num w:numId="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num>
  <w:num w:numId="14">
    <w:abstractNumId w:val="34"/>
  </w:num>
  <w:num w:numId="15">
    <w:abstractNumId w:val="24"/>
  </w:num>
  <w:num w:numId="16">
    <w:abstractNumId w:val="10"/>
  </w:num>
  <w:num w:numId="17">
    <w:abstractNumId w:val="1"/>
  </w:num>
  <w:num w:numId="18">
    <w:abstractNumId w:val="16"/>
  </w:num>
  <w:num w:numId="19">
    <w:abstractNumId w:val="17"/>
  </w:num>
  <w:num w:numId="20">
    <w:abstractNumId w:val="19"/>
  </w:num>
  <w:num w:numId="21">
    <w:abstractNumId w:val="29"/>
  </w:num>
  <w:num w:numId="22">
    <w:abstractNumId w:val="38"/>
  </w:num>
  <w:num w:numId="23">
    <w:abstractNumId w:val="27"/>
  </w:num>
  <w:num w:numId="24">
    <w:abstractNumId w:val="9"/>
  </w:num>
  <w:num w:numId="25">
    <w:abstractNumId w:val="33"/>
  </w:num>
  <w:num w:numId="26">
    <w:abstractNumId w:val="32"/>
  </w:num>
  <w:num w:numId="27">
    <w:abstractNumId w:val="22"/>
  </w:num>
  <w:num w:numId="28">
    <w:abstractNumId w:val="36"/>
  </w:num>
  <w:num w:numId="29">
    <w:abstractNumId w:val="40"/>
  </w:num>
  <w:num w:numId="30">
    <w:abstractNumId w:val="7"/>
  </w:num>
  <w:num w:numId="31">
    <w:abstractNumId w:val="4"/>
  </w:num>
  <w:num w:numId="32">
    <w:abstractNumId w:val="23"/>
  </w:num>
  <w:num w:numId="33">
    <w:abstractNumId w:val="2"/>
  </w:num>
  <w:num w:numId="34">
    <w:abstractNumId w:val="13"/>
  </w:num>
  <w:num w:numId="35">
    <w:abstractNumId w:val="37"/>
  </w:num>
  <w:num w:numId="36">
    <w:abstractNumId w:val="12"/>
  </w:num>
  <w:num w:numId="37">
    <w:abstractNumId w:val="30"/>
  </w:num>
  <w:num w:numId="38">
    <w:abstractNumId w:val="11"/>
  </w:num>
  <w:num w:numId="39">
    <w:abstractNumId w:val="25"/>
  </w:num>
  <w:num w:numId="40">
    <w:abstractNumId w:val="21"/>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F01"/>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6146">
      <o:colormru v:ext="edit" colors="#2d4491,#283583"/>
    </o:shapedefaults>
    <o:shapelayout v:ext="edit">
      <o:idmap v:ext="edit" data="2"/>
    </o:shapelayout>
  </w:hdrShapeDefaults>
  <w:footnotePr>
    <w:footnote w:id="-1"/>
    <w:footnote w:id="0"/>
    <w:footnote w:id="1"/>
  </w:footnotePr>
  <w:endnotePr>
    <w:endnote w:id="-1"/>
    <w:endnote w:id="0"/>
    <w:endnote w:id="1"/>
  </w:endnotePr>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44E"/>
    <w:rsid w:val="00077C67"/>
    <w:rsid w:val="0008011C"/>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830"/>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C04"/>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B7C86"/>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8C5"/>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A4E33"/>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2A35"/>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BC4"/>
    <w:rsid w:val="003E0F84"/>
    <w:rsid w:val="003E1FF3"/>
    <w:rsid w:val="003E3ACA"/>
    <w:rsid w:val="003E50EA"/>
    <w:rsid w:val="003E68C7"/>
    <w:rsid w:val="003E79B0"/>
    <w:rsid w:val="003F0403"/>
    <w:rsid w:val="003F1094"/>
    <w:rsid w:val="003F2E45"/>
    <w:rsid w:val="003F3EFE"/>
    <w:rsid w:val="003F40B8"/>
    <w:rsid w:val="003F5C06"/>
    <w:rsid w:val="003F7DA5"/>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5759"/>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5581C"/>
    <w:rsid w:val="00460905"/>
    <w:rsid w:val="00461E35"/>
    <w:rsid w:val="004621DB"/>
    <w:rsid w:val="004634A7"/>
    <w:rsid w:val="00463787"/>
    <w:rsid w:val="004643DD"/>
    <w:rsid w:val="00466926"/>
    <w:rsid w:val="00466FDA"/>
    <w:rsid w:val="004671D0"/>
    <w:rsid w:val="004674D1"/>
    <w:rsid w:val="00470773"/>
    <w:rsid w:val="00471FF9"/>
    <w:rsid w:val="00473916"/>
    <w:rsid w:val="00473E74"/>
    <w:rsid w:val="00473FEF"/>
    <w:rsid w:val="00475B8E"/>
    <w:rsid w:val="0048104E"/>
    <w:rsid w:val="004814BB"/>
    <w:rsid w:val="004815DA"/>
    <w:rsid w:val="0048195C"/>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66A3"/>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6D84"/>
    <w:rsid w:val="004D7910"/>
    <w:rsid w:val="004D7DEA"/>
    <w:rsid w:val="004E0A28"/>
    <w:rsid w:val="004E1A0F"/>
    <w:rsid w:val="004E2E89"/>
    <w:rsid w:val="004E33C2"/>
    <w:rsid w:val="004E3B9A"/>
    <w:rsid w:val="004E62DE"/>
    <w:rsid w:val="004E6B05"/>
    <w:rsid w:val="004E76A1"/>
    <w:rsid w:val="004F05DE"/>
    <w:rsid w:val="004F2E1D"/>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A20"/>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1E9"/>
    <w:rsid w:val="0060674A"/>
    <w:rsid w:val="00607832"/>
    <w:rsid w:val="0060784B"/>
    <w:rsid w:val="00610254"/>
    <w:rsid w:val="006105FB"/>
    <w:rsid w:val="00610F94"/>
    <w:rsid w:val="00611293"/>
    <w:rsid w:val="0061135E"/>
    <w:rsid w:val="0061263A"/>
    <w:rsid w:val="00612896"/>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06A"/>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536"/>
    <w:rsid w:val="006C2CCB"/>
    <w:rsid w:val="006C4334"/>
    <w:rsid w:val="006C4B0F"/>
    <w:rsid w:val="006C5E96"/>
    <w:rsid w:val="006D399F"/>
    <w:rsid w:val="006D4F0C"/>
    <w:rsid w:val="006D5645"/>
    <w:rsid w:val="006E0C8A"/>
    <w:rsid w:val="006E2A23"/>
    <w:rsid w:val="006E35E5"/>
    <w:rsid w:val="006E3C72"/>
    <w:rsid w:val="006E4F20"/>
    <w:rsid w:val="006E649A"/>
    <w:rsid w:val="006F0E85"/>
    <w:rsid w:val="006F3948"/>
    <w:rsid w:val="006F4403"/>
    <w:rsid w:val="006F45EC"/>
    <w:rsid w:val="006F47B8"/>
    <w:rsid w:val="006F47D2"/>
    <w:rsid w:val="006F4B04"/>
    <w:rsid w:val="006F5456"/>
    <w:rsid w:val="006F57F2"/>
    <w:rsid w:val="006F6468"/>
    <w:rsid w:val="006F7EB6"/>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434"/>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14116"/>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030C"/>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4E87"/>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5B6D"/>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275A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0A47"/>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2522"/>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99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B9D"/>
    <w:rsid w:val="00B47CE4"/>
    <w:rsid w:val="00B503A8"/>
    <w:rsid w:val="00B5121D"/>
    <w:rsid w:val="00B525C0"/>
    <w:rsid w:val="00B5270A"/>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367"/>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4F"/>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3B1"/>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58E5"/>
    <w:rsid w:val="00C46630"/>
    <w:rsid w:val="00C47A2F"/>
    <w:rsid w:val="00C50D18"/>
    <w:rsid w:val="00C51179"/>
    <w:rsid w:val="00C51F3D"/>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9C3"/>
    <w:rsid w:val="00C80C53"/>
    <w:rsid w:val="00C81195"/>
    <w:rsid w:val="00C85387"/>
    <w:rsid w:val="00C85E52"/>
    <w:rsid w:val="00C86471"/>
    <w:rsid w:val="00C8677B"/>
    <w:rsid w:val="00C86F96"/>
    <w:rsid w:val="00C909C6"/>
    <w:rsid w:val="00C923B7"/>
    <w:rsid w:val="00C94D4C"/>
    <w:rsid w:val="00C95AE3"/>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07"/>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597D"/>
    <w:rsid w:val="00D06163"/>
    <w:rsid w:val="00D07AFD"/>
    <w:rsid w:val="00D1063A"/>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45B1E"/>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3FE0"/>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0A92"/>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CCE"/>
    <w:rsid w:val="00E54EE6"/>
    <w:rsid w:val="00E56715"/>
    <w:rsid w:val="00E56A3B"/>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363"/>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A28"/>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3C9A"/>
    <w:rsid w:val="00F44012"/>
    <w:rsid w:val="00F44947"/>
    <w:rsid w:val="00F4572C"/>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3ECA"/>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1E13"/>
    <w:rsid w:val="00FA2528"/>
    <w:rsid w:val="00FA5535"/>
    <w:rsid w:val="00FA6017"/>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colormru v:ext="edit" colors="#2d4491,#28358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Titre1">
    <w:name w:val="heading 1"/>
    <w:basedOn w:val="Normal"/>
    <w:next w:val="Normal"/>
    <w:link w:val="Titre1Car"/>
    <w:qFormat/>
    <w:rsid w:val="009E7724"/>
    <w:pPr>
      <w:keepNext/>
      <w:numPr>
        <w:numId w:val="6"/>
      </w:numPr>
      <w:spacing w:before="240" w:after="60"/>
      <w:outlineLvl w:val="0"/>
    </w:pPr>
    <w:rPr>
      <w:rFonts w:cs="Arial"/>
      <w:b/>
      <w:bCs/>
      <w:kern w:val="32"/>
      <w:sz w:val="24"/>
      <w:szCs w:val="32"/>
    </w:rPr>
  </w:style>
  <w:style w:type="paragraph" w:styleId="Titre2">
    <w:name w:val="heading 2"/>
    <w:basedOn w:val="Normal"/>
    <w:next w:val="Normal"/>
    <w:link w:val="Titre2Car"/>
    <w:qFormat/>
    <w:rsid w:val="00886A60"/>
    <w:pPr>
      <w:keepNext/>
      <w:keepLines/>
      <w:spacing w:before="200" w:after="120"/>
      <w:outlineLvl w:val="1"/>
    </w:pPr>
    <w:rPr>
      <w:b/>
      <w:bCs/>
      <w:szCs w:val="26"/>
    </w:rPr>
  </w:style>
  <w:style w:type="paragraph" w:styleId="Titre3">
    <w:name w:val="heading 3"/>
    <w:basedOn w:val="Normal"/>
    <w:next w:val="Normal"/>
    <w:link w:val="Titre3Car"/>
    <w:qFormat/>
    <w:rsid w:val="003865E5"/>
    <w:pPr>
      <w:keepNext/>
      <w:keepLines/>
      <w:spacing w:before="200"/>
      <w:outlineLvl w:val="2"/>
    </w:pPr>
    <w:rPr>
      <w:rFonts w:ascii="Cambria" w:hAnsi="Cambria"/>
      <w:b/>
      <w:bCs/>
      <w:color w:val="4F81BD"/>
    </w:rPr>
  </w:style>
  <w:style w:type="paragraph" w:styleId="Titre4">
    <w:name w:val="heading 4"/>
    <w:basedOn w:val="Normal"/>
    <w:next w:val="Normal"/>
    <w:link w:val="Titre4C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itre5">
    <w:name w:val="heading 5"/>
    <w:aliases w:val="Questions"/>
    <w:basedOn w:val="Normal"/>
    <w:next w:val="Normal"/>
    <w:link w:val="Titre5Car"/>
    <w:qFormat/>
    <w:rsid w:val="00E9344E"/>
    <w:pPr>
      <w:keepNext/>
      <w:keepLines/>
      <w:numPr>
        <w:numId w:val="14"/>
      </w:numPr>
      <w:spacing w:before="200"/>
      <w:jc w:val="both"/>
      <w:outlineLvl w:val="4"/>
    </w:pPr>
    <w:rPr>
      <w:b/>
    </w:rPr>
  </w:style>
  <w:style w:type="paragraph" w:styleId="Titre6">
    <w:name w:val="heading 6"/>
    <w:basedOn w:val="Normal"/>
    <w:next w:val="Normal"/>
    <w:link w:val="Titre6Car"/>
    <w:qFormat/>
    <w:rsid w:val="003609B6"/>
    <w:pPr>
      <w:numPr>
        <w:ilvl w:val="5"/>
        <w:numId w:val="4"/>
      </w:numPr>
      <w:spacing w:before="240" w:after="60"/>
      <w:outlineLvl w:val="5"/>
    </w:pPr>
    <w:rPr>
      <w:rFonts w:ascii="Times New Roman" w:hAnsi="Times New Roman"/>
      <w:b/>
      <w:bCs/>
      <w:szCs w:val="22"/>
    </w:rPr>
  </w:style>
  <w:style w:type="paragraph" w:styleId="Titre7">
    <w:name w:val="heading 7"/>
    <w:basedOn w:val="Normal"/>
    <w:next w:val="Normal"/>
    <w:link w:val="Titre7Car"/>
    <w:unhideWhenUsed/>
    <w:qFormat/>
    <w:rsid w:val="002D6E1A"/>
    <w:pPr>
      <w:spacing w:before="240" w:after="60"/>
      <w:ind w:left="1296" w:hanging="1296"/>
      <w:outlineLvl w:val="6"/>
    </w:pPr>
    <w:rPr>
      <w:rFonts w:ascii="Times New Roman" w:hAnsi="Times New Roman"/>
    </w:rPr>
  </w:style>
  <w:style w:type="paragraph" w:styleId="Titre8">
    <w:name w:val="heading 8"/>
    <w:basedOn w:val="Normal"/>
    <w:next w:val="Normal"/>
    <w:link w:val="Titre8Car"/>
    <w:qFormat/>
    <w:rsid w:val="003609B6"/>
    <w:pPr>
      <w:numPr>
        <w:ilvl w:val="7"/>
        <w:numId w:val="4"/>
      </w:numPr>
      <w:spacing w:before="240" w:after="60"/>
      <w:outlineLvl w:val="7"/>
    </w:pPr>
    <w:rPr>
      <w:rFonts w:ascii="Times New Roman" w:hAnsi="Times New Roman"/>
      <w:i/>
      <w:iCs/>
    </w:rPr>
  </w:style>
  <w:style w:type="paragraph" w:styleId="Titre9">
    <w:name w:val="heading 9"/>
    <w:basedOn w:val="Normal"/>
    <w:next w:val="Normal"/>
    <w:link w:val="Titre9Car"/>
    <w:qFormat/>
    <w:rsid w:val="00A06867"/>
    <w:pPr>
      <w:tabs>
        <w:tab w:val="num" w:pos="1584"/>
      </w:tabs>
      <w:spacing w:before="240" w:after="60"/>
      <w:ind w:left="1584" w:hanging="1584"/>
      <w:outlineLvl w:val="8"/>
    </w:pPr>
    <w:rPr>
      <w:rFonts w:cs="Arial"/>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5B64CB"/>
    <w:pPr>
      <w:tabs>
        <w:tab w:val="center" w:pos="4536"/>
        <w:tab w:val="right" w:pos="9072"/>
      </w:tabs>
    </w:pPr>
  </w:style>
  <w:style w:type="paragraph" w:styleId="Pieddepage">
    <w:name w:val="footer"/>
    <w:basedOn w:val="Normal"/>
    <w:link w:val="PieddepageCar"/>
    <w:rsid w:val="005B64CB"/>
    <w:pPr>
      <w:tabs>
        <w:tab w:val="center" w:pos="4536"/>
        <w:tab w:val="right" w:pos="9072"/>
      </w:tabs>
    </w:pPr>
  </w:style>
  <w:style w:type="table" w:styleId="Grilledutableau">
    <w:name w:val="Table Grid"/>
    <w:basedOn w:val="TableauNormal"/>
    <w:uiPriority w:val="59"/>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umrodepage">
    <w:name w:val="page number"/>
    <w:basedOn w:val="Policepardfau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M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Lienhypertexte">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Notedebasdepage">
    <w:name w:val="footnote text"/>
    <w:aliases w:val="Char3, Char3,Fußnotentextf,Fußnotentextr,stile 1,Footnote1,Footnote2,Footnote3,Footnote4,Footnote5,Footnote6,Footnote7,Footnote8,Footnote9,Footnote10,Footnote11,Footnote21,Footnote31,Footnote41,Footnote51,Footnote61,Footnote71"/>
    <w:basedOn w:val="Normal"/>
    <w:link w:val="NotedebasdepageCar"/>
    <w:uiPriority w:val="99"/>
    <w:rsid w:val="001725A5"/>
    <w:pPr>
      <w:spacing w:line="200" w:lineRule="exact"/>
    </w:pPr>
    <w:rPr>
      <w:sz w:val="16"/>
      <w:szCs w:val="20"/>
    </w:rPr>
  </w:style>
  <w:style w:type="character" w:styleId="Appelnotedebasdep">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TM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Marquedecommentaire">
    <w:name w:val="annotation reference"/>
    <w:uiPriority w:val="99"/>
    <w:rsid w:val="004B1E61"/>
    <w:rPr>
      <w:sz w:val="16"/>
      <w:szCs w:val="16"/>
    </w:rPr>
  </w:style>
  <w:style w:type="paragraph" w:styleId="Commentaire">
    <w:name w:val="annotation text"/>
    <w:basedOn w:val="Normal"/>
    <w:link w:val="CommentaireCar"/>
    <w:uiPriority w:val="99"/>
    <w:rsid w:val="004B1E61"/>
    <w:rPr>
      <w:sz w:val="20"/>
      <w:szCs w:val="20"/>
    </w:rPr>
  </w:style>
  <w:style w:type="character" w:customStyle="1" w:styleId="CommentaireCar">
    <w:name w:val="Commentaire Car"/>
    <w:link w:val="Commentaire"/>
    <w:uiPriority w:val="99"/>
    <w:rsid w:val="004B1E61"/>
    <w:rPr>
      <w:rFonts w:ascii="Georgia" w:hAnsi="Georgia"/>
      <w:lang w:eastAsia="de-DE"/>
    </w:rPr>
  </w:style>
  <w:style w:type="paragraph" w:styleId="Objetducommentaire">
    <w:name w:val="annotation subject"/>
    <w:basedOn w:val="Commentaire"/>
    <w:next w:val="Commentaire"/>
    <w:link w:val="ObjetducommentaireCar"/>
    <w:rsid w:val="004B1E61"/>
    <w:rPr>
      <w:b/>
      <w:bCs/>
    </w:rPr>
  </w:style>
  <w:style w:type="character" w:customStyle="1" w:styleId="ObjetducommentaireCar">
    <w:name w:val="Objet du commentaire Car"/>
    <w:link w:val="Objetducommentaire"/>
    <w:rsid w:val="004B1E61"/>
    <w:rPr>
      <w:rFonts w:ascii="Georgia" w:hAnsi="Georgia"/>
      <w:b/>
      <w:bCs/>
      <w:lang w:eastAsia="de-DE"/>
    </w:rPr>
  </w:style>
  <w:style w:type="paragraph" w:styleId="Textedebulles">
    <w:name w:val="Balloon Text"/>
    <w:basedOn w:val="Normal"/>
    <w:link w:val="TextedebullesCar"/>
    <w:rsid w:val="004B1E61"/>
    <w:rPr>
      <w:rFonts w:ascii="Tahoma" w:hAnsi="Tahoma" w:cs="Tahoma"/>
      <w:sz w:val="16"/>
      <w:szCs w:val="16"/>
    </w:rPr>
  </w:style>
  <w:style w:type="character" w:customStyle="1" w:styleId="TextedebullesCar">
    <w:name w:val="Texte de bulles Car"/>
    <w:link w:val="Textedebulles"/>
    <w:rsid w:val="004B1E61"/>
    <w:rPr>
      <w:rFonts w:ascii="Tahoma" w:hAnsi="Tahoma" w:cs="Tahoma"/>
      <w:sz w:val="16"/>
      <w:szCs w:val="16"/>
      <w:lang w:eastAsia="de-DE"/>
    </w:rPr>
  </w:style>
  <w:style w:type="paragraph" w:styleId="Paragraphedeliste">
    <w:name w:val="List Paragraph"/>
    <w:aliases w:val="Paragraphe EI,Paragraphe de liste1,EC"/>
    <w:basedOn w:val="Normal"/>
    <w:link w:val="ParagraphedelisteCar"/>
    <w:uiPriority w:val="34"/>
    <w:qFormat/>
    <w:rsid w:val="002A0C82"/>
    <w:pPr>
      <w:ind w:left="720"/>
      <w:contextualSpacing/>
    </w:pPr>
  </w:style>
  <w:style w:type="paragraph" w:styleId="En-ttedetabledesmatires">
    <w:name w:val="TOC Heading"/>
    <w:basedOn w:val="Titre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NotedebasdepageCar">
    <w:name w:val="Note de bas de page Car"/>
    <w:aliases w:val="Char3 Car, Char3 Car,Fußnotentextf Car,Fußnotentextr Car,stile 1 Car,Footnote1 Car,Footnote2 Car,Footnote3 Car,Footnote4 Car,Footnote5 Car,Footnote6 Car,Footnote7 Car,Footnote8 Car,Footnote9 Car,Footnote10 Car,Footnote11 Car"/>
    <w:link w:val="Notedebasdepage"/>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Policepardfau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itre1Car">
    <w:name w:val="Titre 1 Car"/>
    <w:link w:val="Titre1"/>
    <w:rsid w:val="009E7724"/>
    <w:rPr>
      <w:rFonts w:ascii="Arial" w:hAnsi="Arial"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Accentuation">
    <w:name w:val="Emphasis"/>
    <w:uiPriority w:val="20"/>
    <w:qFormat/>
    <w:rsid w:val="005F028E"/>
    <w:rPr>
      <w:i/>
      <w:iCs/>
    </w:rPr>
  </w:style>
  <w:style w:type="paragraph" w:styleId="Rvision">
    <w:name w:val="Revision"/>
    <w:link w:val="RvisionCar"/>
    <w:hidden/>
    <w:uiPriority w:val="99"/>
    <w:semiHidden/>
    <w:rsid w:val="008E6A37"/>
    <w:rPr>
      <w:rFonts w:ascii="Georgia" w:hAnsi="Georgia"/>
      <w:sz w:val="22"/>
      <w:szCs w:val="24"/>
      <w:lang w:eastAsia="de-DE"/>
    </w:rPr>
  </w:style>
  <w:style w:type="paragraph" w:styleId="TM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M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M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M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M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M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M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Lgende">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Explorateurdedocuments">
    <w:name w:val="Document Map"/>
    <w:basedOn w:val="Normal"/>
    <w:link w:val="ExplorateurdedocumentsCar"/>
    <w:rsid w:val="00AA016B"/>
    <w:rPr>
      <w:rFonts w:ascii="Tahoma" w:hAnsi="Tahoma" w:cs="Tahoma"/>
      <w:sz w:val="16"/>
      <w:szCs w:val="16"/>
    </w:rPr>
  </w:style>
  <w:style w:type="character" w:customStyle="1" w:styleId="ExplorateurdedocumentsCar">
    <w:name w:val="Explorateur de documents Car"/>
    <w:link w:val="Explorateurdedocuments"/>
    <w:rsid w:val="00AA016B"/>
    <w:rPr>
      <w:rFonts w:ascii="Tahoma" w:hAnsi="Tahoma" w:cs="Tahoma"/>
      <w:sz w:val="16"/>
      <w:szCs w:val="16"/>
      <w:lang w:eastAsia="de-DE"/>
    </w:rPr>
  </w:style>
  <w:style w:type="paragraph" w:styleId="Textebrut">
    <w:name w:val="Plain Text"/>
    <w:basedOn w:val="Normal"/>
    <w:link w:val="TextebrutCar"/>
    <w:unhideWhenUsed/>
    <w:rsid w:val="00AA016B"/>
    <w:rPr>
      <w:rFonts w:ascii="Consolas" w:hAnsi="Consolas"/>
      <w:sz w:val="21"/>
      <w:szCs w:val="21"/>
      <w:lang w:val="de-DE"/>
    </w:rPr>
  </w:style>
  <w:style w:type="character" w:customStyle="1" w:styleId="TextebrutCar">
    <w:name w:val="Texte brut Car"/>
    <w:link w:val="Textebrut"/>
    <w:rsid w:val="00AA016B"/>
    <w:rPr>
      <w:rFonts w:ascii="Consolas" w:hAnsi="Consolas"/>
      <w:sz w:val="21"/>
      <w:szCs w:val="21"/>
      <w:lang w:val="de-DE" w:eastAsia="de-DE"/>
    </w:rPr>
  </w:style>
  <w:style w:type="paragraph" w:styleId="Corpsdetexte">
    <w:name w:val="Body Text"/>
    <w:basedOn w:val="Normal"/>
    <w:link w:val="CorpsdetexteCar"/>
    <w:unhideWhenUsed/>
    <w:rsid w:val="00AA016B"/>
    <w:pPr>
      <w:numPr>
        <w:numId w:val="9"/>
      </w:numPr>
      <w:spacing w:after="240"/>
      <w:jc w:val="both"/>
    </w:pPr>
    <w:rPr>
      <w:rFonts w:ascii="Times New Roman" w:hAnsi="Times New Roman"/>
      <w:sz w:val="24"/>
      <w:szCs w:val="20"/>
      <w:lang w:eastAsia="en-GB"/>
    </w:rPr>
  </w:style>
  <w:style w:type="character" w:customStyle="1" w:styleId="CorpsdetexteCar">
    <w:name w:val="Corps de texte Car"/>
    <w:link w:val="Corpsdetexte"/>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lev">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itre2Car">
    <w:name w:val="Titre 2 Car"/>
    <w:link w:val="Titre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itre9Car">
    <w:name w:val="Titre 9 Car"/>
    <w:link w:val="Titre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itre7Car">
    <w:name w:val="Titre 7 Car"/>
    <w:link w:val="Titre7"/>
    <w:rsid w:val="002D6E1A"/>
    <w:rPr>
      <w:sz w:val="22"/>
      <w:szCs w:val="24"/>
      <w:lang w:eastAsia="de-DE"/>
    </w:rPr>
  </w:style>
  <w:style w:type="character" w:customStyle="1" w:styleId="Titre6Car">
    <w:name w:val="Titre 6 Car"/>
    <w:link w:val="Titre6"/>
    <w:rsid w:val="002D6E1A"/>
    <w:rPr>
      <w:b/>
      <w:bCs/>
      <w:sz w:val="22"/>
      <w:szCs w:val="22"/>
      <w:lang w:eastAsia="de-DE"/>
    </w:rPr>
  </w:style>
  <w:style w:type="character" w:customStyle="1" w:styleId="Titre8Car">
    <w:name w:val="Titre 8 Car"/>
    <w:link w:val="Titre8"/>
    <w:rsid w:val="002D6E1A"/>
    <w:rPr>
      <w:i/>
      <w:iCs/>
      <w:sz w:val="22"/>
      <w:szCs w:val="24"/>
      <w:lang w:eastAsia="de-DE"/>
    </w:rPr>
  </w:style>
  <w:style w:type="numbering" w:customStyle="1" w:styleId="NoList1">
    <w:name w:val="No List1"/>
    <w:next w:val="Aucuneliste"/>
    <w:uiPriority w:val="99"/>
    <w:semiHidden/>
    <w:unhideWhenUsed/>
    <w:rsid w:val="002D6E1A"/>
  </w:style>
  <w:style w:type="character" w:styleId="Lienhypertextesuivivisit">
    <w:name w:val="FollowedHyperlink"/>
    <w:unhideWhenUsed/>
    <w:rsid w:val="002D6E1A"/>
    <w:rPr>
      <w:color w:val="800080"/>
      <w:u w:val="single"/>
    </w:rPr>
  </w:style>
  <w:style w:type="character" w:customStyle="1" w:styleId="En-tteCar">
    <w:name w:val="En-tête Car"/>
    <w:link w:val="En-tte"/>
    <w:rsid w:val="002D6E1A"/>
    <w:rPr>
      <w:rFonts w:ascii="Georgia" w:hAnsi="Georgia"/>
      <w:sz w:val="22"/>
      <w:szCs w:val="24"/>
      <w:lang w:eastAsia="de-DE"/>
    </w:rPr>
  </w:style>
  <w:style w:type="character" w:customStyle="1" w:styleId="PieddepageCar">
    <w:name w:val="Pied de page Car"/>
    <w:link w:val="Pieddepage"/>
    <w:rsid w:val="002D6E1A"/>
    <w:rPr>
      <w:rFonts w:ascii="Georgia" w:hAnsi="Georgia"/>
      <w:sz w:val="22"/>
      <w:szCs w:val="24"/>
      <w:lang w:eastAsia="de-DE"/>
    </w:rPr>
  </w:style>
  <w:style w:type="paragraph" w:styleId="Notedefin">
    <w:name w:val="endnote text"/>
    <w:basedOn w:val="Normal"/>
    <w:link w:val="NotedefinCar"/>
    <w:unhideWhenUsed/>
    <w:rsid w:val="002D6E1A"/>
    <w:rPr>
      <w:sz w:val="20"/>
      <w:szCs w:val="20"/>
    </w:rPr>
  </w:style>
  <w:style w:type="character" w:customStyle="1" w:styleId="NotedefinCar">
    <w:name w:val="Note de fin Car"/>
    <w:link w:val="Notedefin"/>
    <w:rsid w:val="002D6E1A"/>
    <w:rPr>
      <w:rFonts w:ascii="Georgia" w:hAnsi="Georgia"/>
      <w:lang w:eastAsia="de-DE"/>
    </w:rPr>
  </w:style>
  <w:style w:type="paragraph" w:styleId="Listenumros">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aragraphedelisteCar">
    <w:name w:val="Paragraphe de liste Car"/>
    <w:aliases w:val="Paragraphe EI Car,Paragraphe de liste1 Car,EC Car"/>
    <w:link w:val="Paragraphedeliste"/>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aragraphedeliste"/>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Appeldenotedefin">
    <w:name w:val="endnote reference"/>
    <w:unhideWhenUsed/>
    <w:rsid w:val="002D6E1A"/>
    <w:rPr>
      <w:vertAlign w:val="superscript"/>
    </w:rPr>
  </w:style>
  <w:style w:type="character" w:styleId="Textedelespacerserv">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au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Aucuneliste"/>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umrodeligne">
    <w:name w:val="line number"/>
    <w:basedOn w:val="Policepardfau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Lgende"/>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itre5Car">
    <w:name w:val="Titre 5 Car"/>
    <w:aliases w:val="Questions Car"/>
    <w:link w:val="Titre5"/>
    <w:rsid w:val="00E9344E"/>
    <w:rPr>
      <w:rFonts w:ascii="Arial" w:hAnsi="Arial"/>
      <w:b/>
      <w:sz w:val="22"/>
      <w:szCs w:val="24"/>
      <w:lang w:eastAsia="de-DE"/>
    </w:rPr>
  </w:style>
  <w:style w:type="character" w:customStyle="1" w:styleId="Titre3Car">
    <w:name w:val="Titre 3 Car"/>
    <w:link w:val="Titre3"/>
    <w:rsid w:val="003865E5"/>
    <w:rPr>
      <w:rFonts w:ascii="Cambria" w:eastAsia="Times New Roman" w:hAnsi="Cambria" w:cs="Times New Roman"/>
      <w:b/>
      <w:bCs/>
      <w:color w:val="4F81BD"/>
      <w:sz w:val="22"/>
      <w:szCs w:val="24"/>
      <w:lang w:eastAsia="de-DE"/>
    </w:rPr>
  </w:style>
  <w:style w:type="character" w:customStyle="1" w:styleId="Titre4Car">
    <w:name w:val="Titre 4 Car"/>
    <w:link w:val="Titre4"/>
    <w:rsid w:val="00CB7286"/>
    <w:rPr>
      <w:b/>
      <w:bCs/>
      <w:sz w:val="28"/>
      <w:szCs w:val="28"/>
      <w:lang w:eastAsia="de-DE"/>
    </w:rPr>
  </w:style>
  <w:style w:type="table" w:styleId="Listeclaire-Accent3">
    <w:name w:val="Light List Accent 3"/>
    <w:basedOn w:val="Tableau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au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itre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rPr>
  </w:style>
  <w:style w:type="character" w:customStyle="1" w:styleId="WW8Num4z1">
    <w:name w:val="WW8Num4z1"/>
    <w:rsid w:val="000D2D0B"/>
    <w:rPr>
      <w:rFonts w:ascii="Courier New" w:hAnsi="Courier New" w:cs="Courier New"/>
    </w:rPr>
  </w:style>
  <w:style w:type="paragraph" w:customStyle="1" w:styleId="TOCHeading1">
    <w:name w:val="TOC Heading1"/>
    <w:basedOn w:val="Titre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Titre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enumros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enumros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enumros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epuces">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epuces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epuces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epuces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desillustration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itre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rPr>
  </w:style>
  <w:style w:type="paragraph" w:customStyle="1" w:styleId="04fBodytextline">
    <w:name w:val="04f_Body text line"/>
    <w:basedOn w:val="04BodyText"/>
    <w:rsid w:val="000D2D0B"/>
    <w:pPr>
      <w:pBdr>
        <w:bottom w:val="single" w:sz="4" w:space="12" w:color="000000"/>
      </w:pBdr>
      <w:tabs>
        <w:tab w:val="left" w:pos="454"/>
      </w:tabs>
    </w:pPr>
    <w:rPr>
      <w:color w:val="000000"/>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rPr>
  </w:style>
  <w:style w:type="character" w:customStyle="1" w:styleId="04RunningTextChar">
    <w:name w:val="04_Running Text Char"/>
    <w:link w:val="04RunningText"/>
    <w:rsid w:val="000D2D0B"/>
    <w:rPr>
      <w:rFonts w:ascii="Georgia" w:hAnsi="Georgia"/>
      <w:szCs w:val="24"/>
      <w:lang w:eastAsia="de-DE"/>
    </w:rPr>
  </w:style>
  <w:style w:type="character" w:customStyle="1" w:styleId="AnnexChar">
    <w:name w:val="Annex Char"/>
    <w:link w:val="Annex"/>
    <w:rsid w:val="000D2D0B"/>
    <w:rPr>
      <w:rFonts w:ascii="Georgia" w:hAnsi="Georgia"/>
      <w:b/>
      <w:color w:val="000000"/>
      <w:szCs w:val="24"/>
      <w:lang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rPr>
  </w:style>
  <w:style w:type="character" w:customStyle="1" w:styleId="aStyle1Char">
    <w:name w:val="a. Style1 Char"/>
    <w:link w:val="aStyle1"/>
    <w:rsid w:val="000D2D0B"/>
    <w:rPr>
      <w:rFonts w:ascii="Arial" w:hAnsi="Arial"/>
    </w:rPr>
  </w:style>
  <w:style w:type="paragraph" w:styleId="Titre">
    <w:name w:val="Title"/>
    <w:basedOn w:val="Normal"/>
    <w:next w:val="Normal"/>
    <w:link w:val="TitreC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reCar">
    <w:name w:val="Titre Car"/>
    <w:link w:val="Titr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visionCar">
    <w:name w:val="Révision Car"/>
    <w:link w:val="Rvision"/>
    <w:uiPriority w:val="99"/>
    <w:semiHidden/>
    <w:locked/>
    <w:rsid w:val="000D2D0B"/>
    <w:rPr>
      <w:rFonts w:ascii="Georgia" w:hAnsi="Georgia"/>
      <w:sz w:val="22"/>
      <w:szCs w:val="24"/>
      <w:lang w:eastAsia="de-DE"/>
    </w:rPr>
  </w:style>
  <w:style w:type="table" w:customStyle="1" w:styleId="TableGrid2">
    <w:name w:val="Table Grid2"/>
    <w:basedOn w:val="TableauNormal"/>
    <w:next w:val="Grilledutableau"/>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eple">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r="http://schemas.openxmlformats.org/officeDocument/2006/relationships" xmlns:w="http://schemas.openxmlformats.org/wordprocessingml/2006/main">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cid:_1_0A4DCA6C0A4DBB20004FF98DC1257DD3"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gif"/><Relationship Id="rId2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Textedelespacerserv"/>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Textedelespacerserv"/>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Textedelespacerserv"/>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sDel="0" w:formatting="0" w:inkAnnotations="0"/>
  <w:defaultTabStop w:val="720"/>
  <w:hyphenationZone w:val="425"/>
  <w:characterSpacingControl w:val="doNotCompress"/>
  <w:compat>
    <w:useFELayout/>
  </w:compat>
  <w:rsids>
    <w:rsidRoot w:val="00B4208E"/>
    <w:rsid w:val="00064A17"/>
    <w:rsid w:val="00096F36"/>
    <w:rsid w:val="00115F64"/>
    <w:rsid w:val="004B2C78"/>
    <w:rsid w:val="004F237C"/>
    <w:rsid w:val="0059289E"/>
    <w:rsid w:val="006A5A0A"/>
    <w:rsid w:val="008437E4"/>
    <w:rsid w:val="008917E2"/>
    <w:rsid w:val="00953A5F"/>
    <w:rsid w:val="00AF2479"/>
    <w:rsid w:val="00B4208E"/>
    <w:rsid w:val="00FD3A9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F3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7C89E-087C-41DC-AAF1-6831CF45CE6F}">
  <ds:schemaRefs>
    <ds:schemaRef ds:uri="http://schemas.openxmlformats.org/officeDocument/2006/bibliography"/>
  </ds:schemaRefs>
</ds:datastoreItem>
</file>

<file path=customXml/itemProps2.xml><?xml version="1.0" encoding="utf-8"?>
<ds:datastoreItem xmlns:ds="http://schemas.openxmlformats.org/officeDocument/2006/customXml" ds:itemID="{2D590818-4EF7-443A-BE19-EC214BDE8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4749</Words>
  <Characters>26125</Characters>
  <Application>Microsoft Office Word</Application>
  <DocSecurity>8</DocSecurity>
  <Lines>217</Lines>
  <Paragraphs>61</Paragraphs>
  <ScaleCrop>false</ScaleCrop>
  <HeadingPairs>
    <vt:vector size="10" baseType="variant">
      <vt:variant>
        <vt:lpstr>Titre</vt:lpstr>
      </vt:variant>
      <vt:variant>
        <vt:i4>1</vt:i4>
      </vt:variant>
      <vt:variant>
        <vt:lpstr>Title</vt:lpstr>
      </vt:variant>
      <vt:variant>
        <vt:i4>1</vt:i4>
      </vt:variant>
      <vt:variant>
        <vt:lpstr>Título</vt:lpstr>
      </vt:variant>
      <vt:variant>
        <vt:i4>1</vt:i4>
      </vt:variant>
      <vt:variant>
        <vt:lpstr>Titolo</vt:lpstr>
      </vt:variant>
      <vt:variant>
        <vt:i4>1</vt:i4>
      </vt:variant>
      <vt:variant>
        <vt:lpstr>Titel</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30813</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Emmanuel de Fournoux</cp:lastModifiedBy>
  <cp:revision>4</cp:revision>
  <cp:lastPrinted>2014-05-08T16:06:00Z</cp:lastPrinted>
  <dcterms:created xsi:type="dcterms:W3CDTF">2015-02-19T17:22:00Z</dcterms:created>
  <dcterms:modified xsi:type="dcterms:W3CDTF">2015-02-19T17:29:00Z</dcterms:modified>
</cp:coreProperties>
</file>