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4F21FB"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1178602084" w:edGrp="everyone"/>
                <w:r>
                  <w:rPr>
                    <w:rFonts w:ascii="Arial" w:hAnsi="Arial" w:cs="Arial"/>
                    <w:sz w:val="22"/>
                    <w:szCs w:val="22"/>
                  </w:rPr>
                  <w:t>No</w:t>
                </w:r>
                <w:permEnd w:id="1178602084"/>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4F21FB"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2128555187" w:edGrp="everyone"/>
                <w:r>
                  <w:rPr>
                    <w:rFonts w:ascii="Arial" w:hAnsi="Arial" w:cs="Arial"/>
                    <w:sz w:val="22"/>
                    <w:szCs w:val="22"/>
                  </w:rPr>
                  <w:t>Central Securities Depository</w:t>
                </w:r>
                <w:permEnd w:id="2128555187"/>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803046983" w:edGrp="everyone" w:displacedByCustomXml="prev"/>
            <w:tc>
              <w:tcPr>
                <w:tcW w:w="6118" w:type="dxa"/>
              </w:tcPr>
              <w:p w:rsidR="00F32462" w:rsidRPr="0026621B" w:rsidRDefault="004F21FB" w:rsidP="00E66DAF">
                <w:pPr>
                  <w:rPr>
                    <w:rFonts w:ascii="Arial" w:hAnsi="Arial" w:cs="Arial"/>
                    <w:sz w:val="22"/>
                    <w:szCs w:val="22"/>
                  </w:rPr>
                </w:pPr>
                <w:r>
                  <w:rPr>
                    <w:rFonts w:ascii="Arial" w:hAnsi="Arial" w:cs="Arial"/>
                    <w:sz w:val="22"/>
                    <w:szCs w:val="22"/>
                  </w:rPr>
                  <w:t>Europe</w:t>
                </w:r>
              </w:p>
            </w:tc>
            <w:permEnd w:id="1803046983"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4F21FB" w:rsidRDefault="004F21FB" w:rsidP="004F21FB">
      <w:pPr>
        <w:autoSpaceDE w:val="0"/>
        <w:autoSpaceDN w:val="0"/>
        <w:adjustRightInd w:val="0"/>
        <w:rPr>
          <w:rFonts w:ascii="Arial" w:hAnsi="Arial" w:cs="Arial"/>
          <w:color w:val="FF0000"/>
          <w:sz w:val="22"/>
          <w:szCs w:val="22"/>
        </w:rPr>
      </w:pPr>
      <w:permStart w:id="1822170756" w:edGrp="everyone"/>
      <w:r w:rsidRPr="004F21FB">
        <w:rPr>
          <w:rFonts w:ascii="Arial" w:hAnsi="Arial" w:cs="Arial"/>
          <w:color w:val="FF0000"/>
          <w:sz w:val="22"/>
          <w:szCs w:val="22"/>
        </w:rPr>
        <w:t xml:space="preserve">The responses provided in this document convey the views and opinions of the Deutsche Börse Group, and more specifically of: Clearstream Banking Luxembourg S.A., Clearstream Banking Frankfurt AG, and LuxCSD S.A. jointly referred hereafter as “Clearstream”. </w:t>
      </w:r>
    </w:p>
    <w:p w:rsidR="004F21FB" w:rsidRDefault="004F21FB" w:rsidP="004F21FB">
      <w:pPr>
        <w:autoSpaceDE w:val="0"/>
        <w:autoSpaceDN w:val="0"/>
        <w:adjustRightInd w:val="0"/>
        <w:rPr>
          <w:rFonts w:ascii="Arial" w:hAnsi="Arial" w:cs="Arial"/>
          <w:color w:val="FF0000"/>
          <w:sz w:val="22"/>
          <w:szCs w:val="22"/>
        </w:rPr>
      </w:pPr>
    </w:p>
    <w:p w:rsidR="004F21FB" w:rsidRPr="004F21FB" w:rsidRDefault="004F21FB" w:rsidP="004F21FB">
      <w:pPr>
        <w:rPr>
          <w:rFonts w:ascii="Arial" w:hAnsi="Arial" w:cs="Arial"/>
          <w:i/>
          <w:color w:val="FF0000"/>
          <w:sz w:val="22"/>
          <w:szCs w:val="22"/>
        </w:rPr>
      </w:pPr>
      <w:r w:rsidRPr="004F21FB">
        <w:rPr>
          <w:rFonts w:ascii="Arial" w:hAnsi="Arial" w:cs="Arial"/>
          <w:i/>
          <w:color w:val="FF0000"/>
          <w:sz w:val="22"/>
          <w:szCs w:val="22"/>
        </w:rPr>
        <w:t>Reference price</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On the reference price the penalty shall be calculated based on a “reference price” of the i</w:t>
      </w:r>
      <w:r w:rsidRPr="004F21FB">
        <w:rPr>
          <w:rFonts w:ascii="Arial" w:hAnsi="Arial" w:cs="Arial"/>
          <w:color w:val="FF0000"/>
          <w:sz w:val="22"/>
          <w:szCs w:val="22"/>
        </w:rPr>
        <w:t>n</w:t>
      </w:r>
      <w:r w:rsidRPr="004F21FB">
        <w:rPr>
          <w:rFonts w:ascii="Arial" w:hAnsi="Arial" w:cs="Arial"/>
          <w:color w:val="FF0000"/>
          <w:sz w:val="22"/>
          <w:szCs w:val="22"/>
        </w:rPr>
        <w:t>strument involved. The technical Advice does not indicate how this reference price will be made available to the CSDs and impacted parties and by whom. It should be noted that especially in case of less liquid and OTC-traded instruments, prices are not necessarily publicly and/or easily available (as ESMA states in chapter 2.1.2, paragraph 42) making it difficult for the CSDs and impacted parties to make the penalty calculations.</w:t>
      </w:r>
    </w:p>
    <w:p w:rsidR="004F21FB" w:rsidRPr="004F21FB" w:rsidRDefault="004F21FB" w:rsidP="004F21FB">
      <w:pPr>
        <w:rPr>
          <w:rFonts w:ascii="Arial" w:hAnsi="Arial" w:cs="Arial"/>
          <w:color w:val="FF0000"/>
          <w:sz w:val="22"/>
          <w:szCs w:val="22"/>
        </w:rPr>
      </w:pP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We recommend ESMA to provide a central repository mechanism providing the required data to all CSDs and impacted parties to avoid application of deviating prices for a single instrument by the parties involved.</w:t>
      </w:r>
    </w:p>
    <w:p w:rsidR="004F21FB" w:rsidRPr="004F21FB" w:rsidRDefault="004F21FB" w:rsidP="004F21FB">
      <w:pPr>
        <w:rPr>
          <w:rFonts w:ascii="Arial" w:hAnsi="Arial" w:cs="Arial"/>
          <w:color w:val="FF0000"/>
          <w:sz w:val="22"/>
          <w:szCs w:val="22"/>
        </w:rPr>
      </w:pP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Partial deliveries: in case a suffering party declines to accept partial delivery, only the “missing part” of the financial instrument or cash shall be penalized. Since the identification of the “mis</w:t>
      </w:r>
      <w:r w:rsidRPr="004F21FB">
        <w:rPr>
          <w:rFonts w:ascii="Arial" w:hAnsi="Arial" w:cs="Arial"/>
          <w:color w:val="FF0000"/>
          <w:sz w:val="22"/>
          <w:szCs w:val="22"/>
        </w:rPr>
        <w:t>s</w:t>
      </w:r>
      <w:r w:rsidRPr="004F21FB">
        <w:rPr>
          <w:rFonts w:ascii="Arial" w:hAnsi="Arial" w:cs="Arial"/>
          <w:color w:val="FF0000"/>
          <w:sz w:val="22"/>
          <w:szCs w:val="22"/>
        </w:rPr>
        <w:t>ing part” causes additional complexity, we suggest the following:</w:t>
      </w:r>
    </w:p>
    <w:p w:rsidR="004F21FB" w:rsidRPr="004F21FB" w:rsidRDefault="004F21FB" w:rsidP="004F21FB">
      <w:pPr>
        <w:numPr>
          <w:ilvl w:val="0"/>
          <w:numId w:val="42"/>
        </w:numPr>
        <w:spacing w:line="276" w:lineRule="auto"/>
        <w:contextualSpacing/>
        <w:rPr>
          <w:rFonts w:ascii="Arial" w:eastAsiaTheme="minorHAnsi" w:hAnsi="Arial" w:cs="Arial"/>
          <w:color w:val="FF0000"/>
          <w:sz w:val="22"/>
          <w:szCs w:val="22"/>
          <w:lang w:eastAsia="en-US"/>
        </w:rPr>
      </w:pPr>
      <w:r w:rsidRPr="004F21FB">
        <w:rPr>
          <w:rFonts w:ascii="Arial" w:eastAsiaTheme="minorHAnsi" w:hAnsi="Arial" w:cs="Arial"/>
          <w:color w:val="FF0000"/>
          <w:sz w:val="22"/>
          <w:szCs w:val="22"/>
          <w:lang w:eastAsia="en-US"/>
        </w:rPr>
        <w:t>Receiving party does not accept partial: exempt the whole transaction from penalties (leading to less technical complexity and at the same time increases the incentive for the receiving party to accept partials, thereby increasing settlement efficiency and reduce settlement risk throughout the settlement chain)</w:t>
      </w:r>
    </w:p>
    <w:p w:rsidR="004F21FB" w:rsidRPr="004F21FB" w:rsidRDefault="004F21FB" w:rsidP="004F21FB">
      <w:pPr>
        <w:numPr>
          <w:ilvl w:val="0"/>
          <w:numId w:val="42"/>
        </w:numPr>
        <w:autoSpaceDE w:val="0"/>
        <w:autoSpaceDN w:val="0"/>
        <w:adjustRightInd w:val="0"/>
        <w:spacing w:line="276" w:lineRule="auto"/>
        <w:contextualSpacing/>
        <w:rPr>
          <w:rFonts w:ascii="Arial" w:hAnsi="Arial" w:cs="Arial"/>
          <w:color w:val="FF0000"/>
          <w:sz w:val="22"/>
          <w:szCs w:val="22"/>
        </w:rPr>
      </w:pPr>
      <w:r w:rsidRPr="004F21FB">
        <w:rPr>
          <w:rFonts w:ascii="Arial" w:eastAsiaTheme="minorHAnsi" w:hAnsi="Arial" w:cs="Arial"/>
          <w:color w:val="FF0000"/>
          <w:sz w:val="22"/>
          <w:szCs w:val="22"/>
          <w:lang w:eastAsia="en-US"/>
        </w:rPr>
        <w:t>Delivering party does not accept partial: penalize the full amount of the instruction (as proposed by ESMA)</w:t>
      </w:r>
    </w:p>
    <w:permEnd w:id="1822170756"/>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A35728" w:rsidRPr="00616B9B" w:rsidRDefault="00A35728" w:rsidP="00A35728">
      <w:pPr>
        <w:rPr>
          <w:rFonts w:ascii="Arial" w:hAnsi="Arial" w:cs="Arial"/>
          <w:sz w:val="22"/>
          <w:szCs w:val="22"/>
        </w:rPr>
      </w:pPr>
      <w:permStart w:id="839213096" w:edGrp="everyone"/>
      <w:r w:rsidRPr="00616B9B">
        <w:rPr>
          <w:rFonts w:ascii="Arial" w:hAnsi="Arial" w:cs="Arial"/>
          <w:sz w:val="22"/>
          <w:szCs w:val="22"/>
        </w:rPr>
        <w:t>TYPE YOUR TEXT HERE</w:t>
      </w:r>
    </w:p>
    <w:permEnd w:id="839213096"/>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4F21FB" w:rsidRPr="004F21FB" w:rsidRDefault="004F21FB" w:rsidP="004F21FB">
      <w:pPr>
        <w:rPr>
          <w:rFonts w:ascii="Arial" w:hAnsi="Arial" w:cs="Arial"/>
          <w:color w:val="FF0000"/>
          <w:sz w:val="22"/>
          <w:szCs w:val="22"/>
        </w:rPr>
      </w:pPr>
      <w:permStart w:id="2118064596" w:edGrp="everyone"/>
      <w:r w:rsidRPr="004F21FB">
        <w:rPr>
          <w:rFonts w:ascii="Arial" w:hAnsi="Arial" w:cs="Arial"/>
          <w:bCs/>
          <w:color w:val="FF0000"/>
          <w:sz w:val="22"/>
          <w:szCs w:val="22"/>
        </w:rPr>
        <w:t>We agree with ESMA that no increases or decreases of the penalty rate should be foreseen at this stage but to allow CSDs, in limited circumstances and on an ad hoc basis, to decrease the penalty rate to zero, e.g. if a fail is caused by circumstances outside the control of the failing participant.</w:t>
      </w:r>
    </w:p>
    <w:permEnd w:id="2118064596"/>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lastRenderedPageBreak/>
        <w:t>&lt;ESMA_QUESTION_TA_CSDR_4&gt;</w:t>
      </w:r>
    </w:p>
    <w:p w:rsidR="004F21FB" w:rsidRPr="004F21FB" w:rsidRDefault="004F21FB" w:rsidP="004F21FB">
      <w:pPr>
        <w:rPr>
          <w:rFonts w:ascii="Arial" w:hAnsi="Arial" w:cs="Arial"/>
          <w:color w:val="FF0000"/>
          <w:sz w:val="22"/>
          <w:szCs w:val="22"/>
        </w:rPr>
      </w:pPr>
      <w:permStart w:id="1329011251" w:edGrp="everyone"/>
      <w:r w:rsidRPr="004F21FB">
        <w:rPr>
          <w:rFonts w:ascii="Arial" w:hAnsi="Arial" w:cs="Arial"/>
          <w:color w:val="FF0000"/>
          <w:sz w:val="22"/>
          <w:szCs w:val="22"/>
        </w:rPr>
        <w:t>We agree that, for the sake of simplicity of the penalty mechanism, the parameters of penalty calculation should not be changed in cases of chains of interdependent transactions.</w:t>
      </w:r>
    </w:p>
    <w:p w:rsidR="00A35728" w:rsidRPr="00616B9B" w:rsidRDefault="004F21FB" w:rsidP="00A35728">
      <w:pPr>
        <w:rPr>
          <w:rFonts w:ascii="Arial" w:hAnsi="Arial" w:cs="Arial"/>
          <w:sz w:val="22"/>
          <w:szCs w:val="22"/>
        </w:rPr>
      </w:pPr>
      <w:r w:rsidRPr="004F21FB">
        <w:rPr>
          <w:rFonts w:ascii="Arial" w:hAnsi="Arial" w:cs="Arial"/>
          <w:color w:val="FF0000"/>
          <w:sz w:val="22"/>
          <w:szCs w:val="22"/>
        </w:rPr>
        <w:t>ESMA should also clarify what treatment CSDs should apply to failed cross-border transactions involving at least one CSD located outside the EU</w:t>
      </w:r>
      <w:r w:rsidRPr="004F21FB">
        <w:rPr>
          <w:rFonts w:ascii="Arial" w:hAnsi="Arial" w:cs="Arial"/>
          <w:sz w:val="22"/>
          <w:szCs w:val="22"/>
        </w:rPr>
        <w:t>.</w:t>
      </w:r>
      <w:permEnd w:id="1329011251"/>
      <w:r w:rsidR="00A35728"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ermStart w:id="242891452" w:edGrp="everyone"/>
      <w:r w:rsidRPr="00616B9B">
        <w:rPr>
          <w:rFonts w:ascii="Arial" w:hAnsi="Arial" w:cs="Arial"/>
          <w:sz w:val="22"/>
          <w:szCs w:val="22"/>
        </w:rPr>
        <w:t>TYPE YOUR TEXT HERE</w:t>
      </w:r>
    </w:p>
    <w:permEnd w:id="242891452"/>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4F21FB" w:rsidRPr="004F21FB" w:rsidRDefault="004F21FB" w:rsidP="004F21FB">
      <w:pPr>
        <w:rPr>
          <w:rFonts w:ascii="Arial" w:hAnsi="Arial" w:cs="Arial"/>
          <w:color w:val="FF0000"/>
          <w:sz w:val="22"/>
          <w:szCs w:val="22"/>
        </w:rPr>
      </w:pPr>
      <w:permStart w:id="4397537" w:edGrp="everyone"/>
      <w:r w:rsidRPr="004F21FB">
        <w:rPr>
          <w:rFonts w:ascii="Arial" w:hAnsi="Arial" w:cs="Arial"/>
          <w:color w:val="FF0000"/>
          <w:sz w:val="22"/>
          <w:szCs w:val="22"/>
        </w:rPr>
        <w:t xml:space="preserve">With regard to the identification of substantial importance and the thresholds for other regulators to potentially join a “college” supervising a CSD, we do not understand neither the calculation method, nor what is the intention pursued by ESMA.  As a CSD does not have the requested data available (i.e. denominator on European level), we are unable to assess whether the thresholds are reasonable. </w:t>
      </w:r>
    </w:p>
    <w:p w:rsidR="004F21FB" w:rsidRPr="004F21FB" w:rsidRDefault="004F21FB" w:rsidP="004F21FB">
      <w:pPr>
        <w:rPr>
          <w:rFonts w:ascii="Arial" w:hAnsi="Arial" w:cs="Arial"/>
          <w:color w:val="FF0000"/>
          <w:sz w:val="22"/>
          <w:szCs w:val="22"/>
        </w:rPr>
      </w:pP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ESMA has a role to play in this regard and will need to consolidate the data from the different markets in order to determine whether the proposed thresholds are in fact practicable to dete</w:t>
      </w:r>
      <w:r w:rsidRPr="004F21FB">
        <w:rPr>
          <w:rFonts w:ascii="Arial" w:hAnsi="Arial" w:cs="Arial"/>
          <w:color w:val="FF0000"/>
          <w:sz w:val="22"/>
          <w:szCs w:val="22"/>
        </w:rPr>
        <w:t>r</w:t>
      </w:r>
      <w:r w:rsidRPr="004F21FB">
        <w:rPr>
          <w:rFonts w:ascii="Arial" w:hAnsi="Arial" w:cs="Arial"/>
          <w:color w:val="FF0000"/>
          <w:sz w:val="22"/>
          <w:szCs w:val="22"/>
        </w:rPr>
        <w:t xml:space="preserve">mine any “significant importance”. Without such indicators, we have to reserve our opinion whether such a system is at all viable to determine the role of other authorities in the supervision of CSDs. </w:t>
      </w:r>
    </w:p>
    <w:p w:rsidR="004F21FB" w:rsidRPr="004F21FB" w:rsidRDefault="004F21FB" w:rsidP="004F21FB">
      <w:pPr>
        <w:rPr>
          <w:rFonts w:ascii="Arial" w:hAnsi="Arial" w:cs="Arial"/>
          <w:color w:val="FF0000"/>
          <w:sz w:val="22"/>
          <w:szCs w:val="22"/>
        </w:rPr>
      </w:pP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Infrastructures such as CSDs would certainly not benefit from the creation via the back door of colleges of supervisors. The creation of colleges had been clearly avoided during the trilogue discussions leading to the compromise text of the CSD-R text, by requiring a role in the superv</w:t>
      </w:r>
      <w:r w:rsidRPr="004F21FB">
        <w:rPr>
          <w:rFonts w:ascii="Arial" w:hAnsi="Arial" w:cs="Arial"/>
          <w:color w:val="FF0000"/>
          <w:sz w:val="22"/>
          <w:szCs w:val="22"/>
        </w:rPr>
        <w:t>i</w:t>
      </w:r>
      <w:r w:rsidRPr="004F21FB">
        <w:rPr>
          <w:rFonts w:ascii="Arial" w:hAnsi="Arial" w:cs="Arial"/>
          <w:color w:val="FF0000"/>
          <w:sz w:val="22"/>
          <w:szCs w:val="22"/>
        </w:rPr>
        <w:t>sion of a CSD only in the case of the establishment of a “</w:t>
      </w:r>
      <w:r w:rsidRPr="004F21FB">
        <w:rPr>
          <w:rFonts w:ascii="Arial" w:hAnsi="Arial" w:cs="Arial"/>
          <w:color w:val="FF0000"/>
          <w:sz w:val="22"/>
          <w:szCs w:val="22"/>
          <w:u w:val="single"/>
        </w:rPr>
        <w:t>branch”</w:t>
      </w:r>
      <w:r w:rsidRPr="004F21FB">
        <w:rPr>
          <w:rFonts w:ascii="Arial" w:hAnsi="Arial" w:cs="Arial"/>
          <w:color w:val="FF0000"/>
          <w:sz w:val="22"/>
          <w:szCs w:val="22"/>
        </w:rPr>
        <w:t xml:space="preserve"> in another Member State (the freedom for CSDs to provide services in other Member State (or CSD passport) and the coope</w:t>
      </w:r>
      <w:r w:rsidRPr="004F21FB">
        <w:rPr>
          <w:rFonts w:ascii="Arial" w:hAnsi="Arial" w:cs="Arial"/>
          <w:color w:val="FF0000"/>
          <w:sz w:val="22"/>
          <w:szCs w:val="22"/>
        </w:rPr>
        <w:t>r</w:t>
      </w:r>
      <w:r w:rsidRPr="004F21FB">
        <w:rPr>
          <w:rFonts w:ascii="Arial" w:hAnsi="Arial" w:cs="Arial"/>
          <w:color w:val="FF0000"/>
          <w:sz w:val="22"/>
          <w:szCs w:val="22"/>
        </w:rPr>
        <w:t xml:space="preserve">ation between authorities, are clearly stated under Article 23 and 24 of the level-1 text). This subtle distinction has disappeared from the subsequent text of the CSD-R officially published. We believe this omission is contrary to the spirit of the level-1 text as originally agreed on 18 Dec 2013. </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 xml:space="preserve">To avoid such a distressing situation, ESMA should favour in its proposal higher thresholds in order to keep the danger of creating largely attended “college” small. </w:t>
      </w:r>
      <w:r w:rsidRPr="004F21FB">
        <w:rPr>
          <w:rFonts w:ascii="Arial" w:hAnsi="Arial" w:cs="Arial"/>
          <w:color w:val="FF0000"/>
          <w:sz w:val="22"/>
          <w:szCs w:val="22"/>
        </w:rPr>
        <w:t>Pending clarity with r</w:t>
      </w:r>
      <w:r w:rsidRPr="004F21FB">
        <w:rPr>
          <w:rFonts w:ascii="Arial" w:hAnsi="Arial" w:cs="Arial"/>
          <w:color w:val="FF0000"/>
          <w:sz w:val="22"/>
          <w:szCs w:val="22"/>
        </w:rPr>
        <w:t>e</w:t>
      </w:r>
      <w:r w:rsidRPr="004F21FB">
        <w:rPr>
          <w:rFonts w:ascii="Arial" w:hAnsi="Arial" w:cs="Arial"/>
          <w:color w:val="FF0000"/>
          <w:sz w:val="22"/>
          <w:szCs w:val="22"/>
        </w:rPr>
        <w:t xml:space="preserve">gards to these topics, we propose ESMA to consider the thresholds applicable to the whole of the points raised in the TA proposal to be raised to 25%. </w:t>
      </w:r>
    </w:p>
    <w:p w:rsidR="004F21FB" w:rsidRPr="004F21FB" w:rsidRDefault="004F21FB" w:rsidP="004F21FB">
      <w:pPr>
        <w:rPr>
          <w:rFonts w:ascii="Arial" w:hAnsi="Arial" w:cs="Arial"/>
          <w:color w:val="FF0000"/>
          <w:sz w:val="22"/>
          <w:szCs w:val="22"/>
        </w:rPr>
      </w:pP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Another concern relates to the time in which such thresholds shall be calculated. For the fort</w:t>
      </w:r>
      <w:r w:rsidRPr="004F21FB">
        <w:rPr>
          <w:rFonts w:ascii="Arial" w:hAnsi="Arial" w:cs="Arial"/>
          <w:color w:val="FF0000"/>
          <w:sz w:val="22"/>
          <w:szCs w:val="22"/>
        </w:rPr>
        <w:t>h</w:t>
      </w:r>
      <w:r w:rsidRPr="004F21FB">
        <w:rPr>
          <w:rFonts w:ascii="Arial" w:hAnsi="Arial" w:cs="Arial"/>
          <w:color w:val="FF0000"/>
          <w:sz w:val="22"/>
          <w:szCs w:val="22"/>
        </w:rPr>
        <w:t>coming authorisation of the existing CSDs, such process should be undertaken before the a</w:t>
      </w:r>
      <w:r w:rsidRPr="004F21FB">
        <w:rPr>
          <w:rFonts w:ascii="Arial" w:hAnsi="Arial" w:cs="Arial"/>
          <w:color w:val="FF0000"/>
          <w:sz w:val="22"/>
          <w:szCs w:val="22"/>
        </w:rPr>
        <w:t>u</w:t>
      </w:r>
      <w:r w:rsidRPr="004F21FB">
        <w:rPr>
          <w:rFonts w:ascii="Arial" w:hAnsi="Arial" w:cs="Arial"/>
          <w:color w:val="FF0000"/>
          <w:sz w:val="22"/>
          <w:szCs w:val="22"/>
        </w:rPr>
        <w:t>thorisation process is to starts as, otherwise,  other supervisory requirements might need to be included or catered for during the authorisation process or during the implementation of signif</w:t>
      </w:r>
      <w:r w:rsidRPr="004F21FB">
        <w:rPr>
          <w:rFonts w:ascii="Arial" w:hAnsi="Arial" w:cs="Arial"/>
          <w:color w:val="FF0000"/>
          <w:sz w:val="22"/>
          <w:szCs w:val="22"/>
        </w:rPr>
        <w:t>i</w:t>
      </w:r>
      <w:r w:rsidRPr="004F21FB">
        <w:rPr>
          <w:rFonts w:ascii="Arial" w:hAnsi="Arial" w:cs="Arial"/>
          <w:color w:val="FF0000"/>
          <w:sz w:val="22"/>
          <w:szCs w:val="22"/>
        </w:rPr>
        <w:t xml:space="preserve">cant decisions for the prospective CSDs seeking authorisation. </w:t>
      </w:r>
    </w:p>
    <w:p w:rsidR="004F21FB" w:rsidRPr="004F21FB" w:rsidRDefault="004F21FB" w:rsidP="004F21FB">
      <w:pPr>
        <w:rPr>
          <w:rFonts w:ascii="Arial" w:hAnsi="Arial" w:cs="Arial"/>
          <w:color w:val="FF0000"/>
          <w:sz w:val="22"/>
          <w:szCs w:val="22"/>
        </w:rPr>
      </w:pP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 xml:space="preserve">In addition to the above, we have several critical concerns, with regards to the CSD services and definitions used to determine such substantial importance. </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 xml:space="preserve">We object to the introduction via the level-2 rules of a differentiation of the CSD services, not envisaged nor expected under the level-1 text. </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lastRenderedPageBreak/>
        <w:t xml:space="preserve">The level-2 text introduces: a) new CSD definitions (such as the term of investor CSD or issuer CSD and respective definitions), b) new specific roles for the CSDs (by using terms such as “centrally maintained securities” in contrast to “maintained securities”), and new services (such as the “settlement service from an issuer perspective" versus the " settlement service from a participant’s perspective"). These newly introduced distinctions should be removed, as contrary to the level-1 text and the overall aim of the legislator.  </w:t>
      </w:r>
    </w:p>
    <w:p w:rsidR="004F21FB" w:rsidRPr="004F21FB" w:rsidRDefault="004F21FB" w:rsidP="004F21FB">
      <w:pPr>
        <w:rPr>
          <w:rFonts w:ascii="Arial" w:hAnsi="Arial" w:cs="Arial"/>
          <w:color w:val="FF0000"/>
          <w:sz w:val="22"/>
          <w:szCs w:val="22"/>
        </w:rPr>
      </w:pP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Reference of the use of these new definitions, terminology and newly introduced distinctions between the CSD services are listed hereafter, for its removal from the future in the RTS and TA:</w:t>
      </w:r>
    </w:p>
    <w:p w:rsidR="004F21FB" w:rsidRPr="004F21FB" w:rsidRDefault="004F21FB" w:rsidP="004F21FB">
      <w:pPr>
        <w:rPr>
          <w:rFonts w:ascii="Arial" w:hAnsi="Arial" w:cs="Arial"/>
          <w:color w:val="FF0000"/>
          <w:sz w:val="22"/>
          <w:szCs w:val="22"/>
        </w:rPr>
      </w:pP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lang w:val="fr-FR"/>
        </w:rPr>
        <w:t>Definition</w:t>
      </w:r>
      <w:r w:rsidRPr="004F21FB">
        <w:rPr>
          <w:rFonts w:ascii="Arial" w:hAnsi="Arial" w:cs="Arial"/>
          <w:color w:val="FF0000"/>
          <w:sz w:val="22"/>
          <w:szCs w:val="22"/>
          <w:lang w:val="fr-FR"/>
        </w:rPr>
        <w:tab/>
        <w:t>TS document Annex III Art 1 on page 203</w:t>
      </w:r>
      <w:r w:rsidRPr="004F21FB">
        <w:rPr>
          <w:rFonts w:ascii="Arial" w:hAnsi="Arial" w:cs="Arial"/>
          <w:color w:val="FF0000"/>
          <w:sz w:val="22"/>
          <w:szCs w:val="22"/>
          <w:lang w:val="fr-FR"/>
        </w:rPr>
        <w:tab/>
      </w: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lang w:val="fr-FR"/>
        </w:rPr>
        <w:tab/>
      </w:r>
      <w:r w:rsidRPr="004F21FB">
        <w:rPr>
          <w:rFonts w:ascii="Arial" w:hAnsi="Arial" w:cs="Arial"/>
          <w:color w:val="FF0000"/>
          <w:sz w:val="22"/>
          <w:szCs w:val="22"/>
          <w:lang w:val="fr-FR"/>
        </w:rPr>
        <w:tab/>
        <w:t>TS document Annex IV on page 242</w:t>
      </w: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lang w:val="fr-FR"/>
        </w:rPr>
        <w:t>Reference</w:t>
      </w:r>
      <w:r w:rsidRPr="004F21FB">
        <w:rPr>
          <w:rFonts w:ascii="Arial" w:hAnsi="Arial" w:cs="Arial"/>
          <w:color w:val="FF0000"/>
          <w:sz w:val="22"/>
          <w:szCs w:val="22"/>
          <w:lang w:val="fr-FR"/>
        </w:rPr>
        <w:tab/>
        <w:t>TS document on para. 312 (page 89)</w:t>
      </w: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lang w:val="fr-FR"/>
        </w:rPr>
        <w:tab/>
      </w:r>
      <w:r w:rsidRPr="004F21FB">
        <w:rPr>
          <w:rFonts w:ascii="Arial" w:hAnsi="Arial" w:cs="Arial"/>
          <w:color w:val="FF0000"/>
          <w:sz w:val="22"/>
          <w:szCs w:val="22"/>
          <w:lang w:val="fr-FR"/>
        </w:rPr>
        <w:tab/>
        <w:t>TS document on para. 319 (page 90)</w:t>
      </w: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lang w:val="fr-FR"/>
        </w:rPr>
        <w:tab/>
      </w:r>
      <w:r w:rsidRPr="004F21FB">
        <w:rPr>
          <w:rFonts w:ascii="Arial" w:hAnsi="Arial" w:cs="Arial"/>
          <w:color w:val="FF0000"/>
          <w:sz w:val="22"/>
          <w:szCs w:val="22"/>
          <w:lang w:val="fr-FR"/>
        </w:rPr>
        <w:tab/>
        <w:t>TS document Annex III Art 10 on page 215</w:t>
      </w:r>
      <w:r w:rsidRPr="004F21FB">
        <w:rPr>
          <w:rFonts w:ascii="Arial" w:hAnsi="Arial" w:cs="Arial"/>
          <w:color w:val="FF0000"/>
          <w:sz w:val="22"/>
          <w:szCs w:val="22"/>
          <w:lang w:val="fr-FR"/>
        </w:rPr>
        <w:tab/>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lang w:val="fr-FR"/>
        </w:rPr>
        <w:tab/>
      </w:r>
      <w:r w:rsidRPr="004F21FB">
        <w:rPr>
          <w:rFonts w:ascii="Arial" w:hAnsi="Arial" w:cs="Arial"/>
          <w:color w:val="FF0000"/>
          <w:sz w:val="22"/>
          <w:szCs w:val="22"/>
          <w:lang w:val="fr-FR"/>
        </w:rPr>
        <w:tab/>
      </w:r>
      <w:r w:rsidRPr="004F21FB">
        <w:rPr>
          <w:rFonts w:ascii="Arial" w:hAnsi="Arial" w:cs="Arial"/>
          <w:color w:val="FF0000"/>
          <w:sz w:val="22"/>
          <w:szCs w:val="22"/>
        </w:rPr>
        <w:t>TS document Annex IV end of Art 6 (page 252)</w:t>
      </w: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rPr>
        <w:tab/>
      </w:r>
      <w:r w:rsidRPr="004F21FB">
        <w:rPr>
          <w:rFonts w:ascii="Arial" w:hAnsi="Arial" w:cs="Arial"/>
          <w:color w:val="FF0000"/>
          <w:sz w:val="22"/>
          <w:szCs w:val="22"/>
        </w:rPr>
        <w:tab/>
      </w:r>
      <w:r w:rsidRPr="004F21FB">
        <w:rPr>
          <w:rFonts w:ascii="Arial" w:hAnsi="Arial" w:cs="Arial"/>
          <w:color w:val="FF0000"/>
          <w:sz w:val="22"/>
          <w:szCs w:val="22"/>
          <w:lang w:val="fr-FR"/>
        </w:rPr>
        <w:t>TS document Annex VII Table 2 (page 313)</w:t>
      </w: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lang w:val="fr-FR"/>
        </w:rPr>
        <w:tab/>
      </w:r>
      <w:r w:rsidRPr="004F21FB">
        <w:rPr>
          <w:rFonts w:ascii="Arial" w:hAnsi="Arial" w:cs="Arial"/>
          <w:color w:val="FF0000"/>
          <w:sz w:val="22"/>
          <w:szCs w:val="22"/>
          <w:lang w:val="fr-FR"/>
        </w:rPr>
        <w:tab/>
        <w:t>TA document on para. 81 (page 21)</w:t>
      </w: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lang w:val="fr-FR"/>
        </w:rPr>
        <w:tab/>
      </w:r>
      <w:r w:rsidRPr="004F21FB">
        <w:rPr>
          <w:rFonts w:ascii="Arial" w:hAnsi="Arial" w:cs="Arial"/>
          <w:color w:val="FF0000"/>
          <w:sz w:val="22"/>
          <w:szCs w:val="22"/>
          <w:lang w:val="fr-FR"/>
        </w:rPr>
        <w:tab/>
        <w:t>TA document on para. 84 (page 22)</w:t>
      </w: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lang w:val="fr-FR"/>
        </w:rPr>
        <w:tab/>
      </w:r>
      <w:r w:rsidRPr="004F21FB">
        <w:rPr>
          <w:rFonts w:ascii="Arial" w:hAnsi="Arial" w:cs="Arial"/>
          <w:color w:val="FF0000"/>
          <w:sz w:val="22"/>
          <w:szCs w:val="22"/>
          <w:lang w:val="fr-FR"/>
        </w:rPr>
        <w:tab/>
        <w:t>TA document on para. 85 (page 22)</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 xml:space="preserve">Reference to the distinction between "central maintenance services" vs "maintenance services" </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ab/>
      </w:r>
      <w:r w:rsidRPr="004F21FB">
        <w:rPr>
          <w:rFonts w:ascii="Arial" w:hAnsi="Arial" w:cs="Arial"/>
          <w:color w:val="FF0000"/>
          <w:sz w:val="22"/>
          <w:szCs w:val="22"/>
        </w:rPr>
        <w:tab/>
        <w:t>TS document Art 42.1 (c) and (d) (page 180)</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ab/>
      </w:r>
      <w:r w:rsidRPr="004F21FB">
        <w:rPr>
          <w:rFonts w:ascii="Arial" w:hAnsi="Arial" w:cs="Arial"/>
          <w:color w:val="FF0000"/>
          <w:sz w:val="22"/>
          <w:szCs w:val="22"/>
        </w:rPr>
        <w:tab/>
        <w:t>ITS document Annex VI Table 3 line 2, 3 and 4 (page 291)</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ab/>
      </w:r>
      <w:r w:rsidRPr="004F21FB">
        <w:rPr>
          <w:rFonts w:ascii="Arial" w:hAnsi="Arial" w:cs="Arial"/>
          <w:color w:val="FF0000"/>
          <w:sz w:val="22"/>
          <w:szCs w:val="22"/>
        </w:rPr>
        <w:tab/>
        <w:t>ITS document Annex VI Table 3 line 10 (page 298)</w:t>
      </w: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rPr>
        <w:tab/>
      </w:r>
      <w:r w:rsidRPr="004F21FB">
        <w:rPr>
          <w:rFonts w:ascii="Arial" w:hAnsi="Arial" w:cs="Arial"/>
          <w:color w:val="FF0000"/>
          <w:sz w:val="22"/>
          <w:szCs w:val="22"/>
        </w:rPr>
        <w:tab/>
      </w:r>
      <w:r w:rsidRPr="004F21FB">
        <w:rPr>
          <w:rFonts w:ascii="Arial" w:hAnsi="Arial" w:cs="Arial"/>
          <w:color w:val="FF0000"/>
          <w:sz w:val="22"/>
          <w:szCs w:val="22"/>
          <w:lang w:val="fr-FR"/>
        </w:rPr>
        <w:t>TA document on para. 81 (page 21)</w:t>
      </w: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lang w:val="fr-FR"/>
        </w:rPr>
        <w:tab/>
      </w:r>
      <w:r w:rsidRPr="004F21FB">
        <w:rPr>
          <w:rFonts w:ascii="Arial" w:hAnsi="Arial" w:cs="Arial"/>
          <w:color w:val="FF0000"/>
          <w:sz w:val="22"/>
          <w:szCs w:val="22"/>
          <w:lang w:val="fr-FR"/>
        </w:rPr>
        <w:tab/>
        <w:t>TA box on page 21+22</w:t>
      </w:r>
      <w:r w:rsidRPr="004F21FB">
        <w:rPr>
          <w:rFonts w:ascii="Arial" w:hAnsi="Arial" w:cs="Arial"/>
          <w:color w:val="FF0000"/>
          <w:sz w:val="22"/>
          <w:szCs w:val="22"/>
          <w:lang w:val="fr-FR"/>
        </w:rPr>
        <w:tab/>
      </w:r>
    </w:p>
    <w:p w:rsidR="004F21FB" w:rsidRPr="004F21FB" w:rsidRDefault="004F21FB" w:rsidP="004F21FB">
      <w:pPr>
        <w:rPr>
          <w:rFonts w:ascii="Arial" w:hAnsi="Arial" w:cs="Arial"/>
          <w:color w:val="FF0000"/>
          <w:sz w:val="22"/>
          <w:szCs w:val="22"/>
          <w:lang w:val="fr-FR"/>
        </w:rPr>
      </w:pPr>
      <w:r w:rsidRPr="004F21FB">
        <w:rPr>
          <w:rFonts w:ascii="Arial" w:hAnsi="Arial" w:cs="Arial"/>
          <w:color w:val="FF0000"/>
          <w:sz w:val="22"/>
          <w:szCs w:val="22"/>
          <w:lang w:val="fr-FR"/>
        </w:rPr>
        <w:tab/>
      </w:r>
      <w:r w:rsidRPr="004F21FB">
        <w:rPr>
          <w:rFonts w:ascii="Arial" w:hAnsi="Arial" w:cs="Arial"/>
          <w:color w:val="FF0000"/>
          <w:sz w:val="22"/>
          <w:szCs w:val="22"/>
          <w:lang w:val="fr-FR"/>
        </w:rPr>
        <w:tab/>
        <w:t>TA document on para. 84 (page 22)</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lang w:val="fr-FR"/>
        </w:rPr>
        <w:tab/>
      </w:r>
      <w:r w:rsidRPr="004F21FB">
        <w:rPr>
          <w:rFonts w:ascii="Arial" w:hAnsi="Arial" w:cs="Arial"/>
          <w:color w:val="FF0000"/>
          <w:sz w:val="22"/>
          <w:szCs w:val="22"/>
          <w:lang w:val="fr-FR"/>
        </w:rPr>
        <w:tab/>
        <w:t xml:space="preserve">TA document on para. </w:t>
      </w:r>
      <w:r w:rsidRPr="004F21FB">
        <w:rPr>
          <w:rFonts w:ascii="Arial" w:hAnsi="Arial" w:cs="Arial"/>
          <w:color w:val="FF0000"/>
          <w:sz w:val="22"/>
          <w:szCs w:val="22"/>
        </w:rPr>
        <w:t>85 (page 22)</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 xml:space="preserve">Reference to the distinction between "settlement service – issuer’s perspective" vs " settlement service – participant’s perspective" </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ab/>
      </w:r>
      <w:r w:rsidRPr="004F21FB">
        <w:rPr>
          <w:rFonts w:ascii="Arial" w:hAnsi="Arial" w:cs="Arial"/>
          <w:color w:val="FF0000"/>
          <w:sz w:val="22"/>
          <w:szCs w:val="22"/>
        </w:rPr>
        <w:tab/>
        <w:t>TA box on page 27+28</w:t>
      </w:r>
      <w:r w:rsidRPr="004F21FB">
        <w:rPr>
          <w:rFonts w:ascii="Arial" w:hAnsi="Arial" w:cs="Arial"/>
          <w:color w:val="FF0000"/>
          <w:sz w:val="22"/>
          <w:szCs w:val="22"/>
        </w:rPr>
        <w:tab/>
      </w:r>
    </w:p>
    <w:p w:rsidR="004F21FB" w:rsidRPr="004F21FB" w:rsidRDefault="004F21FB" w:rsidP="004F21FB">
      <w:pPr>
        <w:rPr>
          <w:rFonts w:ascii="Arial" w:hAnsi="Arial" w:cs="Arial"/>
          <w:color w:val="FF0000"/>
          <w:sz w:val="22"/>
          <w:szCs w:val="22"/>
        </w:rPr>
      </w:pP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t>The definition of “participants” versus “holder of securities accounts” is unclear; it seems to be related to the direct holding model; therefore it is unclear what to use as a basis.</w:t>
      </w:r>
    </w:p>
    <w:p w:rsidR="004F21FB" w:rsidRPr="004F21FB" w:rsidRDefault="004F21FB" w:rsidP="004F21FB">
      <w:pPr>
        <w:rPr>
          <w:rFonts w:ascii="Arial" w:hAnsi="Arial" w:cs="Arial"/>
          <w:color w:val="FF0000"/>
          <w:sz w:val="22"/>
          <w:szCs w:val="22"/>
        </w:rPr>
      </w:pPr>
    </w:p>
    <w:permEnd w:id="4397537"/>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4F21FB" w:rsidRPr="004F21FB" w:rsidRDefault="004F21FB" w:rsidP="004F21FB">
      <w:pPr>
        <w:rPr>
          <w:rFonts w:ascii="Arial" w:hAnsi="Arial" w:cs="Arial"/>
          <w:color w:val="FF0000"/>
          <w:sz w:val="22"/>
          <w:szCs w:val="22"/>
        </w:rPr>
      </w:pPr>
      <w:permStart w:id="1671048010" w:edGrp="everyone"/>
      <w:r w:rsidRPr="004F21FB">
        <w:rPr>
          <w:rFonts w:ascii="Arial" w:hAnsi="Arial" w:cs="Arial"/>
          <w:color w:val="FF0000"/>
          <w:sz w:val="22"/>
          <w:szCs w:val="22"/>
        </w:rPr>
        <w:t>The proposed technical advice formulation establishes denominators for the thresholds’ calcul</w:t>
      </w:r>
      <w:r w:rsidRPr="004F21FB">
        <w:rPr>
          <w:rFonts w:ascii="Arial" w:hAnsi="Arial" w:cs="Arial"/>
          <w:color w:val="FF0000"/>
          <w:sz w:val="22"/>
          <w:szCs w:val="22"/>
        </w:rPr>
        <w:t>a</w:t>
      </w:r>
      <w:r w:rsidRPr="004F21FB">
        <w:rPr>
          <w:rFonts w:ascii="Arial" w:hAnsi="Arial" w:cs="Arial"/>
          <w:color w:val="FF0000"/>
          <w:sz w:val="22"/>
          <w:szCs w:val="22"/>
        </w:rPr>
        <w:t xml:space="preserve">tions which are not in the sphere of information accessible to CSDs, elements such as: </w:t>
      </w:r>
    </w:p>
    <w:p w:rsidR="004F21FB" w:rsidRPr="004F21FB" w:rsidRDefault="004F21FB" w:rsidP="004F21FB">
      <w:pPr>
        <w:numPr>
          <w:ilvl w:val="0"/>
          <w:numId w:val="43"/>
        </w:numPr>
        <w:spacing w:after="200" w:line="276" w:lineRule="auto"/>
        <w:contextualSpacing/>
        <w:rPr>
          <w:rFonts w:ascii="Arial" w:eastAsiaTheme="minorHAnsi" w:hAnsi="Arial" w:cs="Arial"/>
          <w:color w:val="FF0000"/>
          <w:sz w:val="22"/>
          <w:szCs w:val="22"/>
          <w:lang w:eastAsia="en-US"/>
        </w:rPr>
      </w:pPr>
      <w:r w:rsidRPr="004F21FB">
        <w:rPr>
          <w:rFonts w:ascii="Arial" w:eastAsiaTheme="minorHAnsi" w:hAnsi="Arial" w:cs="Arial"/>
          <w:color w:val="FF0000"/>
          <w:sz w:val="22"/>
          <w:szCs w:val="22"/>
          <w:lang w:eastAsia="en-US"/>
        </w:rPr>
        <w:t>nominal value of securities non-centrally maintained by all CSDs established in the Eur</w:t>
      </w:r>
      <w:r w:rsidRPr="004F21FB">
        <w:rPr>
          <w:rFonts w:ascii="Arial" w:eastAsiaTheme="minorHAnsi" w:hAnsi="Arial" w:cs="Arial"/>
          <w:color w:val="FF0000"/>
          <w:sz w:val="22"/>
          <w:szCs w:val="22"/>
          <w:lang w:eastAsia="en-US"/>
        </w:rPr>
        <w:t>o</w:t>
      </w:r>
      <w:r w:rsidRPr="004F21FB">
        <w:rPr>
          <w:rFonts w:ascii="Arial" w:eastAsiaTheme="minorHAnsi" w:hAnsi="Arial" w:cs="Arial"/>
          <w:color w:val="FF0000"/>
          <w:sz w:val="22"/>
          <w:szCs w:val="22"/>
          <w:lang w:eastAsia="en-US"/>
        </w:rPr>
        <w:t>pean Union…</w:t>
      </w:r>
    </w:p>
    <w:p w:rsidR="004F21FB" w:rsidRPr="004F21FB" w:rsidRDefault="004F21FB" w:rsidP="004F21FB">
      <w:pPr>
        <w:numPr>
          <w:ilvl w:val="0"/>
          <w:numId w:val="43"/>
        </w:numPr>
        <w:spacing w:after="200" w:line="276" w:lineRule="auto"/>
        <w:contextualSpacing/>
        <w:rPr>
          <w:rFonts w:ascii="Arial" w:eastAsiaTheme="minorHAnsi" w:hAnsi="Arial" w:cs="Arial"/>
          <w:color w:val="FF0000"/>
          <w:sz w:val="22"/>
          <w:szCs w:val="22"/>
          <w:lang w:eastAsia="en-US"/>
        </w:rPr>
      </w:pPr>
      <w:r w:rsidRPr="004F21FB">
        <w:rPr>
          <w:rFonts w:ascii="Arial" w:eastAsiaTheme="minorHAnsi" w:hAnsi="Arial" w:cs="Arial"/>
          <w:color w:val="FF0000"/>
          <w:sz w:val="22"/>
          <w:szCs w:val="22"/>
          <w:lang w:eastAsia="en-US"/>
        </w:rPr>
        <w:t>nominal value of the FOP settlement instructions settled by all CSDs established in the European Union…</w:t>
      </w:r>
    </w:p>
    <w:p w:rsidR="004F21FB" w:rsidRPr="004F21FB" w:rsidRDefault="004F21FB" w:rsidP="004F21FB">
      <w:pPr>
        <w:numPr>
          <w:ilvl w:val="0"/>
          <w:numId w:val="43"/>
        </w:numPr>
        <w:spacing w:after="200" w:line="276" w:lineRule="auto"/>
        <w:contextualSpacing/>
        <w:rPr>
          <w:rFonts w:ascii="Arial" w:eastAsiaTheme="minorHAnsi" w:hAnsi="Arial" w:cs="Arial"/>
          <w:color w:val="FF0000"/>
          <w:sz w:val="22"/>
          <w:szCs w:val="22"/>
          <w:lang w:eastAsia="en-US"/>
        </w:rPr>
      </w:pPr>
      <w:r w:rsidRPr="004F21FB">
        <w:rPr>
          <w:rFonts w:ascii="Arial" w:eastAsiaTheme="minorHAnsi" w:hAnsi="Arial" w:cs="Arial"/>
          <w:color w:val="FF0000"/>
          <w:sz w:val="22"/>
          <w:szCs w:val="22"/>
          <w:lang w:eastAsia="en-US"/>
        </w:rPr>
        <w:t>nominal value of settlement instructions settled by all CSDs established in the European Union from participants…</w:t>
      </w:r>
    </w:p>
    <w:p w:rsidR="004F21FB" w:rsidRPr="004F21FB" w:rsidRDefault="004F21FB" w:rsidP="004F21FB">
      <w:pPr>
        <w:numPr>
          <w:ilvl w:val="0"/>
          <w:numId w:val="43"/>
        </w:numPr>
        <w:spacing w:after="200" w:line="276" w:lineRule="auto"/>
        <w:contextualSpacing/>
        <w:rPr>
          <w:rFonts w:ascii="Arial" w:eastAsiaTheme="minorHAnsi" w:hAnsi="Arial" w:cs="Arial"/>
          <w:color w:val="FF0000"/>
          <w:sz w:val="22"/>
          <w:szCs w:val="22"/>
          <w:lang w:eastAsia="en-US"/>
        </w:rPr>
      </w:pPr>
      <w:r w:rsidRPr="004F21FB">
        <w:rPr>
          <w:rFonts w:ascii="Arial" w:eastAsiaTheme="minorHAnsi" w:hAnsi="Arial" w:cs="Arial"/>
          <w:color w:val="FF0000"/>
          <w:sz w:val="22"/>
          <w:szCs w:val="22"/>
          <w:lang w:eastAsia="en-US"/>
        </w:rPr>
        <w:t xml:space="preserve">etc…. </w:t>
      </w:r>
    </w:p>
    <w:p w:rsidR="004F21FB" w:rsidRPr="004F21FB" w:rsidRDefault="004F21FB" w:rsidP="004F21FB">
      <w:pPr>
        <w:rPr>
          <w:rFonts w:ascii="Arial" w:hAnsi="Arial" w:cs="Arial"/>
          <w:color w:val="FF0000"/>
          <w:sz w:val="22"/>
          <w:szCs w:val="22"/>
        </w:rPr>
      </w:pPr>
      <w:r w:rsidRPr="004F21FB">
        <w:rPr>
          <w:rFonts w:ascii="Arial" w:hAnsi="Arial" w:cs="Arial"/>
          <w:color w:val="FF0000"/>
          <w:sz w:val="22"/>
          <w:szCs w:val="22"/>
        </w:rPr>
        <w:lastRenderedPageBreak/>
        <w:t xml:space="preserve">Elements as the listed above are not available to CSDs and therefore making calculations on the proposed thresholds not assessable to CSDs. </w:t>
      </w:r>
    </w:p>
    <w:p w:rsidR="00A35728" w:rsidRPr="00616B9B" w:rsidRDefault="00A35728" w:rsidP="00A35728">
      <w:pPr>
        <w:rPr>
          <w:rFonts w:ascii="Arial" w:hAnsi="Arial" w:cs="Arial"/>
          <w:sz w:val="22"/>
          <w:szCs w:val="22"/>
        </w:rPr>
      </w:pPr>
      <w:bookmarkStart w:id="3" w:name="_GoBack"/>
      <w:bookmarkEnd w:id="3"/>
      <w:permEnd w:id="1671048010"/>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F08DC" w:rsidP="006F08DC">
      <w:pPr>
        <w:rPr>
          <w:rFonts w:ascii="Arial" w:hAnsi="Arial" w:cs="Arial"/>
          <w:sz w:val="22"/>
          <w:szCs w:val="22"/>
        </w:rPr>
      </w:pPr>
      <w:permStart w:id="2043634967" w:edGrp="everyone"/>
      <w:r w:rsidRPr="00616B9B">
        <w:rPr>
          <w:rFonts w:ascii="Arial" w:hAnsi="Arial" w:cs="Arial"/>
          <w:sz w:val="22"/>
          <w:szCs w:val="22"/>
        </w:rPr>
        <w:t>TYPE YOUR TEXT HERE</w:t>
      </w:r>
    </w:p>
    <w:permEnd w:id="2043634967"/>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E8" w:rsidRDefault="001470E8">
      <w:r>
        <w:separator/>
      </w:r>
    </w:p>
    <w:p w:rsidR="001470E8" w:rsidRDefault="001470E8"/>
  </w:endnote>
  <w:endnote w:type="continuationSeparator" w:id="0">
    <w:p w:rsidR="001470E8" w:rsidRDefault="001470E8">
      <w:r>
        <w:continuationSeparator/>
      </w:r>
    </w:p>
    <w:p w:rsidR="001470E8" w:rsidRDefault="001470E8"/>
  </w:endnote>
  <w:endnote w:type="continuationNotice" w:id="1">
    <w:p w:rsidR="001470E8" w:rsidRDefault="00147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4F21FB">
            <w:rPr>
              <w:rFonts w:ascii="Arial" w:hAnsi="Arial" w:cs="Arial"/>
              <w:noProof/>
              <w:sz w:val="22"/>
              <w:szCs w:val="22"/>
            </w:rPr>
            <w:t>8</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E8" w:rsidRDefault="001470E8">
      <w:r>
        <w:separator/>
      </w:r>
    </w:p>
    <w:p w:rsidR="001470E8" w:rsidRDefault="001470E8"/>
  </w:footnote>
  <w:footnote w:type="continuationSeparator" w:id="0">
    <w:p w:rsidR="001470E8" w:rsidRDefault="001470E8">
      <w:r>
        <w:continuationSeparator/>
      </w:r>
    </w:p>
    <w:p w:rsidR="001470E8" w:rsidRDefault="001470E8"/>
  </w:footnote>
  <w:footnote w:type="continuationNotice" w:id="1">
    <w:p w:rsidR="001470E8" w:rsidRDefault="001470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650357D"/>
    <w:multiLevelType w:val="hybridMultilevel"/>
    <w:tmpl w:val="8FB807F8"/>
    <w:lvl w:ilvl="0" w:tplc="9554580C">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8">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4">
    <w:nsid w:val="307B1C59"/>
    <w:multiLevelType w:val="hybridMultilevel"/>
    <w:tmpl w:val="56ECFC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7">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9">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1">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3">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5">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5">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8">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9">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9"/>
  </w:num>
  <w:num w:numId="2">
    <w:abstractNumId w:val="22"/>
  </w:num>
  <w:num w:numId="3">
    <w:abstractNumId w:val="15"/>
  </w:num>
  <w:num w:numId="4">
    <w:abstractNumId w:val="26"/>
  </w:num>
  <w:num w:numId="5">
    <w:abstractNumId w:val="3"/>
  </w:num>
  <w:num w:numId="6">
    <w:abstractNumId w:val="28"/>
  </w:num>
  <w:num w:numId="7">
    <w:abstractNumId w:val="0"/>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33"/>
  </w:num>
  <w:num w:numId="15">
    <w:abstractNumId w:val="25"/>
  </w:num>
  <w:num w:numId="16">
    <w:abstractNumId w:val="12"/>
  </w:num>
  <w:num w:numId="17">
    <w:abstractNumId w:val="1"/>
  </w:num>
  <w:num w:numId="18">
    <w:abstractNumId w:val="17"/>
  </w:num>
  <w:num w:numId="19">
    <w:abstractNumId w:val="18"/>
  </w:num>
  <w:num w:numId="20">
    <w:abstractNumId w:val="20"/>
  </w:num>
  <w:num w:numId="21">
    <w:abstractNumId w:val="29"/>
  </w:num>
  <w:num w:numId="22">
    <w:abstractNumId w:val="36"/>
  </w:num>
  <w:num w:numId="23">
    <w:abstractNumId w:val="27"/>
  </w:num>
  <w:num w:numId="24">
    <w:abstractNumId w:val="11"/>
  </w:num>
  <w:num w:numId="25">
    <w:abstractNumId w:val="32"/>
  </w:num>
  <w:num w:numId="26">
    <w:abstractNumId w:val="31"/>
  </w:num>
  <w:num w:numId="27">
    <w:abstractNumId w:val="23"/>
  </w:num>
  <w:num w:numId="28">
    <w:abstractNumId w:val="35"/>
  </w:num>
  <w:num w:numId="29">
    <w:abstractNumId w:val="38"/>
  </w:num>
  <w:num w:numId="30">
    <w:abstractNumId w:val="9"/>
  </w:num>
  <w:num w:numId="31">
    <w:abstractNumId w:val="4"/>
  </w:num>
  <w:num w:numId="32">
    <w:abstractNumId w:val="24"/>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3"/>
  </w:num>
  <w:num w:numId="37">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num>
  <w:num w:numId="41">
    <w:abstractNumId w:val="6"/>
  </w:num>
  <w:num w:numId="42">
    <w:abstractNumId w:val="14"/>
  </w:num>
  <w:num w:numId="43">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614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21FB"/>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C7EA8"/>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276DF-943B-4886-8882-3EB7F2FF154F}">
  <ds:schemaRefs>
    <ds:schemaRef ds:uri="http://schemas.openxmlformats.org/officeDocument/2006/bibliography"/>
  </ds:schemaRefs>
</ds:datastoreItem>
</file>

<file path=customXml/itemProps2.xml><?xml version="1.0" encoding="utf-8"?>
<ds:datastoreItem xmlns:ds="http://schemas.openxmlformats.org/officeDocument/2006/customXml" ds:itemID="{1479780C-6668-49C1-A7A7-7BC52A8B1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1801</Words>
  <Characters>9953</Characters>
  <Application>Microsoft Office Word</Application>
  <DocSecurity>8</DocSecurity>
  <Lines>82</Lines>
  <Paragraphs>23</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11731</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di Lorenzo Italo</cp:lastModifiedBy>
  <cp:revision>3</cp:revision>
  <cp:lastPrinted>2014-05-08T16:06:00Z</cp:lastPrinted>
  <dcterms:created xsi:type="dcterms:W3CDTF">2015-02-19T14:59:00Z</dcterms:created>
  <dcterms:modified xsi:type="dcterms:W3CDTF">2015-02-19T16:32:00Z</dcterms:modified>
</cp:coreProperties>
</file>