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14:paraId="245528DB" w14:textId="77777777" w:rsidTr="00315E96">
        <w:trPr>
          <w:trHeight w:val="284"/>
        </w:trPr>
        <w:tc>
          <w:tcPr>
            <w:tcW w:w="9412" w:type="dxa"/>
          </w:tcPr>
          <w:p w14:paraId="497EE648" w14:textId="77777777"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14:paraId="720D2515" w14:textId="77777777"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8D1E941" w14:textId="77777777" w:rsidTr="00B835D5">
        <w:trPr>
          <w:trHeight w:hRule="exact" w:val="1209"/>
        </w:trPr>
        <w:tc>
          <w:tcPr>
            <w:tcW w:w="9397" w:type="dxa"/>
            <w:vAlign w:val="bottom"/>
          </w:tcPr>
          <w:p w14:paraId="7D549A6D" w14:textId="77777777"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14:paraId="31B534EB" w14:textId="77777777"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14:paraId="0FBBF5D0" w14:textId="77777777" w:rsidR="00791EB4" w:rsidRPr="00616B9B" w:rsidRDefault="00791EB4" w:rsidP="00C000A5">
            <w:pPr>
              <w:pStyle w:val="01aDBTitle"/>
              <w:rPr>
                <w:rFonts w:ascii="Arial" w:hAnsi="Arial" w:cs="Arial"/>
              </w:rPr>
            </w:pPr>
          </w:p>
        </w:tc>
      </w:tr>
      <w:tr w:rsidR="00060F72" w:rsidRPr="00616B9B" w14:paraId="3A4FB747" w14:textId="77777777" w:rsidTr="00B835D5">
        <w:trPr>
          <w:trHeight w:hRule="exact" w:val="605"/>
        </w:trPr>
        <w:tc>
          <w:tcPr>
            <w:tcW w:w="9397" w:type="dxa"/>
            <w:tcMar>
              <w:top w:w="142" w:type="dxa"/>
            </w:tcMar>
          </w:tcPr>
          <w:p w14:paraId="67EE4165"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1F36F4BD" w14:textId="77777777" w:rsidR="00620D7C" w:rsidRPr="00616B9B" w:rsidRDefault="00620D7C" w:rsidP="00C00012">
      <w:pPr>
        <w:pStyle w:val="05HeadlinenoIndex"/>
        <w:rPr>
          <w:rFonts w:ascii="Arial" w:hAnsi="Arial" w:cs="Arial"/>
        </w:rPr>
        <w:sectPr w:rsidR="00620D7C" w:rsidRPr="00616B9B" w:rsidSect="006E3C72">
          <w:headerReference w:type="default" r:id="rId12"/>
          <w:footerReference w:type="default" r:id="rId13"/>
          <w:headerReference w:type="first" r:id="rId14"/>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14:paraId="321DDBC1" w14:textId="77777777" w:rsidTr="00315E96">
        <w:trPr>
          <w:trHeight w:hRule="exact" w:val="964"/>
        </w:trPr>
        <w:tc>
          <w:tcPr>
            <w:tcW w:w="2325" w:type="dxa"/>
          </w:tcPr>
          <w:p w14:paraId="1A57B740" w14:textId="77777777"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14:paraId="3E845C39" w14:textId="77777777" w:rsidR="0088244C" w:rsidRPr="00616B9B" w:rsidRDefault="0088244C" w:rsidP="00F574D0">
      <w:pPr>
        <w:pStyle w:val="05HeadlinenoIndex"/>
        <w:rPr>
          <w:rFonts w:ascii="Arial" w:hAnsi="Arial" w:cs="Arial"/>
        </w:rPr>
      </w:pPr>
      <w:bookmarkStart w:id="0" w:name="_Toc280628648"/>
    </w:p>
    <w:p w14:paraId="76D2B9C4" w14:textId="77777777"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14:paraId="0D2D83DA" w14:textId="77777777"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14:paraId="2627E830" w14:textId="77777777" w:rsidR="00F574D0" w:rsidRPr="00616B9B" w:rsidRDefault="00F574D0" w:rsidP="00F574D0">
      <w:pPr>
        <w:pStyle w:val="04BodyText"/>
        <w:spacing w:before="120" w:after="120"/>
        <w:rPr>
          <w:rFonts w:ascii="Arial" w:hAnsi="Arial" w:cs="Arial"/>
        </w:rPr>
      </w:pPr>
    </w:p>
    <w:p w14:paraId="6403306F" w14:textId="77777777"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14:paraId="6965F899" w14:textId="77777777"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Therefore, please follow the instructions described below</w:t>
      </w:r>
      <w:r w:rsidR="00F574D0" w:rsidRPr="00616B9B">
        <w:rPr>
          <w:rFonts w:ascii="Arial" w:hAnsi="Arial" w:cs="Arial"/>
        </w:rPr>
        <w:t>:</w:t>
      </w:r>
    </w:p>
    <w:p w14:paraId="07FF0377" w14:textId="77777777"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14:paraId="5D34A5B3" w14:textId="77777777"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14:paraId="47C5AA14" w14:textId="77777777"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14:paraId="051AAA3E" w14:textId="77777777"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14:paraId="6B01D25B" w14:textId="77777777"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14:paraId="3FEFD1FD" w14:textId="77777777"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14:paraId="6E57A429" w14:textId="77777777"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14:paraId="33419D26" w14:textId="77777777"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14:paraId="77369624" w14:textId="77777777"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following format:</w:t>
      </w:r>
    </w:p>
    <w:p w14:paraId="042ACD08" w14:textId="77777777"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14:paraId="79085962" w14:textId="77777777"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14:paraId="505A0E9E" w14:textId="77777777"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14:paraId="29EFB3B8" w14:textId="77777777"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14:paraId="6BCE5808" w14:textId="77777777"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5" w:history="1">
        <w:r w:rsidRPr="00616B9B">
          <w:rPr>
            <w:rStyle w:val="Hyperlink"/>
            <w:rFonts w:ascii="Arial" w:hAnsi="Arial" w:cs="Arial"/>
          </w:rPr>
          <w:t>www.esma.europa.eu</w:t>
        </w:r>
      </w:hyperlink>
      <w:r w:rsidRPr="00616B9B">
        <w:rPr>
          <w:rFonts w:ascii="Arial" w:hAnsi="Arial" w:cs="Arial"/>
        </w:rPr>
        <w:t xml:space="preserve"> under the heading ‘Your input/Consultations’. </w:t>
      </w:r>
    </w:p>
    <w:p w14:paraId="661421F7" w14:textId="77777777"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14:paraId="2D67F2B3" w14:textId="77777777"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07D67B12" w14:textId="77777777"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14:paraId="4A3C244D" w14:textId="77777777"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6"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14:paraId="004971BF" w14:textId="77777777"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436"/>
        <w:gridCol w:w="5966"/>
      </w:tblGrid>
      <w:tr w:rsidR="00F32462" w:rsidRPr="0026621B" w14:paraId="3281C0A0" w14:textId="77777777" w:rsidTr="00E66DAF">
        <w:tc>
          <w:tcPr>
            <w:tcW w:w="3510" w:type="dxa"/>
          </w:tcPr>
          <w:p w14:paraId="1C9D62B6" w14:textId="77777777"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association?</w:t>
            </w:r>
          </w:p>
        </w:tc>
        <w:tc>
          <w:tcPr>
            <w:tcW w:w="6118" w:type="dxa"/>
          </w:tcPr>
          <w:p w14:paraId="5CE0AE0B" w14:textId="064F5942" w:rsidR="00F32462" w:rsidRPr="0026621B" w:rsidRDefault="007D63D4"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1850751412" w:edGrp="everyone"/>
                <w:r>
                  <w:rPr>
                    <w:rFonts w:ascii="Arial" w:hAnsi="Arial" w:cs="Arial"/>
                    <w:sz w:val="22"/>
                    <w:szCs w:val="22"/>
                  </w:rPr>
                  <w:t>Yes</w:t>
                </w:r>
                <w:permEnd w:id="1850751412"/>
              </w:sdtContent>
            </w:sdt>
          </w:p>
        </w:tc>
      </w:tr>
      <w:tr w:rsidR="00F32462" w:rsidRPr="0026621B" w14:paraId="6B1415FA" w14:textId="77777777" w:rsidTr="00E66DAF">
        <w:tc>
          <w:tcPr>
            <w:tcW w:w="3510" w:type="dxa"/>
          </w:tcPr>
          <w:p w14:paraId="36C791CB" w14:textId="77777777"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14:paraId="2130E028" w14:textId="3C407581" w:rsidR="00F32462" w:rsidRPr="0026621B" w:rsidRDefault="007D63D4"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862217397" w:edGrp="everyone"/>
                <w:r>
                  <w:rPr>
                    <w:rFonts w:ascii="Arial" w:hAnsi="Arial" w:cs="Arial"/>
                    <w:sz w:val="22"/>
                    <w:szCs w:val="22"/>
                  </w:rPr>
                  <w:t>Central Securities Depository</w:t>
                </w:r>
                <w:permEnd w:id="862217397"/>
              </w:sdtContent>
            </w:sdt>
          </w:p>
        </w:tc>
      </w:tr>
      <w:tr w:rsidR="00F32462" w:rsidRPr="0026621B" w14:paraId="3A18A055" w14:textId="77777777" w:rsidTr="00E66DAF">
        <w:tc>
          <w:tcPr>
            <w:tcW w:w="3510" w:type="dxa"/>
          </w:tcPr>
          <w:p w14:paraId="7C9C018A" w14:textId="77777777"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677923411" w:edGrp="everyone" w:displacedByCustomXml="prev"/>
            <w:tc>
              <w:tcPr>
                <w:tcW w:w="6118" w:type="dxa"/>
              </w:tcPr>
              <w:p w14:paraId="07F416BA" w14:textId="6B05B0F1" w:rsidR="00F32462" w:rsidRPr="0026621B" w:rsidRDefault="007D63D4" w:rsidP="00E66DAF">
                <w:pPr>
                  <w:rPr>
                    <w:rFonts w:ascii="Arial" w:hAnsi="Arial" w:cs="Arial"/>
                    <w:sz w:val="22"/>
                    <w:szCs w:val="22"/>
                  </w:rPr>
                </w:pPr>
                <w:r>
                  <w:rPr>
                    <w:rFonts w:ascii="Arial" w:hAnsi="Arial" w:cs="Arial"/>
                    <w:sz w:val="22"/>
                    <w:szCs w:val="22"/>
                  </w:rPr>
                  <w:t>Europe</w:t>
                </w:r>
              </w:p>
            </w:tc>
            <w:permEnd w:id="677923411" w:displacedByCustomXml="next"/>
          </w:sdtContent>
        </w:sdt>
      </w:tr>
    </w:tbl>
    <w:p w14:paraId="5DCBB0A6" w14:textId="77777777" w:rsidR="00F32462" w:rsidRDefault="00F32462">
      <w:pPr>
        <w:rPr>
          <w:rFonts w:ascii="Arial" w:hAnsi="Arial" w:cs="Arial"/>
          <w:b/>
          <w:sz w:val="22"/>
          <w:szCs w:val="22"/>
          <w:lang w:eastAsia="en-US"/>
        </w:rPr>
      </w:pPr>
      <w:r>
        <w:rPr>
          <w:rFonts w:ascii="Arial" w:hAnsi="Arial" w:cs="Arial"/>
          <w:szCs w:val="22"/>
        </w:rPr>
        <w:br w:type="page"/>
      </w:r>
    </w:p>
    <w:p w14:paraId="6A44ACFD" w14:textId="77777777"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14:paraId="67AD5A32"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14:paraId="1DC8FBF9" w14:textId="77777777" w:rsidR="008765E7" w:rsidRPr="007F0EF1" w:rsidRDefault="008765E7" w:rsidP="008765E7">
      <w:pPr>
        <w:spacing w:line="360" w:lineRule="auto"/>
        <w:jc w:val="both"/>
        <w:rPr>
          <w:rFonts w:ascii="Arial" w:hAnsi="Arial" w:cs="Arial"/>
        </w:rPr>
      </w:pPr>
      <w:permStart w:id="1640783443" w:edGrp="everyone"/>
      <w:r w:rsidRPr="007F0EF1">
        <w:rPr>
          <w:rFonts w:ascii="Arial" w:hAnsi="Arial" w:cs="Arial"/>
        </w:rPr>
        <w:t>ECSDA supports the mark-to-market approach proposed by ESMA, provided that:</w:t>
      </w:r>
    </w:p>
    <w:p w14:paraId="42773D33" w14:textId="77777777" w:rsidR="008765E7" w:rsidRPr="007F0EF1" w:rsidRDefault="008765E7" w:rsidP="008765E7">
      <w:pPr>
        <w:pStyle w:val="ListParagraph"/>
        <w:numPr>
          <w:ilvl w:val="0"/>
          <w:numId w:val="42"/>
        </w:numPr>
        <w:spacing w:line="360" w:lineRule="auto"/>
        <w:contextualSpacing w:val="0"/>
        <w:jc w:val="both"/>
        <w:rPr>
          <w:rFonts w:ascii="Arial" w:hAnsi="Arial" w:cs="Arial"/>
        </w:rPr>
      </w:pPr>
      <w:r w:rsidRPr="007F0EF1">
        <w:rPr>
          <w:rFonts w:ascii="Arial" w:hAnsi="Arial" w:cs="Arial"/>
        </w:rPr>
        <w:t>there are clear rules on which reference price should be used and;</w:t>
      </w:r>
    </w:p>
    <w:p w14:paraId="73739AC7" w14:textId="77777777" w:rsidR="008765E7" w:rsidRPr="007F0EF1" w:rsidRDefault="008765E7" w:rsidP="008765E7">
      <w:pPr>
        <w:pStyle w:val="ListParagraph"/>
        <w:numPr>
          <w:ilvl w:val="0"/>
          <w:numId w:val="42"/>
        </w:numPr>
        <w:spacing w:line="360" w:lineRule="auto"/>
        <w:contextualSpacing w:val="0"/>
        <w:jc w:val="both"/>
        <w:rPr>
          <w:rFonts w:ascii="Arial" w:hAnsi="Arial" w:cs="Arial"/>
        </w:rPr>
      </w:pPr>
      <w:r w:rsidRPr="007F0EF1">
        <w:rPr>
          <w:rFonts w:ascii="Arial" w:hAnsi="Arial" w:cs="Arial"/>
        </w:rPr>
        <w:t>CSDs are able to access a reliable source for such prices.</w:t>
      </w:r>
    </w:p>
    <w:p w14:paraId="3505A88C" w14:textId="77777777" w:rsidR="008765E7" w:rsidRPr="007F0EF1" w:rsidRDefault="008765E7" w:rsidP="008765E7">
      <w:pPr>
        <w:spacing w:line="360" w:lineRule="auto"/>
        <w:jc w:val="both"/>
        <w:rPr>
          <w:rFonts w:ascii="Arial" w:hAnsi="Arial" w:cs="Arial"/>
        </w:rPr>
      </w:pPr>
    </w:p>
    <w:p w14:paraId="351FDE33" w14:textId="77777777" w:rsidR="008765E7" w:rsidRPr="007F0EF1" w:rsidRDefault="008765E7" w:rsidP="008765E7">
      <w:pPr>
        <w:spacing w:line="360" w:lineRule="auto"/>
        <w:jc w:val="both"/>
        <w:rPr>
          <w:rFonts w:ascii="Arial" w:hAnsi="Arial" w:cs="Arial"/>
        </w:rPr>
      </w:pPr>
      <w:r w:rsidRPr="007F0EF1">
        <w:rPr>
          <w:rFonts w:ascii="Arial" w:hAnsi="Arial" w:cs="Arial"/>
        </w:rPr>
        <w:t xml:space="preserve">It is very important that the ESMA technical advice clearly states whether all EU CSDs are expected to use the same references prices (and thus the same source of prices) or not. </w:t>
      </w:r>
    </w:p>
    <w:p w14:paraId="229C0E1D" w14:textId="77777777" w:rsidR="008765E7" w:rsidRPr="007F0EF1" w:rsidRDefault="008765E7" w:rsidP="008765E7">
      <w:pPr>
        <w:spacing w:line="360" w:lineRule="auto"/>
        <w:jc w:val="both"/>
        <w:rPr>
          <w:rFonts w:ascii="Arial" w:hAnsi="Arial" w:cs="Arial"/>
        </w:rPr>
      </w:pPr>
    </w:p>
    <w:p w14:paraId="57D6423B" w14:textId="77777777" w:rsidR="008765E7" w:rsidRPr="007F0EF1" w:rsidRDefault="008765E7" w:rsidP="008765E7">
      <w:pPr>
        <w:spacing w:line="360" w:lineRule="auto"/>
        <w:jc w:val="both"/>
        <w:rPr>
          <w:rFonts w:ascii="Arial" w:hAnsi="Arial" w:cs="Arial"/>
        </w:rPr>
      </w:pPr>
      <w:r w:rsidRPr="007F0EF1">
        <w:rPr>
          <w:rFonts w:ascii="Arial" w:hAnsi="Arial" w:cs="Arial"/>
        </w:rPr>
        <w:t>Providers of market data compete with one another to provide the “best prices”, which they source from various trading venues and market participants. As soon as two CSDs use a different provider for obtaining reference prices, it is impossible to guarantee that they will always have the same reference prices. This means that ESMA must choose between two options:</w:t>
      </w:r>
    </w:p>
    <w:p w14:paraId="51B7A727" w14:textId="77777777" w:rsidR="008765E7" w:rsidRPr="007F0EF1" w:rsidRDefault="008765E7" w:rsidP="008765E7">
      <w:pPr>
        <w:spacing w:line="360" w:lineRule="auto"/>
        <w:jc w:val="both"/>
        <w:rPr>
          <w:rFonts w:ascii="Arial" w:hAnsi="Arial" w:cs="Arial"/>
        </w:rPr>
      </w:pPr>
    </w:p>
    <w:tbl>
      <w:tblPr>
        <w:tblStyle w:val="TableGrid"/>
        <w:tblW w:w="0" w:type="auto"/>
        <w:tblCellMar>
          <w:top w:w="57" w:type="dxa"/>
          <w:bottom w:w="57" w:type="dxa"/>
        </w:tblCellMar>
        <w:tblLook w:val="04A0" w:firstRow="1" w:lastRow="0" w:firstColumn="1" w:lastColumn="0" w:noHBand="0" w:noVBand="1"/>
      </w:tblPr>
      <w:tblGrid>
        <w:gridCol w:w="846"/>
        <w:gridCol w:w="3969"/>
        <w:gridCol w:w="4245"/>
      </w:tblGrid>
      <w:tr w:rsidR="008765E7" w:rsidRPr="007F0EF1" w14:paraId="6C62078D" w14:textId="77777777" w:rsidTr="007E7D77">
        <w:tc>
          <w:tcPr>
            <w:tcW w:w="846" w:type="dxa"/>
          </w:tcPr>
          <w:p w14:paraId="0D945538" w14:textId="77777777" w:rsidR="008765E7" w:rsidRPr="007F0EF1" w:rsidRDefault="008765E7" w:rsidP="007E7D77">
            <w:pPr>
              <w:spacing w:line="276" w:lineRule="auto"/>
              <w:jc w:val="both"/>
              <w:rPr>
                <w:rFonts w:ascii="Arial" w:hAnsi="Arial" w:cs="Arial"/>
              </w:rPr>
            </w:pPr>
          </w:p>
        </w:tc>
        <w:tc>
          <w:tcPr>
            <w:tcW w:w="3969" w:type="dxa"/>
          </w:tcPr>
          <w:p w14:paraId="0E95F4DA" w14:textId="77777777" w:rsidR="008765E7" w:rsidRPr="007F0EF1" w:rsidRDefault="008765E7" w:rsidP="007E7D77">
            <w:pPr>
              <w:spacing w:line="276" w:lineRule="auto"/>
              <w:jc w:val="both"/>
              <w:rPr>
                <w:rFonts w:ascii="Arial" w:hAnsi="Arial" w:cs="Arial"/>
                <w:b/>
              </w:rPr>
            </w:pPr>
            <w:r w:rsidRPr="007F0EF1">
              <w:rPr>
                <w:rFonts w:ascii="Arial" w:hAnsi="Arial" w:cs="Arial"/>
                <w:b/>
                <w:u w:val="single"/>
              </w:rPr>
              <w:t>Option 1</w:t>
            </w:r>
            <w:r w:rsidRPr="007F0EF1">
              <w:rPr>
                <w:rFonts w:ascii="Arial" w:hAnsi="Arial" w:cs="Arial"/>
                <w:b/>
              </w:rPr>
              <w:t>: All EU CSDs use a single source for reference prices to ensure that penalty amounts are always the same across CSDs.</w:t>
            </w:r>
          </w:p>
        </w:tc>
        <w:tc>
          <w:tcPr>
            <w:tcW w:w="4245" w:type="dxa"/>
          </w:tcPr>
          <w:p w14:paraId="29DF08D1" w14:textId="77777777" w:rsidR="008765E7" w:rsidRPr="007F0EF1" w:rsidRDefault="008765E7" w:rsidP="007E7D77">
            <w:pPr>
              <w:spacing w:line="276" w:lineRule="auto"/>
              <w:jc w:val="both"/>
              <w:rPr>
                <w:rFonts w:ascii="Arial" w:hAnsi="Arial" w:cs="Arial"/>
                <w:b/>
              </w:rPr>
            </w:pPr>
            <w:r w:rsidRPr="007F0EF1">
              <w:rPr>
                <w:rFonts w:ascii="Arial" w:hAnsi="Arial" w:cs="Arial"/>
                <w:b/>
                <w:u w:val="single"/>
              </w:rPr>
              <w:t>Option 2</w:t>
            </w:r>
            <w:r w:rsidRPr="007F0EF1">
              <w:rPr>
                <w:rFonts w:ascii="Arial" w:hAnsi="Arial" w:cs="Arial"/>
                <w:b/>
              </w:rPr>
              <w:t xml:space="preserve">: CSDs can choose any provider of market data. Penalty amounts might occasionally differ from one CSD to another. </w:t>
            </w:r>
          </w:p>
        </w:tc>
      </w:tr>
      <w:tr w:rsidR="008765E7" w:rsidRPr="007F0EF1" w14:paraId="02B79676" w14:textId="77777777" w:rsidTr="007E7D77">
        <w:tc>
          <w:tcPr>
            <w:tcW w:w="846" w:type="dxa"/>
          </w:tcPr>
          <w:p w14:paraId="07C88CF5" w14:textId="77777777" w:rsidR="008765E7" w:rsidRPr="007F0EF1" w:rsidRDefault="008765E7" w:rsidP="007E7D77">
            <w:pPr>
              <w:spacing w:line="276" w:lineRule="auto"/>
              <w:jc w:val="both"/>
              <w:rPr>
                <w:rFonts w:ascii="Arial" w:hAnsi="Arial" w:cs="Arial"/>
                <w:b/>
                <w:i/>
              </w:rPr>
            </w:pPr>
            <w:r w:rsidRPr="007F0EF1">
              <w:rPr>
                <w:rFonts w:ascii="Arial" w:hAnsi="Arial" w:cs="Arial"/>
                <w:b/>
                <w:i/>
              </w:rPr>
              <w:t>Pros</w:t>
            </w:r>
          </w:p>
        </w:tc>
        <w:tc>
          <w:tcPr>
            <w:tcW w:w="3969" w:type="dxa"/>
          </w:tcPr>
          <w:p w14:paraId="33D459AA" w14:textId="77777777" w:rsidR="008765E7" w:rsidRPr="007F0EF1" w:rsidRDefault="008765E7" w:rsidP="008765E7">
            <w:pPr>
              <w:pStyle w:val="ListParagraph"/>
              <w:numPr>
                <w:ilvl w:val="0"/>
                <w:numId w:val="43"/>
              </w:numPr>
              <w:spacing w:line="276" w:lineRule="auto"/>
              <w:ind w:left="317" w:hanging="283"/>
              <w:contextualSpacing w:val="0"/>
              <w:rPr>
                <w:rFonts w:ascii="Arial" w:hAnsi="Arial" w:cs="Arial"/>
              </w:rPr>
            </w:pPr>
            <w:r w:rsidRPr="007F0EF1">
              <w:rPr>
                <w:rFonts w:ascii="Arial" w:hAnsi="Arial" w:cs="Arial"/>
              </w:rPr>
              <w:t>No competitive distortions (level playing field) among CSDs as regards penalty levels</w:t>
            </w:r>
          </w:p>
        </w:tc>
        <w:tc>
          <w:tcPr>
            <w:tcW w:w="4245" w:type="dxa"/>
          </w:tcPr>
          <w:p w14:paraId="74808D3F" w14:textId="77777777" w:rsidR="008765E7" w:rsidRPr="007F0EF1" w:rsidRDefault="008765E7" w:rsidP="008765E7">
            <w:pPr>
              <w:pStyle w:val="ListParagraph"/>
              <w:numPr>
                <w:ilvl w:val="0"/>
                <w:numId w:val="43"/>
              </w:numPr>
              <w:spacing w:line="276" w:lineRule="auto"/>
              <w:ind w:left="317" w:hanging="283"/>
              <w:contextualSpacing w:val="0"/>
              <w:rPr>
                <w:rFonts w:ascii="Arial" w:hAnsi="Arial" w:cs="Arial"/>
              </w:rPr>
            </w:pPr>
            <w:r w:rsidRPr="007F0EF1">
              <w:rPr>
                <w:rFonts w:ascii="Arial" w:hAnsi="Arial" w:cs="Arial"/>
              </w:rPr>
              <w:t>Possibility for CSDs to appoint a provider of their choice, competition among providers</w:t>
            </w:r>
          </w:p>
        </w:tc>
      </w:tr>
      <w:tr w:rsidR="008765E7" w:rsidRPr="007F0EF1" w14:paraId="7237CA4C" w14:textId="77777777" w:rsidTr="007E7D77">
        <w:tc>
          <w:tcPr>
            <w:tcW w:w="846" w:type="dxa"/>
          </w:tcPr>
          <w:p w14:paraId="5813E7FC" w14:textId="77777777" w:rsidR="008765E7" w:rsidRPr="007F0EF1" w:rsidRDefault="008765E7" w:rsidP="007E7D77">
            <w:pPr>
              <w:spacing w:line="276" w:lineRule="auto"/>
              <w:jc w:val="both"/>
              <w:rPr>
                <w:rFonts w:ascii="Arial" w:hAnsi="Arial" w:cs="Arial"/>
                <w:b/>
                <w:i/>
              </w:rPr>
            </w:pPr>
            <w:r w:rsidRPr="007F0EF1">
              <w:rPr>
                <w:rFonts w:ascii="Arial" w:hAnsi="Arial" w:cs="Arial"/>
                <w:b/>
                <w:i/>
              </w:rPr>
              <w:t>Cons</w:t>
            </w:r>
          </w:p>
        </w:tc>
        <w:tc>
          <w:tcPr>
            <w:tcW w:w="3969" w:type="dxa"/>
          </w:tcPr>
          <w:p w14:paraId="0EB79474" w14:textId="77777777" w:rsidR="008765E7" w:rsidRPr="007F0EF1" w:rsidRDefault="008765E7" w:rsidP="008765E7">
            <w:pPr>
              <w:pStyle w:val="ListParagraph"/>
              <w:numPr>
                <w:ilvl w:val="0"/>
                <w:numId w:val="43"/>
              </w:numPr>
              <w:spacing w:line="276" w:lineRule="auto"/>
              <w:ind w:left="317" w:hanging="283"/>
              <w:contextualSpacing w:val="0"/>
              <w:rPr>
                <w:rFonts w:ascii="Arial" w:hAnsi="Arial" w:cs="Arial"/>
              </w:rPr>
            </w:pPr>
            <w:r w:rsidRPr="007F0EF1">
              <w:rPr>
                <w:rFonts w:ascii="Arial" w:hAnsi="Arial" w:cs="Arial"/>
              </w:rPr>
              <w:t xml:space="preserve">Need for CSDs to agree on a single provider, involving potentially a complex tender procedure and the negotiation of contractual conditions with the selected provider </w:t>
            </w:r>
          </w:p>
        </w:tc>
        <w:tc>
          <w:tcPr>
            <w:tcW w:w="4245" w:type="dxa"/>
          </w:tcPr>
          <w:p w14:paraId="33C6F1D2" w14:textId="77777777" w:rsidR="008765E7" w:rsidRPr="007F0EF1" w:rsidRDefault="008765E7" w:rsidP="008765E7">
            <w:pPr>
              <w:pStyle w:val="ListParagraph"/>
              <w:numPr>
                <w:ilvl w:val="0"/>
                <w:numId w:val="43"/>
              </w:numPr>
              <w:spacing w:line="276" w:lineRule="auto"/>
              <w:ind w:left="317" w:hanging="283"/>
              <w:contextualSpacing w:val="0"/>
              <w:rPr>
                <w:rFonts w:ascii="Arial" w:hAnsi="Arial" w:cs="Arial"/>
              </w:rPr>
            </w:pPr>
            <w:r w:rsidRPr="007F0EF1">
              <w:rPr>
                <w:rFonts w:ascii="Arial" w:hAnsi="Arial" w:cs="Arial"/>
              </w:rPr>
              <w:t>Potential risk of competitive distortions, especially in relation to cross-CSD settlement</w:t>
            </w:r>
          </w:p>
        </w:tc>
      </w:tr>
    </w:tbl>
    <w:p w14:paraId="6158AA9C" w14:textId="77777777" w:rsidR="008765E7" w:rsidRPr="007F0EF1" w:rsidRDefault="008765E7" w:rsidP="008765E7">
      <w:pPr>
        <w:spacing w:line="360" w:lineRule="auto"/>
        <w:jc w:val="both"/>
        <w:rPr>
          <w:rFonts w:ascii="Arial" w:hAnsi="Arial" w:cs="Arial"/>
          <w:sz w:val="28"/>
          <w:szCs w:val="28"/>
        </w:rPr>
      </w:pPr>
    </w:p>
    <w:p w14:paraId="21961D2F" w14:textId="77777777" w:rsidR="008765E7" w:rsidRPr="007F0EF1" w:rsidRDefault="008765E7" w:rsidP="008765E7">
      <w:pPr>
        <w:spacing w:line="360" w:lineRule="auto"/>
        <w:jc w:val="both"/>
        <w:rPr>
          <w:rFonts w:ascii="Arial" w:hAnsi="Arial" w:cs="Arial"/>
        </w:rPr>
      </w:pPr>
      <w:r w:rsidRPr="007F0EF1">
        <w:rPr>
          <w:rFonts w:ascii="Arial" w:hAnsi="Arial" w:cs="Arial"/>
        </w:rPr>
        <w:t xml:space="preserve">Irrespective of the option chosen by ESMA, ECSDA is concerned that reference prices might sometimes be difficult to obtain. In particular, we are not convinced that the “primary market” can always be identified for financial instruments included in the scope of the CSDR settlement discipline regime. ETFs, for instance, are often listed on multiple markets do not necessarily have a primary market. The “primary market” is also likely to be difficult if not impossible to identify for financial instruments admitted to trading on one or more OTFs. </w:t>
      </w:r>
    </w:p>
    <w:p w14:paraId="16EA46E1" w14:textId="77777777" w:rsidR="008765E7" w:rsidRPr="007F0EF1" w:rsidRDefault="008765E7" w:rsidP="008765E7">
      <w:pPr>
        <w:spacing w:line="360" w:lineRule="auto"/>
        <w:jc w:val="both"/>
        <w:rPr>
          <w:rFonts w:ascii="Arial" w:hAnsi="Arial" w:cs="Arial"/>
        </w:rPr>
      </w:pPr>
    </w:p>
    <w:p w14:paraId="34ADDF0F" w14:textId="77777777" w:rsidR="008765E7" w:rsidRPr="007F0EF1" w:rsidRDefault="008765E7" w:rsidP="008765E7">
      <w:pPr>
        <w:spacing w:line="360" w:lineRule="auto"/>
        <w:jc w:val="both"/>
        <w:rPr>
          <w:rFonts w:ascii="Arial" w:hAnsi="Arial" w:cs="Arial"/>
        </w:rPr>
      </w:pPr>
      <w:r w:rsidRPr="007F0EF1">
        <w:rPr>
          <w:rFonts w:ascii="Arial" w:hAnsi="Arial" w:cs="Arial"/>
        </w:rPr>
        <w:t>Moreover, the ESMA technical advice should clarify whether the penalty fee imposed on a failed instruction that is pending for multiple days should be calculated based on a single reference price (determined at the end of ISD) or whether a different reference price should be used for each day when the instruction fails. The first option would have the advantage of being less complex and costly to implement.</w:t>
      </w:r>
      <w:r w:rsidRPr="007F0EF1" w:rsidDel="00E95747">
        <w:rPr>
          <w:rFonts w:ascii="Arial" w:hAnsi="Arial" w:cs="Arial"/>
        </w:rPr>
        <w:t xml:space="preserve"> </w:t>
      </w:r>
    </w:p>
    <w:p w14:paraId="0D531A91" w14:textId="77777777" w:rsidR="008765E7" w:rsidRPr="007F0EF1" w:rsidRDefault="008765E7" w:rsidP="008765E7">
      <w:pPr>
        <w:tabs>
          <w:tab w:val="left" w:pos="567"/>
        </w:tabs>
        <w:spacing w:line="360" w:lineRule="auto"/>
        <w:jc w:val="both"/>
        <w:rPr>
          <w:rFonts w:ascii="Arial" w:hAnsi="Arial" w:cs="Arial"/>
          <w:highlight w:val="yellow"/>
        </w:rPr>
      </w:pPr>
    </w:p>
    <w:p w14:paraId="482EF787" w14:textId="77777777" w:rsidR="008765E7" w:rsidRPr="007F0EF1" w:rsidRDefault="008765E7" w:rsidP="008765E7">
      <w:pPr>
        <w:tabs>
          <w:tab w:val="left" w:pos="567"/>
        </w:tabs>
        <w:spacing w:line="360" w:lineRule="auto"/>
        <w:jc w:val="both"/>
        <w:rPr>
          <w:rFonts w:ascii="Arial" w:hAnsi="Arial" w:cs="Arial"/>
          <w:color w:val="000000" w:themeColor="text1"/>
        </w:rPr>
      </w:pPr>
      <w:r w:rsidRPr="007F0EF1">
        <w:rPr>
          <w:rFonts w:ascii="Arial" w:hAnsi="Arial" w:cs="Arial"/>
        </w:rPr>
        <w:lastRenderedPageBreak/>
        <w:t xml:space="preserve">Finally, ECSDA disagrees with the ESMA approach for partial deliveries and believes that it will be overly complex to implement, if not outright </w:t>
      </w:r>
      <w:r w:rsidRPr="007F0EF1">
        <w:rPr>
          <w:rFonts w:ascii="Arial" w:hAnsi="Arial" w:cs="Arial"/>
          <w:color w:val="000000" w:themeColor="text1"/>
        </w:rPr>
        <w:t>impossible. We recommend an alternative approach, whereby (a) the penalty would apply to the whole instruction, in case the delivering party rejects partial settlement, and (b) the whole instruction would be exempt from penalties, in case the receiving party rejects partial settlement. Such an approach will be easier to implement and would have the</w:t>
      </w:r>
      <w:r w:rsidRPr="007F0EF1">
        <w:rPr>
          <w:rFonts w:ascii="Calibri" w:hAnsi="Calibri"/>
          <w:color w:val="000000" w:themeColor="text1"/>
          <w:sz w:val="22"/>
          <w:szCs w:val="22"/>
        </w:rPr>
        <w:t xml:space="preserve"> </w:t>
      </w:r>
      <w:r w:rsidRPr="007F0EF1">
        <w:rPr>
          <w:rFonts w:ascii="Arial" w:hAnsi="Arial" w:cs="Arial"/>
          <w:color w:val="000000" w:themeColor="text1"/>
          <w:szCs w:val="22"/>
        </w:rPr>
        <w:t xml:space="preserve">additional benefit of </w:t>
      </w:r>
      <w:r>
        <w:rPr>
          <w:rFonts w:ascii="Arial" w:hAnsi="Arial" w:cs="Arial"/>
          <w:color w:val="000000" w:themeColor="text1"/>
          <w:szCs w:val="22"/>
        </w:rPr>
        <w:t>incentivis</w:t>
      </w:r>
      <w:r w:rsidRPr="007F0EF1">
        <w:rPr>
          <w:rFonts w:ascii="Arial" w:hAnsi="Arial" w:cs="Arial"/>
          <w:color w:val="000000" w:themeColor="text1"/>
          <w:szCs w:val="22"/>
        </w:rPr>
        <w:t>ing all parties to opt for partial settlement, as they would otherwise risk be</w:t>
      </w:r>
      <w:r>
        <w:rPr>
          <w:rFonts w:ascii="Arial" w:hAnsi="Arial" w:cs="Arial"/>
          <w:color w:val="000000" w:themeColor="text1"/>
          <w:szCs w:val="22"/>
        </w:rPr>
        <w:t>ing</w:t>
      </w:r>
      <w:r w:rsidRPr="007F0EF1">
        <w:rPr>
          <w:rFonts w:ascii="Arial" w:hAnsi="Arial" w:cs="Arial"/>
          <w:color w:val="000000" w:themeColor="text1"/>
          <w:szCs w:val="22"/>
        </w:rPr>
        <w:t xml:space="preserve"> penalised or not</w:t>
      </w:r>
      <w:r>
        <w:rPr>
          <w:rFonts w:ascii="Arial" w:hAnsi="Arial" w:cs="Arial"/>
          <w:color w:val="000000" w:themeColor="text1"/>
          <w:szCs w:val="22"/>
        </w:rPr>
        <w:t xml:space="preserve"> </w:t>
      </w:r>
      <w:r w:rsidRPr="007F0EF1">
        <w:rPr>
          <w:rFonts w:ascii="Arial" w:hAnsi="Arial" w:cs="Arial"/>
          <w:color w:val="000000" w:themeColor="text1"/>
          <w:szCs w:val="22"/>
        </w:rPr>
        <w:t>be</w:t>
      </w:r>
      <w:r>
        <w:rPr>
          <w:rFonts w:ascii="Arial" w:hAnsi="Arial" w:cs="Arial"/>
          <w:color w:val="000000" w:themeColor="text1"/>
          <w:szCs w:val="22"/>
        </w:rPr>
        <w:t>ing</w:t>
      </w:r>
      <w:r w:rsidRPr="007F0EF1">
        <w:rPr>
          <w:rFonts w:ascii="Arial" w:hAnsi="Arial" w:cs="Arial"/>
          <w:color w:val="000000" w:themeColor="text1"/>
          <w:szCs w:val="22"/>
        </w:rPr>
        <w:t xml:space="preserve"> compensated for the whole transaction.</w:t>
      </w:r>
    </w:p>
    <w:permEnd w:id="1640783443"/>
    <w:p w14:paraId="04445E08" w14:textId="77777777" w:rsidR="00A35728" w:rsidRDefault="00A35728" w:rsidP="00A35728">
      <w:pPr>
        <w:rPr>
          <w:rFonts w:ascii="Arial" w:hAnsi="Arial" w:cs="Arial"/>
          <w:sz w:val="22"/>
          <w:szCs w:val="22"/>
        </w:rPr>
      </w:pPr>
      <w:r w:rsidRPr="00616B9B">
        <w:rPr>
          <w:rFonts w:ascii="Arial" w:hAnsi="Arial" w:cs="Arial"/>
          <w:sz w:val="22"/>
          <w:szCs w:val="22"/>
        </w:rPr>
        <w:t>&lt;ESMA_QUESTION_TA_CSDR_1&gt;</w:t>
      </w:r>
    </w:p>
    <w:p w14:paraId="4DD811ED" w14:textId="77777777" w:rsidR="00682E4A" w:rsidRPr="00616B9B" w:rsidRDefault="00682E4A" w:rsidP="00A35728">
      <w:pPr>
        <w:rPr>
          <w:rFonts w:ascii="Arial" w:hAnsi="Arial" w:cs="Arial"/>
          <w:sz w:val="22"/>
          <w:szCs w:val="22"/>
        </w:rPr>
      </w:pPr>
    </w:p>
    <w:p w14:paraId="75349F32" w14:textId="77777777"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financial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14:paraId="7ECC49E8"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14:paraId="37BD84FF" w14:textId="77777777" w:rsidR="008765E7" w:rsidRPr="007F0EF1" w:rsidRDefault="008765E7" w:rsidP="008765E7">
      <w:pPr>
        <w:tabs>
          <w:tab w:val="left" w:pos="3402"/>
        </w:tabs>
        <w:suppressAutoHyphens/>
        <w:spacing w:line="360" w:lineRule="auto"/>
        <w:jc w:val="both"/>
        <w:rPr>
          <w:rFonts w:ascii="Arial" w:hAnsi="Arial" w:cs="Arial"/>
        </w:rPr>
      </w:pPr>
      <w:permStart w:id="454429640" w:edGrp="everyone"/>
      <w:r w:rsidRPr="007F0EF1">
        <w:rPr>
          <w:rFonts w:ascii="Arial" w:hAnsi="Arial" w:cs="Arial"/>
          <w:bCs/>
        </w:rPr>
        <w:t xml:space="preserve">ECSDA welcomes the fact that ESMA takes into account the borrowing costs and liquidity when specifying the penalty rates for different categories of financial instruments. However, we are concerned that the proposed categories of instruments are not consistent with the categories used by ESMA to distinguish different asset types for the purpose of fails reporting in the draft RTS on settlement discipline (see our answer to question 5 of the Consultation Paper on the draft RTS). ECSDA </w:t>
      </w:r>
      <w:r w:rsidRPr="007F0EF1">
        <w:rPr>
          <w:rFonts w:ascii="Arial" w:hAnsi="Arial" w:cs="Arial"/>
        </w:rPr>
        <w:t>believes that, to be meaningful, fails reporting should reflect the categories of financial instruments subject to different penalty rates.</w:t>
      </w:r>
    </w:p>
    <w:p w14:paraId="7CA40D64" w14:textId="77777777" w:rsidR="008765E7" w:rsidRPr="007F0EF1" w:rsidRDefault="008765E7" w:rsidP="008765E7">
      <w:pPr>
        <w:tabs>
          <w:tab w:val="left" w:pos="3402"/>
        </w:tabs>
        <w:suppressAutoHyphens/>
        <w:spacing w:line="360" w:lineRule="auto"/>
        <w:jc w:val="both"/>
        <w:rPr>
          <w:rFonts w:ascii="Arial" w:hAnsi="Arial" w:cs="Arial"/>
          <w:bCs/>
        </w:rPr>
      </w:pPr>
    </w:p>
    <w:p w14:paraId="3CA29E9A"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bCs/>
        </w:rPr>
        <w:t xml:space="preserve">In particular, the distinction between government bonds and corporate bonds in relation to penalty rates is not consistent with the use of a single category for debt instruments under </w:t>
      </w:r>
      <w:r w:rsidRPr="007F0EF1">
        <w:rPr>
          <w:rFonts w:ascii="Arial" w:hAnsi="Arial" w:cs="Arial"/>
        </w:rPr>
        <w:t xml:space="preserve">art.4(2)(d)(ii) of the draft RTS on settlement discipline. ECSDA is not convinced that a different rate should apply for corporate bonds and government bonds, and we believe that an impact assessment is lacking to justify a different treatment. </w:t>
      </w:r>
    </w:p>
    <w:p w14:paraId="45AB5BBA" w14:textId="77777777" w:rsidR="008765E7" w:rsidRPr="007F0EF1" w:rsidRDefault="008765E7" w:rsidP="008765E7">
      <w:pPr>
        <w:tabs>
          <w:tab w:val="left" w:pos="3402"/>
        </w:tabs>
        <w:suppressAutoHyphens/>
        <w:spacing w:line="360" w:lineRule="auto"/>
        <w:jc w:val="both"/>
        <w:rPr>
          <w:rFonts w:ascii="Arial" w:hAnsi="Arial" w:cs="Arial"/>
        </w:rPr>
      </w:pPr>
    </w:p>
    <w:p w14:paraId="59EAC9FB"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Based on data collected from 17 CSDs, ECSDA attempted to assess the market impact of the proposed penalty framework. Some inconsistencies in the data were inevitable given the tight deadline and the lack of clarity as regards some of the measures proposed by ESMA in the draft standards and technical advice. The figures should thus be interpreted with caution. We are nevertheless confident that they can be used as rough indications of the actual impact of the proposed measures. The biggest difficulty faced by CSDs taking part in the exercise was to define the appropriate scope of instructions to be included in the fails data. Since CSDs are currently mostly not able to identify whether a financial instrument is “</w:t>
      </w:r>
      <w:r w:rsidRPr="00786D21">
        <w:rPr>
          <w:rFonts w:ascii="Arial" w:hAnsi="Arial" w:cs="Arial"/>
          <w:i/>
        </w:rPr>
        <w:t>admitted to trading on a trading venue</w:t>
      </w:r>
      <w:r w:rsidRPr="007F0EF1">
        <w:rPr>
          <w:rFonts w:ascii="Arial" w:hAnsi="Arial" w:cs="Arial"/>
        </w:rPr>
        <w:t>” (i.e. not only admitted to trading on a regulated markets, but also on MTFs or OTFs), the data provided often includes all instructions (in all financial instruments) processed by the CSD.</w:t>
      </w:r>
    </w:p>
    <w:p w14:paraId="1F53931A" w14:textId="77777777" w:rsidR="008765E7" w:rsidRPr="007F0EF1" w:rsidRDefault="008765E7" w:rsidP="008765E7">
      <w:pPr>
        <w:tabs>
          <w:tab w:val="left" w:pos="3402"/>
        </w:tabs>
        <w:suppressAutoHyphens/>
        <w:spacing w:line="360" w:lineRule="auto"/>
        <w:jc w:val="both"/>
        <w:rPr>
          <w:rFonts w:ascii="Arial" w:hAnsi="Arial" w:cs="Arial"/>
        </w:rPr>
      </w:pPr>
    </w:p>
    <w:p w14:paraId="643F1C04"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 xml:space="preserve">Keeping these limitations in mind, we estimated the value of late settlement penalties that would have to be collected and redistributed by CSDs on a monthly basis, if the categories and related rates put forward by ESMA were maintained. It should be noted that the figures were calculated on a gross basis, without taking </w:t>
      </w:r>
      <w:r w:rsidRPr="007F0EF1">
        <w:rPr>
          <w:rFonts w:ascii="Arial" w:hAnsi="Arial" w:cs="Arial"/>
        </w:rPr>
        <w:lastRenderedPageBreak/>
        <w:t xml:space="preserve">into account the possibility for CSDs to net penalty payments per participant at the end of the month. The actual payments to be made at the end of the month based on the rules proposed by ESMA are therefore likely to be lower. On the other hand, we have assumed that no further penalties are due after ISD+4, once the buy-in is triggered, which may lead, to a certain extent, to an underestimation of the real amount of the penalties to be collected. </w:t>
      </w:r>
    </w:p>
    <w:p w14:paraId="6422C1E8" w14:textId="77777777" w:rsidR="008765E7" w:rsidRPr="007F0EF1" w:rsidRDefault="008765E7" w:rsidP="008765E7">
      <w:pPr>
        <w:tabs>
          <w:tab w:val="left" w:pos="3402"/>
        </w:tabs>
        <w:suppressAutoHyphens/>
        <w:spacing w:line="360" w:lineRule="auto"/>
        <w:jc w:val="both"/>
        <w:rPr>
          <w:rFonts w:ascii="Arial" w:hAnsi="Arial" w:cs="Arial"/>
        </w:rPr>
      </w:pPr>
    </w:p>
    <w:p w14:paraId="2475D62C"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According to November 2014 data, the accumulated gross late settlement penalties to be collected by the 17 CSDs would have amounted to over EUR 183 million or around EUR 9 million a day. Assuming that the month of November is representative, this translates into yearly gross late settlement penalties of close to EUR 2.2 billion.</w:t>
      </w:r>
    </w:p>
    <w:p w14:paraId="57A6173F" w14:textId="77777777" w:rsidR="008765E7" w:rsidRPr="007F0EF1" w:rsidRDefault="008765E7" w:rsidP="008765E7">
      <w:pPr>
        <w:tabs>
          <w:tab w:val="left" w:pos="3402"/>
        </w:tabs>
        <w:suppressAutoHyphens/>
        <w:spacing w:line="360" w:lineRule="auto"/>
        <w:jc w:val="both"/>
        <w:rPr>
          <w:rFonts w:ascii="Arial" w:hAnsi="Arial" w:cs="Arial"/>
        </w:rPr>
      </w:pPr>
    </w:p>
    <w:p w14:paraId="19D6ADBF"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While the two ICSDs hold the largest share of late settlement fines to be collected (75%), the difference is less striking than for buy-ins. Excluding the two ICSDs, the remaining CSDs would on average still each account for more than EUR 3 million per month. Among these CSDs, figures range between very close to 0 and EUR 15 million per month, and only 5 CSDs would have collected less than EUR 100,000 worth of penalties.</w:t>
      </w:r>
    </w:p>
    <w:p w14:paraId="5BD43467" w14:textId="77777777" w:rsidR="008765E7" w:rsidRPr="007F0EF1" w:rsidRDefault="008765E7" w:rsidP="008765E7">
      <w:pPr>
        <w:tabs>
          <w:tab w:val="left" w:pos="3402"/>
        </w:tabs>
        <w:suppressAutoHyphens/>
        <w:spacing w:line="360" w:lineRule="auto"/>
        <w:jc w:val="both"/>
        <w:rPr>
          <w:rFonts w:ascii="Arial" w:hAnsi="Arial" w:cs="Arial"/>
        </w:rPr>
      </w:pPr>
    </w:p>
    <w:p w14:paraId="76EB4036"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In order to assess whether the different types of penalty rates suggested by ESMA were meaningful, ECSDA asked CSDs for fail rates per asset type, but not all CSDs were able to provide settlement fail rates based on the asset categories provided by ESMA. In particular, it was not possible to distinguish the fail rate of "</w:t>
      </w:r>
      <w:r w:rsidRPr="00786D21">
        <w:rPr>
          <w:rFonts w:ascii="Arial" w:hAnsi="Arial" w:cs="Arial"/>
          <w:i/>
        </w:rPr>
        <w:t>SME growth market shares</w:t>
      </w:r>
      <w:r w:rsidRPr="007F0EF1">
        <w:rPr>
          <w:rFonts w:ascii="Arial" w:hAnsi="Arial" w:cs="Arial"/>
        </w:rPr>
        <w:t>" from other equities.</w:t>
      </w:r>
    </w:p>
    <w:p w14:paraId="3A0B4DEE" w14:textId="77777777" w:rsidR="008765E7" w:rsidRPr="007F0EF1" w:rsidRDefault="008765E7" w:rsidP="008765E7">
      <w:pPr>
        <w:tabs>
          <w:tab w:val="left" w:pos="3402"/>
        </w:tabs>
        <w:suppressAutoHyphens/>
        <w:spacing w:line="360" w:lineRule="auto"/>
        <w:jc w:val="both"/>
        <w:rPr>
          <w:rFonts w:ascii="Arial" w:hAnsi="Arial" w:cs="Arial"/>
        </w:rPr>
      </w:pPr>
    </w:p>
    <w:p w14:paraId="5EB9761B"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 xml:space="preserve">Based on the sample and with only few exceptions, equities and ETFs combined seem to display the highest fail rate, compared to other asset categories - in most cases, at least 2-3 times the fail rate for debt instruments. Only 3 CSDs provided separate figures for ETFs, which suggest that the fail rate for ETFs is even higher than that of equities. Debt instruments seem to have the lowest fail rate relative to other instruments. In most cases, a distinction between government and corporate bonds was however not possible. Whenever the distinction was made, the rates were broadly aligned - with a few exceptions where fail rates on corporate bonds were significantly higher (however possibly due to a few significant outliers). </w:t>
      </w:r>
    </w:p>
    <w:p w14:paraId="0BF4D110" w14:textId="77777777" w:rsidR="008765E7" w:rsidRPr="007F0EF1" w:rsidRDefault="008765E7" w:rsidP="008765E7">
      <w:pPr>
        <w:tabs>
          <w:tab w:val="left" w:pos="3402"/>
        </w:tabs>
        <w:suppressAutoHyphens/>
        <w:spacing w:line="360" w:lineRule="auto"/>
        <w:jc w:val="both"/>
        <w:rPr>
          <w:rFonts w:ascii="Arial" w:hAnsi="Arial" w:cs="Arial"/>
        </w:rPr>
      </w:pPr>
    </w:p>
    <w:p w14:paraId="4A0511D4"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 xml:space="preserve">The fail rate for all </w:t>
      </w:r>
      <w:r>
        <w:rPr>
          <w:rFonts w:ascii="Arial" w:hAnsi="Arial" w:cs="Arial"/>
        </w:rPr>
        <w:t>other instruments</w:t>
      </w:r>
      <w:r w:rsidRPr="007F0EF1">
        <w:rPr>
          <w:rFonts w:ascii="Arial" w:hAnsi="Arial" w:cs="Arial"/>
        </w:rPr>
        <w:t xml:space="preserve"> including </w:t>
      </w:r>
      <w:r>
        <w:rPr>
          <w:rFonts w:ascii="Arial" w:hAnsi="Arial" w:cs="Arial"/>
        </w:rPr>
        <w:t>invesment</w:t>
      </w:r>
      <w:r w:rsidRPr="007F0EF1">
        <w:rPr>
          <w:rFonts w:ascii="Arial" w:hAnsi="Arial" w:cs="Arial"/>
        </w:rPr>
        <w:t xml:space="preserve"> funds was in general relatively high as compared to debt instruments and similar to the rate of equities and ETFs. This however differs quite substantially across CSDs and seems to depend very much on the specific instruments that each CSD settles. </w:t>
      </w:r>
    </w:p>
    <w:p w14:paraId="3F89C2A4" w14:textId="77777777" w:rsidR="008765E7" w:rsidRPr="007F0EF1" w:rsidRDefault="008765E7" w:rsidP="008765E7">
      <w:pPr>
        <w:tabs>
          <w:tab w:val="left" w:pos="3402"/>
        </w:tabs>
        <w:suppressAutoHyphens/>
        <w:spacing w:line="360" w:lineRule="auto"/>
        <w:jc w:val="both"/>
        <w:rPr>
          <w:rFonts w:ascii="Arial" w:hAnsi="Arial" w:cs="Arial"/>
        </w:rPr>
      </w:pPr>
    </w:p>
    <w:p w14:paraId="22FCD224"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 xml:space="preserve">Most CSDs did not provide numbers for fails due to a lack of cash. In the few cases where this data was available, their value accounted for 5-15 % of the total number of fails. </w:t>
      </w:r>
    </w:p>
    <w:p w14:paraId="58166A45" w14:textId="77777777" w:rsidR="008765E7" w:rsidRPr="007F0EF1" w:rsidRDefault="008765E7" w:rsidP="008765E7">
      <w:pPr>
        <w:tabs>
          <w:tab w:val="left" w:pos="3402"/>
        </w:tabs>
        <w:suppressAutoHyphens/>
        <w:spacing w:line="360" w:lineRule="auto"/>
        <w:jc w:val="both"/>
        <w:rPr>
          <w:rFonts w:ascii="Arial" w:hAnsi="Arial" w:cs="Arial"/>
        </w:rPr>
      </w:pPr>
    </w:p>
    <w:p w14:paraId="6EF7C5EF"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lastRenderedPageBreak/>
        <w:t>In general, it is also interesting to note that the relative weight of the instruments settled differs significantly across CSDs/markets. While some CSDs settle mainly equities, other CSDs primarily settle debt instruments (mainly government bonds). This obviously has an impact on the amount of the penalties collected, given that the penalty rate is significantly lower for government bonds in the ESMA proposal.</w:t>
      </w:r>
    </w:p>
    <w:p w14:paraId="32715F1B" w14:textId="77777777" w:rsidR="008765E7" w:rsidRPr="007F0EF1" w:rsidRDefault="008765E7" w:rsidP="008765E7">
      <w:pPr>
        <w:tabs>
          <w:tab w:val="left" w:pos="3402"/>
        </w:tabs>
        <w:suppressAutoHyphens/>
        <w:spacing w:line="360" w:lineRule="auto"/>
        <w:jc w:val="both"/>
        <w:rPr>
          <w:rFonts w:ascii="Arial" w:hAnsi="Arial" w:cs="Arial"/>
        </w:rPr>
      </w:pPr>
    </w:p>
    <w:p w14:paraId="425A5D42" w14:textId="77777777" w:rsidR="008765E7" w:rsidRPr="007F0EF1" w:rsidRDefault="008765E7" w:rsidP="008765E7">
      <w:pPr>
        <w:tabs>
          <w:tab w:val="left" w:pos="3402"/>
        </w:tabs>
        <w:suppressAutoHyphens/>
        <w:spacing w:line="360" w:lineRule="auto"/>
        <w:jc w:val="both"/>
        <w:rPr>
          <w:rFonts w:ascii="Arial" w:hAnsi="Arial" w:cs="Arial"/>
        </w:rPr>
      </w:pPr>
      <w:r w:rsidRPr="007F0EF1">
        <w:rPr>
          <w:rFonts w:ascii="Arial" w:hAnsi="Arial" w:cs="Arial"/>
        </w:rPr>
        <w:t>Based on the figures, the proposed rates would lead to an average effective penalty rate over all instruments and CSDs of 0.79 b</w:t>
      </w:r>
      <w:r>
        <w:rPr>
          <w:rFonts w:ascii="Arial" w:hAnsi="Arial" w:cs="Arial"/>
        </w:rPr>
        <w:t xml:space="preserve">asis </w:t>
      </w:r>
      <w:r w:rsidRPr="007F0EF1">
        <w:rPr>
          <w:rFonts w:ascii="Arial" w:hAnsi="Arial" w:cs="Arial"/>
        </w:rPr>
        <w:t>p</w:t>
      </w:r>
      <w:r>
        <w:rPr>
          <w:rFonts w:ascii="Arial" w:hAnsi="Arial" w:cs="Arial"/>
        </w:rPr>
        <w:t>oints</w:t>
      </w:r>
      <w:r w:rsidRPr="007F0EF1">
        <w:rPr>
          <w:rFonts w:ascii="Arial" w:hAnsi="Arial" w:cs="Arial"/>
        </w:rPr>
        <w:t>. This rate differs however significantly across CSDs, ranging between close to 1 bp (if mainly equities and others) and only slightly above 0.3 bp (if mainly government bonds).</w:t>
      </w:r>
    </w:p>
    <w:permEnd w:id="454429640"/>
    <w:p w14:paraId="66F64D28" w14:textId="77777777" w:rsidR="00A35728" w:rsidRDefault="00A35728" w:rsidP="00A35728">
      <w:pPr>
        <w:rPr>
          <w:rFonts w:ascii="Arial" w:hAnsi="Arial" w:cs="Arial"/>
          <w:sz w:val="22"/>
          <w:szCs w:val="22"/>
        </w:rPr>
      </w:pPr>
      <w:r w:rsidRPr="00F32462">
        <w:rPr>
          <w:rFonts w:ascii="Arial" w:hAnsi="Arial" w:cs="Arial"/>
          <w:sz w:val="22"/>
          <w:szCs w:val="22"/>
        </w:rPr>
        <w:t>&lt;ESMA_QUESTION_TA_CSDR_2&gt;</w:t>
      </w:r>
    </w:p>
    <w:p w14:paraId="11FAF364" w14:textId="77777777" w:rsidR="00682E4A" w:rsidRPr="00F32462" w:rsidRDefault="00682E4A" w:rsidP="00A35728">
      <w:pPr>
        <w:rPr>
          <w:rFonts w:ascii="Arial" w:hAnsi="Arial" w:cs="Arial"/>
          <w:sz w:val="22"/>
          <w:szCs w:val="22"/>
        </w:rPr>
      </w:pPr>
    </w:p>
    <w:p w14:paraId="63580078" w14:textId="77777777"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reduction of the basic penalty amount?</w:t>
      </w:r>
    </w:p>
    <w:p w14:paraId="4216DDD3"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14:paraId="6E6D4044" w14:textId="77777777" w:rsidR="008765E7" w:rsidRPr="007F0EF1" w:rsidRDefault="008765E7" w:rsidP="008765E7">
      <w:pPr>
        <w:tabs>
          <w:tab w:val="left" w:pos="3402"/>
        </w:tabs>
        <w:suppressAutoHyphens/>
        <w:spacing w:line="360" w:lineRule="auto"/>
        <w:jc w:val="both"/>
        <w:rPr>
          <w:rFonts w:ascii="Arial" w:hAnsi="Arial" w:cs="Arial"/>
          <w:bCs/>
        </w:rPr>
      </w:pPr>
      <w:permStart w:id="912937376" w:edGrp="everyone"/>
      <w:r w:rsidRPr="007F0EF1">
        <w:rPr>
          <w:rFonts w:ascii="Arial" w:hAnsi="Arial" w:cs="Arial"/>
          <w:bCs/>
        </w:rPr>
        <w:t>ECSDA agrees with ESMA that no increases or decreases of the penalty rate should be foreseen at this stage. As explained in our response to the ESMA Discussion Paper on 22 May 2014, a system involving increases and/or decreases would make the implementation of the penalty mechanism very complex and would lead to various problems in relation to the "passing on" of penalties.</w:t>
      </w:r>
    </w:p>
    <w:p w14:paraId="7047545B" w14:textId="77777777" w:rsidR="008765E7" w:rsidRPr="007F0EF1" w:rsidRDefault="008765E7" w:rsidP="008765E7">
      <w:pPr>
        <w:tabs>
          <w:tab w:val="left" w:pos="3402"/>
        </w:tabs>
        <w:suppressAutoHyphens/>
        <w:spacing w:line="360" w:lineRule="auto"/>
        <w:jc w:val="both"/>
        <w:rPr>
          <w:rFonts w:ascii="Arial" w:hAnsi="Arial" w:cs="Arial"/>
          <w:bCs/>
        </w:rPr>
      </w:pPr>
    </w:p>
    <w:p w14:paraId="7B7C175F" w14:textId="77777777" w:rsidR="008765E7" w:rsidRPr="007F0EF1" w:rsidRDefault="008765E7" w:rsidP="008765E7">
      <w:pPr>
        <w:tabs>
          <w:tab w:val="left" w:pos="3402"/>
        </w:tabs>
        <w:suppressAutoHyphens/>
        <w:spacing w:line="360" w:lineRule="auto"/>
        <w:jc w:val="both"/>
        <w:rPr>
          <w:rFonts w:ascii="Arial" w:hAnsi="Arial" w:cs="Arial"/>
          <w:bCs/>
        </w:rPr>
      </w:pPr>
      <w:r w:rsidRPr="007F0EF1">
        <w:rPr>
          <w:rFonts w:ascii="Arial" w:hAnsi="Arial" w:cs="Arial"/>
          <w:bCs/>
        </w:rPr>
        <w:t xml:space="preserve">We also welcome ESMA’s proposal to allow CSDs, in limited circumstances and on an ad hoc basis, to decrease the penalty rate to zero, e.g. if a fail is caused by circumstances outside the control of the failing participant. That said, in line with the T2S AG response to the ESMA Consultation, we think that it is appropriate to foresee a more general rule whereby penalties would be set to zero for all fails which are not due to a lack of cash or of securities, in line with the definition of “fails” in the Level 1 </w:t>
      </w:r>
      <w:r>
        <w:rPr>
          <w:rFonts w:ascii="Arial" w:hAnsi="Arial" w:cs="Arial"/>
          <w:bCs/>
        </w:rPr>
        <w:t>CSDR.</w:t>
      </w:r>
      <w:r w:rsidRPr="007F0EF1">
        <w:rPr>
          <w:rFonts w:ascii="Arial" w:hAnsi="Arial" w:cs="Arial"/>
          <w:bCs/>
        </w:rPr>
        <w:t xml:space="preserve"> Exceptions to this rule need to be explicitly mentioned in the Level 1 CSDR or the Level 2 technical standards, for example on hold instructions and instructions sent after the intended settlement date.</w:t>
      </w:r>
    </w:p>
    <w:permEnd w:id="912937376"/>
    <w:p w14:paraId="3CF467C8" w14:textId="77777777" w:rsidR="00A35728" w:rsidRDefault="00A35728" w:rsidP="00A35728">
      <w:pPr>
        <w:rPr>
          <w:rFonts w:ascii="Arial" w:hAnsi="Arial" w:cs="Arial"/>
          <w:sz w:val="22"/>
          <w:szCs w:val="22"/>
        </w:rPr>
      </w:pPr>
      <w:r w:rsidRPr="00616B9B">
        <w:rPr>
          <w:rFonts w:ascii="Arial" w:hAnsi="Arial" w:cs="Arial"/>
          <w:sz w:val="22"/>
          <w:szCs w:val="22"/>
        </w:rPr>
        <w:t>&lt;ESMA_QUESTION_TA_CSDR_3&gt;</w:t>
      </w:r>
    </w:p>
    <w:p w14:paraId="073E357C" w14:textId="77777777" w:rsidR="009A7E2F" w:rsidRPr="00616B9B" w:rsidRDefault="009A7E2F" w:rsidP="00A35728">
      <w:pPr>
        <w:rPr>
          <w:rFonts w:ascii="Arial" w:hAnsi="Arial" w:cs="Arial"/>
          <w:sz w:val="22"/>
          <w:szCs w:val="22"/>
        </w:rPr>
      </w:pPr>
    </w:p>
    <w:p w14:paraId="789687A5" w14:textId="77777777"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14:paraId="41DECE96"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14:paraId="380D6DB4" w14:textId="77777777" w:rsidR="008765E7" w:rsidRPr="007F0EF1" w:rsidRDefault="008765E7" w:rsidP="008765E7">
      <w:pPr>
        <w:tabs>
          <w:tab w:val="left" w:pos="3402"/>
        </w:tabs>
        <w:suppressAutoHyphens/>
        <w:spacing w:line="360" w:lineRule="auto"/>
        <w:jc w:val="both"/>
        <w:rPr>
          <w:rFonts w:ascii="Arial" w:hAnsi="Arial" w:cs="Arial"/>
          <w:bCs/>
        </w:rPr>
      </w:pPr>
      <w:permStart w:id="860306813" w:edGrp="everyone"/>
      <w:r w:rsidRPr="007F0EF1">
        <w:rPr>
          <w:rFonts w:ascii="Arial" w:hAnsi="Arial" w:cs="Arial"/>
          <w:bCs/>
        </w:rPr>
        <w:t>ECSDA shares ESMA’s view that the "passing on" of penalties should be sufficient to address issues related to chains of interdependent transactions, whether identifiable by the CSD or not. We thus agree that, for the sake of simplicity of the penalty mechanism, the parameters of penalty calculation should not be changed in cases of chains of interdependent transactions.</w:t>
      </w:r>
    </w:p>
    <w:permEnd w:id="860306813"/>
    <w:p w14:paraId="1B8FA605"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14:paraId="70E0E0C2" w14:textId="77777777" w:rsidR="00A35728" w:rsidRPr="00616B9B" w:rsidRDefault="00A35728" w:rsidP="00A35728">
      <w:pPr>
        <w:rPr>
          <w:rFonts w:ascii="Arial" w:hAnsi="Arial" w:cs="Arial"/>
          <w:sz w:val="22"/>
          <w:szCs w:val="22"/>
        </w:rPr>
      </w:pPr>
    </w:p>
    <w:p w14:paraId="7E1B7599" w14:textId="77777777"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14:paraId="7E7B69FC"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14:paraId="0B5359D9" w14:textId="12D41F74" w:rsidR="007D63D4" w:rsidRDefault="007D63D4" w:rsidP="007D63D4">
      <w:pPr>
        <w:tabs>
          <w:tab w:val="left" w:pos="567"/>
        </w:tabs>
        <w:spacing w:line="360" w:lineRule="auto"/>
        <w:jc w:val="both"/>
        <w:rPr>
          <w:rFonts w:ascii="Arial" w:hAnsi="Arial" w:cs="Arial"/>
        </w:rPr>
      </w:pPr>
      <w:permStart w:id="115697867" w:edGrp="everyone"/>
      <w:r>
        <w:rPr>
          <w:rFonts w:ascii="Arial" w:hAnsi="Arial" w:cs="Arial"/>
        </w:rPr>
        <w:t xml:space="preserve"> </w:t>
      </w:r>
      <w:r>
        <w:rPr>
          <w:rFonts w:ascii="Arial" w:hAnsi="Arial" w:cs="Arial"/>
        </w:rPr>
        <w:t xml:space="preserve">Yes. </w:t>
      </w:r>
    </w:p>
    <w:permEnd w:id="115697867"/>
    <w:p w14:paraId="48E854A2" w14:textId="77777777" w:rsidR="00A35728" w:rsidRPr="00616B9B" w:rsidRDefault="00A35728" w:rsidP="00A35728">
      <w:pPr>
        <w:rPr>
          <w:rFonts w:ascii="Arial" w:hAnsi="Arial" w:cs="Arial"/>
          <w:sz w:val="22"/>
          <w:szCs w:val="22"/>
        </w:rPr>
      </w:pPr>
      <w:r w:rsidRPr="00616B9B">
        <w:rPr>
          <w:rFonts w:ascii="Arial" w:hAnsi="Arial" w:cs="Arial"/>
          <w:sz w:val="22"/>
          <w:szCs w:val="22"/>
        </w:rPr>
        <w:lastRenderedPageBreak/>
        <w:t>&lt;ESMA_QUESTION_TA_CSDR_5&gt;</w:t>
      </w:r>
    </w:p>
    <w:p w14:paraId="1403AA50" w14:textId="77777777" w:rsidR="00A35728" w:rsidRPr="00616B9B" w:rsidRDefault="00A35728" w:rsidP="00A35728">
      <w:pPr>
        <w:rPr>
          <w:rFonts w:ascii="Arial" w:hAnsi="Arial" w:cs="Arial"/>
          <w:sz w:val="22"/>
          <w:szCs w:val="22"/>
        </w:rPr>
      </w:pPr>
    </w:p>
    <w:p w14:paraId="6BA98245" w14:textId="77777777"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14:paraId="60F78EA5"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14:paraId="3E9BA789" w14:textId="77777777" w:rsidR="007D63D4" w:rsidRDefault="007D63D4" w:rsidP="007D63D4">
      <w:pPr>
        <w:tabs>
          <w:tab w:val="left" w:pos="3402"/>
        </w:tabs>
        <w:suppressAutoHyphens/>
        <w:spacing w:line="360" w:lineRule="auto"/>
        <w:jc w:val="both"/>
        <w:rPr>
          <w:rFonts w:ascii="Arial" w:hAnsi="Arial" w:cs="Arial"/>
          <w:bCs/>
        </w:rPr>
      </w:pPr>
      <w:permStart w:id="711868410" w:edGrp="everyone"/>
      <w:r>
        <w:rPr>
          <w:rFonts w:ascii="Arial" w:hAnsi="Arial" w:cs="Arial"/>
          <w:bCs/>
        </w:rPr>
        <w:t>ECSDA has serious doubts about the validity of ESMA's indicators and remains convinced</w:t>
      </w:r>
      <w:r w:rsidRPr="005609B2">
        <w:rPr>
          <w:rFonts w:ascii="Arial" w:hAnsi="Arial" w:cs="Arial"/>
          <w:bCs/>
        </w:rPr>
        <w:t xml:space="preserve">, in line with the approach taken in article 23 </w:t>
      </w:r>
      <w:r>
        <w:rPr>
          <w:rFonts w:ascii="Arial" w:hAnsi="Arial" w:cs="Arial"/>
          <w:bCs/>
        </w:rPr>
        <w:t>of the Level 1 CSDR</w:t>
      </w:r>
      <w:r w:rsidRPr="005609B2">
        <w:rPr>
          <w:rFonts w:ascii="Arial" w:hAnsi="Arial" w:cs="Arial"/>
          <w:bCs/>
        </w:rPr>
        <w:t>, that the notion of “</w:t>
      </w:r>
      <w:r w:rsidRPr="0030196A">
        <w:rPr>
          <w:rFonts w:ascii="Arial" w:hAnsi="Arial" w:cs="Arial"/>
          <w:bCs/>
          <w:i/>
        </w:rPr>
        <w:t>provision of services</w:t>
      </w:r>
      <w:r w:rsidRPr="005609B2">
        <w:rPr>
          <w:rFonts w:ascii="Arial" w:hAnsi="Arial" w:cs="Arial"/>
          <w:bCs/>
        </w:rPr>
        <w:t>” should be limited to cases where the CSD has set up a branch in another Member State or provides notary and/or central maintenance services in that country</w:t>
      </w:r>
      <w:r>
        <w:rPr>
          <w:rFonts w:ascii="Arial" w:hAnsi="Arial" w:cs="Arial"/>
          <w:bCs/>
        </w:rPr>
        <w:t>,</w:t>
      </w:r>
      <w:r w:rsidRPr="005609B2">
        <w:rPr>
          <w:rFonts w:ascii="Arial" w:hAnsi="Arial" w:cs="Arial"/>
          <w:bCs/>
        </w:rPr>
        <w:t xml:space="preserve"> i.e. excluding the settlement service. </w:t>
      </w:r>
    </w:p>
    <w:p w14:paraId="747712D3" w14:textId="77777777" w:rsidR="007D63D4" w:rsidRDefault="007D63D4" w:rsidP="007D63D4">
      <w:pPr>
        <w:tabs>
          <w:tab w:val="left" w:pos="3402"/>
        </w:tabs>
        <w:suppressAutoHyphens/>
        <w:spacing w:line="360" w:lineRule="auto"/>
        <w:jc w:val="both"/>
        <w:rPr>
          <w:rFonts w:ascii="Arial" w:hAnsi="Arial" w:cs="Arial"/>
          <w:bCs/>
        </w:rPr>
      </w:pPr>
    </w:p>
    <w:p w14:paraId="171A239D" w14:textId="77777777" w:rsidR="007D63D4" w:rsidRPr="00D624D1" w:rsidRDefault="007D63D4" w:rsidP="007D63D4">
      <w:pPr>
        <w:tabs>
          <w:tab w:val="left" w:pos="3402"/>
        </w:tabs>
        <w:suppressAutoHyphens/>
        <w:spacing w:line="360" w:lineRule="auto"/>
        <w:jc w:val="both"/>
        <w:rPr>
          <w:rFonts w:ascii="Arial" w:hAnsi="Arial" w:cs="Arial"/>
          <w:bCs/>
        </w:rPr>
      </w:pPr>
      <w:r>
        <w:rPr>
          <w:rFonts w:ascii="Arial" w:hAnsi="Arial" w:cs="Arial"/>
          <w:bCs/>
        </w:rPr>
        <w:t xml:space="preserve">We thus disagree with Section 3.5 of the ESMA Consultation Paper on technical advice </w:t>
      </w:r>
      <w:r w:rsidRPr="00D624D1">
        <w:rPr>
          <w:rFonts w:ascii="Arial" w:hAnsi="Arial" w:cs="Arial"/>
          <w:bCs/>
        </w:rPr>
        <w:t>(p.22-24)</w:t>
      </w:r>
      <w:r>
        <w:rPr>
          <w:rFonts w:ascii="Arial" w:hAnsi="Arial" w:cs="Arial"/>
          <w:bCs/>
        </w:rPr>
        <w:t xml:space="preserve"> and believe that the "settlement indicator" is not appropriate.</w:t>
      </w:r>
    </w:p>
    <w:p w14:paraId="60D4F45B" w14:textId="77777777" w:rsidR="007D63D4" w:rsidRPr="00D624D1" w:rsidRDefault="007D63D4" w:rsidP="007D63D4">
      <w:pPr>
        <w:tabs>
          <w:tab w:val="left" w:pos="3402"/>
        </w:tabs>
        <w:suppressAutoHyphens/>
        <w:spacing w:line="360" w:lineRule="auto"/>
        <w:jc w:val="both"/>
        <w:rPr>
          <w:rFonts w:ascii="Arial" w:hAnsi="Arial" w:cs="Arial"/>
          <w:bCs/>
        </w:rPr>
      </w:pPr>
    </w:p>
    <w:p w14:paraId="64AF3B58" w14:textId="77777777" w:rsidR="007D63D4" w:rsidRPr="00D624D1" w:rsidRDefault="007D63D4" w:rsidP="007D63D4">
      <w:pPr>
        <w:tabs>
          <w:tab w:val="left" w:pos="3402"/>
        </w:tabs>
        <w:suppressAutoHyphens/>
        <w:spacing w:line="360" w:lineRule="auto"/>
        <w:jc w:val="both"/>
        <w:rPr>
          <w:rFonts w:ascii="Arial" w:hAnsi="Arial" w:cs="Arial"/>
          <w:bCs/>
        </w:rPr>
      </w:pPr>
      <w:r>
        <w:rPr>
          <w:rFonts w:ascii="Arial" w:hAnsi="Arial" w:cs="Arial"/>
          <w:bCs/>
        </w:rPr>
        <w:t xml:space="preserve">We </w:t>
      </w:r>
      <w:r w:rsidRPr="00D624D1">
        <w:rPr>
          <w:rFonts w:ascii="Arial" w:hAnsi="Arial" w:cs="Arial"/>
          <w:bCs/>
        </w:rPr>
        <w:t xml:space="preserve">believe that consistency with the Level 1 CSDR is all the more important since the text of art.24(4) of the CSDR approved by COREPER (Council representatives) prior to the finalisation of the text by lawyer-linguists clearly stated that, </w:t>
      </w:r>
      <w:r w:rsidRPr="00D624D1">
        <w:rPr>
          <w:rFonts w:ascii="Arial" w:hAnsi="Arial" w:cs="Arial"/>
          <w:bCs/>
          <w:i/>
        </w:rPr>
        <w:t>"when taking into account the situation of the securities markets in the host Member State, the activities of a CSD that has established a branch have become of substantial importance for the functioning of the securities markets and the protection of the investors in that host Member State, the home and host competent and relevant authorities shall establish cooperation arrangements for the supervision of the activities of that CSD in the host Member State."</w:t>
      </w:r>
      <w:r w:rsidRPr="00D624D1">
        <w:rPr>
          <w:rFonts w:ascii="Arial" w:hAnsi="Arial" w:cs="Arial"/>
          <w:bCs/>
        </w:rPr>
        <w:t xml:space="preserve">  Despite the adoption of a different wording in the published text of the CSDR, we believe that the intention of the EU legislator was clearly to limit the cases of "systemic importance" to CSDs having a branch in a host Member State, and not to cover all other cases of cross-border service provision. </w:t>
      </w:r>
    </w:p>
    <w:p w14:paraId="31849B93" w14:textId="77777777" w:rsidR="007D63D4" w:rsidRDefault="007D63D4" w:rsidP="007D63D4">
      <w:pPr>
        <w:tabs>
          <w:tab w:val="left" w:pos="3402"/>
        </w:tabs>
        <w:suppressAutoHyphens/>
        <w:spacing w:line="360" w:lineRule="auto"/>
        <w:jc w:val="both"/>
        <w:rPr>
          <w:rFonts w:ascii="Arial" w:hAnsi="Arial" w:cs="Arial"/>
          <w:bCs/>
        </w:rPr>
      </w:pPr>
    </w:p>
    <w:p w14:paraId="475132DD" w14:textId="77777777" w:rsidR="007D63D4" w:rsidRDefault="007D63D4" w:rsidP="007D63D4">
      <w:pPr>
        <w:tabs>
          <w:tab w:val="left" w:pos="3402"/>
        </w:tabs>
        <w:suppressAutoHyphens/>
        <w:spacing w:line="360" w:lineRule="auto"/>
        <w:jc w:val="both"/>
        <w:rPr>
          <w:rFonts w:ascii="Arial" w:hAnsi="Arial" w:cs="Arial"/>
          <w:bCs/>
        </w:rPr>
      </w:pPr>
      <w:r>
        <w:rPr>
          <w:rFonts w:ascii="Arial" w:hAnsi="Arial" w:cs="Arial"/>
          <w:bCs/>
        </w:rPr>
        <w:t xml:space="preserve">Irrespective of the consistency problem with the Level 1 text, ECSDA further strongly disagrees with ESMA’s statement in paragraph 86 of the Consultation Paper (p.23-24) that </w:t>
      </w:r>
      <w:r w:rsidRPr="00746167">
        <w:rPr>
          <w:rFonts w:ascii="Arial" w:hAnsi="Arial" w:cs="Arial"/>
          <w:bCs/>
          <w:i/>
        </w:rPr>
        <w:t>“participants of the host Member State would be an adequate proxy for investors”.</w:t>
      </w:r>
      <w:r>
        <w:rPr>
          <w:rFonts w:ascii="Arial" w:hAnsi="Arial" w:cs="Arial"/>
          <w:bCs/>
        </w:rPr>
        <w:t xml:space="preserve"> There are many cases, today, of CSD participants holding securities on behalf of investors established in different (EU or non-EU) countries than the country where the participant itself is established, sometimes to a very large extent. Furthermore, in addition to be contradicted by today’s reality in many CSDs, this statement goes against the primary objective of the CSDR and the EU Single Market, which is precisely to further encourage and facilitate the use by investors of intermediaries (CSD participants) established in a different EU jurisdiction than their own.</w:t>
      </w:r>
    </w:p>
    <w:p w14:paraId="111927AC" w14:textId="77777777" w:rsidR="007D63D4" w:rsidRDefault="007D63D4" w:rsidP="007D63D4">
      <w:pPr>
        <w:tabs>
          <w:tab w:val="left" w:pos="3402"/>
        </w:tabs>
        <w:suppressAutoHyphens/>
        <w:spacing w:line="360" w:lineRule="auto"/>
        <w:jc w:val="both"/>
        <w:rPr>
          <w:rFonts w:ascii="Arial" w:hAnsi="Arial" w:cs="Arial"/>
          <w:bCs/>
        </w:rPr>
      </w:pPr>
    </w:p>
    <w:p w14:paraId="0D13ADBB" w14:textId="77777777" w:rsidR="007D63D4" w:rsidRDefault="007D63D4" w:rsidP="007D63D4">
      <w:pPr>
        <w:tabs>
          <w:tab w:val="left" w:pos="3402"/>
        </w:tabs>
        <w:suppressAutoHyphens/>
        <w:spacing w:line="360" w:lineRule="auto"/>
        <w:jc w:val="both"/>
        <w:rPr>
          <w:rFonts w:ascii="Arial" w:hAnsi="Arial" w:cs="Arial"/>
          <w:bCs/>
        </w:rPr>
      </w:pPr>
      <w:r>
        <w:rPr>
          <w:rFonts w:ascii="Arial" w:hAnsi="Arial" w:cs="Arial"/>
          <w:bCs/>
        </w:rPr>
        <w:t>We recognise the difficulty of establishing a workable threshold in those cases where CSDs have no information on the country of establishment of their participant’s clients, but we think that this limitation should not be a reason to use an inaccurate and obsolete criterion that will not accommodate the natural evolution of the EU single market.</w:t>
      </w:r>
    </w:p>
    <w:p w14:paraId="46FC93E8" w14:textId="77777777" w:rsidR="007D63D4" w:rsidRDefault="007D63D4" w:rsidP="007D63D4">
      <w:pPr>
        <w:tabs>
          <w:tab w:val="left" w:pos="3402"/>
        </w:tabs>
        <w:suppressAutoHyphens/>
        <w:spacing w:line="360" w:lineRule="auto"/>
        <w:jc w:val="both"/>
        <w:rPr>
          <w:rFonts w:ascii="Arial" w:hAnsi="Arial" w:cs="Arial"/>
          <w:bCs/>
        </w:rPr>
      </w:pPr>
    </w:p>
    <w:p w14:paraId="62C3153A" w14:textId="77777777" w:rsidR="007D63D4" w:rsidRDefault="007D63D4" w:rsidP="007D63D4">
      <w:pPr>
        <w:tabs>
          <w:tab w:val="left" w:pos="3402"/>
        </w:tabs>
        <w:suppressAutoHyphens/>
        <w:spacing w:line="360" w:lineRule="auto"/>
        <w:jc w:val="both"/>
        <w:rPr>
          <w:rFonts w:ascii="Arial" w:hAnsi="Arial" w:cs="Arial"/>
        </w:rPr>
      </w:pPr>
      <w:r>
        <w:rPr>
          <w:rFonts w:ascii="Arial" w:hAnsi="Arial" w:cs="Arial"/>
          <w:bCs/>
        </w:rPr>
        <w:lastRenderedPageBreak/>
        <w:t>As a result, ECSDA thinks that the indicators included in Section 3.4 of the Consultation Paper as regards the central maintenance service (p.20-22) are not adequate and should be reviewed. T</w:t>
      </w:r>
      <w:r>
        <w:rPr>
          <w:rFonts w:ascii="Arial" w:hAnsi="Arial" w:cs="Arial"/>
        </w:rPr>
        <w:t>he country of establishment of CSD participants is not a good indicator and it is perfectly possible for a foreign intermediary (CSD participant) to hold securities primarily for domestic end investors, and vice-versa to hold securities for investors which are established in foreign countries different from that where the participant is established. Since the criteria and thresholds to be defined by ESMA for determining “substantial importance” are meant to involve host authorities from a safety and investor protection perspective, the “nationality” of CSD participants is largely irrelevant since it might be totally different from that of the actual holders of the security.</w:t>
      </w:r>
    </w:p>
    <w:p w14:paraId="71124C20" w14:textId="77777777" w:rsidR="007D63D4" w:rsidRDefault="007D63D4" w:rsidP="007D63D4">
      <w:pPr>
        <w:tabs>
          <w:tab w:val="left" w:pos="3402"/>
        </w:tabs>
        <w:suppressAutoHyphens/>
        <w:spacing w:line="360" w:lineRule="auto"/>
        <w:jc w:val="both"/>
        <w:rPr>
          <w:rFonts w:ascii="Arial" w:hAnsi="Arial" w:cs="Arial"/>
          <w:bCs/>
        </w:rPr>
      </w:pPr>
    </w:p>
    <w:p w14:paraId="65FF63B4" w14:textId="77777777" w:rsidR="007D63D4" w:rsidRPr="00901635" w:rsidRDefault="007D63D4" w:rsidP="007D63D4">
      <w:pPr>
        <w:tabs>
          <w:tab w:val="left" w:pos="567"/>
        </w:tabs>
        <w:spacing w:line="360" w:lineRule="auto"/>
        <w:jc w:val="both"/>
        <w:rPr>
          <w:rFonts w:ascii="Arial" w:hAnsi="Arial" w:cs="Arial"/>
        </w:rPr>
      </w:pPr>
      <w:r w:rsidRPr="00901635">
        <w:rPr>
          <w:rFonts w:ascii="Arial" w:hAnsi="Arial" w:cs="Arial"/>
        </w:rPr>
        <w:t>Furthermore, we note that the proposed denominators for the thresholds’ calculations will often not be available to the CSD, and that the relevant data but thus be collected by the competent authority. This is the case for:</w:t>
      </w:r>
    </w:p>
    <w:p w14:paraId="11A0E8CE" w14:textId="77777777" w:rsidR="007D63D4" w:rsidRPr="00901635" w:rsidRDefault="007D63D4" w:rsidP="007D63D4">
      <w:pPr>
        <w:pStyle w:val="ListParagraph"/>
        <w:numPr>
          <w:ilvl w:val="0"/>
          <w:numId w:val="44"/>
        </w:numPr>
        <w:tabs>
          <w:tab w:val="left" w:pos="567"/>
        </w:tabs>
        <w:spacing w:line="360" w:lineRule="auto"/>
        <w:ind w:left="284" w:hanging="284"/>
        <w:contextualSpacing w:val="0"/>
        <w:jc w:val="both"/>
        <w:rPr>
          <w:rFonts w:ascii="Arial" w:hAnsi="Arial" w:cs="Arial"/>
        </w:rPr>
      </w:pPr>
      <w:r w:rsidRPr="00901635">
        <w:rPr>
          <w:rFonts w:ascii="Arial" w:hAnsi="Arial" w:cs="Arial"/>
        </w:rPr>
        <w:t xml:space="preserve">The nominal value of securities </w:t>
      </w:r>
      <w:r>
        <w:rPr>
          <w:rFonts w:ascii="Arial" w:hAnsi="Arial" w:cs="Arial"/>
        </w:rPr>
        <w:t>"</w:t>
      </w:r>
      <w:r w:rsidRPr="00901635">
        <w:rPr>
          <w:rFonts w:ascii="Arial" w:hAnsi="Arial" w:cs="Arial"/>
        </w:rPr>
        <w:t>non-centrally maintained</w:t>
      </w:r>
      <w:r>
        <w:rPr>
          <w:rFonts w:ascii="Arial" w:hAnsi="Arial" w:cs="Arial"/>
        </w:rPr>
        <w:t>"</w:t>
      </w:r>
      <w:r w:rsidRPr="00901635">
        <w:rPr>
          <w:rFonts w:ascii="Arial" w:hAnsi="Arial" w:cs="Arial"/>
        </w:rPr>
        <w:t xml:space="preserve"> by all CSDs established in the E</w:t>
      </w:r>
      <w:r>
        <w:rPr>
          <w:rFonts w:ascii="Arial" w:hAnsi="Arial" w:cs="Arial"/>
        </w:rPr>
        <w:t>U</w:t>
      </w:r>
      <w:r w:rsidRPr="00901635">
        <w:rPr>
          <w:rFonts w:ascii="Arial" w:hAnsi="Arial" w:cs="Arial"/>
        </w:rPr>
        <w:t>;</w:t>
      </w:r>
    </w:p>
    <w:p w14:paraId="650FD657" w14:textId="77777777" w:rsidR="007D63D4" w:rsidRPr="007F29E9" w:rsidRDefault="007D63D4" w:rsidP="007D63D4">
      <w:pPr>
        <w:pStyle w:val="ListParagraph"/>
        <w:numPr>
          <w:ilvl w:val="0"/>
          <w:numId w:val="44"/>
        </w:numPr>
        <w:tabs>
          <w:tab w:val="left" w:pos="567"/>
          <w:tab w:val="left" w:pos="3402"/>
        </w:tabs>
        <w:suppressAutoHyphens/>
        <w:spacing w:line="360" w:lineRule="auto"/>
        <w:ind w:left="284" w:hanging="284"/>
        <w:contextualSpacing w:val="0"/>
        <w:jc w:val="both"/>
        <w:rPr>
          <w:rFonts w:ascii="Arial" w:hAnsi="Arial" w:cs="Arial"/>
          <w:bCs/>
        </w:rPr>
      </w:pPr>
      <w:r w:rsidRPr="007F29E9">
        <w:rPr>
          <w:rFonts w:ascii="Arial" w:hAnsi="Arial" w:cs="Arial"/>
        </w:rPr>
        <w:t>The nominal value of the FoP settlement instructions settled by all CSDs established in the EU;</w:t>
      </w:r>
    </w:p>
    <w:p w14:paraId="2B9EA797" w14:textId="77777777" w:rsidR="007D63D4" w:rsidRPr="007F29E9" w:rsidRDefault="007D63D4" w:rsidP="007D63D4">
      <w:pPr>
        <w:pStyle w:val="ListParagraph"/>
        <w:numPr>
          <w:ilvl w:val="0"/>
          <w:numId w:val="44"/>
        </w:numPr>
        <w:tabs>
          <w:tab w:val="left" w:pos="567"/>
          <w:tab w:val="left" w:pos="3402"/>
        </w:tabs>
        <w:suppressAutoHyphens/>
        <w:spacing w:line="360" w:lineRule="auto"/>
        <w:ind w:left="284" w:hanging="284"/>
        <w:contextualSpacing w:val="0"/>
        <w:jc w:val="both"/>
        <w:rPr>
          <w:rFonts w:ascii="Arial" w:hAnsi="Arial" w:cs="Arial"/>
          <w:bCs/>
        </w:rPr>
      </w:pPr>
      <w:r w:rsidRPr="007F29E9">
        <w:rPr>
          <w:rFonts w:ascii="Arial" w:hAnsi="Arial" w:cs="Arial"/>
        </w:rPr>
        <w:t>The nominal value of settlement instructions settled by all CSDs established in the EU from participants as well as for other holders of securities accounts of the host Member State.</w:t>
      </w:r>
    </w:p>
    <w:p w14:paraId="0090197C" w14:textId="77777777" w:rsidR="007D63D4" w:rsidRDefault="007D63D4" w:rsidP="007D63D4">
      <w:pPr>
        <w:tabs>
          <w:tab w:val="left" w:pos="567"/>
        </w:tabs>
        <w:spacing w:line="360" w:lineRule="auto"/>
        <w:jc w:val="both"/>
        <w:rPr>
          <w:rFonts w:ascii="Arial" w:hAnsi="Arial" w:cs="Arial"/>
        </w:rPr>
      </w:pPr>
    </w:p>
    <w:p w14:paraId="332E646B" w14:textId="77777777" w:rsidR="007D63D4" w:rsidRDefault="007D63D4" w:rsidP="007D63D4">
      <w:pPr>
        <w:tabs>
          <w:tab w:val="left" w:pos="567"/>
        </w:tabs>
        <w:spacing w:line="360" w:lineRule="auto"/>
        <w:jc w:val="both"/>
        <w:rPr>
          <w:rFonts w:ascii="Arial" w:hAnsi="Arial" w:cs="Arial"/>
        </w:rPr>
      </w:pPr>
      <w:r>
        <w:rPr>
          <w:rFonts w:ascii="Arial" w:hAnsi="Arial" w:cs="Arial"/>
        </w:rPr>
        <w:t xml:space="preserve">ECSDA supports ESMA’s decision not to include collateral management services in the assessment of the threshold for the “central maintenance service”. </w:t>
      </w:r>
    </w:p>
    <w:p w14:paraId="15CF2375" w14:textId="77777777" w:rsidR="007D63D4" w:rsidRDefault="007D63D4" w:rsidP="007D63D4">
      <w:pPr>
        <w:tabs>
          <w:tab w:val="left" w:pos="3402"/>
        </w:tabs>
        <w:suppressAutoHyphens/>
        <w:spacing w:line="360" w:lineRule="auto"/>
        <w:jc w:val="both"/>
        <w:rPr>
          <w:rFonts w:ascii="Arial" w:hAnsi="Arial" w:cs="Arial"/>
          <w:bCs/>
        </w:rPr>
      </w:pPr>
    </w:p>
    <w:p w14:paraId="46900287" w14:textId="77777777" w:rsidR="007D63D4" w:rsidRDefault="007D63D4" w:rsidP="007D63D4">
      <w:pPr>
        <w:tabs>
          <w:tab w:val="left" w:pos="3402"/>
        </w:tabs>
        <w:suppressAutoHyphens/>
        <w:spacing w:line="360" w:lineRule="auto"/>
        <w:jc w:val="both"/>
        <w:rPr>
          <w:rFonts w:ascii="Arial" w:hAnsi="Arial" w:cs="Arial"/>
          <w:bCs/>
        </w:rPr>
      </w:pPr>
      <w:r>
        <w:rPr>
          <w:rFonts w:ascii="Arial" w:hAnsi="Arial" w:cs="Arial"/>
          <w:bCs/>
        </w:rPr>
        <w:t>Finally, as regards Section 3.3 of the Consultation Paper on the notary service (p.19-20), ECSDA believes that the proposed indicators are more appropriate.</w:t>
      </w:r>
    </w:p>
    <w:permEnd w:id="711868410"/>
    <w:p w14:paraId="665012E0"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14:paraId="28F102DA" w14:textId="77777777" w:rsidR="00A35728" w:rsidRPr="00616B9B" w:rsidRDefault="00A35728" w:rsidP="00A35728">
      <w:pPr>
        <w:rPr>
          <w:rFonts w:ascii="Arial" w:hAnsi="Arial" w:cs="Arial"/>
          <w:sz w:val="22"/>
          <w:szCs w:val="22"/>
        </w:rPr>
      </w:pPr>
    </w:p>
    <w:p w14:paraId="4107391E" w14:textId="77777777"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14:paraId="4D26F828" w14:textId="77777777"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14:paraId="3F58DB19" w14:textId="77777777" w:rsidR="007D63D4" w:rsidRDefault="007D63D4" w:rsidP="007D63D4">
      <w:pPr>
        <w:spacing w:line="360" w:lineRule="auto"/>
        <w:rPr>
          <w:rFonts w:ascii="Arial" w:hAnsi="Arial" w:cs="Arial"/>
        </w:rPr>
      </w:pPr>
      <w:permStart w:id="108332942" w:edGrp="everyone"/>
      <w:r>
        <w:rPr>
          <w:rFonts w:ascii="Arial" w:hAnsi="Arial" w:cs="Arial"/>
        </w:rPr>
        <w:t>ECSDA has no comments on the level of the proposed thresholds but we welcome ESMA's suggestion to undertake a simulation exercise before the draft technical advice is finalised in order to assess the number of authorities that would be required to establish cooperation arrangements as result of the proposed thresholds. ECSDA is currently collecting data from its members in support of the simulation exercise and we hope that the results will help achieve more workable criteria for determining the appropriate thresholds.</w:t>
      </w:r>
    </w:p>
    <w:permEnd w:id="108332942"/>
    <w:p w14:paraId="206EBEC2" w14:textId="4EDA3050"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14:paraId="5398EDF8" w14:textId="77777777" w:rsidR="00A35728" w:rsidRPr="00616B9B" w:rsidRDefault="00A35728" w:rsidP="00A35728">
      <w:pPr>
        <w:rPr>
          <w:rFonts w:ascii="Arial" w:hAnsi="Arial" w:cs="Arial"/>
          <w:sz w:val="22"/>
          <w:szCs w:val="22"/>
        </w:rPr>
      </w:pPr>
    </w:p>
    <w:p w14:paraId="2CEE269A" w14:textId="77777777"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14:paraId="474B9DD0" w14:textId="77777777"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14:paraId="36A65246" w14:textId="77777777" w:rsidR="007D63D4" w:rsidRDefault="007D63D4" w:rsidP="00B156CF">
      <w:pPr>
        <w:rPr>
          <w:rFonts w:ascii="Arial" w:hAnsi="Arial" w:cs="Arial"/>
        </w:rPr>
      </w:pPr>
      <w:permStart w:id="1840076494" w:edGrp="everyone"/>
      <w:r>
        <w:rPr>
          <w:rFonts w:ascii="Arial" w:hAnsi="Arial" w:cs="Arial"/>
        </w:rPr>
        <w:t>No comments.</w:t>
      </w:r>
    </w:p>
    <w:p w14:paraId="73DFEE6C" w14:textId="25AF12BC" w:rsidR="003A6E9A" w:rsidRPr="00616B9B" w:rsidRDefault="006F08DC" w:rsidP="00B156CF">
      <w:pPr>
        <w:rPr>
          <w:rFonts w:ascii="Arial" w:hAnsi="Arial" w:cs="Arial"/>
          <w:sz w:val="22"/>
          <w:szCs w:val="22"/>
        </w:rPr>
      </w:pPr>
      <w:bookmarkStart w:id="3" w:name="_GoBack"/>
      <w:bookmarkEnd w:id="3"/>
      <w:permEnd w:id="1840076494"/>
      <w:r w:rsidRPr="00616B9B">
        <w:rPr>
          <w:rFonts w:ascii="Arial" w:hAnsi="Arial" w:cs="Arial"/>
          <w:sz w:val="22"/>
          <w:szCs w:val="22"/>
        </w:rPr>
        <w:lastRenderedPageBreak/>
        <w:t>&lt;ESMA_QUESTION_TA_CSDR_8&gt;</w:t>
      </w:r>
    </w:p>
    <w:sectPr w:rsidR="003A6E9A" w:rsidRPr="00616B9B" w:rsidSect="000D17AA">
      <w:headerReference w:type="even" r:id="rId17"/>
      <w:headerReference w:type="first" r:id="rId18"/>
      <w:footerReference w:type="first" r:id="rId19"/>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4CD26C" w14:textId="77777777" w:rsidR="001470E8" w:rsidRDefault="001470E8">
      <w:r>
        <w:separator/>
      </w:r>
    </w:p>
    <w:p w14:paraId="7B3127E9" w14:textId="77777777" w:rsidR="001470E8" w:rsidRDefault="001470E8"/>
  </w:endnote>
  <w:endnote w:type="continuationSeparator" w:id="0">
    <w:p w14:paraId="35A2984F" w14:textId="77777777" w:rsidR="001470E8" w:rsidRDefault="001470E8">
      <w:r>
        <w:continuationSeparator/>
      </w:r>
    </w:p>
    <w:p w14:paraId="39B9EA43" w14:textId="77777777" w:rsidR="001470E8" w:rsidRDefault="001470E8"/>
  </w:endnote>
  <w:endnote w:type="continuationNotice" w:id="1">
    <w:p w14:paraId="02C386B7" w14:textId="77777777"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14:paraId="4B0426AF" w14:textId="77777777" w:rsidTr="00315E96">
      <w:trPr>
        <w:trHeight w:val="284"/>
      </w:trPr>
      <w:tc>
        <w:tcPr>
          <w:tcW w:w="8460" w:type="dxa"/>
        </w:tcPr>
        <w:p w14:paraId="35EC9993" w14:textId="77777777" w:rsidR="00811EDA" w:rsidRPr="00315E96" w:rsidRDefault="00811EDA" w:rsidP="00315E96">
          <w:pPr>
            <w:pStyle w:val="00Footer"/>
            <w:rPr>
              <w:lang w:val="fr-FR"/>
            </w:rPr>
          </w:pPr>
        </w:p>
      </w:tc>
      <w:tc>
        <w:tcPr>
          <w:tcW w:w="952" w:type="dxa"/>
        </w:tcPr>
        <w:p w14:paraId="50CC5C77" w14:textId="77777777"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7D63D4">
            <w:rPr>
              <w:rFonts w:ascii="Arial" w:hAnsi="Arial" w:cs="Arial"/>
              <w:noProof/>
              <w:sz w:val="22"/>
              <w:szCs w:val="22"/>
            </w:rPr>
            <w:t>4</w:t>
          </w:r>
          <w:r w:rsidRPr="00616B9B">
            <w:rPr>
              <w:rFonts w:ascii="Arial" w:hAnsi="Arial" w:cs="Arial"/>
              <w:noProof/>
              <w:sz w:val="22"/>
              <w:szCs w:val="22"/>
            </w:rPr>
            <w:fldChar w:fldCharType="end"/>
          </w:r>
        </w:p>
      </w:tc>
    </w:tr>
  </w:tbl>
  <w:p w14:paraId="794CDF2A" w14:textId="77777777"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391EA" w14:textId="77777777"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5F933" w14:textId="77777777" w:rsidR="001470E8" w:rsidRDefault="001470E8">
      <w:r>
        <w:separator/>
      </w:r>
    </w:p>
    <w:p w14:paraId="0835DF97" w14:textId="77777777" w:rsidR="001470E8" w:rsidRDefault="001470E8"/>
  </w:footnote>
  <w:footnote w:type="continuationSeparator" w:id="0">
    <w:p w14:paraId="4D61D48B" w14:textId="77777777" w:rsidR="001470E8" w:rsidRDefault="001470E8">
      <w:r>
        <w:continuationSeparator/>
      </w:r>
    </w:p>
    <w:p w14:paraId="3D23B6E8" w14:textId="77777777" w:rsidR="001470E8" w:rsidRDefault="001470E8"/>
  </w:footnote>
  <w:footnote w:type="continuationNotice" w:id="1">
    <w:p w14:paraId="34764BBB" w14:textId="77777777"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E06D9" w14:textId="77777777" w:rsidR="00811EDA" w:rsidRDefault="00DE66EB">
    <w:pPr>
      <w:pStyle w:val="Header"/>
    </w:pPr>
    <w:r>
      <w:rPr>
        <w:noProof/>
        <w:lang w:eastAsia="en-GB"/>
      </w:rPr>
      <w:drawing>
        <wp:anchor distT="0" distB="0" distL="114300" distR="114300" simplePos="0" relativeHeight="251658240" behindDoc="0" locked="0" layoutInCell="1" allowOverlap="1" wp14:anchorId="0EE49877" wp14:editId="72B9C739">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5C1CC62C" wp14:editId="56EB788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41D99"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26262" w14:textId="77777777" w:rsidR="00811EDA" w:rsidRDefault="00DE66EB" w:rsidP="00013CCE">
    <w:pPr>
      <w:pStyle w:val="Header"/>
      <w:jc w:val="right"/>
    </w:pPr>
    <w:r>
      <w:rPr>
        <w:noProof/>
        <w:lang w:eastAsia="en-GB"/>
      </w:rPr>
      <w:drawing>
        <wp:anchor distT="0" distB="0" distL="114300" distR="114300" simplePos="0" relativeHeight="251657216" behindDoc="0" locked="0" layoutInCell="1" allowOverlap="1" wp14:anchorId="227C88A6" wp14:editId="1E931077">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0AEB55A3" wp14:editId="01410EBB">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30BF2B" w14:textId="77777777"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14:paraId="6E8D0A27" w14:textId="77777777" w:rsidTr="000C06C9">
      <w:trPr>
        <w:trHeight w:val="284"/>
      </w:trPr>
      <w:tc>
        <w:tcPr>
          <w:tcW w:w="8460" w:type="dxa"/>
        </w:tcPr>
        <w:p w14:paraId="231EA6F7" w14:textId="77777777" w:rsidR="00811EDA" w:rsidRPr="000C3B6D" w:rsidRDefault="00811EDA" w:rsidP="000C06C9">
          <w:pPr>
            <w:pStyle w:val="00Footer"/>
            <w:rPr>
              <w:lang w:val="fr-FR"/>
            </w:rPr>
          </w:pPr>
        </w:p>
      </w:tc>
      <w:tc>
        <w:tcPr>
          <w:tcW w:w="952" w:type="dxa"/>
        </w:tcPr>
        <w:p w14:paraId="69F81D68" w14:textId="77777777" w:rsidR="00811EDA" w:rsidRPr="00146B34" w:rsidRDefault="00811EDA" w:rsidP="000C06C9">
          <w:pPr>
            <w:pStyle w:val="00aPagenumber"/>
            <w:rPr>
              <w:lang w:val="fr-FR"/>
            </w:rPr>
          </w:pPr>
        </w:p>
      </w:tc>
    </w:tr>
  </w:tbl>
  <w:p w14:paraId="33CB5F2C" w14:textId="77777777" w:rsidR="00811EDA" w:rsidRPr="00DB46C3" w:rsidRDefault="00811EDA">
    <w:pPr>
      <w:rPr>
        <w:lang w:val="fr-FR"/>
      </w:rPr>
    </w:pPr>
  </w:p>
  <w:p w14:paraId="1C0EEF22" w14:textId="77777777" w:rsidR="00811EDA" w:rsidRPr="002F4496" w:rsidRDefault="00811EDA">
    <w:pPr>
      <w:pStyle w:val="Header"/>
      <w:rPr>
        <w:lang w:val="fr-FR"/>
      </w:rPr>
    </w:pPr>
  </w:p>
  <w:p w14:paraId="03F89E28" w14:textId="77777777" w:rsidR="00811EDA" w:rsidRPr="002F4496" w:rsidRDefault="00811EDA" w:rsidP="000C06C9">
    <w:pPr>
      <w:pStyle w:val="Header"/>
      <w:tabs>
        <w:tab w:val="clear" w:pos="4536"/>
        <w:tab w:val="clear" w:pos="9072"/>
        <w:tab w:val="left" w:pos="8227"/>
      </w:tabs>
      <w:rPr>
        <w:lang w:val="fr-FR"/>
      </w:rPr>
    </w:pPr>
  </w:p>
  <w:p w14:paraId="73D81DD9" w14:textId="77777777" w:rsidR="00811EDA" w:rsidRPr="002F4496" w:rsidRDefault="00811EDA" w:rsidP="000C06C9">
    <w:pPr>
      <w:pStyle w:val="Header"/>
      <w:tabs>
        <w:tab w:val="clear" w:pos="4536"/>
        <w:tab w:val="clear" w:pos="9072"/>
        <w:tab w:val="left" w:pos="8227"/>
      </w:tabs>
      <w:rPr>
        <w:lang w:val="fr-FR"/>
      </w:rPr>
    </w:pPr>
  </w:p>
  <w:p w14:paraId="44FE0C50" w14:textId="77777777" w:rsidR="00811EDA" w:rsidRPr="002F4496" w:rsidRDefault="00811EDA">
    <w:pPr>
      <w:pStyle w:val="Header"/>
      <w:rPr>
        <w:lang w:val="fr-FR"/>
      </w:rPr>
    </w:pPr>
  </w:p>
  <w:p w14:paraId="612B23EA" w14:textId="77777777" w:rsidR="00811EDA" w:rsidRPr="002F4496" w:rsidRDefault="00811EDA">
    <w:pPr>
      <w:pStyle w:val="Header"/>
      <w:rPr>
        <w:lang w:val="fr-FR"/>
      </w:rPr>
    </w:pPr>
  </w:p>
  <w:p w14:paraId="4F0DB374" w14:textId="77777777" w:rsidR="00811EDA" w:rsidRPr="002F4496" w:rsidRDefault="00811EDA">
    <w:pPr>
      <w:pStyle w:val="Header"/>
      <w:rPr>
        <w:lang w:val="fr-FR"/>
      </w:rPr>
    </w:pPr>
  </w:p>
  <w:p w14:paraId="5BAA551C" w14:textId="77777777" w:rsidR="00811EDA" w:rsidRPr="002F4496" w:rsidRDefault="00811EDA">
    <w:pPr>
      <w:pStyle w:val="Header"/>
      <w:rPr>
        <w:lang w:val="fr-FR"/>
      </w:rPr>
    </w:pPr>
  </w:p>
  <w:p w14:paraId="3090098F" w14:textId="77777777" w:rsidR="00811EDA" w:rsidRPr="002F4496" w:rsidRDefault="00811EDA">
    <w:pPr>
      <w:pStyle w:val="Header"/>
      <w:rPr>
        <w:highlight w:val="yellow"/>
        <w:lang w:val="fr-FR"/>
      </w:rPr>
    </w:pPr>
  </w:p>
  <w:p w14:paraId="20CB8C7E" w14:textId="77777777"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37DEDE79" wp14:editId="7C0986D2">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C3B07"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14861ACE" wp14:editId="77BF15B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2501329"/>
    <w:multiLevelType w:val="hybridMultilevel"/>
    <w:tmpl w:val="8416D3EE"/>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4">
    <w:nsid w:val="2FC71A04"/>
    <w:multiLevelType w:val="hybridMultilevel"/>
    <w:tmpl w:val="FB4672F0"/>
    <w:lvl w:ilvl="0" w:tplc="CEA65BF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7">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9">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1">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3">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5">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6BD51642"/>
    <w:multiLevelType w:val="hybridMultilevel"/>
    <w:tmpl w:val="3F8AF5EA"/>
    <w:lvl w:ilvl="0" w:tplc="C2F6D9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9">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0">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9"/>
  </w:num>
  <w:num w:numId="2">
    <w:abstractNumId w:val="22"/>
  </w:num>
  <w:num w:numId="3">
    <w:abstractNumId w:val="15"/>
  </w:num>
  <w:num w:numId="4">
    <w:abstractNumId w:val="26"/>
  </w:num>
  <w:num w:numId="5">
    <w:abstractNumId w:val="3"/>
  </w:num>
  <w:num w:numId="6">
    <w:abstractNumId w:val="28"/>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33"/>
  </w:num>
  <w:num w:numId="15">
    <w:abstractNumId w:val="25"/>
  </w:num>
  <w:num w:numId="16">
    <w:abstractNumId w:val="12"/>
  </w:num>
  <w:num w:numId="17">
    <w:abstractNumId w:val="1"/>
  </w:num>
  <w:num w:numId="18">
    <w:abstractNumId w:val="17"/>
  </w:num>
  <w:num w:numId="19">
    <w:abstractNumId w:val="18"/>
  </w:num>
  <w:num w:numId="20">
    <w:abstractNumId w:val="20"/>
  </w:num>
  <w:num w:numId="21">
    <w:abstractNumId w:val="29"/>
  </w:num>
  <w:num w:numId="22">
    <w:abstractNumId w:val="37"/>
  </w:num>
  <w:num w:numId="23">
    <w:abstractNumId w:val="27"/>
  </w:num>
  <w:num w:numId="24">
    <w:abstractNumId w:val="11"/>
  </w:num>
  <w:num w:numId="25">
    <w:abstractNumId w:val="32"/>
  </w:num>
  <w:num w:numId="26">
    <w:abstractNumId w:val="31"/>
  </w:num>
  <w:num w:numId="27">
    <w:abstractNumId w:val="23"/>
  </w:num>
  <w:num w:numId="28">
    <w:abstractNumId w:val="35"/>
  </w:num>
  <w:num w:numId="29">
    <w:abstractNumId w:val="39"/>
  </w:num>
  <w:num w:numId="30">
    <w:abstractNumId w:val="9"/>
  </w:num>
  <w:num w:numId="31">
    <w:abstractNumId w:val="4"/>
  </w:num>
  <w:num w:numId="32">
    <w:abstractNumId w:val="24"/>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3"/>
  </w:num>
  <w:num w:numId="37">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5"/>
  </w:num>
  <w:num w:numId="42">
    <w:abstractNumId w:val="36"/>
  </w:num>
  <w:num w:numId="43">
    <w:abstractNumId w:val="8"/>
  </w:num>
  <w:num w:numId="44">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819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3112"/>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D63D4"/>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765E7"/>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2d4491,#283583"/>
    </o:shapedefaults>
    <o:shapelayout v:ext="edit">
      <o:idmap v:ext="edit" data="1"/>
    </o:shapelayout>
  </w:shapeDefaults>
  <w:decimalSymbol w:val="."/>
  <w:listSeparator w:val=","/>
  <w14:docId w14:val="187DF679"/>
  <w15:docId w15:val="{487E08BC-E12E-4AB8-9622-35CFAA3E0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uiPriority w:val="59"/>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26EE56A4BFF149B8EDD758F8F6C0D1" ma:contentTypeVersion="2" ma:contentTypeDescription="Create a new document." ma:contentTypeScope="" ma:versionID="09c9b2c660667f7fa4f7dd540f14c6c9">
  <xsd:schema xmlns:xsd="http://www.w3.org/2001/XMLSchema" xmlns:xs="http://www.w3.org/2001/XMLSchema" xmlns:p="http://schemas.microsoft.com/office/2006/metadata/properties" xmlns:ns2="5dd7d9a2-19fe-4da7-b1b5-7993cafc840d" targetNamespace="http://schemas.microsoft.com/office/2006/metadata/properties" ma:root="true" ma:fieldsID="0ea81ffd4f711c34e622346eb700863a" ns2:_="">
    <xsd:import namespace="5dd7d9a2-19fe-4da7-b1b5-7993cafc840d"/>
    <xsd:element name="properties">
      <xsd:complexType>
        <xsd:sequence>
          <xsd:element name="documentManagement">
            <xsd:complexType>
              <xsd:all>
                <xsd:element ref="ns2:SharedWithUsers" minOccurs="0"/>
                <xsd:element ref="ns2: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d9a2-19fe-4da7-b1b5-7993cafc84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96E5D-3C3B-4D99-B33F-759DF4373929}">
  <ds:schemaRefs>
    <ds:schemaRef ds:uri="http://schemas.microsoft.com/office/2006/documentManagement/types"/>
    <ds:schemaRef ds:uri="http://schemas.openxmlformats.org/package/2006/metadata/core-properties"/>
    <ds:schemaRef ds:uri="http://purl.org/dc/elements/1.1/"/>
    <ds:schemaRef ds:uri="http://purl.org/dc/terms/"/>
    <ds:schemaRef ds:uri="http://schemas.microsoft.com/office/2006/metadata/properties"/>
    <ds:schemaRef ds:uri="http://purl.org/dc/dcmitype/"/>
    <ds:schemaRef ds:uri="http://schemas.microsoft.com/office/infopath/2007/PartnerControls"/>
    <ds:schemaRef ds:uri="5dd7d9a2-19fe-4da7-b1b5-7993cafc840d"/>
    <ds:schemaRef ds:uri="http://www.w3.org/XML/1998/namespace"/>
  </ds:schemaRefs>
</ds:datastoreItem>
</file>

<file path=customXml/itemProps2.xml><?xml version="1.0" encoding="utf-8"?>
<ds:datastoreItem xmlns:ds="http://schemas.openxmlformats.org/officeDocument/2006/customXml" ds:itemID="{E1C5BD97-CB7B-4025-B45A-A5062CE3B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7d9a2-19fe-4da7-b1b5-7993cafc8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97C9A-D63E-4FE5-B103-E6AA4AD8B3DD}">
  <ds:schemaRefs>
    <ds:schemaRef ds:uri="http://schemas.microsoft.com/sharepoint/v3/contenttype/forms"/>
  </ds:schemaRefs>
</ds:datastoreItem>
</file>

<file path=customXml/itemProps4.xml><?xml version="1.0" encoding="utf-8"?>
<ds:datastoreItem xmlns:ds="http://schemas.openxmlformats.org/officeDocument/2006/customXml" ds:itemID="{346570EA-E46E-453D-9A28-542561C7A84B}">
  <ds:schemaRefs>
    <ds:schemaRef ds:uri="http://schemas.openxmlformats.org/officeDocument/2006/bibliography"/>
  </ds:schemaRefs>
</ds:datastoreItem>
</file>

<file path=customXml/itemProps5.xml><?xml version="1.0" encoding="utf-8"?>
<ds:datastoreItem xmlns:ds="http://schemas.openxmlformats.org/officeDocument/2006/customXml" ds:itemID="{B8BC2BAB-72FA-41BF-A060-1260D15DD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2941</Words>
  <Characters>16769</Characters>
  <Application>Microsoft Office Word</Application>
  <DocSecurity>8</DocSecurity>
  <Lines>139</Lines>
  <Paragraphs>39</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19671</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Alexander Westphal</cp:lastModifiedBy>
  <cp:revision>4</cp:revision>
  <cp:lastPrinted>2014-05-08T16:06:00Z</cp:lastPrinted>
  <dcterms:created xsi:type="dcterms:W3CDTF">2015-02-18T13:35:00Z</dcterms:created>
  <dcterms:modified xsi:type="dcterms:W3CDTF">2015-02-18T18:11:00Z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0x0101002F26EE56A4BFF149B8EDD758F8F6C0D1</vt:lpwstr>
  </property>
</Properties>
</file>