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4E49B0" w:rsidTr="00315E96">
        <w:trPr>
          <w:trHeight w:val="284"/>
        </w:trPr>
        <w:tc>
          <w:tcPr>
            <w:tcW w:w="9412" w:type="dxa"/>
          </w:tcPr>
          <w:p w:rsidR="00C2094B" w:rsidRPr="004E49B0" w:rsidRDefault="003D6CD0" w:rsidP="00A35728">
            <w:pPr>
              <w:pStyle w:val="00bDBInfo"/>
              <w:rPr>
                <w:rFonts w:ascii="Arial" w:hAnsi="Arial" w:cs="Arial"/>
              </w:rPr>
            </w:pPr>
            <w:r>
              <w:rPr>
                <w:rFonts w:ascii="Arial" w:hAnsi="Arial" w:cs="Arial"/>
              </w:rPr>
              <w:t>18</w:t>
            </w:r>
            <w:r w:rsidR="004E49B0">
              <w:rPr>
                <w:rFonts w:ascii="Arial" w:hAnsi="Arial" w:cs="Arial"/>
              </w:rPr>
              <w:t xml:space="preserve"> December</w:t>
            </w:r>
            <w:r w:rsidR="00ED351E" w:rsidRPr="004E49B0">
              <w:rPr>
                <w:rFonts w:ascii="Arial" w:hAnsi="Arial" w:cs="Arial"/>
              </w:rPr>
              <w:t xml:space="preserve"> </w:t>
            </w:r>
            <w:r w:rsidR="006F4B04" w:rsidRPr="004E49B0">
              <w:rPr>
                <w:rFonts w:ascii="Arial" w:hAnsi="Arial" w:cs="Arial"/>
              </w:rPr>
              <w:t>2014</w:t>
            </w:r>
          </w:p>
        </w:tc>
      </w:tr>
    </w:tbl>
    <w:p w:rsidR="00FD7A8D" w:rsidRPr="00616B9B" w:rsidRDefault="00FD7A8D" w:rsidP="00FD7A8D">
      <w:pPr>
        <w:rPr>
          <w:rFonts w:ascii="Arial" w:hAnsi="Arial" w:cs="Arial"/>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616B9B" w:rsidTr="00B835D5">
        <w:trPr>
          <w:trHeight w:hRule="exact" w:val="1209"/>
        </w:trPr>
        <w:tc>
          <w:tcPr>
            <w:tcW w:w="9397" w:type="dxa"/>
            <w:vAlign w:val="bottom"/>
          </w:tcPr>
          <w:p w:rsidR="006F4403" w:rsidRPr="00616B9B" w:rsidRDefault="00AE627C" w:rsidP="00C000A5">
            <w:pPr>
              <w:pStyle w:val="01aDBTitle"/>
              <w:rPr>
                <w:rFonts w:ascii="Arial" w:hAnsi="Arial" w:cs="Arial"/>
              </w:rPr>
            </w:pPr>
            <w:r w:rsidRPr="00616B9B">
              <w:rPr>
                <w:rFonts w:ascii="Arial" w:hAnsi="Arial" w:cs="Arial"/>
              </w:rPr>
              <w:t>Reply form</w:t>
            </w:r>
            <w:r w:rsidR="00B835D5" w:rsidRPr="00616B9B">
              <w:rPr>
                <w:rFonts w:ascii="Arial" w:hAnsi="Arial" w:cs="Arial"/>
              </w:rPr>
              <w:t xml:space="preserve"> </w:t>
            </w:r>
            <w:r w:rsidR="0043173B" w:rsidRPr="00616B9B">
              <w:rPr>
                <w:rFonts w:ascii="Arial" w:hAnsi="Arial" w:cs="Arial"/>
              </w:rPr>
              <w:t>for</w:t>
            </w:r>
            <w:r w:rsidR="00027ECF" w:rsidRPr="00616B9B">
              <w:rPr>
                <w:rFonts w:ascii="Arial" w:hAnsi="Arial" w:cs="Arial"/>
              </w:rPr>
              <w:t xml:space="preserve"> the </w:t>
            </w:r>
          </w:p>
          <w:p w:rsidR="00422A7D" w:rsidRPr="00616B9B" w:rsidRDefault="00A35728" w:rsidP="00C000A5">
            <w:pPr>
              <w:pStyle w:val="01aDBTitle"/>
              <w:rPr>
                <w:rFonts w:ascii="Arial" w:hAnsi="Arial" w:cs="Arial"/>
              </w:rPr>
            </w:pPr>
            <w:r w:rsidRPr="00616B9B">
              <w:rPr>
                <w:rFonts w:ascii="Arial" w:hAnsi="Arial" w:cs="Arial"/>
              </w:rPr>
              <w:t>Technical Advice under the CSDR</w:t>
            </w:r>
            <w:r w:rsidR="00422A7D" w:rsidRPr="00616B9B">
              <w:rPr>
                <w:rFonts w:ascii="Arial" w:hAnsi="Arial" w:cs="Arial"/>
              </w:rPr>
              <w:t xml:space="preserve"> </w:t>
            </w:r>
          </w:p>
          <w:p w:rsidR="00791EB4" w:rsidRPr="00616B9B" w:rsidRDefault="00791EB4" w:rsidP="00C000A5">
            <w:pPr>
              <w:pStyle w:val="01aDBTitle"/>
              <w:rPr>
                <w:rFonts w:ascii="Arial" w:hAnsi="Arial" w:cs="Arial"/>
              </w:rPr>
            </w:pPr>
          </w:p>
        </w:tc>
      </w:tr>
      <w:tr w:rsidR="00060F72" w:rsidRPr="00616B9B" w:rsidTr="00B835D5">
        <w:trPr>
          <w:trHeight w:hRule="exact" w:val="605"/>
        </w:trPr>
        <w:tc>
          <w:tcPr>
            <w:tcW w:w="9397" w:type="dxa"/>
            <w:tcMar>
              <w:top w:w="142" w:type="dxa"/>
            </w:tcMar>
          </w:tcPr>
          <w:p w:rsidR="00D91010" w:rsidRPr="00616B9B" w:rsidRDefault="00013CCE" w:rsidP="00027ECF">
            <w:pPr>
              <w:pStyle w:val="01bDBSubtitle"/>
              <w:rPr>
                <w:rFonts w:ascii="Arial" w:hAnsi="Arial" w:cs="Arial"/>
              </w:rPr>
            </w:pPr>
            <w:r w:rsidRPr="00616B9B">
              <w:rPr>
                <w:rFonts w:ascii="Arial" w:hAnsi="Arial" w:cs="Arial"/>
              </w:rPr>
              <w:t xml:space="preserve"> </w:t>
            </w:r>
          </w:p>
        </w:tc>
      </w:tr>
    </w:tbl>
    <w:p w:rsidR="00620D7C" w:rsidRPr="00616B9B" w:rsidRDefault="00620D7C" w:rsidP="00C00012">
      <w:pPr>
        <w:pStyle w:val="05HeadlinenoIndex"/>
        <w:rPr>
          <w:rFonts w:ascii="Arial" w:hAnsi="Arial" w:cs="Arial"/>
        </w:rPr>
        <w:sectPr w:rsidR="00620D7C" w:rsidRPr="00616B9B" w:rsidSect="006E3C72">
          <w:headerReference w:type="default" r:id="rId10"/>
          <w:footerReference w:type="default" r:id="rId11"/>
          <w:headerReference w:type="first" r:id="rId12"/>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616B9B" w:rsidTr="00315E96">
        <w:trPr>
          <w:trHeight w:hRule="exact" w:val="964"/>
        </w:trPr>
        <w:tc>
          <w:tcPr>
            <w:tcW w:w="2325" w:type="dxa"/>
          </w:tcPr>
          <w:p w:rsidR="00620D7C" w:rsidRPr="004E49B0" w:rsidRDefault="00620D7C" w:rsidP="004E49B0">
            <w:pPr>
              <w:pStyle w:val="02Date"/>
              <w:rPr>
                <w:rFonts w:ascii="Arial" w:hAnsi="Arial" w:cs="Arial"/>
              </w:rPr>
            </w:pPr>
            <w:r w:rsidRPr="004E49B0">
              <w:rPr>
                <w:rFonts w:ascii="Arial" w:hAnsi="Arial" w:cs="Arial"/>
              </w:rPr>
              <w:lastRenderedPageBreak/>
              <w:t xml:space="preserve">Date: </w:t>
            </w:r>
            <w:r w:rsidR="003D6CD0">
              <w:rPr>
                <w:rFonts w:ascii="Arial" w:hAnsi="Arial" w:cs="Arial"/>
              </w:rPr>
              <w:t>18</w:t>
            </w:r>
            <w:r w:rsidR="004E49B0" w:rsidRPr="004E49B0">
              <w:rPr>
                <w:rFonts w:ascii="Arial" w:hAnsi="Arial" w:cs="Arial"/>
              </w:rPr>
              <w:t xml:space="preserve"> December 2014</w:t>
            </w:r>
          </w:p>
        </w:tc>
      </w:tr>
    </w:tbl>
    <w:p w:rsidR="0088244C" w:rsidRPr="00616B9B" w:rsidRDefault="0088244C" w:rsidP="00F574D0">
      <w:pPr>
        <w:pStyle w:val="05HeadlinenoIndex"/>
        <w:rPr>
          <w:rFonts w:ascii="Arial" w:hAnsi="Arial" w:cs="Arial"/>
        </w:rPr>
      </w:pPr>
      <w:bookmarkStart w:id="0" w:name="_Toc280628648"/>
    </w:p>
    <w:p w:rsidR="00F574D0" w:rsidRPr="00616B9B" w:rsidRDefault="0088244C" w:rsidP="00F574D0">
      <w:pPr>
        <w:pStyle w:val="05HeadlinenoIndex"/>
        <w:rPr>
          <w:rFonts w:ascii="Arial" w:hAnsi="Arial" w:cs="Arial"/>
        </w:rPr>
      </w:pPr>
      <w:r w:rsidRPr="00616B9B">
        <w:rPr>
          <w:rFonts w:ascii="Arial" w:hAnsi="Arial" w:cs="Arial"/>
        </w:rPr>
        <w:br w:type="page"/>
      </w:r>
      <w:r w:rsidR="00F574D0" w:rsidRPr="00616B9B">
        <w:rPr>
          <w:rFonts w:ascii="Arial" w:hAnsi="Arial" w:cs="Arial"/>
        </w:rPr>
        <w:lastRenderedPageBreak/>
        <w:t xml:space="preserve">Responding to this paper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The European Securities and Markets Authority (ESMA) invites responses to the specific questions listed in the ESMA </w:t>
      </w:r>
      <w:r w:rsidR="0060674A" w:rsidRPr="00616B9B">
        <w:rPr>
          <w:rFonts w:ascii="Arial" w:hAnsi="Arial" w:cs="Arial"/>
        </w:rPr>
        <w:t>Consultation Paper - D</w:t>
      </w:r>
      <w:r w:rsidR="00A35728" w:rsidRPr="00616B9B">
        <w:rPr>
          <w:rFonts w:ascii="Arial" w:hAnsi="Arial" w:cs="Arial"/>
        </w:rPr>
        <w:t xml:space="preserve"> Technical Advice under the CSDR</w:t>
      </w:r>
      <w:r w:rsidR="00015B5E" w:rsidRPr="00616B9B">
        <w:rPr>
          <w:rFonts w:ascii="Arial" w:hAnsi="Arial" w:cs="Arial"/>
        </w:rPr>
        <w:t>, published on the ESMA website</w:t>
      </w:r>
      <w:r w:rsidR="004E49B0">
        <w:rPr>
          <w:rFonts w:ascii="Arial" w:hAnsi="Arial" w:cs="Arial"/>
        </w:rPr>
        <w:t>.</w:t>
      </w:r>
    </w:p>
    <w:p w:rsidR="00F574D0" w:rsidRPr="00616B9B" w:rsidRDefault="00F574D0" w:rsidP="00F574D0">
      <w:pPr>
        <w:pStyle w:val="04BodyText"/>
        <w:spacing w:before="120" w:after="120"/>
        <w:rPr>
          <w:rFonts w:ascii="Arial" w:hAnsi="Arial" w:cs="Arial"/>
        </w:rPr>
      </w:pP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r w:rsidRPr="00616B9B">
        <w:rPr>
          <w:rFonts w:ascii="Arial" w:hAnsi="Arial" w:cs="Arial"/>
          <w:b/>
          <w:bCs/>
          <w:i/>
          <w:color w:val="000000"/>
          <w:szCs w:val="20"/>
          <w:lang w:eastAsia="en-GB"/>
        </w:rPr>
        <w:t>Instructions</w:t>
      </w:r>
    </w:p>
    <w:p w:rsidR="00F574D0" w:rsidRPr="00616B9B" w:rsidRDefault="00D75FEE" w:rsidP="00F574D0">
      <w:pPr>
        <w:pStyle w:val="04BodyText"/>
        <w:spacing w:before="120" w:after="120"/>
        <w:rPr>
          <w:rFonts w:ascii="Arial" w:hAnsi="Arial" w:cs="Arial"/>
        </w:rPr>
      </w:pPr>
      <w:r w:rsidRPr="00616B9B">
        <w:rPr>
          <w:rFonts w:ascii="Arial" w:hAnsi="Arial" w:cs="Arial"/>
        </w:rPr>
        <w:t>Please note that, in order to facilitate the analysis of the large number of responses expected, you are requested to use this file to send your response to ESMA so as to allow us to process it properly. Ther</w:t>
      </w:r>
      <w:r w:rsidRPr="00616B9B">
        <w:rPr>
          <w:rFonts w:ascii="Arial" w:hAnsi="Arial" w:cs="Arial"/>
        </w:rPr>
        <w:t>e</w:t>
      </w:r>
      <w:r w:rsidRPr="00616B9B">
        <w:rPr>
          <w:rFonts w:ascii="Arial" w:hAnsi="Arial" w:cs="Arial"/>
        </w:rPr>
        <w:t>fore, please follow the instructions described below</w:t>
      </w:r>
      <w:r w:rsidR="00F574D0" w:rsidRPr="00616B9B">
        <w:rPr>
          <w:rFonts w:ascii="Arial" w:hAnsi="Arial" w:cs="Arial"/>
        </w:rPr>
        <w:t>:</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use this </w:t>
      </w:r>
      <w:r w:rsidR="003F5C06" w:rsidRPr="00616B9B">
        <w:rPr>
          <w:rFonts w:ascii="Arial" w:hAnsi="Arial" w:cs="Arial"/>
        </w:rPr>
        <w:t>form</w:t>
      </w:r>
      <w:r w:rsidRPr="00616B9B">
        <w:rPr>
          <w:rFonts w:ascii="Arial" w:hAnsi="Arial" w:cs="Arial"/>
        </w:rPr>
        <w:t xml:space="preserve"> and send </w:t>
      </w:r>
      <w:r w:rsidR="00D75FEE" w:rsidRPr="00616B9B">
        <w:rPr>
          <w:rFonts w:ascii="Arial" w:hAnsi="Arial" w:cs="Arial"/>
        </w:rPr>
        <w:t>your</w:t>
      </w:r>
      <w:r w:rsidRPr="00616B9B">
        <w:rPr>
          <w:rFonts w:ascii="Arial" w:hAnsi="Arial" w:cs="Arial"/>
        </w:rPr>
        <w:t xml:space="preserve"> responses in Word format;</w:t>
      </w:r>
    </w:p>
    <w:p w:rsidR="00F574D0" w:rsidRPr="00616B9B" w:rsidRDefault="00D75FEE" w:rsidP="00F574D0">
      <w:pPr>
        <w:pStyle w:val="04bList"/>
        <w:numPr>
          <w:ilvl w:val="0"/>
          <w:numId w:val="5"/>
        </w:numPr>
        <w:spacing w:before="120" w:after="120"/>
        <w:ind w:left="720"/>
        <w:rPr>
          <w:rFonts w:ascii="Arial" w:hAnsi="Arial" w:cs="Arial"/>
        </w:rPr>
      </w:pPr>
      <w:r w:rsidRPr="00616B9B">
        <w:rPr>
          <w:rFonts w:ascii="Arial" w:hAnsi="Arial" w:cs="Arial"/>
        </w:rPr>
        <w:t xml:space="preserve">do </w:t>
      </w:r>
      <w:r w:rsidR="00F574D0" w:rsidRPr="00616B9B">
        <w:rPr>
          <w:rFonts w:ascii="Arial" w:hAnsi="Arial" w:cs="Arial"/>
        </w:rPr>
        <w:t>not remove the tags of type &lt;ESMA_QUESTION_</w:t>
      </w:r>
      <w:r w:rsidR="00C8677B" w:rsidRPr="00616B9B">
        <w:rPr>
          <w:rFonts w:ascii="Arial" w:hAnsi="Arial" w:cs="Arial"/>
        </w:rPr>
        <w:t>T</w:t>
      </w:r>
      <w:r w:rsidR="00E9344E" w:rsidRPr="00616B9B">
        <w:rPr>
          <w:rFonts w:ascii="Arial" w:hAnsi="Arial" w:cs="Arial"/>
        </w:rPr>
        <w:t>A</w:t>
      </w:r>
      <w:r w:rsidR="00A35728" w:rsidRPr="00616B9B">
        <w:rPr>
          <w:rFonts w:ascii="Arial" w:hAnsi="Arial" w:cs="Arial"/>
        </w:rPr>
        <w:t>_CSDR</w:t>
      </w:r>
      <w:r w:rsidR="00E9344E" w:rsidRPr="00616B9B">
        <w:rPr>
          <w:rFonts w:ascii="Arial" w:hAnsi="Arial" w:cs="Arial"/>
        </w:rPr>
        <w:t>_</w:t>
      </w:r>
      <w:r w:rsidR="00F574D0" w:rsidRPr="00616B9B">
        <w:rPr>
          <w:rFonts w:ascii="Arial" w:hAnsi="Arial" w:cs="Arial"/>
        </w:rPr>
        <w:t>1&gt; - i.e. the response to one question has to be framed by the 2 tags corresponding to the question; and</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if </w:t>
      </w:r>
      <w:r w:rsidR="00D75FEE" w:rsidRPr="00616B9B">
        <w:rPr>
          <w:rFonts w:ascii="Arial" w:hAnsi="Arial" w:cs="Arial"/>
        </w:rPr>
        <w:t>you do not have a</w:t>
      </w:r>
      <w:r w:rsidRPr="00616B9B">
        <w:rPr>
          <w:rFonts w:ascii="Arial" w:hAnsi="Arial" w:cs="Arial"/>
        </w:rPr>
        <w:t xml:space="preserve"> response to a question, </w:t>
      </w:r>
      <w:r w:rsidR="00D75FEE" w:rsidRPr="00616B9B">
        <w:rPr>
          <w:rFonts w:ascii="Arial" w:hAnsi="Arial" w:cs="Arial"/>
        </w:rPr>
        <w:t xml:space="preserve">do </w:t>
      </w:r>
      <w:r w:rsidRPr="00616B9B">
        <w:rPr>
          <w:rFonts w:ascii="Arial" w:hAnsi="Arial" w:cs="Arial"/>
        </w:rPr>
        <w:t>not delete it and leave the text “TYPE YOUR TEXT HERE” between the tags.</w:t>
      </w:r>
    </w:p>
    <w:p w:rsidR="00F574D0" w:rsidRPr="00616B9B" w:rsidRDefault="00F574D0" w:rsidP="00F574D0">
      <w:pPr>
        <w:pStyle w:val="04bList"/>
        <w:numPr>
          <w:ilvl w:val="0"/>
          <w:numId w:val="0"/>
        </w:numPr>
        <w:spacing w:before="120" w:after="120"/>
        <w:rPr>
          <w:rFonts w:ascii="Arial" w:hAnsi="Arial" w:cs="Arial"/>
        </w:rPr>
      </w:pPr>
      <w:r w:rsidRPr="00616B9B">
        <w:rPr>
          <w:rFonts w:ascii="Arial" w:hAnsi="Arial" w:cs="Arial"/>
        </w:rPr>
        <w:t>Responses are most helpful:</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if they respond to the question stated;</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contain a clear rationale, including on any related costs and benefits; and</w:t>
      </w:r>
    </w:p>
    <w:p w:rsidR="00A35728" w:rsidRPr="00616B9B" w:rsidRDefault="00F574D0" w:rsidP="000D17AA">
      <w:pPr>
        <w:pStyle w:val="04bList"/>
        <w:numPr>
          <w:ilvl w:val="0"/>
          <w:numId w:val="33"/>
        </w:numPr>
        <w:spacing w:before="120" w:after="120"/>
        <w:rPr>
          <w:rFonts w:ascii="Arial" w:hAnsi="Arial" w:cs="Arial"/>
        </w:rPr>
      </w:pPr>
      <w:r w:rsidRPr="00616B9B">
        <w:rPr>
          <w:rFonts w:ascii="Arial" w:hAnsi="Arial" w:cs="Arial"/>
        </w:rPr>
        <w:t>describe any alternatives that ESMA should consider</w:t>
      </w:r>
    </w:p>
    <w:p w:rsidR="000D17AA" w:rsidRPr="00616B9B" w:rsidRDefault="000D17AA" w:rsidP="000D17AA">
      <w:pPr>
        <w:pStyle w:val="04BodyText"/>
        <w:spacing w:before="120" w:after="120"/>
        <w:jc w:val="left"/>
        <w:rPr>
          <w:rFonts w:ascii="Arial" w:hAnsi="Arial" w:cs="Arial"/>
          <w:b/>
        </w:rPr>
      </w:pPr>
      <w:r w:rsidRPr="00616B9B">
        <w:rPr>
          <w:rFonts w:ascii="Arial" w:hAnsi="Arial" w:cs="Arial"/>
          <w:b/>
        </w:rPr>
        <w:t>Naming protocol:</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In order to facilitate the handling of stakeholders responses please save your document using the follo</w:t>
      </w:r>
      <w:r w:rsidRPr="00616B9B">
        <w:rPr>
          <w:rFonts w:ascii="Arial" w:hAnsi="Arial" w:cs="Arial"/>
        </w:rPr>
        <w:t>w</w:t>
      </w:r>
      <w:r w:rsidRPr="00616B9B">
        <w:rPr>
          <w:rFonts w:ascii="Arial" w:hAnsi="Arial" w:cs="Arial"/>
        </w:rPr>
        <w:t>ing format: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ESMA_ TA_CSDR _NAMEOFCOMPANY_NAMEOFDOCUMENT.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E.g. if the respondent were ESMA, the name of the reply form would be ESMA_ TA_CSDR _ESMA_REPLYFORM or ESMA_CE_AIFMD_ESMA_ANNEX1</w:t>
      </w:r>
    </w:p>
    <w:p w:rsidR="004E1A0F" w:rsidRPr="00616B9B" w:rsidRDefault="004E1A0F" w:rsidP="00F574D0">
      <w:pPr>
        <w:pStyle w:val="04bList"/>
        <w:numPr>
          <w:ilvl w:val="0"/>
          <w:numId w:val="0"/>
        </w:numPr>
        <w:spacing w:before="120" w:after="120"/>
        <w:rPr>
          <w:rFonts w:ascii="Arial" w:hAnsi="Arial" w:cs="Arial"/>
        </w:rPr>
      </w:pPr>
      <w:r w:rsidRPr="00616B9B">
        <w:rPr>
          <w:rFonts w:ascii="Arial" w:hAnsi="Arial" w:cs="Arial"/>
        </w:rPr>
        <w:t>To help you navigate this document more easily, bookmarks are available in “Navigation Pane” for Word 2010 and in “Document Map” for Word 2007.</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Responses must reach us by </w:t>
      </w:r>
      <w:r w:rsidR="00D43F14" w:rsidRPr="004E49B0">
        <w:rPr>
          <w:rFonts w:ascii="Arial" w:hAnsi="Arial" w:cs="Arial"/>
          <w:b/>
        </w:rPr>
        <w:t>1</w:t>
      </w:r>
      <w:r w:rsidR="004E49B0" w:rsidRPr="004E49B0">
        <w:rPr>
          <w:rFonts w:ascii="Arial" w:hAnsi="Arial" w:cs="Arial"/>
          <w:b/>
        </w:rPr>
        <w:t>9</w:t>
      </w:r>
      <w:r w:rsidR="00D43F14" w:rsidRPr="004E49B0">
        <w:rPr>
          <w:rFonts w:ascii="Arial" w:hAnsi="Arial" w:cs="Arial"/>
          <w:b/>
        </w:rPr>
        <w:t xml:space="preserve"> </w:t>
      </w:r>
      <w:r w:rsidR="004E49B0" w:rsidRPr="004E49B0">
        <w:rPr>
          <w:rFonts w:ascii="Arial" w:hAnsi="Arial" w:cs="Arial"/>
          <w:b/>
        </w:rPr>
        <w:t>February</w:t>
      </w:r>
      <w:r w:rsidR="00D43F14" w:rsidRPr="004E49B0">
        <w:rPr>
          <w:rFonts w:ascii="Arial" w:hAnsi="Arial" w:cs="Arial"/>
          <w:b/>
        </w:rPr>
        <w:t xml:space="preserve"> </w:t>
      </w:r>
      <w:r w:rsidRPr="004E49B0">
        <w:rPr>
          <w:rFonts w:ascii="Arial" w:hAnsi="Arial" w:cs="Arial"/>
          <w:b/>
        </w:rPr>
        <w:t>201</w:t>
      </w:r>
      <w:r w:rsidR="004E49B0" w:rsidRPr="004E49B0">
        <w:rPr>
          <w:rFonts w:ascii="Arial" w:hAnsi="Arial" w:cs="Arial"/>
          <w:b/>
        </w:rPr>
        <w:t>5</w:t>
      </w:r>
      <w:r w:rsidRPr="004E49B0">
        <w:rPr>
          <w:rFonts w:ascii="Arial" w:hAnsi="Arial" w:cs="Arial"/>
        </w:rPr>
        <w:t>.</w:t>
      </w:r>
      <w:r w:rsidRPr="00616B9B">
        <w:rPr>
          <w:rFonts w:ascii="Arial" w:hAnsi="Arial" w:cs="Arial"/>
        </w:rPr>
        <w:t xml:space="preserve">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should be submitted online at </w:t>
      </w:r>
      <w:hyperlink r:id="rId13" w:history="1">
        <w:r w:rsidRPr="00616B9B">
          <w:rPr>
            <w:rStyle w:val="Hyperlink"/>
            <w:rFonts w:ascii="Arial" w:hAnsi="Arial" w:cs="Arial"/>
          </w:rPr>
          <w:t>www.esma.europa.eu</w:t>
        </w:r>
      </w:hyperlink>
      <w:r w:rsidRPr="00616B9B">
        <w:rPr>
          <w:rFonts w:ascii="Arial" w:hAnsi="Arial" w:cs="Arial"/>
        </w:rPr>
        <w:t xml:space="preserve"> under the heading ‘Your i</w:t>
      </w:r>
      <w:r w:rsidRPr="00616B9B">
        <w:rPr>
          <w:rFonts w:ascii="Arial" w:hAnsi="Arial" w:cs="Arial"/>
        </w:rPr>
        <w:t>n</w:t>
      </w:r>
      <w:r w:rsidRPr="00616B9B">
        <w:rPr>
          <w:rFonts w:ascii="Arial" w:hAnsi="Arial" w:cs="Arial"/>
        </w:rPr>
        <w:t xml:space="preserve">put/Consultations’. </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1" w:name="_Toc335141334"/>
      <w:r w:rsidRPr="00616B9B">
        <w:rPr>
          <w:rFonts w:ascii="Arial" w:hAnsi="Arial" w:cs="Arial"/>
          <w:b/>
          <w:bCs/>
          <w:i/>
          <w:color w:val="000000"/>
          <w:szCs w:val="20"/>
          <w:lang w:eastAsia="en-GB"/>
        </w:rPr>
        <w:t>Publication of responses</w:t>
      </w:r>
      <w:bookmarkEnd w:id="1"/>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received will be published following the end of the consultation period, unless otherwise requested. </w:t>
      </w:r>
      <w:r w:rsidRPr="00616B9B">
        <w:rPr>
          <w:rFonts w:ascii="Arial" w:hAnsi="Arial" w:cs="Arial"/>
          <w:b/>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616B9B">
        <w:rPr>
          <w:rFonts w:ascii="Arial" w:hAnsi="Arial" w:cs="Arial"/>
        </w:rPr>
        <w:t xml:space="preserve"> Note also that a confidential response may be requested from us in accordance with ESMA’s rules on access to doc</w:t>
      </w:r>
      <w:r w:rsidRPr="00616B9B">
        <w:rPr>
          <w:rFonts w:ascii="Arial" w:hAnsi="Arial" w:cs="Arial"/>
        </w:rPr>
        <w:t>u</w:t>
      </w:r>
      <w:r w:rsidRPr="00616B9B">
        <w:rPr>
          <w:rFonts w:ascii="Arial" w:hAnsi="Arial" w:cs="Arial"/>
        </w:rPr>
        <w:t>ments. We may consult you if we receive such a request. Any decision we make is reviewable by ESMA’s Board of Appeal and the European Ombudsman.</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2" w:name="_Toc335141335"/>
      <w:r w:rsidRPr="00616B9B">
        <w:rPr>
          <w:rFonts w:ascii="Arial" w:hAnsi="Arial" w:cs="Arial"/>
          <w:b/>
          <w:bCs/>
          <w:i/>
          <w:color w:val="000000"/>
          <w:szCs w:val="20"/>
          <w:lang w:eastAsia="en-GB"/>
        </w:rPr>
        <w:t>Data protection</w:t>
      </w:r>
      <w:bookmarkEnd w:id="2"/>
    </w:p>
    <w:p w:rsidR="00F574D0" w:rsidRPr="00616B9B" w:rsidRDefault="00F574D0" w:rsidP="00F574D0">
      <w:pPr>
        <w:autoSpaceDE w:val="0"/>
        <w:autoSpaceDN w:val="0"/>
        <w:adjustRightInd w:val="0"/>
        <w:spacing w:before="120" w:after="120" w:line="276" w:lineRule="auto"/>
        <w:jc w:val="both"/>
        <w:rPr>
          <w:rFonts w:ascii="Arial" w:hAnsi="Arial" w:cs="Arial"/>
          <w:szCs w:val="20"/>
        </w:rPr>
      </w:pPr>
      <w:r w:rsidRPr="00616B9B">
        <w:rPr>
          <w:rFonts w:ascii="Arial" w:hAnsi="Arial" w:cs="Arial"/>
          <w:szCs w:val="20"/>
        </w:rPr>
        <w:t xml:space="preserve">Information on data protection can be found at </w:t>
      </w:r>
      <w:hyperlink r:id="rId14" w:history="1">
        <w:r w:rsidRPr="00616B9B">
          <w:rPr>
            <w:rStyle w:val="Hyperlink"/>
            <w:rFonts w:ascii="Arial" w:hAnsi="Arial" w:cs="Arial"/>
            <w:szCs w:val="20"/>
          </w:rPr>
          <w:t>www.esma.europa.eu</w:t>
        </w:r>
      </w:hyperlink>
      <w:r w:rsidRPr="00616B9B">
        <w:rPr>
          <w:rFonts w:ascii="Arial" w:hAnsi="Arial" w:cs="Arial"/>
          <w:szCs w:val="20"/>
        </w:rPr>
        <w:t xml:space="preserve"> under the heading ‘Disclaimer’.</w:t>
      </w:r>
    </w:p>
    <w:bookmarkEnd w:id="0"/>
    <w:p w:rsidR="00C535E2" w:rsidRPr="0026621B" w:rsidRDefault="00C535E2" w:rsidP="00C535E2">
      <w:pPr>
        <w:pStyle w:val="Heading1"/>
        <w:numPr>
          <w:ilvl w:val="0"/>
          <w:numId w:val="0"/>
        </w:numPr>
        <w:rPr>
          <w:rFonts w:ascii="Arial" w:hAnsi="Arial"/>
          <w:sz w:val="22"/>
          <w:szCs w:val="22"/>
        </w:rPr>
      </w:pPr>
      <w:r w:rsidRPr="0026621B">
        <w:rPr>
          <w:rFonts w:ascii="Arial" w:hAnsi="Arial"/>
          <w:sz w:val="22"/>
          <w:szCs w:val="22"/>
        </w:rPr>
        <w:lastRenderedPageBreak/>
        <w:t>General information about respondent</w:t>
      </w:r>
    </w:p>
    <w:tbl>
      <w:tblPr>
        <w:tblStyle w:val="TableGrid"/>
        <w:tblW w:w="0" w:type="auto"/>
        <w:tblLook w:val="04A0" w:firstRow="1" w:lastRow="0" w:firstColumn="1" w:lastColumn="0" w:noHBand="0" w:noVBand="1"/>
      </w:tblPr>
      <w:tblGrid>
        <w:gridCol w:w="3510"/>
        <w:gridCol w:w="6118"/>
      </w:tblGrid>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Are you representing an associ</w:t>
            </w:r>
            <w:r w:rsidRPr="0026621B">
              <w:rPr>
                <w:rFonts w:ascii="Arial" w:hAnsi="Arial" w:cs="Arial"/>
                <w:sz w:val="22"/>
                <w:szCs w:val="22"/>
              </w:rPr>
              <w:t>a</w:t>
            </w:r>
            <w:r w:rsidRPr="0026621B">
              <w:rPr>
                <w:rFonts w:ascii="Arial" w:hAnsi="Arial" w:cs="Arial"/>
                <w:sz w:val="22"/>
                <w:szCs w:val="22"/>
              </w:rPr>
              <w:t>tion?</w:t>
            </w:r>
          </w:p>
        </w:tc>
        <w:tc>
          <w:tcPr>
            <w:tcW w:w="6118" w:type="dxa"/>
          </w:tcPr>
          <w:p w:rsidR="00F32462" w:rsidRPr="0026621B" w:rsidRDefault="00B03DEC" w:rsidP="00E66DAF">
            <w:pPr>
              <w:rPr>
                <w:rFonts w:ascii="Arial" w:hAnsi="Arial" w:cs="Arial"/>
                <w:sz w:val="22"/>
                <w:szCs w:val="22"/>
              </w:rPr>
            </w:pPr>
            <w:sdt>
              <w:sdtPr>
                <w:rPr>
                  <w:rFonts w:ascii="Arial" w:hAnsi="Arial" w:cs="Arial"/>
                  <w:sz w:val="22"/>
                  <w:szCs w:val="22"/>
                </w:rPr>
                <w:alias w:val="Association"/>
                <w:tag w:val="Association"/>
                <w:id w:val="-1769143793"/>
                <w:placeholder>
                  <w:docPart w:val="E7C112EB3D8041C587F3116780B1E3F3"/>
                </w:placeholder>
                <w:comboBox>
                  <w:listItem w:displayText="Yes" w:value="Yes"/>
                  <w:listItem w:displayText="No" w:value="No"/>
                </w:comboBox>
              </w:sdtPr>
              <w:sdtEndPr/>
              <w:sdtContent>
                <w:permStart w:id="1076263445" w:edGrp="everyone"/>
                <w:r w:rsidR="00D07A68">
                  <w:rPr>
                    <w:rFonts w:ascii="Arial" w:hAnsi="Arial" w:cs="Arial"/>
                    <w:sz w:val="22"/>
                    <w:szCs w:val="22"/>
                  </w:rPr>
                  <w:t>Yes</w:t>
                </w:r>
                <w:permEnd w:id="1076263445"/>
              </w:sdtContent>
            </w:sdt>
          </w:p>
        </w:tc>
      </w:tr>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Activity:</w:t>
            </w:r>
          </w:p>
        </w:tc>
        <w:tc>
          <w:tcPr>
            <w:tcW w:w="6118" w:type="dxa"/>
          </w:tcPr>
          <w:p w:rsidR="00F32462" w:rsidRPr="0026621B" w:rsidRDefault="00B03DEC" w:rsidP="00E66DAF">
            <w:pPr>
              <w:rPr>
                <w:rFonts w:ascii="Arial" w:hAnsi="Arial" w:cs="Arial"/>
                <w:sz w:val="22"/>
                <w:szCs w:val="22"/>
              </w:rPr>
            </w:pPr>
            <w:sdt>
              <w:sdtPr>
                <w:rPr>
                  <w:rFonts w:ascii="Arial" w:hAnsi="Arial" w:cs="Arial"/>
                  <w:sz w:val="22"/>
                  <w:szCs w:val="22"/>
                </w:rPr>
                <w:alias w:val="Activity"/>
                <w:tag w:val="Activity"/>
                <w:id w:val="1654095920"/>
                <w:placeholder>
                  <w:docPart w:val="2DC1312B70F74FA0860E38BB0E84A49C"/>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EndPr/>
              <w:sdtContent>
                <w:permStart w:id="528825398" w:edGrp="everyone"/>
                <w:r w:rsidR="00D07A68">
                  <w:rPr>
                    <w:rFonts w:ascii="Arial" w:hAnsi="Arial" w:cs="Arial"/>
                    <w:sz w:val="22"/>
                    <w:szCs w:val="22"/>
                  </w:rPr>
                  <w:t>Other</w:t>
                </w:r>
                <w:permEnd w:id="528825398"/>
              </w:sdtContent>
            </w:sdt>
          </w:p>
        </w:tc>
      </w:tr>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Country/Region</w:t>
            </w:r>
          </w:p>
        </w:tc>
        <w:sdt>
          <w:sdtPr>
            <w:rPr>
              <w:rFonts w:ascii="Arial" w:hAnsi="Arial" w:cs="Arial"/>
              <w:sz w:val="22"/>
              <w:szCs w:val="22"/>
            </w:rPr>
            <w:alias w:val="Country"/>
            <w:tag w:val="Country"/>
            <w:id w:val="-1549134410"/>
            <w:placeholder>
              <w:docPart w:val="7834084FE63541599E2A38657E70D469"/>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938452867" w:edGrp="everyone" w:displacedByCustomXml="prev"/>
            <w:tc>
              <w:tcPr>
                <w:tcW w:w="6118" w:type="dxa"/>
              </w:tcPr>
              <w:p w:rsidR="00F32462" w:rsidRPr="0026621B" w:rsidRDefault="00D07A68" w:rsidP="00E66DAF">
                <w:pPr>
                  <w:rPr>
                    <w:rFonts w:ascii="Arial" w:hAnsi="Arial" w:cs="Arial"/>
                    <w:sz w:val="22"/>
                    <w:szCs w:val="22"/>
                  </w:rPr>
                </w:pPr>
                <w:r>
                  <w:rPr>
                    <w:rFonts w:ascii="Arial" w:hAnsi="Arial" w:cs="Arial"/>
                    <w:sz w:val="22"/>
                    <w:szCs w:val="22"/>
                  </w:rPr>
                  <w:t>Europe</w:t>
                </w:r>
              </w:p>
            </w:tc>
            <w:permEnd w:id="1938452867" w:displacedByCustomXml="next"/>
          </w:sdtContent>
        </w:sdt>
      </w:tr>
    </w:tbl>
    <w:p w:rsidR="00F32462" w:rsidRDefault="00F32462">
      <w:pPr>
        <w:rPr>
          <w:rFonts w:ascii="Arial" w:hAnsi="Arial" w:cs="Arial"/>
          <w:b/>
          <w:sz w:val="22"/>
          <w:szCs w:val="22"/>
          <w:lang w:eastAsia="en-US"/>
        </w:rPr>
      </w:pPr>
      <w:r>
        <w:rPr>
          <w:rFonts w:ascii="Arial" w:hAnsi="Arial" w:cs="Arial"/>
          <w:szCs w:val="22"/>
        </w:rPr>
        <w:br w:type="page"/>
      </w:r>
    </w:p>
    <w:p w:rsidR="00A35728" w:rsidRPr="00616B9B" w:rsidRDefault="00A35728" w:rsidP="00A35728">
      <w:pPr>
        <w:pStyle w:val="Questions-ESMA"/>
        <w:rPr>
          <w:rFonts w:ascii="Arial" w:hAnsi="Arial" w:cs="Arial"/>
          <w:szCs w:val="22"/>
        </w:rPr>
      </w:pPr>
      <w:r w:rsidRPr="00616B9B">
        <w:rPr>
          <w:rFonts w:ascii="Arial" w:hAnsi="Arial" w:cs="Arial"/>
          <w:szCs w:val="22"/>
        </w:rPr>
        <w:lastRenderedPageBreak/>
        <w:t xml:space="preserve">Q1: </w:t>
      </w:r>
      <w:r w:rsidRPr="00616B9B">
        <w:rPr>
          <w:rFonts w:ascii="Arial" w:hAnsi="Arial" w:cs="Arial"/>
          <w:szCs w:val="22"/>
        </w:rPr>
        <w:tab/>
        <w:t xml:space="preserve">What are your views on the proposed basis for the cash penalty calculation? </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&lt;ESMA_QUESTION_TA_CSDR_1&gt;</w:t>
      </w:r>
    </w:p>
    <w:p w:rsidR="00D07A68" w:rsidRPr="00D07A68" w:rsidRDefault="00D07A68" w:rsidP="00D07A68">
      <w:pPr>
        <w:rPr>
          <w:rFonts w:asciiTheme="minorHAnsi" w:hAnsiTheme="minorHAnsi"/>
          <w:bCs/>
          <w:sz w:val="22"/>
          <w:szCs w:val="22"/>
        </w:rPr>
      </w:pPr>
      <w:permStart w:id="345443355" w:edGrp="everyone"/>
      <w:r w:rsidRPr="00D07A68">
        <w:rPr>
          <w:rFonts w:asciiTheme="minorHAnsi" w:hAnsiTheme="minorHAnsi"/>
          <w:bCs/>
          <w:sz w:val="22"/>
          <w:szCs w:val="22"/>
        </w:rPr>
        <w:t>ICMA agrees that penalties should be charged with respect to an appropriate reference price for the unde</w:t>
      </w:r>
      <w:r w:rsidRPr="00D07A68">
        <w:rPr>
          <w:rFonts w:asciiTheme="minorHAnsi" w:hAnsiTheme="minorHAnsi"/>
          <w:bCs/>
          <w:sz w:val="22"/>
          <w:szCs w:val="22"/>
        </w:rPr>
        <w:t>r</w:t>
      </w:r>
      <w:r w:rsidRPr="00D07A68">
        <w:rPr>
          <w:rFonts w:asciiTheme="minorHAnsi" w:hAnsiTheme="minorHAnsi"/>
          <w:bCs/>
          <w:sz w:val="22"/>
          <w:szCs w:val="22"/>
        </w:rPr>
        <w:t>lying security, regardless of the price used in the individual failing transaction. This will ensure consistency across the market and CSDs, and will provide fairness in the case of interdependent transa</w:t>
      </w:r>
      <w:r w:rsidRPr="00D07A68">
        <w:rPr>
          <w:rFonts w:asciiTheme="minorHAnsi" w:hAnsiTheme="minorHAnsi"/>
          <w:bCs/>
          <w:sz w:val="22"/>
          <w:szCs w:val="22"/>
        </w:rPr>
        <w:t>c</w:t>
      </w:r>
      <w:r w:rsidRPr="00D07A68">
        <w:rPr>
          <w:rFonts w:asciiTheme="minorHAnsi" w:hAnsiTheme="minorHAnsi"/>
          <w:bCs/>
          <w:sz w:val="22"/>
          <w:szCs w:val="22"/>
        </w:rPr>
        <w:t>tions (chains) where counterparties in the middle of such chains would otherwise be exposed to a poss</w:t>
      </w:r>
      <w:r w:rsidRPr="00D07A68">
        <w:rPr>
          <w:rFonts w:asciiTheme="minorHAnsi" w:hAnsiTheme="minorHAnsi"/>
          <w:bCs/>
          <w:sz w:val="22"/>
          <w:szCs w:val="22"/>
        </w:rPr>
        <w:t>i</w:t>
      </w:r>
      <w:r w:rsidRPr="00D07A68">
        <w:rPr>
          <w:rFonts w:asciiTheme="minorHAnsi" w:hAnsiTheme="minorHAnsi"/>
          <w:bCs/>
          <w:sz w:val="22"/>
          <w:szCs w:val="22"/>
        </w:rPr>
        <w:t>ble mismatch between the penalty charged and the redistribution received.</w:t>
      </w:r>
    </w:p>
    <w:p w:rsidR="00D07A68" w:rsidRDefault="00D07A68" w:rsidP="00D07A68">
      <w:pPr>
        <w:rPr>
          <w:rFonts w:asciiTheme="minorHAnsi" w:hAnsiTheme="minorHAnsi"/>
          <w:bCs/>
          <w:sz w:val="22"/>
          <w:szCs w:val="22"/>
        </w:rPr>
      </w:pPr>
    </w:p>
    <w:p w:rsidR="00D07A68" w:rsidRDefault="00D07A68" w:rsidP="00D07A68">
      <w:pPr>
        <w:rPr>
          <w:rFonts w:asciiTheme="minorHAnsi" w:hAnsiTheme="minorHAnsi"/>
          <w:bCs/>
          <w:sz w:val="22"/>
          <w:szCs w:val="22"/>
        </w:rPr>
      </w:pPr>
      <w:r w:rsidRPr="00D07A68">
        <w:rPr>
          <w:rFonts w:asciiTheme="minorHAnsi" w:hAnsiTheme="minorHAnsi"/>
          <w:bCs/>
          <w:sz w:val="22"/>
          <w:szCs w:val="22"/>
        </w:rPr>
        <w:t>However, to ensure this level of consistency and fairness, the appropriate reference price will need to conform to the following criteria:</w:t>
      </w:r>
    </w:p>
    <w:p w:rsidR="00D07A68" w:rsidRPr="00D07A68" w:rsidRDefault="00D07A68" w:rsidP="00D07A68">
      <w:pPr>
        <w:rPr>
          <w:rFonts w:asciiTheme="minorHAnsi" w:hAnsiTheme="minorHAnsi"/>
          <w:bCs/>
          <w:sz w:val="22"/>
          <w:szCs w:val="22"/>
        </w:rPr>
      </w:pPr>
    </w:p>
    <w:p w:rsidR="00D07A68" w:rsidRPr="00D07A68" w:rsidRDefault="00D07A68" w:rsidP="00D07A68">
      <w:pPr>
        <w:pStyle w:val="ListParagraph"/>
        <w:numPr>
          <w:ilvl w:val="0"/>
          <w:numId w:val="42"/>
        </w:numPr>
        <w:spacing w:after="200" w:line="276" w:lineRule="auto"/>
        <w:rPr>
          <w:rFonts w:asciiTheme="minorHAnsi" w:hAnsiTheme="minorHAnsi"/>
          <w:bCs/>
          <w:sz w:val="22"/>
          <w:szCs w:val="22"/>
        </w:rPr>
      </w:pPr>
      <w:r w:rsidRPr="00D07A68">
        <w:rPr>
          <w:rFonts w:asciiTheme="minorHAnsi" w:hAnsiTheme="minorHAnsi"/>
          <w:bCs/>
          <w:sz w:val="22"/>
          <w:szCs w:val="22"/>
        </w:rPr>
        <w:t>Reference prices will need to be available for all financial securities that fall into scope of the mech</w:t>
      </w:r>
      <w:r w:rsidRPr="00D07A68">
        <w:rPr>
          <w:rFonts w:asciiTheme="minorHAnsi" w:hAnsiTheme="minorHAnsi"/>
          <w:bCs/>
          <w:sz w:val="22"/>
          <w:szCs w:val="22"/>
        </w:rPr>
        <w:t>a</w:t>
      </w:r>
      <w:r w:rsidRPr="00D07A68">
        <w:rPr>
          <w:rFonts w:asciiTheme="minorHAnsi" w:hAnsiTheme="minorHAnsi"/>
          <w:bCs/>
          <w:sz w:val="22"/>
          <w:szCs w:val="22"/>
        </w:rPr>
        <w:t>nism (note that many of these will not be securities issued within the EU).</w:t>
      </w:r>
    </w:p>
    <w:p w:rsidR="00D07A68" w:rsidRPr="00D07A68" w:rsidRDefault="00D07A68" w:rsidP="00D07A68">
      <w:pPr>
        <w:pStyle w:val="ListParagraph"/>
        <w:numPr>
          <w:ilvl w:val="0"/>
          <w:numId w:val="42"/>
        </w:numPr>
        <w:spacing w:after="200" w:line="276" w:lineRule="auto"/>
        <w:rPr>
          <w:rFonts w:asciiTheme="minorHAnsi" w:hAnsiTheme="minorHAnsi"/>
          <w:bCs/>
          <w:sz w:val="22"/>
          <w:szCs w:val="22"/>
        </w:rPr>
      </w:pPr>
      <w:r w:rsidRPr="00D07A68">
        <w:rPr>
          <w:rFonts w:asciiTheme="minorHAnsi" w:hAnsiTheme="minorHAnsi"/>
          <w:bCs/>
          <w:sz w:val="22"/>
          <w:szCs w:val="22"/>
        </w:rPr>
        <w:t>It will need to be the same reference price for all in-scope CSDs conforming to the penalty mechanism, and should therefore be determined and communicated centrally.</w:t>
      </w:r>
    </w:p>
    <w:p w:rsidR="00D07A68" w:rsidRPr="00D07A68" w:rsidRDefault="00D07A68" w:rsidP="00D07A68">
      <w:pPr>
        <w:pStyle w:val="ListParagraph"/>
        <w:numPr>
          <w:ilvl w:val="0"/>
          <w:numId w:val="42"/>
        </w:numPr>
        <w:spacing w:after="200" w:line="276" w:lineRule="auto"/>
        <w:rPr>
          <w:rFonts w:asciiTheme="minorHAnsi" w:hAnsiTheme="minorHAnsi"/>
          <w:bCs/>
          <w:sz w:val="22"/>
          <w:szCs w:val="22"/>
        </w:rPr>
      </w:pPr>
      <w:r w:rsidRPr="00D07A68">
        <w:rPr>
          <w:rFonts w:asciiTheme="minorHAnsi" w:hAnsiTheme="minorHAnsi"/>
          <w:bCs/>
          <w:sz w:val="22"/>
          <w:szCs w:val="22"/>
        </w:rPr>
        <w:t>It should be adjusted daily to reflect market movements.</w:t>
      </w:r>
    </w:p>
    <w:p w:rsidR="00D07A68" w:rsidRPr="00D07A68" w:rsidRDefault="00D07A68" w:rsidP="00D07A68">
      <w:pPr>
        <w:pStyle w:val="ListParagraph"/>
        <w:numPr>
          <w:ilvl w:val="0"/>
          <w:numId w:val="42"/>
        </w:numPr>
        <w:spacing w:after="200" w:line="276" w:lineRule="auto"/>
        <w:rPr>
          <w:rFonts w:asciiTheme="minorHAnsi" w:hAnsiTheme="minorHAnsi"/>
          <w:bCs/>
          <w:sz w:val="22"/>
          <w:szCs w:val="22"/>
        </w:rPr>
      </w:pPr>
      <w:r w:rsidRPr="00D07A68">
        <w:rPr>
          <w:rFonts w:asciiTheme="minorHAnsi" w:hAnsiTheme="minorHAnsi"/>
          <w:bCs/>
          <w:sz w:val="22"/>
          <w:szCs w:val="22"/>
        </w:rPr>
        <w:t>It should represent an accurate and fair market price. It should be noted that this may prove difficult in the case of less liquid securities that are seldom quoted on a trading venue, or which do not trade on a daily basis. A means of establishing a fair price for such securities will need to be established to avoid disputes.</w:t>
      </w:r>
    </w:p>
    <w:p w:rsidR="00D07A68" w:rsidRDefault="00D07A68" w:rsidP="00D07A68">
      <w:pPr>
        <w:rPr>
          <w:rFonts w:asciiTheme="minorHAnsi" w:hAnsiTheme="minorHAnsi"/>
          <w:bCs/>
          <w:sz w:val="22"/>
          <w:szCs w:val="22"/>
        </w:rPr>
      </w:pPr>
      <w:r w:rsidRPr="00D07A68">
        <w:rPr>
          <w:rFonts w:asciiTheme="minorHAnsi" w:hAnsiTheme="minorHAnsi"/>
          <w:bCs/>
          <w:sz w:val="22"/>
          <w:szCs w:val="22"/>
        </w:rPr>
        <w:t>It may be necessary for ESMA, or another delegated independent body, to take responsibility for publis</w:t>
      </w:r>
      <w:r w:rsidRPr="00D07A68">
        <w:rPr>
          <w:rFonts w:asciiTheme="minorHAnsi" w:hAnsiTheme="minorHAnsi"/>
          <w:bCs/>
          <w:sz w:val="22"/>
          <w:szCs w:val="22"/>
        </w:rPr>
        <w:t>h</w:t>
      </w:r>
      <w:r w:rsidRPr="00D07A68">
        <w:rPr>
          <w:rFonts w:asciiTheme="minorHAnsi" w:hAnsiTheme="minorHAnsi"/>
          <w:bCs/>
          <w:sz w:val="22"/>
          <w:szCs w:val="22"/>
        </w:rPr>
        <w:t>ing a daily list of all in-scope securities as well as the appropriate reference price to be applied by all in-scope CSDs.</w:t>
      </w:r>
    </w:p>
    <w:p w:rsidR="00D07A68" w:rsidRPr="00D07A68" w:rsidRDefault="00D07A68" w:rsidP="00D07A68">
      <w:pPr>
        <w:rPr>
          <w:rFonts w:asciiTheme="minorHAnsi" w:hAnsiTheme="minorHAnsi"/>
          <w:bCs/>
          <w:sz w:val="22"/>
          <w:szCs w:val="22"/>
        </w:rPr>
      </w:pPr>
    </w:p>
    <w:p w:rsidR="00D07A68" w:rsidRPr="00D07A68" w:rsidRDefault="00D07A68" w:rsidP="00D07A68">
      <w:pPr>
        <w:rPr>
          <w:rFonts w:asciiTheme="minorHAnsi" w:hAnsiTheme="minorHAnsi"/>
          <w:bCs/>
          <w:sz w:val="22"/>
          <w:szCs w:val="22"/>
        </w:rPr>
      </w:pPr>
      <w:r w:rsidRPr="00D07A68">
        <w:rPr>
          <w:rFonts w:asciiTheme="minorHAnsi" w:hAnsiTheme="minorHAnsi"/>
          <w:bCs/>
          <w:sz w:val="22"/>
          <w:szCs w:val="22"/>
        </w:rPr>
        <w:t xml:space="preserve">ICMA also agrees that where the disappointed receiving counterparty does not accept a partial delivery from the failing counterparty, the penalty should only apply to the missing financial instruments or the missing part of the cash. </w:t>
      </w:r>
    </w:p>
    <w:permEnd w:id="345443355"/>
    <w:p w:rsidR="00A35728" w:rsidRDefault="00A35728" w:rsidP="00A35728">
      <w:pPr>
        <w:rPr>
          <w:rFonts w:ascii="Arial" w:hAnsi="Arial" w:cs="Arial"/>
          <w:sz w:val="22"/>
          <w:szCs w:val="22"/>
        </w:rPr>
      </w:pPr>
      <w:r w:rsidRPr="00616B9B">
        <w:rPr>
          <w:rFonts w:ascii="Arial" w:hAnsi="Arial" w:cs="Arial"/>
          <w:sz w:val="22"/>
          <w:szCs w:val="22"/>
        </w:rPr>
        <w:t>&lt;ESMA_QUESTION_TA_CSDR_1&gt;</w:t>
      </w:r>
    </w:p>
    <w:p w:rsidR="00682E4A" w:rsidRPr="00616B9B" w:rsidRDefault="00682E4A"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Q2:</w:t>
      </w:r>
      <w:r w:rsidRPr="00616B9B">
        <w:rPr>
          <w:rFonts w:ascii="Arial" w:hAnsi="Arial" w:cs="Arial"/>
          <w:szCs w:val="22"/>
        </w:rPr>
        <w:tab/>
        <w:t>What are your views on the proposed approach regarding the categories of fina</w:t>
      </w:r>
      <w:r w:rsidRPr="00616B9B">
        <w:rPr>
          <w:rFonts w:ascii="Arial" w:hAnsi="Arial" w:cs="Arial"/>
          <w:szCs w:val="22"/>
        </w:rPr>
        <w:t>n</w:t>
      </w:r>
      <w:r w:rsidRPr="00616B9B">
        <w:rPr>
          <w:rFonts w:ascii="Arial" w:hAnsi="Arial" w:cs="Arial"/>
          <w:szCs w:val="22"/>
        </w:rPr>
        <w:t>cial instruments and the penalty rates?</w:t>
      </w:r>
      <w:r w:rsidR="006F08DC" w:rsidRPr="00616B9B">
        <w:rPr>
          <w:rFonts w:ascii="Arial" w:hAnsi="Arial" w:cs="Arial"/>
          <w:szCs w:val="22"/>
        </w:rPr>
        <w:t xml:space="preserve"> In particular, do you consider that these penalty rates could dis-incentivise trading in small caps? Please provide evidence to support your views.</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&lt;ESMA_QUESTION_TA_CSDR_2&gt;</w:t>
      </w:r>
    </w:p>
    <w:p w:rsidR="00D07A68" w:rsidRDefault="00D07A68" w:rsidP="00D07A68">
      <w:pPr>
        <w:rPr>
          <w:rFonts w:asciiTheme="minorHAnsi" w:hAnsiTheme="minorHAnsi"/>
          <w:bCs/>
          <w:sz w:val="22"/>
          <w:szCs w:val="22"/>
        </w:rPr>
      </w:pPr>
      <w:permStart w:id="1675038749" w:edGrp="everyone"/>
      <w:r w:rsidRPr="00D07A68">
        <w:rPr>
          <w:rFonts w:asciiTheme="minorHAnsi" w:hAnsiTheme="minorHAnsi"/>
          <w:bCs/>
          <w:sz w:val="22"/>
          <w:szCs w:val="22"/>
        </w:rPr>
        <w:t>ICMA appreciates that in drafting the proposed approach regarding categories of financial instruments and the penalty rates, ESMA needed to consider a simple, easily implementable, cost effective approach, while balancing the sufficient incentives and deterrents to cure fails. From this perspective, it is very difficult to design a mechanism that will be appropriate for every security under every market condition.</w:t>
      </w:r>
    </w:p>
    <w:p w:rsidR="00D07A68" w:rsidRPr="00D07A68" w:rsidRDefault="00D07A68" w:rsidP="00D07A68">
      <w:pPr>
        <w:rPr>
          <w:rFonts w:asciiTheme="minorHAnsi" w:hAnsiTheme="minorHAnsi"/>
          <w:bCs/>
          <w:sz w:val="22"/>
          <w:szCs w:val="22"/>
        </w:rPr>
      </w:pPr>
    </w:p>
    <w:p w:rsidR="00D07A68" w:rsidRDefault="00D07A68" w:rsidP="00D07A68">
      <w:pPr>
        <w:rPr>
          <w:rFonts w:asciiTheme="minorHAnsi" w:hAnsiTheme="minorHAnsi"/>
          <w:bCs/>
          <w:i/>
          <w:iCs/>
          <w:sz w:val="22"/>
          <w:szCs w:val="22"/>
        </w:rPr>
      </w:pPr>
      <w:r w:rsidRPr="00D07A68">
        <w:rPr>
          <w:rFonts w:asciiTheme="minorHAnsi" w:hAnsiTheme="minorHAnsi"/>
          <w:bCs/>
          <w:i/>
          <w:iCs/>
          <w:sz w:val="22"/>
          <w:szCs w:val="22"/>
        </w:rPr>
        <w:t>Categories of financial instruments and penalty rates</w:t>
      </w:r>
    </w:p>
    <w:p w:rsidR="00D07A68" w:rsidRPr="00D07A68" w:rsidRDefault="00D07A68" w:rsidP="00D07A68">
      <w:pPr>
        <w:rPr>
          <w:rFonts w:asciiTheme="minorHAnsi" w:hAnsiTheme="minorHAnsi"/>
          <w:bCs/>
          <w:i/>
          <w:iCs/>
          <w:sz w:val="22"/>
          <w:szCs w:val="22"/>
        </w:rPr>
      </w:pPr>
    </w:p>
    <w:p w:rsidR="00D07A68" w:rsidRPr="00D07A68" w:rsidRDefault="00D07A68" w:rsidP="00D07A68">
      <w:pPr>
        <w:rPr>
          <w:rFonts w:asciiTheme="minorHAnsi" w:hAnsiTheme="minorHAnsi"/>
          <w:bCs/>
          <w:sz w:val="22"/>
          <w:szCs w:val="22"/>
        </w:rPr>
      </w:pPr>
      <w:r w:rsidRPr="00D07A68">
        <w:rPr>
          <w:rFonts w:asciiTheme="minorHAnsi" w:hAnsiTheme="minorHAnsi"/>
          <w:bCs/>
          <w:sz w:val="22"/>
          <w:szCs w:val="22"/>
        </w:rPr>
        <w:t>ICMA’s members are largely agnostic both to the proposed categories of instrument and penalty rates, at least from the perspective of fixed income securities. It is broadly felt that until the mechanism is impl</w:t>
      </w:r>
      <w:r w:rsidRPr="00D07A68">
        <w:rPr>
          <w:rFonts w:asciiTheme="minorHAnsi" w:hAnsiTheme="minorHAnsi"/>
          <w:bCs/>
          <w:sz w:val="22"/>
          <w:szCs w:val="22"/>
        </w:rPr>
        <w:t>e</w:t>
      </w:r>
      <w:r w:rsidRPr="00D07A68">
        <w:rPr>
          <w:rFonts w:asciiTheme="minorHAnsi" w:hAnsiTheme="minorHAnsi"/>
          <w:bCs/>
          <w:sz w:val="22"/>
          <w:szCs w:val="22"/>
        </w:rPr>
        <w:t xml:space="preserve">mented, it is difficult to assess what the impact could be on settlement efficiency, or for any potential increases in market-making spreads that may need to be passed on to investors. It has been noted by some members that if the rates are set too low, then this may have no impact on improving settlement </w:t>
      </w:r>
      <w:r w:rsidRPr="00D07A68">
        <w:rPr>
          <w:rFonts w:asciiTheme="minorHAnsi" w:hAnsiTheme="minorHAnsi"/>
          <w:bCs/>
          <w:sz w:val="22"/>
          <w:szCs w:val="22"/>
        </w:rPr>
        <w:lastRenderedPageBreak/>
        <w:t>efficiency. Conversely, if they are set too high, this could have a negative impact on liquidity in the sec</w:t>
      </w:r>
      <w:r w:rsidRPr="00D07A68">
        <w:rPr>
          <w:rFonts w:asciiTheme="minorHAnsi" w:hAnsiTheme="minorHAnsi"/>
          <w:bCs/>
          <w:sz w:val="22"/>
          <w:szCs w:val="22"/>
        </w:rPr>
        <w:t>u</w:t>
      </w:r>
      <w:r w:rsidRPr="00D07A68">
        <w:rPr>
          <w:rFonts w:asciiTheme="minorHAnsi" w:hAnsiTheme="minorHAnsi"/>
          <w:bCs/>
          <w:sz w:val="22"/>
          <w:szCs w:val="22"/>
        </w:rPr>
        <w:t>rities lending and repo markets, which could have a detrimental impact not only for market liquidity and pricing for certain securities or asset classes, but could also reduce settlement efficiency (this point is discussed in more detail in the following section). Therefore, the general view of ICMA members is that there may need to be a period of review and impact assessment after the introdu</w:t>
      </w:r>
      <w:r w:rsidRPr="00D07A68">
        <w:rPr>
          <w:rFonts w:asciiTheme="minorHAnsi" w:hAnsiTheme="minorHAnsi"/>
          <w:bCs/>
          <w:sz w:val="22"/>
          <w:szCs w:val="22"/>
        </w:rPr>
        <w:t>c</w:t>
      </w:r>
      <w:r w:rsidRPr="00D07A68">
        <w:rPr>
          <w:rFonts w:asciiTheme="minorHAnsi" w:hAnsiTheme="minorHAnsi"/>
          <w:bCs/>
          <w:sz w:val="22"/>
          <w:szCs w:val="22"/>
        </w:rPr>
        <w:t>tion of the penalty mechanism that could result in the revision of the applied penalty rates, and possibly a broade</w:t>
      </w:r>
      <w:r w:rsidRPr="00D07A68">
        <w:rPr>
          <w:rFonts w:asciiTheme="minorHAnsi" w:hAnsiTheme="minorHAnsi"/>
          <w:bCs/>
          <w:sz w:val="22"/>
          <w:szCs w:val="22"/>
        </w:rPr>
        <w:t>n</w:t>
      </w:r>
      <w:r w:rsidRPr="00D07A68">
        <w:rPr>
          <w:rFonts w:asciiTheme="minorHAnsi" w:hAnsiTheme="minorHAnsi"/>
          <w:bCs/>
          <w:sz w:val="22"/>
          <w:szCs w:val="22"/>
        </w:rPr>
        <w:t>ing of the categories of instr</w:t>
      </w:r>
      <w:r w:rsidRPr="00D07A68">
        <w:rPr>
          <w:rFonts w:asciiTheme="minorHAnsi" w:hAnsiTheme="minorHAnsi"/>
          <w:bCs/>
          <w:sz w:val="22"/>
          <w:szCs w:val="22"/>
        </w:rPr>
        <w:t>u</w:t>
      </w:r>
      <w:r w:rsidRPr="00D07A68">
        <w:rPr>
          <w:rFonts w:asciiTheme="minorHAnsi" w:hAnsiTheme="minorHAnsi"/>
          <w:bCs/>
          <w:sz w:val="22"/>
          <w:szCs w:val="22"/>
        </w:rPr>
        <w:t>ment (this is discussed more in the response to Q3).</w:t>
      </w:r>
    </w:p>
    <w:p w:rsidR="00D07A68" w:rsidRDefault="00D07A68" w:rsidP="00D07A68">
      <w:pPr>
        <w:rPr>
          <w:rFonts w:asciiTheme="minorHAnsi" w:hAnsiTheme="minorHAnsi"/>
          <w:bCs/>
          <w:i/>
          <w:sz w:val="22"/>
          <w:szCs w:val="22"/>
        </w:rPr>
      </w:pPr>
    </w:p>
    <w:p w:rsidR="00D07A68" w:rsidRPr="00D07A68" w:rsidRDefault="00D07A68" w:rsidP="00D07A68">
      <w:pPr>
        <w:rPr>
          <w:rFonts w:asciiTheme="minorHAnsi" w:hAnsiTheme="minorHAnsi"/>
          <w:bCs/>
          <w:i/>
          <w:sz w:val="22"/>
          <w:szCs w:val="22"/>
        </w:rPr>
      </w:pPr>
      <w:r w:rsidRPr="00D07A68">
        <w:rPr>
          <w:rFonts w:asciiTheme="minorHAnsi" w:hAnsiTheme="minorHAnsi"/>
          <w:bCs/>
          <w:i/>
          <w:sz w:val="22"/>
          <w:szCs w:val="22"/>
        </w:rPr>
        <w:t>Securities lending</w:t>
      </w:r>
    </w:p>
    <w:p w:rsidR="00D07A68" w:rsidRDefault="00D07A68" w:rsidP="00D07A68">
      <w:pPr>
        <w:rPr>
          <w:rFonts w:asciiTheme="minorHAnsi" w:hAnsiTheme="minorHAnsi"/>
          <w:bCs/>
          <w:sz w:val="22"/>
          <w:szCs w:val="22"/>
        </w:rPr>
      </w:pPr>
    </w:p>
    <w:p w:rsidR="00D07A68" w:rsidRPr="00D07A68" w:rsidRDefault="00D07A68" w:rsidP="00D07A68">
      <w:pPr>
        <w:rPr>
          <w:rFonts w:asciiTheme="minorHAnsi" w:hAnsiTheme="minorHAnsi"/>
          <w:bCs/>
          <w:sz w:val="22"/>
          <w:szCs w:val="22"/>
        </w:rPr>
      </w:pPr>
      <w:r w:rsidRPr="00D07A68">
        <w:rPr>
          <w:rFonts w:asciiTheme="minorHAnsi" w:hAnsiTheme="minorHAnsi"/>
          <w:bCs/>
          <w:sz w:val="22"/>
          <w:szCs w:val="22"/>
        </w:rPr>
        <w:t>An important consideration in building a penalty mechanism is the likely impact on the securities lending market. AS ESMA will be aware, institutional lenders of financial securities, either lending directly or via their custodian banks or agency lenders, play an important role in enhancing settlement efficiency, pr</w:t>
      </w:r>
      <w:r w:rsidRPr="00D07A68">
        <w:rPr>
          <w:rFonts w:asciiTheme="minorHAnsi" w:hAnsiTheme="minorHAnsi"/>
          <w:bCs/>
          <w:sz w:val="22"/>
          <w:szCs w:val="22"/>
        </w:rPr>
        <w:t>i</w:t>
      </w:r>
      <w:r w:rsidRPr="00D07A68">
        <w:rPr>
          <w:rFonts w:asciiTheme="minorHAnsi" w:hAnsiTheme="minorHAnsi"/>
          <w:bCs/>
          <w:sz w:val="22"/>
          <w:szCs w:val="22"/>
        </w:rPr>
        <w:t>marily by facilitating the short covering of market-maker sales, or allowing counterparties in chains of interconnected transaction fails to ‘break the chain’ and cure the fail. A key component of the overall efforts to improve settlement efficiency will be the need to support and encourage a conducive market environment for securities lending (including repo) by holders of securities.</w:t>
      </w:r>
    </w:p>
    <w:p w:rsidR="00D07A68" w:rsidRDefault="00D07A68" w:rsidP="00D07A68">
      <w:pPr>
        <w:rPr>
          <w:rFonts w:asciiTheme="minorHAnsi" w:hAnsiTheme="minorHAnsi"/>
          <w:bCs/>
          <w:sz w:val="22"/>
          <w:szCs w:val="22"/>
        </w:rPr>
      </w:pPr>
    </w:p>
    <w:p w:rsidR="00D07A68" w:rsidRPr="00D07A68" w:rsidRDefault="00D07A68" w:rsidP="00D07A68">
      <w:pPr>
        <w:rPr>
          <w:rFonts w:asciiTheme="minorHAnsi" w:hAnsiTheme="minorHAnsi"/>
          <w:bCs/>
          <w:sz w:val="22"/>
          <w:szCs w:val="22"/>
        </w:rPr>
      </w:pPr>
      <w:r w:rsidRPr="00D07A68">
        <w:rPr>
          <w:rFonts w:asciiTheme="minorHAnsi" w:hAnsiTheme="minorHAnsi"/>
          <w:bCs/>
          <w:sz w:val="22"/>
          <w:szCs w:val="22"/>
        </w:rPr>
        <w:t>These lenders generally provide securities to the market for relatively small spreads (often less than 10bps annua</w:t>
      </w:r>
      <w:r w:rsidRPr="00D07A68">
        <w:rPr>
          <w:rFonts w:asciiTheme="minorHAnsi" w:hAnsiTheme="minorHAnsi"/>
          <w:bCs/>
          <w:sz w:val="22"/>
          <w:szCs w:val="22"/>
        </w:rPr>
        <w:t>l</w:t>
      </w:r>
      <w:r w:rsidRPr="00D07A68">
        <w:rPr>
          <w:rFonts w:asciiTheme="minorHAnsi" w:hAnsiTheme="minorHAnsi"/>
          <w:bCs/>
          <w:sz w:val="22"/>
          <w:szCs w:val="22"/>
        </w:rPr>
        <w:t>ized in the case of ‘easy’ or ‘general collateral’ securities), which in turn, across a portfolio of s</w:t>
      </w:r>
      <w:bookmarkStart w:id="3" w:name="_GoBack"/>
      <w:bookmarkEnd w:id="3"/>
      <w:r w:rsidRPr="00D07A68">
        <w:rPr>
          <w:rFonts w:asciiTheme="minorHAnsi" w:hAnsiTheme="minorHAnsi"/>
          <w:bCs/>
          <w:sz w:val="22"/>
          <w:szCs w:val="22"/>
        </w:rPr>
        <w:t>ecur</w:t>
      </w:r>
      <w:r w:rsidRPr="00D07A68">
        <w:rPr>
          <w:rFonts w:asciiTheme="minorHAnsi" w:hAnsiTheme="minorHAnsi"/>
          <w:bCs/>
          <w:sz w:val="22"/>
          <w:szCs w:val="22"/>
        </w:rPr>
        <w:t>i</w:t>
      </w:r>
      <w:r w:rsidRPr="00D07A68">
        <w:rPr>
          <w:rFonts w:asciiTheme="minorHAnsi" w:hAnsiTheme="minorHAnsi"/>
          <w:bCs/>
          <w:sz w:val="22"/>
          <w:szCs w:val="22"/>
        </w:rPr>
        <w:t>ties will only add a small incremental enhancement to their returns. Given the relatively low risks and administration costs associa</w:t>
      </w:r>
      <w:r w:rsidRPr="00D07A68">
        <w:rPr>
          <w:rFonts w:asciiTheme="minorHAnsi" w:hAnsiTheme="minorHAnsi"/>
          <w:bCs/>
          <w:sz w:val="22"/>
          <w:szCs w:val="22"/>
        </w:rPr>
        <w:t>t</w:t>
      </w:r>
      <w:r w:rsidRPr="00D07A68">
        <w:rPr>
          <w:rFonts w:asciiTheme="minorHAnsi" w:hAnsiTheme="minorHAnsi"/>
          <w:bCs/>
          <w:sz w:val="22"/>
          <w:szCs w:val="22"/>
        </w:rPr>
        <w:t>ed with securities lending, many holders of securities therefore elect to lend, but this is, relative to their general investment business, a marginal decision.</w:t>
      </w:r>
    </w:p>
    <w:p w:rsidR="00D07A68" w:rsidRDefault="00D07A68" w:rsidP="00D07A68">
      <w:pPr>
        <w:rPr>
          <w:rFonts w:asciiTheme="minorHAnsi" w:hAnsiTheme="minorHAnsi"/>
          <w:bCs/>
          <w:sz w:val="22"/>
          <w:szCs w:val="22"/>
        </w:rPr>
      </w:pPr>
    </w:p>
    <w:p w:rsidR="00D07A68" w:rsidRPr="00D07A68" w:rsidRDefault="00B03DEC" w:rsidP="00D07A68">
      <w:pPr>
        <w:rPr>
          <w:rFonts w:asciiTheme="minorHAnsi" w:hAnsiTheme="minorHAnsi"/>
          <w:bCs/>
          <w:sz w:val="22"/>
          <w:szCs w:val="22"/>
        </w:rPr>
      </w:pPr>
      <w:r>
        <w:rPr>
          <w:rFonts w:asciiTheme="minorHAnsi" w:hAnsiTheme="minorHAnsi"/>
          <w:bCs/>
          <w:sz w:val="22"/>
          <w:szCs w:val="22"/>
        </w:rPr>
        <w:t>Cash penalties will create</w:t>
      </w:r>
      <w:r w:rsidR="00D07A68" w:rsidRPr="00D07A68">
        <w:rPr>
          <w:rFonts w:asciiTheme="minorHAnsi" w:hAnsiTheme="minorHAnsi"/>
          <w:bCs/>
          <w:sz w:val="22"/>
          <w:szCs w:val="22"/>
        </w:rPr>
        <w:t xml:space="preserve"> an additional risk to the lending of securities. Even where the probability of failing on the first-leg of a lending transaction is relatively small, if the penalty rate is considered too high, even the most negligible possibility of a one-day fail (say due to an administrative error), could render the transa</w:t>
      </w:r>
      <w:r w:rsidR="00D07A68" w:rsidRPr="00D07A68">
        <w:rPr>
          <w:rFonts w:asciiTheme="minorHAnsi" w:hAnsiTheme="minorHAnsi"/>
          <w:bCs/>
          <w:sz w:val="22"/>
          <w:szCs w:val="22"/>
        </w:rPr>
        <w:t>c</w:t>
      </w:r>
      <w:r w:rsidR="00D07A68" w:rsidRPr="00D07A68">
        <w:rPr>
          <w:rFonts w:asciiTheme="minorHAnsi" w:hAnsiTheme="minorHAnsi"/>
          <w:bCs/>
          <w:sz w:val="22"/>
          <w:szCs w:val="22"/>
        </w:rPr>
        <w:t>tion uneconomically viable. For example, consider the case of a lender of an ‘easy’ liquid stock for 10bps, who runs the risk of failing for one day and being charged with an equivalent fine of 360bps. This risk-to-cost consideration may mean that a significant number of lenders reconsider their willingness to lend securities, which in turn could be counterproductive in terms of achieving the obje</w:t>
      </w:r>
      <w:r w:rsidR="00D07A68" w:rsidRPr="00D07A68">
        <w:rPr>
          <w:rFonts w:asciiTheme="minorHAnsi" w:hAnsiTheme="minorHAnsi"/>
          <w:bCs/>
          <w:sz w:val="22"/>
          <w:szCs w:val="22"/>
        </w:rPr>
        <w:t>c</w:t>
      </w:r>
      <w:r w:rsidR="00D07A68" w:rsidRPr="00D07A68">
        <w:rPr>
          <w:rFonts w:asciiTheme="minorHAnsi" w:hAnsiTheme="minorHAnsi"/>
          <w:bCs/>
          <w:sz w:val="22"/>
          <w:szCs w:val="22"/>
        </w:rPr>
        <w:t>tive of improved settlement efficiency. ICMA notes that this point is highlighted and discussed in more detail the ISLA response, and would support many of the concerns outlined by their me</w:t>
      </w:r>
      <w:r w:rsidR="00D07A68" w:rsidRPr="00D07A68">
        <w:rPr>
          <w:rFonts w:asciiTheme="minorHAnsi" w:hAnsiTheme="minorHAnsi"/>
          <w:bCs/>
          <w:sz w:val="22"/>
          <w:szCs w:val="22"/>
        </w:rPr>
        <w:t>m</w:t>
      </w:r>
      <w:r w:rsidR="00D07A68" w:rsidRPr="00D07A68">
        <w:rPr>
          <w:rFonts w:asciiTheme="minorHAnsi" w:hAnsiTheme="minorHAnsi"/>
          <w:bCs/>
          <w:sz w:val="22"/>
          <w:szCs w:val="22"/>
        </w:rPr>
        <w:t>bers.</w:t>
      </w:r>
    </w:p>
    <w:p w:rsidR="00D07A68" w:rsidRDefault="00D07A68" w:rsidP="00D07A68">
      <w:pPr>
        <w:rPr>
          <w:rFonts w:asciiTheme="minorHAnsi" w:hAnsiTheme="minorHAnsi"/>
          <w:bCs/>
          <w:sz w:val="22"/>
          <w:szCs w:val="22"/>
        </w:rPr>
      </w:pPr>
    </w:p>
    <w:p w:rsidR="00D07A68" w:rsidRPr="00D07A68" w:rsidRDefault="00D07A68" w:rsidP="00D07A68">
      <w:pPr>
        <w:rPr>
          <w:rFonts w:asciiTheme="minorHAnsi" w:hAnsiTheme="minorHAnsi"/>
          <w:bCs/>
          <w:sz w:val="22"/>
          <w:szCs w:val="22"/>
        </w:rPr>
      </w:pPr>
      <w:r w:rsidRPr="00D07A68">
        <w:rPr>
          <w:rFonts w:asciiTheme="minorHAnsi" w:hAnsiTheme="minorHAnsi"/>
          <w:bCs/>
          <w:sz w:val="22"/>
          <w:szCs w:val="22"/>
        </w:rPr>
        <w:t>Therefore, in setting the appropriate cash penalty rates, ESMA will not only need to balance the appr</w:t>
      </w:r>
      <w:r w:rsidRPr="00D07A68">
        <w:rPr>
          <w:rFonts w:asciiTheme="minorHAnsi" w:hAnsiTheme="minorHAnsi"/>
          <w:bCs/>
          <w:sz w:val="22"/>
          <w:szCs w:val="22"/>
        </w:rPr>
        <w:t>o</w:t>
      </w:r>
      <w:r w:rsidRPr="00D07A68">
        <w:rPr>
          <w:rFonts w:asciiTheme="minorHAnsi" w:hAnsiTheme="minorHAnsi"/>
          <w:bCs/>
          <w:sz w:val="22"/>
          <w:szCs w:val="22"/>
        </w:rPr>
        <w:t>priate ince</w:t>
      </w:r>
      <w:r w:rsidRPr="00D07A68">
        <w:rPr>
          <w:rFonts w:asciiTheme="minorHAnsi" w:hAnsiTheme="minorHAnsi"/>
          <w:bCs/>
          <w:sz w:val="22"/>
          <w:szCs w:val="22"/>
        </w:rPr>
        <w:t>n</w:t>
      </w:r>
      <w:r w:rsidRPr="00D07A68">
        <w:rPr>
          <w:rFonts w:asciiTheme="minorHAnsi" w:hAnsiTheme="minorHAnsi"/>
          <w:bCs/>
          <w:sz w:val="22"/>
          <w:szCs w:val="22"/>
        </w:rPr>
        <w:t>tives to cure fails and provide deterrents to failing, but in turn will need to ensure that the secur</w:t>
      </w:r>
      <w:r w:rsidRPr="00D07A68">
        <w:rPr>
          <w:rFonts w:asciiTheme="minorHAnsi" w:hAnsiTheme="minorHAnsi"/>
          <w:bCs/>
          <w:sz w:val="22"/>
          <w:szCs w:val="22"/>
        </w:rPr>
        <w:t>i</w:t>
      </w:r>
      <w:r w:rsidRPr="00D07A68">
        <w:rPr>
          <w:rFonts w:asciiTheme="minorHAnsi" w:hAnsiTheme="minorHAnsi"/>
          <w:bCs/>
          <w:sz w:val="22"/>
          <w:szCs w:val="22"/>
        </w:rPr>
        <w:t>ties lending market is not severely impaired.</w:t>
      </w:r>
    </w:p>
    <w:p w:rsidR="00D07A68" w:rsidRDefault="00D07A68" w:rsidP="00D07A68">
      <w:pPr>
        <w:rPr>
          <w:bCs/>
          <w:i/>
        </w:rPr>
      </w:pPr>
    </w:p>
    <w:permEnd w:id="1675038749"/>
    <w:p w:rsidR="00A35728" w:rsidRDefault="00A35728" w:rsidP="00A35728">
      <w:pPr>
        <w:rPr>
          <w:rFonts w:ascii="Arial" w:hAnsi="Arial" w:cs="Arial"/>
          <w:sz w:val="22"/>
          <w:szCs w:val="22"/>
        </w:rPr>
      </w:pPr>
      <w:r w:rsidRPr="00F32462">
        <w:rPr>
          <w:rFonts w:ascii="Arial" w:hAnsi="Arial" w:cs="Arial"/>
          <w:sz w:val="22"/>
          <w:szCs w:val="22"/>
        </w:rPr>
        <w:t>&lt;ESMA_QUESTION_TA_CSDR_2&gt;</w:t>
      </w:r>
    </w:p>
    <w:p w:rsidR="00682E4A" w:rsidRPr="00F32462" w:rsidRDefault="00682E4A"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Q3:</w:t>
      </w:r>
      <w:r w:rsidRPr="00616B9B">
        <w:rPr>
          <w:rFonts w:ascii="Arial" w:hAnsi="Arial" w:cs="Arial"/>
          <w:szCs w:val="22"/>
        </w:rPr>
        <w:tab/>
        <w:t>What are your views on the proposed approach regarding the increase and redu</w:t>
      </w:r>
      <w:r w:rsidRPr="00616B9B">
        <w:rPr>
          <w:rFonts w:ascii="Arial" w:hAnsi="Arial" w:cs="Arial"/>
          <w:szCs w:val="22"/>
        </w:rPr>
        <w:t>c</w:t>
      </w:r>
      <w:r w:rsidRPr="00616B9B">
        <w:rPr>
          <w:rFonts w:ascii="Arial" w:hAnsi="Arial" w:cs="Arial"/>
          <w:szCs w:val="22"/>
        </w:rPr>
        <w:t>tion of the basic penalty amount?</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&lt;ESMA_QUESTION_TA_CSDR_3&gt;</w:t>
      </w:r>
    </w:p>
    <w:p w:rsidR="00D07A68" w:rsidRPr="00D07A68" w:rsidRDefault="00D07A68" w:rsidP="00D07A68">
      <w:pPr>
        <w:rPr>
          <w:rFonts w:asciiTheme="minorHAnsi" w:hAnsiTheme="minorHAnsi"/>
          <w:bCs/>
          <w:sz w:val="22"/>
          <w:szCs w:val="22"/>
        </w:rPr>
      </w:pPr>
      <w:permStart w:id="525364221" w:edGrp="everyone"/>
      <w:r w:rsidRPr="00D07A68">
        <w:rPr>
          <w:rFonts w:asciiTheme="minorHAnsi" w:hAnsiTheme="minorHAnsi"/>
          <w:bCs/>
          <w:sz w:val="22"/>
          <w:szCs w:val="22"/>
        </w:rPr>
        <w:t>ICMA appreciates ESMA’s approach to calibrating a penalty rate that is consistent with, and possibly higher, than the cost of borrowing the failed financial instrument. However, as ESMA notes in the Co</w:t>
      </w:r>
      <w:r w:rsidRPr="00D07A68">
        <w:rPr>
          <w:rFonts w:asciiTheme="minorHAnsi" w:hAnsiTheme="minorHAnsi"/>
          <w:bCs/>
          <w:sz w:val="22"/>
          <w:szCs w:val="22"/>
        </w:rPr>
        <w:t>n</w:t>
      </w:r>
      <w:r w:rsidRPr="00D07A68">
        <w:rPr>
          <w:rFonts w:asciiTheme="minorHAnsi" w:hAnsiTheme="minorHAnsi"/>
          <w:bCs/>
          <w:sz w:val="22"/>
          <w:szCs w:val="22"/>
        </w:rPr>
        <w:t>sultation Paper, the financing rates for financial instruments are not only security specific (rather than asset specific), but are also dynamic and therefore unpredictable. As discussed, the impact on securities lending also needs to be considered in this context.</w:t>
      </w:r>
    </w:p>
    <w:p w:rsidR="00D07A68" w:rsidRDefault="00D07A68" w:rsidP="00D07A68">
      <w:pPr>
        <w:rPr>
          <w:rFonts w:asciiTheme="minorHAnsi" w:hAnsiTheme="minorHAnsi"/>
          <w:bCs/>
          <w:sz w:val="22"/>
          <w:szCs w:val="22"/>
        </w:rPr>
      </w:pPr>
    </w:p>
    <w:p w:rsidR="00D07A68" w:rsidRPr="00D07A68" w:rsidRDefault="00D07A68" w:rsidP="00D07A68">
      <w:pPr>
        <w:rPr>
          <w:rFonts w:asciiTheme="minorHAnsi" w:hAnsiTheme="minorHAnsi"/>
          <w:bCs/>
          <w:sz w:val="22"/>
          <w:szCs w:val="22"/>
        </w:rPr>
      </w:pPr>
      <w:r w:rsidRPr="00D07A68">
        <w:rPr>
          <w:rFonts w:asciiTheme="minorHAnsi" w:hAnsiTheme="minorHAnsi"/>
          <w:bCs/>
          <w:sz w:val="22"/>
          <w:szCs w:val="22"/>
        </w:rPr>
        <w:t>Given the need for a simple, security-type based, relatively static model, it is inevitable that there will be security specific situations where the applied penalty rate will be less than the market repo or lending rate, thereby providing a perverse incentive to fail. In evaluating the overall calibration of the mech</w:t>
      </w:r>
      <w:r w:rsidRPr="00D07A68">
        <w:rPr>
          <w:rFonts w:asciiTheme="minorHAnsi" w:hAnsiTheme="minorHAnsi"/>
          <w:bCs/>
          <w:sz w:val="22"/>
          <w:szCs w:val="22"/>
        </w:rPr>
        <w:t>a</w:t>
      </w:r>
      <w:r w:rsidRPr="00D07A68">
        <w:rPr>
          <w:rFonts w:asciiTheme="minorHAnsi" w:hAnsiTheme="minorHAnsi"/>
          <w:bCs/>
          <w:sz w:val="22"/>
          <w:szCs w:val="22"/>
        </w:rPr>
        <w:t>nism, it will be important for ESMA to identify and monitor such incidents. Similarly, it will be important to monitor the impact of cash penalties on the securities lending market, and where this may be detr</w:t>
      </w:r>
      <w:r w:rsidRPr="00D07A68">
        <w:rPr>
          <w:rFonts w:asciiTheme="minorHAnsi" w:hAnsiTheme="minorHAnsi"/>
          <w:bCs/>
          <w:sz w:val="22"/>
          <w:szCs w:val="22"/>
        </w:rPr>
        <w:t>i</w:t>
      </w:r>
      <w:r w:rsidRPr="00D07A68">
        <w:rPr>
          <w:rFonts w:asciiTheme="minorHAnsi" w:hAnsiTheme="minorHAnsi"/>
          <w:bCs/>
          <w:sz w:val="22"/>
          <w:szCs w:val="22"/>
        </w:rPr>
        <w:t>mental to the supply of certain securities or asset types. This would warrant the case for a periodic review of the applied rates (and possibly categories of instruments) and a possible recalibration of the model to improve the overall impact on settlement efficiency.</w:t>
      </w:r>
    </w:p>
    <w:p w:rsidR="00D07A68" w:rsidRDefault="00D07A68" w:rsidP="00D07A68">
      <w:pPr>
        <w:rPr>
          <w:rFonts w:asciiTheme="minorHAnsi" w:hAnsiTheme="minorHAnsi"/>
          <w:bCs/>
          <w:sz w:val="22"/>
          <w:szCs w:val="22"/>
        </w:rPr>
      </w:pPr>
    </w:p>
    <w:p w:rsidR="00D07A68" w:rsidRPr="00D07A68" w:rsidRDefault="00D07A68" w:rsidP="00D07A68">
      <w:pPr>
        <w:rPr>
          <w:rFonts w:asciiTheme="minorHAnsi" w:hAnsiTheme="minorHAnsi"/>
          <w:bCs/>
          <w:sz w:val="22"/>
          <w:szCs w:val="22"/>
        </w:rPr>
      </w:pPr>
      <w:r w:rsidRPr="00D07A68">
        <w:rPr>
          <w:rFonts w:asciiTheme="minorHAnsi" w:hAnsiTheme="minorHAnsi"/>
          <w:bCs/>
          <w:sz w:val="22"/>
          <w:szCs w:val="22"/>
        </w:rPr>
        <w:t>ICMA would certainly advocate a review of the penalty rates before the first twelve months of the i</w:t>
      </w:r>
      <w:r w:rsidRPr="00D07A68">
        <w:rPr>
          <w:rFonts w:asciiTheme="minorHAnsi" w:hAnsiTheme="minorHAnsi"/>
          <w:bCs/>
          <w:sz w:val="22"/>
          <w:szCs w:val="22"/>
        </w:rPr>
        <w:t>m</w:t>
      </w:r>
      <w:r w:rsidRPr="00D07A68">
        <w:rPr>
          <w:rFonts w:asciiTheme="minorHAnsi" w:hAnsiTheme="minorHAnsi"/>
          <w:bCs/>
          <w:sz w:val="22"/>
          <w:szCs w:val="22"/>
        </w:rPr>
        <w:t>plementation of cash penalties. To asses better the impact of rates, and to exclude other, less predict</w:t>
      </w:r>
      <w:r w:rsidRPr="00D07A68">
        <w:rPr>
          <w:rFonts w:asciiTheme="minorHAnsi" w:hAnsiTheme="minorHAnsi"/>
          <w:bCs/>
          <w:sz w:val="22"/>
          <w:szCs w:val="22"/>
        </w:rPr>
        <w:t>a</w:t>
      </w:r>
      <w:r w:rsidRPr="00D07A68">
        <w:rPr>
          <w:rFonts w:asciiTheme="minorHAnsi" w:hAnsiTheme="minorHAnsi"/>
          <w:bCs/>
          <w:sz w:val="22"/>
          <w:szCs w:val="22"/>
        </w:rPr>
        <w:t>ble influences on settlement discipline or securities lending and repo liquidity, ICMA would further re</w:t>
      </w:r>
      <w:r w:rsidRPr="00D07A68">
        <w:rPr>
          <w:rFonts w:asciiTheme="minorHAnsi" w:hAnsiTheme="minorHAnsi"/>
          <w:bCs/>
          <w:sz w:val="22"/>
          <w:szCs w:val="22"/>
        </w:rPr>
        <w:t>c</w:t>
      </w:r>
      <w:r w:rsidRPr="00D07A68">
        <w:rPr>
          <w:rFonts w:asciiTheme="minorHAnsi" w:hAnsiTheme="minorHAnsi"/>
          <w:bCs/>
          <w:sz w:val="22"/>
          <w:szCs w:val="22"/>
        </w:rPr>
        <w:t>ommend that during this first review period mandatory buy-ins not be implemented. This would allow for the development and calibration of an effe</w:t>
      </w:r>
      <w:r w:rsidRPr="00D07A68">
        <w:rPr>
          <w:rFonts w:asciiTheme="minorHAnsi" w:hAnsiTheme="minorHAnsi"/>
          <w:bCs/>
          <w:sz w:val="22"/>
          <w:szCs w:val="22"/>
        </w:rPr>
        <w:t>c</w:t>
      </w:r>
      <w:r w:rsidRPr="00D07A68">
        <w:rPr>
          <w:rFonts w:asciiTheme="minorHAnsi" w:hAnsiTheme="minorHAnsi"/>
          <w:bCs/>
          <w:sz w:val="22"/>
          <w:szCs w:val="22"/>
        </w:rPr>
        <w:t>tive cash penalty system without the additional market stresses and liquidity impacts of a mandatory buy-in regime (see response to Q7 in the Consultation Paper on Technical Standards).</w:t>
      </w:r>
    </w:p>
    <w:p w:rsidR="00D07A68" w:rsidRPr="00E71D08" w:rsidRDefault="00D07A68" w:rsidP="00D07A68">
      <w:pPr>
        <w:rPr>
          <w:bCs/>
        </w:rPr>
      </w:pPr>
    </w:p>
    <w:permEnd w:id="525364221"/>
    <w:p w:rsidR="00A35728" w:rsidRDefault="00A35728" w:rsidP="00A35728">
      <w:pPr>
        <w:rPr>
          <w:rFonts w:ascii="Arial" w:hAnsi="Arial" w:cs="Arial"/>
          <w:sz w:val="22"/>
          <w:szCs w:val="22"/>
        </w:rPr>
      </w:pPr>
      <w:r w:rsidRPr="00616B9B">
        <w:rPr>
          <w:rFonts w:ascii="Arial" w:hAnsi="Arial" w:cs="Arial"/>
          <w:sz w:val="22"/>
          <w:szCs w:val="22"/>
        </w:rPr>
        <w:t>&lt;ESMA_QUESTION_TA_CSDR_3&gt;</w:t>
      </w:r>
    </w:p>
    <w:p w:rsidR="009A7E2F" w:rsidRPr="00616B9B" w:rsidRDefault="009A7E2F"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Q4:</w:t>
      </w:r>
      <w:r w:rsidRPr="00616B9B">
        <w:rPr>
          <w:rFonts w:ascii="Arial" w:hAnsi="Arial" w:cs="Arial"/>
          <w:szCs w:val="22"/>
        </w:rPr>
        <w:tab/>
        <w:t>What are your views on the proposed approach regarding the cash penalties in the context of chains of interdependent transactions?</w:t>
      </w:r>
      <w:r w:rsidRPr="00616B9B">
        <w:rPr>
          <w:rFonts w:ascii="Arial" w:hAnsi="Arial" w:cs="Arial"/>
          <w:szCs w:val="22"/>
        </w:rPr>
        <w:tab/>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&lt;ESMA_QUESTION_TA_CSDR_4&gt;</w:t>
      </w:r>
    </w:p>
    <w:p w:rsidR="00A42D39" w:rsidRDefault="00A42D39" w:rsidP="00A42D39">
      <w:pPr>
        <w:rPr>
          <w:rFonts w:asciiTheme="minorHAnsi" w:hAnsiTheme="minorHAnsi"/>
          <w:sz w:val="22"/>
          <w:szCs w:val="22"/>
        </w:rPr>
      </w:pPr>
      <w:permStart w:id="835679951" w:edGrp="everyone"/>
      <w:r w:rsidRPr="00A42D39">
        <w:rPr>
          <w:rFonts w:asciiTheme="minorHAnsi" w:hAnsiTheme="minorHAnsi"/>
          <w:sz w:val="22"/>
          <w:szCs w:val="22"/>
        </w:rPr>
        <w:t>ICMA fully agrees with the principle that in the case of interconnected transactions the amount of the penalty charged should be equal to the amount redistributed. To do otherwise would subject counte</w:t>
      </w:r>
      <w:r w:rsidRPr="00A42D39">
        <w:rPr>
          <w:rFonts w:asciiTheme="minorHAnsi" w:hAnsiTheme="minorHAnsi"/>
          <w:sz w:val="22"/>
          <w:szCs w:val="22"/>
        </w:rPr>
        <w:t>r</w:t>
      </w:r>
      <w:r w:rsidRPr="00A42D39">
        <w:rPr>
          <w:rFonts w:asciiTheme="minorHAnsi" w:hAnsiTheme="minorHAnsi"/>
          <w:sz w:val="22"/>
          <w:szCs w:val="22"/>
        </w:rPr>
        <w:t xml:space="preserve">parties in the middle of a chain to the risk of being charged and credited different amounts, despite being effectively ‘flat’. </w:t>
      </w:r>
    </w:p>
    <w:p w:rsidR="00A42D39" w:rsidRPr="00A42D39" w:rsidRDefault="00A42D39" w:rsidP="00A42D39">
      <w:pPr>
        <w:rPr>
          <w:rFonts w:asciiTheme="minorHAnsi" w:hAnsiTheme="minorHAnsi"/>
          <w:sz w:val="22"/>
          <w:szCs w:val="22"/>
        </w:rPr>
      </w:pPr>
    </w:p>
    <w:p w:rsidR="00A42D39" w:rsidRDefault="00A42D39" w:rsidP="00A42D39">
      <w:r w:rsidRPr="00A42D39">
        <w:rPr>
          <w:rFonts w:asciiTheme="minorHAnsi" w:hAnsiTheme="minorHAnsi"/>
          <w:sz w:val="22"/>
          <w:szCs w:val="22"/>
        </w:rPr>
        <w:t>As discussed in the response to Q1, this will require a harmonized and consistent approach to establis</w:t>
      </w:r>
      <w:r w:rsidRPr="00A42D39">
        <w:rPr>
          <w:rFonts w:asciiTheme="minorHAnsi" w:hAnsiTheme="minorHAnsi"/>
          <w:sz w:val="22"/>
          <w:szCs w:val="22"/>
        </w:rPr>
        <w:t>h</w:t>
      </w:r>
      <w:r w:rsidRPr="00A42D39">
        <w:rPr>
          <w:rFonts w:asciiTheme="minorHAnsi" w:hAnsiTheme="minorHAnsi"/>
          <w:sz w:val="22"/>
          <w:szCs w:val="22"/>
        </w:rPr>
        <w:t>ing daily reference prices as the basis for the penalties to be applied across all CSDs</w:t>
      </w:r>
      <w:r>
        <w:t>.</w:t>
      </w:r>
    </w:p>
    <w:permEnd w:id="835679951"/>
    <w:p w:rsidR="00A35728" w:rsidRPr="00616B9B" w:rsidRDefault="00A35728" w:rsidP="00A35728">
      <w:pPr>
        <w:rPr>
          <w:rFonts w:ascii="Arial" w:hAnsi="Arial" w:cs="Arial"/>
          <w:sz w:val="22"/>
          <w:szCs w:val="22"/>
        </w:rPr>
      </w:pPr>
      <w:r w:rsidRPr="00616B9B">
        <w:rPr>
          <w:rFonts w:ascii="Arial" w:hAnsi="Arial" w:cs="Arial"/>
          <w:sz w:val="22"/>
          <w:szCs w:val="22"/>
        </w:rPr>
        <w:t>&lt;ESMA_QUESTION_TA_CSDR_4&gt;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Q5:</w:t>
      </w:r>
      <w:r w:rsidRPr="00616B9B">
        <w:rPr>
          <w:rFonts w:ascii="Arial" w:hAnsi="Arial" w:cs="Arial"/>
          <w:szCs w:val="22"/>
        </w:rPr>
        <w:tab/>
        <w:t>Do you agree with the proposed frequency of one year for the assessment of the substantial importance of a CSD in another Member State?</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&lt;ESMA_QUESTION_TA_CSDR_5&gt;</w:t>
      </w:r>
    </w:p>
    <w:p w:rsidR="00A35728" w:rsidRPr="00616B9B" w:rsidRDefault="00A35728" w:rsidP="00A35728">
      <w:pPr>
        <w:rPr>
          <w:rFonts w:ascii="Arial" w:hAnsi="Arial" w:cs="Arial"/>
          <w:sz w:val="22"/>
          <w:szCs w:val="22"/>
        </w:rPr>
      </w:pPr>
      <w:permStart w:id="833363116" w:edGrp="everyone"/>
      <w:r w:rsidRPr="00616B9B">
        <w:rPr>
          <w:rFonts w:ascii="Arial" w:hAnsi="Arial" w:cs="Arial"/>
          <w:sz w:val="22"/>
          <w:szCs w:val="22"/>
        </w:rPr>
        <w:t>TYPE YOUR TEXT HERE</w:t>
      </w:r>
    </w:p>
    <w:permEnd w:id="833363116"/>
    <w:p w:rsidR="00A35728" w:rsidRPr="00616B9B" w:rsidRDefault="00A35728" w:rsidP="00A35728">
      <w:pPr>
        <w:rPr>
          <w:rFonts w:ascii="Arial" w:hAnsi="Arial" w:cs="Arial"/>
          <w:sz w:val="22"/>
          <w:szCs w:val="22"/>
        </w:rPr>
      </w:pPr>
      <w:r w:rsidRPr="00616B9B">
        <w:rPr>
          <w:rFonts w:ascii="Arial" w:hAnsi="Arial" w:cs="Arial"/>
          <w:sz w:val="22"/>
          <w:szCs w:val="22"/>
        </w:rPr>
        <w:t>&lt;ESMA_QUESTION_TA_CSDR_5&gt;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 xml:space="preserve">Q6: </w:t>
      </w:r>
      <w:r w:rsidRPr="00616B9B">
        <w:rPr>
          <w:rFonts w:ascii="Arial" w:hAnsi="Arial" w:cs="Arial"/>
          <w:szCs w:val="22"/>
        </w:rPr>
        <w:tab/>
        <w:t xml:space="preserve">What are your views on the proposed indicators? </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&lt;ESMA_QUESTION_TA_CSDR_6&gt;</w:t>
      </w:r>
    </w:p>
    <w:p w:rsidR="00A35728" w:rsidRPr="00616B9B" w:rsidRDefault="00A35728" w:rsidP="00A35728">
      <w:pPr>
        <w:rPr>
          <w:rFonts w:ascii="Arial" w:hAnsi="Arial" w:cs="Arial"/>
          <w:sz w:val="22"/>
          <w:szCs w:val="22"/>
        </w:rPr>
      </w:pPr>
      <w:permStart w:id="995376646" w:edGrp="everyone"/>
      <w:r w:rsidRPr="00616B9B">
        <w:rPr>
          <w:rFonts w:ascii="Arial" w:hAnsi="Arial" w:cs="Arial"/>
          <w:sz w:val="22"/>
          <w:szCs w:val="22"/>
        </w:rPr>
        <w:t>TYPE YOUR TEXT HERE</w:t>
      </w:r>
    </w:p>
    <w:permEnd w:id="995376646"/>
    <w:p w:rsidR="00A35728" w:rsidRPr="00616B9B" w:rsidRDefault="00A35728" w:rsidP="00A35728">
      <w:pPr>
        <w:rPr>
          <w:rFonts w:ascii="Arial" w:hAnsi="Arial" w:cs="Arial"/>
          <w:sz w:val="22"/>
          <w:szCs w:val="22"/>
        </w:rPr>
      </w:pPr>
      <w:r w:rsidRPr="00616B9B">
        <w:rPr>
          <w:rFonts w:ascii="Arial" w:hAnsi="Arial" w:cs="Arial"/>
          <w:sz w:val="22"/>
          <w:szCs w:val="22"/>
        </w:rPr>
        <w:t>&lt;ESMA_QUESTION_TA_CSDR_6&gt;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 xml:space="preserve">Q7: </w:t>
      </w:r>
      <w:r w:rsidRPr="00616B9B">
        <w:rPr>
          <w:rFonts w:ascii="Arial" w:hAnsi="Arial" w:cs="Arial"/>
          <w:szCs w:val="22"/>
        </w:rPr>
        <w:tab/>
        <w:t>What are your views on the proposed thresholds?</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&lt;ESMA_QUESTION_TA_CSDR_7&gt;</w:t>
      </w:r>
    </w:p>
    <w:p w:rsidR="00A35728" w:rsidRPr="00616B9B" w:rsidRDefault="00A35728" w:rsidP="00A35728">
      <w:pPr>
        <w:rPr>
          <w:rFonts w:ascii="Arial" w:hAnsi="Arial" w:cs="Arial"/>
          <w:sz w:val="22"/>
          <w:szCs w:val="22"/>
        </w:rPr>
      </w:pPr>
      <w:permStart w:id="20076566" w:edGrp="everyone"/>
      <w:r w:rsidRPr="00616B9B">
        <w:rPr>
          <w:rFonts w:ascii="Arial" w:hAnsi="Arial" w:cs="Arial"/>
          <w:sz w:val="22"/>
          <w:szCs w:val="22"/>
        </w:rPr>
        <w:t>TYPE YOUR TEXT HERE</w:t>
      </w:r>
    </w:p>
    <w:permEnd w:id="20076566"/>
    <w:p w:rsidR="00A35728" w:rsidRPr="00616B9B" w:rsidRDefault="00A35728" w:rsidP="00A35728">
      <w:pPr>
        <w:rPr>
          <w:rFonts w:ascii="Arial" w:hAnsi="Arial" w:cs="Arial"/>
          <w:sz w:val="22"/>
          <w:szCs w:val="22"/>
        </w:rPr>
      </w:pPr>
      <w:r w:rsidRPr="00616B9B">
        <w:rPr>
          <w:rFonts w:ascii="Arial" w:hAnsi="Arial" w:cs="Arial"/>
          <w:sz w:val="22"/>
          <w:szCs w:val="22"/>
        </w:rPr>
        <w:t>&lt;ESMA_QUESTION_TA_CSDR_7&gt;</w:t>
      </w:r>
    </w:p>
    <w:p w:rsidR="00A35728" w:rsidRPr="00616B9B" w:rsidRDefault="00A35728" w:rsidP="00A35728">
      <w:pPr>
        <w:rPr>
          <w:rFonts w:ascii="Arial" w:hAnsi="Arial" w:cs="Arial"/>
          <w:sz w:val="22"/>
          <w:szCs w:val="22"/>
        </w:rPr>
      </w:pPr>
    </w:p>
    <w:p w:rsidR="006F08DC" w:rsidRPr="00616B9B" w:rsidRDefault="006F08DC" w:rsidP="006F08DC">
      <w:pPr>
        <w:pStyle w:val="Questions-ESMA"/>
        <w:rPr>
          <w:rFonts w:ascii="Arial" w:hAnsi="Arial" w:cs="Arial"/>
          <w:szCs w:val="22"/>
        </w:rPr>
      </w:pPr>
      <w:r w:rsidRPr="00616B9B">
        <w:rPr>
          <w:rFonts w:ascii="Arial" w:hAnsi="Arial" w:cs="Arial"/>
          <w:szCs w:val="22"/>
        </w:rPr>
        <w:lastRenderedPageBreak/>
        <w:t xml:space="preserve">Q8: </w:t>
      </w:r>
      <w:r w:rsidRPr="00616B9B">
        <w:rPr>
          <w:rFonts w:ascii="Arial" w:hAnsi="Arial" w:cs="Arial"/>
          <w:szCs w:val="22"/>
        </w:rPr>
        <w:tab/>
        <w:t>Do you believe that the proposed indicators and thresholds are relevant in the case of government bonds? If not, please provide details and arguments.</w:t>
      </w:r>
    </w:p>
    <w:p w:rsidR="006F08DC" w:rsidRPr="00616B9B" w:rsidRDefault="006F08DC" w:rsidP="006F08DC">
      <w:pPr>
        <w:rPr>
          <w:rFonts w:ascii="Arial" w:hAnsi="Arial" w:cs="Arial"/>
          <w:sz w:val="22"/>
          <w:szCs w:val="22"/>
        </w:rPr>
      </w:pPr>
      <w:r w:rsidRPr="00616B9B">
        <w:rPr>
          <w:rFonts w:ascii="Arial" w:hAnsi="Arial" w:cs="Arial"/>
          <w:sz w:val="22"/>
          <w:szCs w:val="22"/>
        </w:rPr>
        <w:t>&lt;ESMA_QUESTION_TA_CSDR_8&gt;</w:t>
      </w:r>
    </w:p>
    <w:p w:rsidR="006F08DC" w:rsidRPr="00616B9B" w:rsidRDefault="006F08DC" w:rsidP="006F08DC">
      <w:pPr>
        <w:rPr>
          <w:rFonts w:ascii="Arial" w:hAnsi="Arial" w:cs="Arial"/>
          <w:sz w:val="22"/>
          <w:szCs w:val="22"/>
        </w:rPr>
      </w:pPr>
      <w:permStart w:id="1905269954" w:edGrp="everyone"/>
      <w:r w:rsidRPr="00616B9B">
        <w:rPr>
          <w:rFonts w:ascii="Arial" w:hAnsi="Arial" w:cs="Arial"/>
          <w:sz w:val="22"/>
          <w:szCs w:val="22"/>
        </w:rPr>
        <w:t>TYPE YOUR TEXT HERE</w:t>
      </w:r>
    </w:p>
    <w:permEnd w:id="1905269954"/>
    <w:p w:rsidR="003A6E9A" w:rsidRPr="00616B9B" w:rsidRDefault="006F08DC" w:rsidP="00B156CF">
      <w:pPr>
        <w:rPr>
          <w:rFonts w:ascii="Arial" w:hAnsi="Arial" w:cs="Arial"/>
          <w:sz w:val="22"/>
          <w:szCs w:val="22"/>
        </w:rPr>
      </w:pPr>
      <w:r w:rsidRPr="00616B9B">
        <w:rPr>
          <w:rFonts w:ascii="Arial" w:hAnsi="Arial" w:cs="Arial"/>
          <w:sz w:val="22"/>
          <w:szCs w:val="22"/>
        </w:rPr>
        <w:t>&lt;ESMA_QUESTION_TA_CSDR_8&gt;</w:t>
      </w:r>
    </w:p>
    <w:sectPr w:rsidR="003A6E9A" w:rsidRPr="00616B9B" w:rsidSect="000D17AA">
      <w:headerReference w:type="even" r:id="rId15"/>
      <w:headerReference w:type="first" r:id="rId16"/>
      <w:footerReference w:type="first" r:id="rId17"/>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70E8" w:rsidRDefault="001470E8">
      <w:r>
        <w:separator/>
      </w:r>
    </w:p>
    <w:p w:rsidR="001470E8" w:rsidRDefault="001470E8"/>
  </w:endnote>
  <w:endnote w:type="continuationSeparator" w:id="0">
    <w:p w:rsidR="001470E8" w:rsidRDefault="001470E8">
      <w:r>
        <w:continuationSeparator/>
      </w:r>
    </w:p>
    <w:p w:rsidR="001470E8" w:rsidRDefault="001470E8"/>
  </w:endnote>
  <w:endnote w:type="continuationNotice" w:id="1">
    <w:p w:rsidR="001470E8" w:rsidRDefault="001470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616B9B" w:rsidTr="00315E96">
      <w:trPr>
        <w:trHeight w:val="284"/>
      </w:trPr>
      <w:tc>
        <w:tcPr>
          <w:tcW w:w="8460" w:type="dxa"/>
        </w:tcPr>
        <w:p w:rsidR="00811EDA" w:rsidRPr="00315E96" w:rsidRDefault="00811EDA" w:rsidP="00315E96">
          <w:pPr>
            <w:pStyle w:val="00Footer"/>
            <w:rPr>
              <w:lang w:val="fr-FR"/>
            </w:rPr>
          </w:pPr>
        </w:p>
      </w:tc>
      <w:tc>
        <w:tcPr>
          <w:tcW w:w="952" w:type="dxa"/>
        </w:tcPr>
        <w:p w:rsidR="00811EDA" w:rsidRPr="00616B9B" w:rsidRDefault="00811EDA" w:rsidP="002C5B2D">
          <w:pPr>
            <w:pStyle w:val="00aPagenumber"/>
            <w:rPr>
              <w:rFonts w:ascii="Arial" w:hAnsi="Arial" w:cs="Arial"/>
              <w:sz w:val="22"/>
              <w:szCs w:val="22"/>
            </w:rPr>
          </w:pPr>
          <w:r w:rsidRPr="00616B9B">
            <w:rPr>
              <w:rFonts w:ascii="Arial" w:hAnsi="Arial" w:cs="Arial"/>
              <w:sz w:val="22"/>
              <w:szCs w:val="22"/>
            </w:rPr>
            <w:fldChar w:fldCharType="begin"/>
          </w:r>
          <w:r w:rsidRPr="00616B9B">
            <w:rPr>
              <w:rFonts w:ascii="Arial" w:hAnsi="Arial" w:cs="Arial"/>
              <w:sz w:val="22"/>
              <w:szCs w:val="22"/>
            </w:rPr>
            <w:instrText xml:space="preserve"> PAGE </w:instrText>
          </w:r>
          <w:r w:rsidRPr="00616B9B">
            <w:rPr>
              <w:rFonts w:ascii="Arial" w:hAnsi="Arial" w:cs="Arial"/>
              <w:sz w:val="22"/>
              <w:szCs w:val="22"/>
            </w:rPr>
            <w:fldChar w:fldCharType="separate"/>
          </w:r>
          <w:r w:rsidR="00B03DEC">
            <w:rPr>
              <w:rFonts w:ascii="Arial" w:hAnsi="Arial" w:cs="Arial"/>
              <w:noProof/>
              <w:sz w:val="22"/>
              <w:szCs w:val="22"/>
            </w:rPr>
            <w:t>6</w:t>
          </w:r>
          <w:r w:rsidRPr="00616B9B">
            <w:rPr>
              <w:rFonts w:ascii="Arial" w:hAnsi="Arial" w:cs="Arial"/>
              <w:noProof/>
              <w:sz w:val="22"/>
              <w:szCs w:val="22"/>
            </w:rPr>
            <w:fldChar w:fldCharType="end"/>
          </w:r>
        </w:p>
      </w:tc>
    </w:tr>
  </w:tbl>
  <w:p w:rsidR="00811EDA" w:rsidRDefault="00811E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70E8" w:rsidRDefault="001470E8">
      <w:r>
        <w:separator/>
      </w:r>
    </w:p>
    <w:p w:rsidR="001470E8" w:rsidRDefault="001470E8"/>
  </w:footnote>
  <w:footnote w:type="continuationSeparator" w:id="0">
    <w:p w:rsidR="001470E8" w:rsidRDefault="001470E8">
      <w:r>
        <w:continuationSeparator/>
      </w:r>
    </w:p>
    <w:p w:rsidR="001470E8" w:rsidRDefault="001470E8"/>
  </w:footnote>
  <w:footnote w:type="continuationNotice" w:id="1">
    <w:p w:rsidR="001470E8" w:rsidRDefault="001470E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DE66EB">
    <w:pPr>
      <w:pStyle w:val="Header"/>
    </w:pPr>
    <w:r>
      <w:rPr>
        <w:noProof/>
        <w:lang w:val="en-US" w:eastAsia="en-US"/>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mc:AlternateContent>
        <mc:Choice Requires="wps">
          <w:drawing>
            <wp:anchor distT="0" distB="0" distL="114295" distR="114295" simplePos="0" relativeHeight="251656192" behindDoc="0" locked="0" layoutInCell="1" allowOverlap="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DE66EB" w:rsidP="00013CCE">
    <w:pPr>
      <w:pStyle w:val="Header"/>
      <w:jc w:val="right"/>
    </w:pPr>
    <w:r>
      <w:rPr>
        <w:noProof/>
        <w:lang w:val="en-US" w:eastAsia="en-US"/>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EDA">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2F4496" w:rsidTr="000C06C9">
      <w:trPr>
        <w:trHeight w:val="284"/>
      </w:trPr>
      <w:tc>
        <w:tcPr>
          <w:tcW w:w="8460" w:type="dxa"/>
        </w:tcPr>
        <w:p w:rsidR="00811EDA" w:rsidRPr="000C3B6D" w:rsidRDefault="00811EDA" w:rsidP="000C06C9">
          <w:pPr>
            <w:pStyle w:val="00Footer"/>
            <w:rPr>
              <w:lang w:val="fr-FR"/>
            </w:rPr>
          </w:pPr>
        </w:p>
      </w:tc>
      <w:tc>
        <w:tcPr>
          <w:tcW w:w="952" w:type="dxa"/>
        </w:tcPr>
        <w:p w:rsidR="00811EDA" w:rsidRPr="00146B34" w:rsidRDefault="00811EDA" w:rsidP="000C06C9">
          <w:pPr>
            <w:pStyle w:val="00aPagenumber"/>
            <w:rPr>
              <w:lang w:val="fr-FR"/>
            </w:rPr>
          </w:pPr>
        </w:p>
      </w:tc>
    </w:tr>
  </w:tbl>
  <w:p w:rsidR="00811EDA" w:rsidRPr="00DB46C3" w:rsidRDefault="00811EDA">
    <w:pPr>
      <w:rPr>
        <w:lang w:val="fr-FR"/>
      </w:rPr>
    </w:pPr>
  </w:p>
  <w:p w:rsidR="00811EDA" w:rsidRPr="002F4496" w:rsidRDefault="00811EDA">
    <w:pPr>
      <w:pStyle w:val="Header"/>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highlight w:val="yellow"/>
        <w:lang w:val="fr-FR"/>
      </w:rPr>
    </w:pPr>
  </w:p>
  <w:p w:rsidR="00811EDA" w:rsidRDefault="00DE66EB">
    <w:pPr>
      <w:pStyle w:val="Header"/>
    </w:pPr>
    <w:r>
      <w:rPr>
        <w:noProof/>
        <w:lang w:val="en-US" w:eastAsia="en-US"/>
      </w:rPr>
      <mc:AlternateContent>
        <mc:Choice Requires="wps">
          <w:drawing>
            <wp:anchor distT="0" distB="0" distL="114299" distR="114299" simplePos="0" relativeHeight="251660288" behindDoc="0" locked="0" layoutInCell="1" allowOverlap="1">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val="en-US" w:eastAsia="en-US"/>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616192F"/>
    <w:multiLevelType w:val="hybridMultilevel"/>
    <w:tmpl w:val="63845AAC"/>
    <w:lvl w:ilvl="0" w:tplc="30045C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8">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1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2">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3">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4">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6">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8">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20">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2">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3">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4">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5">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9">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1">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2">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4">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5">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6">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7">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8">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8"/>
  </w:num>
  <w:num w:numId="2">
    <w:abstractNumId w:val="21"/>
  </w:num>
  <w:num w:numId="3">
    <w:abstractNumId w:val="14"/>
  </w:num>
  <w:num w:numId="4">
    <w:abstractNumId w:val="25"/>
  </w:num>
  <w:num w:numId="5">
    <w:abstractNumId w:val="4"/>
  </w:num>
  <w:num w:numId="6">
    <w:abstractNumId w:val="27"/>
  </w:num>
  <w:num w:numId="7">
    <w:abstractNumId w:val="0"/>
  </w:num>
  <w:num w:numId="8">
    <w:abstractNumId w:val="7"/>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3"/>
  </w:num>
  <w:num w:numId="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num>
  <w:num w:numId="14">
    <w:abstractNumId w:val="32"/>
  </w:num>
  <w:num w:numId="15">
    <w:abstractNumId w:val="24"/>
  </w:num>
  <w:num w:numId="16">
    <w:abstractNumId w:val="12"/>
  </w:num>
  <w:num w:numId="17">
    <w:abstractNumId w:val="1"/>
  </w:num>
  <w:num w:numId="18">
    <w:abstractNumId w:val="16"/>
  </w:num>
  <w:num w:numId="19">
    <w:abstractNumId w:val="17"/>
  </w:num>
  <w:num w:numId="20">
    <w:abstractNumId w:val="19"/>
  </w:num>
  <w:num w:numId="21">
    <w:abstractNumId w:val="28"/>
  </w:num>
  <w:num w:numId="22">
    <w:abstractNumId w:val="35"/>
  </w:num>
  <w:num w:numId="23">
    <w:abstractNumId w:val="26"/>
  </w:num>
  <w:num w:numId="24">
    <w:abstractNumId w:val="11"/>
  </w:num>
  <w:num w:numId="25">
    <w:abstractNumId w:val="31"/>
  </w:num>
  <w:num w:numId="26">
    <w:abstractNumId w:val="30"/>
  </w:num>
  <w:num w:numId="27">
    <w:abstractNumId w:val="22"/>
  </w:num>
  <w:num w:numId="28">
    <w:abstractNumId w:val="34"/>
  </w:num>
  <w:num w:numId="29">
    <w:abstractNumId w:val="37"/>
  </w:num>
  <w:num w:numId="30">
    <w:abstractNumId w:val="9"/>
  </w:num>
  <w:num w:numId="31">
    <w:abstractNumId w:val="5"/>
  </w:num>
  <w:num w:numId="32">
    <w:abstractNumId w:val="23"/>
  </w:num>
  <w:num w:numId="33">
    <w:abstractNumId w:val="2"/>
  </w:num>
  <w:num w:numId="34">
    <w:abstractNumId w:val="5"/>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5"/>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3"/>
  </w:num>
  <w:num w:numId="37">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8"/>
  </w:num>
  <w:num w:numId="41">
    <w:abstractNumId w:val="6"/>
  </w:num>
  <w:num w:numId="42">
    <w:abstractNumId w:val="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Full" w:cryptAlgorithmClass="hash" w:cryptAlgorithmType="typeAny" w:cryptAlgorithmSid="4" w:cryptSpinCount="100000" w:hash="Z4QBOZoeFLhVtdr+5Kzp0nq4F6s=" w:salt="3M9yBqqYhiFxTLTQeQgxbg=="/>
  <w:defaultTabStop w:val="709"/>
  <w:autoHyphenation/>
  <w:hyphenationZone w:val="567"/>
  <w:characterSpacingControl w:val="doNotCompress"/>
  <w:hdrShapeDefaults>
    <o:shapedefaults v:ext="edit" spidmax="4097">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0E8"/>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274D"/>
    <w:rsid w:val="00282B96"/>
    <w:rsid w:val="002833D6"/>
    <w:rsid w:val="00283F51"/>
    <w:rsid w:val="00286064"/>
    <w:rsid w:val="002867B1"/>
    <w:rsid w:val="00287BBB"/>
    <w:rsid w:val="00287E3B"/>
    <w:rsid w:val="00290638"/>
    <w:rsid w:val="00291763"/>
    <w:rsid w:val="00291D80"/>
    <w:rsid w:val="00293156"/>
    <w:rsid w:val="00293BE7"/>
    <w:rsid w:val="002946DC"/>
    <w:rsid w:val="00296D2D"/>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194F"/>
    <w:rsid w:val="00332406"/>
    <w:rsid w:val="00332D8D"/>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6591"/>
    <w:rsid w:val="003A6E9A"/>
    <w:rsid w:val="003B08C8"/>
    <w:rsid w:val="003B2567"/>
    <w:rsid w:val="003B381A"/>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CD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74D"/>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C67"/>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2E4A"/>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51A2"/>
    <w:rsid w:val="00716774"/>
    <w:rsid w:val="007209DD"/>
    <w:rsid w:val="00722E49"/>
    <w:rsid w:val="00723A08"/>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5066"/>
    <w:rsid w:val="007F621C"/>
    <w:rsid w:val="007F7155"/>
    <w:rsid w:val="00800C28"/>
    <w:rsid w:val="0080245E"/>
    <w:rsid w:val="00803480"/>
    <w:rsid w:val="0080359C"/>
    <w:rsid w:val="008037AE"/>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4C32"/>
    <w:rsid w:val="0096528F"/>
    <w:rsid w:val="009653F2"/>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96E43"/>
    <w:rsid w:val="009A07A6"/>
    <w:rsid w:val="009A0D56"/>
    <w:rsid w:val="009A31B9"/>
    <w:rsid w:val="009A4D4F"/>
    <w:rsid w:val="009A53D8"/>
    <w:rsid w:val="009A597F"/>
    <w:rsid w:val="009A7B72"/>
    <w:rsid w:val="009A7E2F"/>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2D39"/>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5543"/>
    <w:rsid w:val="00A91682"/>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3DEC"/>
    <w:rsid w:val="00B06544"/>
    <w:rsid w:val="00B105F2"/>
    <w:rsid w:val="00B10991"/>
    <w:rsid w:val="00B12128"/>
    <w:rsid w:val="00B12945"/>
    <w:rsid w:val="00B12C1E"/>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0D27"/>
    <w:rsid w:val="00B619E4"/>
    <w:rsid w:val="00B61D0B"/>
    <w:rsid w:val="00B6439A"/>
    <w:rsid w:val="00B6443B"/>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1B86"/>
    <w:rsid w:val="00B927CA"/>
    <w:rsid w:val="00B928AE"/>
    <w:rsid w:val="00B93CDA"/>
    <w:rsid w:val="00B942E9"/>
    <w:rsid w:val="00B9433A"/>
    <w:rsid w:val="00B948EE"/>
    <w:rsid w:val="00B94BF3"/>
    <w:rsid w:val="00B94F90"/>
    <w:rsid w:val="00B95DC5"/>
    <w:rsid w:val="00B97E34"/>
    <w:rsid w:val="00B97FEF"/>
    <w:rsid w:val="00BA1354"/>
    <w:rsid w:val="00BA24F8"/>
    <w:rsid w:val="00BA31AA"/>
    <w:rsid w:val="00BA45D8"/>
    <w:rsid w:val="00BA5828"/>
    <w:rsid w:val="00BA64B3"/>
    <w:rsid w:val="00BA754A"/>
    <w:rsid w:val="00BA7820"/>
    <w:rsid w:val="00BA794C"/>
    <w:rsid w:val="00BB238D"/>
    <w:rsid w:val="00BB37CC"/>
    <w:rsid w:val="00BB48C4"/>
    <w:rsid w:val="00BB6907"/>
    <w:rsid w:val="00BB7A20"/>
    <w:rsid w:val="00BC15B1"/>
    <w:rsid w:val="00BC3C06"/>
    <w:rsid w:val="00BC4E8B"/>
    <w:rsid w:val="00BC5622"/>
    <w:rsid w:val="00BC6060"/>
    <w:rsid w:val="00BC7897"/>
    <w:rsid w:val="00BD0F35"/>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13FC"/>
    <w:rsid w:val="00C43D33"/>
    <w:rsid w:val="00C44407"/>
    <w:rsid w:val="00C456E8"/>
    <w:rsid w:val="00C46630"/>
    <w:rsid w:val="00C47A2F"/>
    <w:rsid w:val="00C50D18"/>
    <w:rsid w:val="00C51179"/>
    <w:rsid w:val="00C5282C"/>
    <w:rsid w:val="00C52FBE"/>
    <w:rsid w:val="00C5355E"/>
    <w:rsid w:val="00C535E2"/>
    <w:rsid w:val="00C53FC1"/>
    <w:rsid w:val="00C56438"/>
    <w:rsid w:val="00C570B3"/>
    <w:rsid w:val="00C6009F"/>
    <w:rsid w:val="00C60417"/>
    <w:rsid w:val="00C6046F"/>
    <w:rsid w:val="00C638C2"/>
    <w:rsid w:val="00C651D4"/>
    <w:rsid w:val="00C6669E"/>
    <w:rsid w:val="00C66C0B"/>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68"/>
    <w:rsid w:val="00D07AFD"/>
    <w:rsid w:val="00D11749"/>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881"/>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66EB"/>
    <w:rsid w:val="00DE7035"/>
    <w:rsid w:val="00DF12E3"/>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10A54"/>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colormru v:ext="edit" colors="#2d4491,#28358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6F4"/>
    <w:rPr>
      <w:rFonts w:ascii="Georgia" w:hAnsi="Georgia"/>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Georgia" w:hAnsi="Georgia"/>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682E4A"/>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682E4A"/>
    <w:rPr>
      <w:rFonts w:ascii="Calibri" w:hAnsi="Calibri"/>
      <w:b/>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6F4"/>
    <w:rPr>
      <w:rFonts w:ascii="Georgia" w:hAnsi="Georgia"/>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Georgia" w:hAnsi="Georgia"/>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682E4A"/>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682E4A"/>
    <w:rPr>
      <w:rFonts w:ascii="Calibri" w:hAnsi="Calibri"/>
      <w:b/>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ma.europa.eu"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7C112EB3D8041C587F3116780B1E3F3"/>
        <w:category>
          <w:name w:val="General"/>
          <w:gallery w:val="placeholder"/>
        </w:category>
        <w:types>
          <w:type w:val="bbPlcHdr"/>
        </w:types>
        <w:behaviors>
          <w:behavior w:val="content"/>
        </w:behaviors>
        <w:guid w:val="{A063AFDD-5E61-41F9-B9CC-C85989D5E1BA}"/>
      </w:docPartPr>
      <w:docPartBody>
        <w:p w:rsidR="00464746" w:rsidRDefault="00ED03BC" w:rsidP="00ED03BC">
          <w:pPr>
            <w:pStyle w:val="E7C112EB3D8041C587F3116780B1E3F3"/>
          </w:pPr>
          <w:r w:rsidRPr="000E3791">
            <w:rPr>
              <w:rStyle w:val="PlaceholderText"/>
            </w:rPr>
            <w:t>Choose an item.</w:t>
          </w:r>
        </w:p>
      </w:docPartBody>
    </w:docPart>
    <w:docPart>
      <w:docPartPr>
        <w:name w:val="2DC1312B70F74FA0860E38BB0E84A49C"/>
        <w:category>
          <w:name w:val="General"/>
          <w:gallery w:val="placeholder"/>
        </w:category>
        <w:types>
          <w:type w:val="bbPlcHdr"/>
        </w:types>
        <w:behaviors>
          <w:behavior w:val="content"/>
        </w:behaviors>
        <w:guid w:val="{4F83A857-F4BD-484F-BCBF-AEE5FC66B414}"/>
      </w:docPartPr>
      <w:docPartBody>
        <w:p w:rsidR="00464746" w:rsidRDefault="00ED03BC" w:rsidP="00ED03BC">
          <w:pPr>
            <w:pStyle w:val="2DC1312B70F74FA0860E38BB0E84A49C"/>
          </w:pPr>
          <w:r w:rsidRPr="000E3791">
            <w:rPr>
              <w:rStyle w:val="PlaceholderText"/>
            </w:rPr>
            <w:t>Choose an item.</w:t>
          </w:r>
        </w:p>
      </w:docPartBody>
    </w:docPart>
    <w:docPart>
      <w:docPartPr>
        <w:name w:val="7834084FE63541599E2A38657E70D469"/>
        <w:category>
          <w:name w:val="General"/>
          <w:gallery w:val="placeholder"/>
        </w:category>
        <w:types>
          <w:type w:val="bbPlcHdr"/>
        </w:types>
        <w:behaviors>
          <w:behavior w:val="content"/>
        </w:behaviors>
        <w:guid w:val="{208ECCFC-3D8D-4356-B1C9-40528A99061A}"/>
      </w:docPartPr>
      <w:docPartBody>
        <w:p w:rsidR="00464746" w:rsidRDefault="00ED03BC" w:rsidP="00ED03BC">
          <w:pPr>
            <w:pStyle w:val="7834084FE63541599E2A38657E70D469"/>
          </w:pPr>
          <w:r w:rsidRPr="000E379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30F"/>
    <w:rsid w:val="002D3005"/>
    <w:rsid w:val="00392976"/>
    <w:rsid w:val="00464746"/>
    <w:rsid w:val="0072030F"/>
    <w:rsid w:val="00E923C1"/>
    <w:rsid w:val="00ED03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03BC"/>
    <w:rPr>
      <w:color w:val="808080"/>
    </w:rPr>
  </w:style>
  <w:style w:type="paragraph" w:customStyle="1" w:styleId="D8FE2C1CFBC64DA085CEB68206EC4D5F">
    <w:name w:val="D8FE2C1CFBC64DA085CEB68206EC4D5F"/>
    <w:rsid w:val="0072030F"/>
  </w:style>
  <w:style w:type="paragraph" w:customStyle="1" w:styleId="0081D286CDF0459F9B97CC72A4311E14">
    <w:name w:val="0081D286CDF0459F9B97CC72A4311E14"/>
    <w:rsid w:val="0072030F"/>
  </w:style>
  <w:style w:type="paragraph" w:customStyle="1" w:styleId="953C28196CA0444E89CB3C4F46FF034D">
    <w:name w:val="953C28196CA0444E89CB3C4F46FF034D"/>
    <w:rsid w:val="0072030F"/>
  </w:style>
  <w:style w:type="paragraph" w:customStyle="1" w:styleId="840B1874448842BA8A0739FDBCC2D7D6">
    <w:name w:val="840B1874448842BA8A0739FDBCC2D7D6"/>
    <w:rsid w:val="0072030F"/>
  </w:style>
  <w:style w:type="paragraph" w:customStyle="1" w:styleId="B8A8F59C81394C7EA1B533D9AD21C18C">
    <w:name w:val="B8A8F59C81394C7EA1B533D9AD21C18C"/>
    <w:rsid w:val="0072030F"/>
  </w:style>
  <w:style w:type="paragraph" w:customStyle="1" w:styleId="244991D339784149A998E73649C9BA3F">
    <w:name w:val="244991D339784149A998E73649C9BA3F"/>
    <w:rsid w:val="0072030F"/>
  </w:style>
  <w:style w:type="paragraph" w:customStyle="1" w:styleId="E7C112EB3D8041C587F3116780B1E3F3">
    <w:name w:val="E7C112EB3D8041C587F3116780B1E3F3"/>
    <w:rsid w:val="00ED03BC"/>
  </w:style>
  <w:style w:type="paragraph" w:customStyle="1" w:styleId="2DC1312B70F74FA0860E38BB0E84A49C">
    <w:name w:val="2DC1312B70F74FA0860E38BB0E84A49C"/>
    <w:rsid w:val="00ED03BC"/>
  </w:style>
  <w:style w:type="paragraph" w:customStyle="1" w:styleId="7834084FE63541599E2A38657E70D469">
    <w:name w:val="7834084FE63541599E2A38657E70D469"/>
    <w:rsid w:val="00ED03B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03BC"/>
    <w:rPr>
      <w:color w:val="808080"/>
    </w:rPr>
  </w:style>
  <w:style w:type="paragraph" w:customStyle="1" w:styleId="D8FE2C1CFBC64DA085CEB68206EC4D5F">
    <w:name w:val="D8FE2C1CFBC64DA085CEB68206EC4D5F"/>
    <w:rsid w:val="0072030F"/>
  </w:style>
  <w:style w:type="paragraph" w:customStyle="1" w:styleId="0081D286CDF0459F9B97CC72A4311E14">
    <w:name w:val="0081D286CDF0459F9B97CC72A4311E14"/>
    <w:rsid w:val="0072030F"/>
  </w:style>
  <w:style w:type="paragraph" w:customStyle="1" w:styleId="953C28196CA0444E89CB3C4F46FF034D">
    <w:name w:val="953C28196CA0444E89CB3C4F46FF034D"/>
    <w:rsid w:val="0072030F"/>
  </w:style>
  <w:style w:type="paragraph" w:customStyle="1" w:styleId="840B1874448842BA8A0739FDBCC2D7D6">
    <w:name w:val="840B1874448842BA8A0739FDBCC2D7D6"/>
    <w:rsid w:val="0072030F"/>
  </w:style>
  <w:style w:type="paragraph" w:customStyle="1" w:styleId="B8A8F59C81394C7EA1B533D9AD21C18C">
    <w:name w:val="B8A8F59C81394C7EA1B533D9AD21C18C"/>
    <w:rsid w:val="0072030F"/>
  </w:style>
  <w:style w:type="paragraph" w:customStyle="1" w:styleId="244991D339784149A998E73649C9BA3F">
    <w:name w:val="244991D339784149A998E73649C9BA3F"/>
    <w:rsid w:val="0072030F"/>
  </w:style>
  <w:style w:type="paragraph" w:customStyle="1" w:styleId="E7C112EB3D8041C587F3116780B1E3F3">
    <w:name w:val="E7C112EB3D8041C587F3116780B1E3F3"/>
    <w:rsid w:val="00ED03BC"/>
  </w:style>
  <w:style w:type="paragraph" w:customStyle="1" w:styleId="2DC1312B70F74FA0860E38BB0E84A49C">
    <w:name w:val="2DC1312B70F74FA0860E38BB0E84A49C"/>
    <w:rsid w:val="00ED03BC"/>
  </w:style>
  <w:style w:type="paragraph" w:customStyle="1" w:styleId="7834084FE63541599E2A38657E70D469">
    <w:name w:val="7834084FE63541599E2A38657E70D469"/>
    <w:rsid w:val="00ED03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F36C68-979C-4AEB-95ED-1331D3C5E322}">
  <ds:schemaRefs>
    <ds:schemaRef ds:uri="http://schemas.openxmlformats.org/officeDocument/2006/bibliography"/>
  </ds:schemaRefs>
</ds:datastoreItem>
</file>

<file path=customXml/itemProps2.xml><?xml version="1.0" encoding="utf-8"?>
<ds:datastoreItem xmlns:ds="http://schemas.openxmlformats.org/officeDocument/2006/customXml" ds:itemID="{62722D57-678F-4BC4-B5E8-719B43525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8</Pages>
  <Words>1930</Words>
  <Characters>10716</Characters>
  <Application>Microsoft Office Word</Application>
  <DocSecurity>8</DocSecurity>
  <Lines>89</Lines>
  <Paragraphs>25</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12621</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Andy Hill</cp:lastModifiedBy>
  <cp:revision>6</cp:revision>
  <cp:lastPrinted>2015-02-19T11:56:00Z</cp:lastPrinted>
  <dcterms:created xsi:type="dcterms:W3CDTF">2015-02-18T15:57:00Z</dcterms:created>
  <dcterms:modified xsi:type="dcterms:W3CDTF">2015-02-19T13:46:00Z</dcterms:modified>
</cp:coreProperties>
</file>