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42" w:rightFromText="142" w:vertAnchor="page" w:horzAnchor="page" w:tblpX="1248" w:tblpY="15820"/>
        <w:tblOverlap w:val="never"/>
        <w:tblW w:w="9412" w:type="dxa"/>
        <w:tblCellMar>
          <w:left w:w="0" w:type="dxa"/>
          <w:right w:w="0" w:type="dxa"/>
        </w:tblCellMar>
        <w:tblLook w:val="01E0" w:firstRow="1" w:lastRow="1" w:firstColumn="1" w:lastColumn="1" w:noHBand="0" w:noVBand="0"/>
      </w:tblPr>
      <w:tblGrid>
        <w:gridCol w:w="9412"/>
      </w:tblGrid>
      <w:tr w:rsidR="00C2094B" w:rsidRPr="00E679BA">
        <w:trPr>
          <w:trHeight w:val="284"/>
        </w:trPr>
        <w:tc>
          <w:tcPr>
            <w:tcW w:w="9412" w:type="dxa"/>
          </w:tcPr>
          <w:p w:rsidR="00C2094B" w:rsidRPr="00376B02" w:rsidRDefault="001260DB" w:rsidP="004D3364">
            <w:pPr>
              <w:pStyle w:val="00bDBInfo"/>
            </w:pPr>
            <w:r>
              <w:t>1</w:t>
            </w:r>
            <w:r w:rsidR="004D3364">
              <w:t>8</w:t>
            </w:r>
            <w:r>
              <w:t xml:space="preserve"> December</w:t>
            </w:r>
            <w:r w:rsidR="00ED351E" w:rsidRPr="00376B02">
              <w:t xml:space="preserve"> </w:t>
            </w:r>
            <w:r w:rsidR="006F4B04" w:rsidRPr="00376B02">
              <w:t>2014</w:t>
            </w:r>
          </w:p>
        </w:tc>
      </w:tr>
    </w:tbl>
    <w:p w:rsidR="00FD7A8D" w:rsidRPr="00640DCD" w:rsidRDefault="00FD7A8D" w:rsidP="00FD7A8D">
      <w:pPr>
        <w:rPr>
          <w:vanish/>
        </w:rPr>
      </w:pPr>
    </w:p>
    <w:tbl>
      <w:tblPr>
        <w:tblpPr w:leftFromText="8505" w:vertAnchor="page" w:horzAnchor="page" w:tblpX="1248" w:tblpY="4401"/>
        <w:tblW w:w="9397" w:type="dxa"/>
        <w:tblLayout w:type="fixed"/>
        <w:tblCellMar>
          <w:left w:w="0" w:type="dxa"/>
          <w:right w:w="0" w:type="dxa"/>
        </w:tblCellMar>
        <w:tblLook w:val="01E0" w:firstRow="1" w:lastRow="1" w:firstColumn="1" w:lastColumn="1" w:noHBand="0" w:noVBand="0"/>
      </w:tblPr>
      <w:tblGrid>
        <w:gridCol w:w="9397"/>
      </w:tblGrid>
      <w:tr w:rsidR="00060F72" w:rsidRPr="00E679BA">
        <w:trPr>
          <w:trHeight w:hRule="exact" w:val="1209"/>
        </w:trPr>
        <w:tc>
          <w:tcPr>
            <w:tcW w:w="9397" w:type="dxa"/>
            <w:vAlign w:val="bottom"/>
          </w:tcPr>
          <w:p w:rsidR="006F4403" w:rsidRPr="00BD3046" w:rsidRDefault="00AE627C" w:rsidP="00C000A5">
            <w:pPr>
              <w:pStyle w:val="01aDBTitle"/>
              <w:rPr>
                <w:sz w:val="36"/>
                <w:szCs w:val="36"/>
              </w:rPr>
            </w:pPr>
            <w:r w:rsidRPr="00BD3046">
              <w:rPr>
                <w:sz w:val="36"/>
                <w:szCs w:val="36"/>
              </w:rPr>
              <w:t>Reply form</w:t>
            </w:r>
            <w:r w:rsidR="00B835D5" w:rsidRPr="00BD3046">
              <w:rPr>
                <w:sz w:val="36"/>
                <w:szCs w:val="36"/>
              </w:rPr>
              <w:t xml:space="preserve"> </w:t>
            </w:r>
            <w:r w:rsidR="0043173B" w:rsidRPr="00BD3046">
              <w:rPr>
                <w:sz w:val="36"/>
                <w:szCs w:val="36"/>
              </w:rPr>
              <w:t>for</w:t>
            </w:r>
            <w:r w:rsidR="00027ECF" w:rsidRPr="00BD3046">
              <w:rPr>
                <w:sz w:val="36"/>
                <w:szCs w:val="36"/>
              </w:rPr>
              <w:t xml:space="preserve"> the </w:t>
            </w:r>
          </w:p>
          <w:p w:rsidR="00791EB4" w:rsidRPr="00E679BA" w:rsidRDefault="00BD3046" w:rsidP="00C000A5">
            <w:pPr>
              <w:pStyle w:val="01aDBTitle"/>
            </w:pPr>
            <w:r w:rsidRPr="00BD3046">
              <w:rPr>
                <w:sz w:val="36"/>
                <w:szCs w:val="36"/>
              </w:rPr>
              <w:t>Technical Standards under the CSD Regulation</w:t>
            </w:r>
          </w:p>
        </w:tc>
      </w:tr>
      <w:tr w:rsidR="00060F72" w:rsidRPr="00E679BA">
        <w:trPr>
          <w:trHeight w:hRule="exact" w:val="605"/>
        </w:trPr>
        <w:tc>
          <w:tcPr>
            <w:tcW w:w="9397" w:type="dxa"/>
            <w:tcMar>
              <w:top w:w="142" w:type="dxa"/>
            </w:tcMar>
          </w:tcPr>
          <w:p w:rsidR="00D91010" w:rsidRPr="00E679BA" w:rsidRDefault="00013CCE" w:rsidP="00027ECF">
            <w:pPr>
              <w:pStyle w:val="01bDBSubtitle"/>
            </w:pPr>
            <w:r w:rsidRPr="00E679BA">
              <w:t xml:space="preserve"> </w:t>
            </w:r>
          </w:p>
        </w:tc>
      </w:tr>
    </w:tbl>
    <w:p w:rsidR="00620D7C" w:rsidRPr="00E679BA" w:rsidRDefault="00620D7C" w:rsidP="00C00012">
      <w:pPr>
        <w:pStyle w:val="05HeadlinenoIndex"/>
        <w:sectPr w:rsidR="00620D7C" w:rsidRPr="00E679BA">
          <w:headerReference w:type="default" r:id="rId10"/>
          <w:footerReference w:type="default" r:id="rId11"/>
          <w:headerReference w:type="first" r:id="rId12"/>
          <w:pgSz w:w="11906" w:h="16838" w:code="9"/>
          <w:pgMar w:top="2835" w:right="1247" w:bottom="1361" w:left="1247" w:header="709" w:footer="709" w:gutter="0"/>
          <w:cols w:space="708"/>
          <w:titlePg/>
          <w:docGrid w:linePitch="360"/>
        </w:sectPr>
      </w:pPr>
    </w:p>
    <w:tbl>
      <w:tblPr>
        <w:tblpPr w:leftFromText="8505" w:bottomFromText="1134" w:vertAnchor="page" w:horzAnchor="page" w:tblpX="8279" w:tblpY="1475"/>
        <w:tblOverlap w:val="never"/>
        <w:tblW w:w="0" w:type="auto"/>
        <w:tblLayout w:type="fixed"/>
        <w:tblCellMar>
          <w:left w:w="0" w:type="dxa"/>
          <w:right w:w="0" w:type="dxa"/>
        </w:tblCellMar>
        <w:tblLook w:val="01E0" w:firstRow="1" w:lastRow="1" w:firstColumn="1" w:lastColumn="1" w:noHBand="0" w:noVBand="0"/>
      </w:tblPr>
      <w:tblGrid>
        <w:gridCol w:w="2325"/>
      </w:tblGrid>
      <w:tr w:rsidR="00620D7C" w:rsidRPr="00E679BA">
        <w:trPr>
          <w:trHeight w:hRule="exact" w:val="964"/>
        </w:trPr>
        <w:tc>
          <w:tcPr>
            <w:tcW w:w="2325" w:type="dxa"/>
          </w:tcPr>
          <w:p w:rsidR="00620D7C" w:rsidRPr="001260DB" w:rsidRDefault="00620D7C" w:rsidP="001260DB">
            <w:pPr>
              <w:pStyle w:val="02Date"/>
            </w:pPr>
            <w:r w:rsidRPr="001260DB">
              <w:lastRenderedPageBreak/>
              <w:t xml:space="preserve">Date: </w:t>
            </w:r>
            <w:r w:rsidR="004D3364">
              <w:t>18</w:t>
            </w:r>
            <w:r w:rsidR="001260DB">
              <w:t xml:space="preserve"> December</w:t>
            </w:r>
            <w:r w:rsidR="002B354F" w:rsidRPr="001260DB">
              <w:t xml:space="preserve"> </w:t>
            </w:r>
            <w:r w:rsidR="00486C17" w:rsidRPr="001260DB">
              <w:t>201</w:t>
            </w:r>
            <w:r w:rsidR="006F57F2" w:rsidRPr="001260DB">
              <w:t>4</w:t>
            </w:r>
          </w:p>
        </w:tc>
      </w:tr>
    </w:tbl>
    <w:p w:rsidR="0088244C" w:rsidRDefault="0088244C" w:rsidP="00F574D0">
      <w:pPr>
        <w:pStyle w:val="05HeadlinenoIndex"/>
      </w:pPr>
      <w:bookmarkStart w:id="0" w:name="_Toc280628648"/>
    </w:p>
    <w:p w:rsidR="00F574D0" w:rsidRPr="00295156" w:rsidRDefault="0088244C" w:rsidP="00F574D0">
      <w:pPr>
        <w:pStyle w:val="05HeadlinenoIndex"/>
        <w:rPr>
          <w:sz w:val="20"/>
          <w:szCs w:val="20"/>
        </w:rPr>
      </w:pPr>
      <w:r w:rsidRPr="00295156">
        <w:rPr>
          <w:sz w:val="20"/>
          <w:szCs w:val="20"/>
        </w:rPr>
        <w:br w:type="page"/>
      </w:r>
      <w:r w:rsidR="00F574D0" w:rsidRPr="00295156">
        <w:rPr>
          <w:sz w:val="20"/>
          <w:szCs w:val="20"/>
        </w:rPr>
        <w:lastRenderedPageBreak/>
        <w:t xml:space="preserve">Responding to this paper </w:t>
      </w:r>
    </w:p>
    <w:p w:rsidR="00F574D0" w:rsidRPr="00295156" w:rsidRDefault="00F574D0" w:rsidP="00F574D0">
      <w:pPr>
        <w:pStyle w:val="04BodyText"/>
        <w:spacing w:before="120" w:after="120"/>
        <w:rPr>
          <w:szCs w:val="20"/>
        </w:rPr>
      </w:pPr>
      <w:r w:rsidRPr="00295156">
        <w:rPr>
          <w:szCs w:val="20"/>
        </w:rPr>
        <w:t xml:space="preserve">The European Securities and Markets Authority (ESMA) invites responses to the specific questions listed in the ESMA </w:t>
      </w:r>
      <w:r w:rsidR="0060674A" w:rsidRPr="00295156">
        <w:rPr>
          <w:szCs w:val="20"/>
        </w:rPr>
        <w:t xml:space="preserve">Consultation Paper - </w:t>
      </w:r>
      <w:r w:rsidR="00390F5E" w:rsidRPr="00295156">
        <w:rPr>
          <w:szCs w:val="20"/>
        </w:rPr>
        <w:t>Technical Standards under the CSD Regulation</w:t>
      </w:r>
      <w:r w:rsidR="00015B5E" w:rsidRPr="00295156">
        <w:rPr>
          <w:szCs w:val="20"/>
        </w:rPr>
        <w:t>, published on the ESMA website</w:t>
      </w:r>
      <w:r w:rsidR="00330386">
        <w:rPr>
          <w:szCs w:val="20"/>
        </w:rPr>
        <w:t>.</w:t>
      </w:r>
    </w:p>
    <w:p w:rsidR="00F574D0" w:rsidRPr="00295156" w:rsidRDefault="00F574D0" w:rsidP="00F574D0">
      <w:pPr>
        <w:autoSpaceDE w:val="0"/>
        <w:autoSpaceDN w:val="0"/>
        <w:adjustRightInd w:val="0"/>
        <w:spacing w:before="120" w:after="120" w:line="276" w:lineRule="auto"/>
        <w:jc w:val="both"/>
        <w:rPr>
          <w:rFonts w:cs="Georgia"/>
          <w:b/>
          <w:bCs/>
          <w:i/>
          <w:color w:val="000000"/>
          <w:sz w:val="20"/>
          <w:szCs w:val="20"/>
          <w:lang w:eastAsia="en-GB"/>
        </w:rPr>
      </w:pPr>
      <w:r w:rsidRPr="00295156">
        <w:rPr>
          <w:rFonts w:cs="Georgia"/>
          <w:b/>
          <w:bCs/>
          <w:i/>
          <w:color w:val="000000"/>
          <w:sz w:val="20"/>
          <w:szCs w:val="20"/>
          <w:lang w:eastAsia="en-GB"/>
        </w:rPr>
        <w:t>Instructions</w:t>
      </w:r>
    </w:p>
    <w:p w:rsidR="00F574D0" w:rsidRPr="00295156" w:rsidRDefault="00D75FEE" w:rsidP="00F574D0">
      <w:pPr>
        <w:pStyle w:val="04BodyText"/>
        <w:spacing w:before="120" w:after="120"/>
        <w:rPr>
          <w:szCs w:val="20"/>
        </w:rPr>
      </w:pPr>
      <w:r w:rsidRPr="00295156">
        <w:rPr>
          <w:szCs w:val="20"/>
        </w:rPr>
        <w:t>Please note that, in order to facilitate the analysis of the large number of responses expected, you are requested to use this file to send your response to ESMA so as to allow us to process it properly. Ther</w:t>
      </w:r>
      <w:r w:rsidRPr="00295156">
        <w:rPr>
          <w:szCs w:val="20"/>
        </w:rPr>
        <w:t>e</w:t>
      </w:r>
      <w:r w:rsidRPr="00295156">
        <w:rPr>
          <w:szCs w:val="20"/>
        </w:rPr>
        <w:t>fore, please follow the instructions described below</w:t>
      </w:r>
      <w:r w:rsidR="00F574D0" w:rsidRPr="00295156">
        <w:rPr>
          <w:szCs w:val="20"/>
        </w:rPr>
        <w:t>:</w:t>
      </w:r>
    </w:p>
    <w:p w:rsidR="00F574D0" w:rsidRPr="00295156" w:rsidRDefault="00F574D0" w:rsidP="00F574D0">
      <w:pPr>
        <w:pStyle w:val="04bList"/>
        <w:numPr>
          <w:ilvl w:val="0"/>
          <w:numId w:val="5"/>
        </w:numPr>
        <w:spacing w:before="120" w:after="120"/>
        <w:ind w:left="720"/>
        <w:rPr>
          <w:szCs w:val="20"/>
        </w:rPr>
      </w:pPr>
      <w:r w:rsidRPr="00295156">
        <w:rPr>
          <w:szCs w:val="20"/>
        </w:rPr>
        <w:t xml:space="preserve">use this </w:t>
      </w:r>
      <w:r w:rsidR="003F5C06" w:rsidRPr="00295156">
        <w:rPr>
          <w:szCs w:val="20"/>
        </w:rPr>
        <w:t>form</w:t>
      </w:r>
      <w:r w:rsidRPr="00295156">
        <w:rPr>
          <w:szCs w:val="20"/>
        </w:rPr>
        <w:t xml:space="preserve"> and send </w:t>
      </w:r>
      <w:r w:rsidR="00D75FEE" w:rsidRPr="00295156">
        <w:rPr>
          <w:szCs w:val="20"/>
        </w:rPr>
        <w:t>your</w:t>
      </w:r>
      <w:r w:rsidRPr="00295156">
        <w:rPr>
          <w:szCs w:val="20"/>
        </w:rPr>
        <w:t xml:space="preserve"> responses in </w:t>
      </w:r>
      <w:r w:rsidRPr="00295156">
        <w:rPr>
          <w:b/>
          <w:szCs w:val="20"/>
        </w:rPr>
        <w:t>Word format</w:t>
      </w:r>
      <w:r w:rsidRPr="00295156">
        <w:rPr>
          <w:szCs w:val="20"/>
        </w:rPr>
        <w:t>;</w:t>
      </w:r>
    </w:p>
    <w:p w:rsidR="00F574D0" w:rsidRPr="00295156" w:rsidRDefault="00D75FEE" w:rsidP="00F574D0">
      <w:pPr>
        <w:pStyle w:val="04bList"/>
        <w:numPr>
          <w:ilvl w:val="0"/>
          <w:numId w:val="5"/>
        </w:numPr>
        <w:spacing w:before="120" w:after="120"/>
        <w:ind w:left="720"/>
        <w:rPr>
          <w:szCs w:val="20"/>
        </w:rPr>
      </w:pPr>
      <w:r w:rsidRPr="00295156">
        <w:rPr>
          <w:szCs w:val="20"/>
        </w:rPr>
        <w:t xml:space="preserve">do </w:t>
      </w:r>
      <w:r w:rsidR="00F574D0" w:rsidRPr="00295156">
        <w:rPr>
          <w:szCs w:val="20"/>
        </w:rPr>
        <w:t>not remove the tags of type &lt;ESMA_QUESTION_</w:t>
      </w:r>
      <w:r w:rsidR="00C8677B" w:rsidRPr="00295156">
        <w:rPr>
          <w:szCs w:val="20"/>
        </w:rPr>
        <w:t>T</w:t>
      </w:r>
      <w:r w:rsidR="00390F5E" w:rsidRPr="00295156">
        <w:rPr>
          <w:szCs w:val="20"/>
        </w:rPr>
        <w:t>S</w:t>
      </w:r>
      <w:r w:rsidR="00A35728" w:rsidRPr="00295156">
        <w:rPr>
          <w:szCs w:val="20"/>
        </w:rPr>
        <w:t>_CSDR</w:t>
      </w:r>
      <w:r w:rsidR="00E9344E" w:rsidRPr="00295156">
        <w:rPr>
          <w:szCs w:val="20"/>
        </w:rPr>
        <w:t>_</w:t>
      </w:r>
      <w:r w:rsidR="00F574D0" w:rsidRPr="00295156">
        <w:rPr>
          <w:szCs w:val="20"/>
        </w:rPr>
        <w:t>1&gt; - i.e. the response to one question has to be framed by the 2 tags corresponding to the question; and</w:t>
      </w:r>
    </w:p>
    <w:p w:rsidR="00F574D0" w:rsidRPr="00295156" w:rsidRDefault="00F574D0" w:rsidP="00F574D0">
      <w:pPr>
        <w:pStyle w:val="04bList"/>
        <w:numPr>
          <w:ilvl w:val="0"/>
          <w:numId w:val="5"/>
        </w:numPr>
        <w:spacing w:before="120" w:after="120"/>
        <w:ind w:left="720"/>
        <w:rPr>
          <w:szCs w:val="20"/>
        </w:rPr>
      </w:pPr>
      <w:r w:rsidRPr="00295156">
        <w:rPr>
          <w:szCs w:val="20"/>
        </w:rPr>
        <w:t xml:space="preserve">if </w:t>
      </w:r>
      <w:r w:rsidR="00D75FEE" w:rsidRPr="00295156">
        <w:rPr>
          <w:szCs w:val="20"/>
        </w:rPr>
        <w:t>you do not have a</w:t>
      </w:r>
      <w:r w:rsidRPr="00295156">
        <w:rPr>
          <w:szCs w:val="20"/>
        </w:rPr>
        <w:t xml:space="preserve"> response to a question, </w:t>
      </w:r>
      <w:r w:rsidR="00D75FEE" w:rsidRPr="00295156">
        <w:rPr>
          <w:szCs w:val="20"/>
        </w:rPr>
        <w:t xml:space="preserve">do </w:t>
      </w:r>
      <w:r w:rsidRPr="00295156">
        <w:rPr>
          <w:szCs w:val="20"/>
        </w:rPr>
        <w:t>not delete it and leave the text “TYPE YOUR TEXT HERE” between the tags.</w:t>
      </w:r>
    </w:p>
    <w:p w:rsidR="00F574D0" w:rsidRPr="00295156" w:rsidRDefault="00F574D0" w:rsidP="00F574D0">
      <w:pPr>
        <w:pStyle w:val="04bList"/>
        <w:numPr>
          <w:ilvl w:val="0"/>
          <w:numId w:val="0"/>
        </w:numPr>
        <w:spacing w:before="120" w:after="120"/>
        <w:rPr>
          <w:szCs w:val="20"/>
        </w:rPr>
      </w:pPr>
      <w:r w:rsidRPr="00295156">
        <w:rPr>
          <w:szCs w:val="20"/>
        </w:rPr>
        <w:t>Responses are most helpful:</w:t>
      </w:r>
    </w:p>
    <w:p w:rsidR="00F574D0" w:rsidRPr="00295156" w:rsidRDefault="00F574D0" w:rsidP="002067BA">
      <w:pPr>
        <w:pStyle w:val="04bList"/>
        <w:numPr>
          <w:ilvl w:val="0"/>
          <w:numId w:val="33"/>
        </w:numPr>
        <w:spacing w:before="120" w:after="120"/>
        <w:rPr>
          <w:szCs w:val="20"/>
        </w:rPr>
      </w:pPr>
      <w:r w:rsidRPr="00295156">
        <w:rPr>
          <w:szCs w:val="20"/>
        </w:rPr>
        <w:t>if they respond to the question stated;</w:t>
      </w:r>
    </w:p>
    <w:p w:rsidR="00F574D0" w:rsidRPr="00295156" w:rsidRDefault="00F574D0" w:rsidP="002067BA">
      <w:pPr>
        <w:pStyle w:val="04bList"/>
        <w:numPr>
          <w:ilvl w:val="0"/>
          <w:numId w:val="33"/>
        </w:numPr>
        <w:spacing w:before="120" w:after="120"/>
        <w:rPr>
          <w:szCs w:val="20"/>
        </w:rPr>
      </w:pPr>
      <w:r w:rsidRPr="00295156">
        <w:rPr>
          <w:szCs w:val="20"/>
        </w:rPr>
        <w:t>contain a clear rationale, including on any related costs and benefits; and</w:t>
      </w:r>
    </w:p>
    <w:p w:rsidR="00A35728" w:rsidRPr="00295156" w:rsidRDefault="00F574D0" w:rsidP="000D17AA">
      <w:pPr>
        <w:pStyle w:val="04bList"/>
        <w:numPr>
          <w:ilvl w:val="0"/>
          <w:numId w:val="33"/>
        </w:numPr>
        <w:spacing w:before="120" w:after="120"/>
        <w:rPr>
          <w:szCs w:val="20"/>
        </w:rPr>
      </w:pPr>
      <w:r w:rsidRPr="00295156">
        <w:rPr>
          <w:szCs w:val="20"/>
        </w:rPr>
        <w:t>describe any alternatives that ESMA should consider</w:t>
      </w:r>
    </w:p>
    <w:p w:rsidR="000D17AA" w:rsidRPr="00295156" w:rsidRDefault="000D17AA" w:rsidP="000D17AA">
      <w:pPr>
        <w:pStyle w:val="04BodyText"/>
        <w:spacing w:before="120" w:after="120"/>
        <w:jc w:val="left"/>
        <w:rPr>
          <w:b/>
          <w:szCs w:val="20"/>
        </w:rPr>
      </w:pPr>
      <w:r w:rsidRPr="00295156">
        <w:rPr>
          <w:b/>
          <w:szCs w:val="20"/>
        </w:rPr>
        <w:t>Naming protocol:</w:t>
      </w:r>
    </w:p>
    <w:p w:rsidR="000D17AA" w:rsidRPr="00295156" w:rsidRDefault="000D17AA" w:rsidP="000D17AA">
      <w:pPr>
        <w:pStyle w:val="04BodyText"/>
        <w:spacing w:before="120" w:after="120"/>
        <w:jc w:val="left"/>
        <w:rPr>
          <w:szCs w:val="20"/>
        </w:rPr>
      </w:pPr>
      <w:r w:rsidRPr="00295156">
        <w:rPr>
          <w:szCs w:val="20"/>
        </w:rPr>
        <w:t>In order to facilitate the handling of stakeholders responses please save your document using the follo</w:t>
      </w:r>
      <w:r w:rsidRPr="00295156">
        <w:rPr>
          <w:szCs w:val="20"/>
        </w:rPr>
        <w:t>w</w:t>
      </w:r>
      <w:r w:rsidRPr="00295156">
        <w:rPr>
          <w:szCs w:val="20"/>
        </w:rPr>
        <w:t>ing format:</w:t>
      </w:r>
    </w:p>
    <w:p w:rsidR="000D17AA" w:rsidRPr="00295156" w:rsidRDefault="000D17AA" w:rsidP="000D17AA">
      <w:pPr>
        <w:pStyle w:val="04BodyText"/>
        <w:spacing w:before="120" w:after="120"/>
        <w:jc w:val="left"/>
        <w:rPr>
          <w:szCs w:val="20"/>
        </w:rPr>
      </w:pPr>
      <w:r w:rsidRPr="00295156">
        <w:rPr>
          <w:szCs w:val="20"/>
        </w:rPr>
        <w:t>ESMA_ TA_CSDR _NAMEOFCOMPANY_NAMEOFDOCUMENT.</w:t>
      </w:r>
    </w:p>
    <w:p w:rsidR="000D17AA" w:rsidRPr="00295156" w:rsidRDefault="000D17AA" w:rsidP="000D17AA">
      <w:pPr>
        <w:pStyle w:val="04BodyText"/>
        <w:spacing w:before="120" w:after="120"/>
        <w:jc w:val="left"/>
        <w:rPr>
          <w:szCs w:val="20"/>
        </w:rPr>
      </w:pPr>
      <w:r w:rsidRPr="00295156">
        <w:rPr>
          <w:szCs w:val="20"/>
        </w:rPr>
        <w:t>E.g. if the respondent were ESMA, the name of the reply form would be E</w:t>
      </w:r>
      <w:r w:rsidRPr="00295156">
        <w:rPr>
          <w:szCs w:val="20"/>
        </w:rPr>
        <w:t>S</w:t>
      </w:r>
      <w:r w:rsidRPr="00295156">
        <w:rPr>
          <w:szCs w:val="20"/>
        </w:rPr>
        <w:t>MA_T</w:t>
      </w:r>
      <w:r w:rsidR="00390F5E" w:rsidRPr="00295156">
        <w:rPr>
          <w:szCs w:val="20"/>
        </w:rPr>
        <w:t>S</w:t>
      </w:r>
      <w:r w:rsidRPr="00295156">
        <w:rPr>
          <w:szCs w:val="20"/>
        </w:rPr>
        <w:t>_CSDR</w:t>
      </w:r>
      <w:r w:rsidR="00390F5E" w:rsidRPr="00295156">
        <w:rPr>
          <w:szCs w:val="20"/>
        </w:rPr>
        <w:t>_AIXX</w:t>
      </w:r>
      <w:r w:rsidRPr="00295156">
        <w:rPr>
          <w:szCs w:val="20"/>
        </w:rPr>
        <w:t>_REPLYFORM or ESMA_</w:t>
      </w:r>
      <w:r w:rsidR="00390F5E" w:rsidRPr="00295156">
        <w:rPr>
          <w:szCs w:val="20"/>
        </w:rPr>
        <w:t>CE_TS_CSDR_AIXX</w:t>
      </w:r>
      <w:r w:rsidRPr="00295156">
        <w:rPr>
          <w:szCs w:val="20"/>
        </w:rPr>
        <w:t>_ANNEX1</w:t>
      </w:r>
    </w:p>
    <w:p w:rsidR="00F574D0" w:rsidRPr="00295156" w:rsidRDefault="00F574D0" w:rsidP="00F574D0">
      <w:pPr>
        <w:pStyle w:val="04BodyText"/>
        <w:spacing w:before="120" w:after="120"/>
        <w:rPr>
          <w:szCs w:val="20"/>
        </w:rPr>
      </w:pPr>
      <w:r w:rsidRPr="00295156">
        <w:rPr>
          <w:szCs w:val="20"/>
        </w:rPr>
        <w:t xml:space="preserve">Responses must reach us </w:t>
      </w:r>
      <w:r w:rsidRPr="007F4106">
        <w:rPr>
          <w:szCs w:val="20"/>
        </w:rPr>
        <w:t xml:space="preserve">by </w:t>
      </w:r>
      <w:r w:rsidR="007F4106" w:rsidRPr="007F4106">
        <w:rPr>
          <w:b/>
          <w:szCs w:val="20"/>
        </w:rPr>
        <w:t>19</w:t>
      </w:r>
      <w:r w:rsidR="00D43F14" w:rsidRPr="007F4106">
        <w:rPr>
          <w:b/>
          <w:szCs w:val="20"/>
        </w:rPr>
        <w:t xml:space="preserve"> </w:t>
      </w:r>
      <w:r w:rsidR="007F4106" w:rsidRPr="007F4106">
        <w:rPr>
          <w:b/>
          <w:szCs w:val="20"/>
        </w:rPr>
        <w:t>February</w:t>
      </w:r>
      <w:r w:rsidR="00D43F14" w:rsidRPr="007F4106">
        <w:rPr>
          <w:b/>
          <w:szCs w:val="20"/>
        </w:rPr>
        <w:t xml:space="preserve"> </w:t>
      </w:r>
      <w:r w:rsidRPr="007F4106">
        <w:rPr>
          <w:b/>
          <w:szCs w:val="20"/>
        </w:rPr>
        <w:t>201</w:t>
      </w:r>
      <w:r w:rsidR="007F4106" w:rsidRPr="007F4106">
        <w:rPr>
          <w:b/>
          <w:szCs w:val="20"/>
        </w:rPr>
        <w:t>5</w:t>
      </w:r>
      <w:r w:rsidRPr="007F4106">
        <w:rPr>
          <w:szCs w:val="20"/>
        </w:rPr>
        <w:t>.</w:t>
      </w:r>
      <w:r w:rsidRPr="00295156">
        <w:rPr>
          <w:szCs w:val="20"/>
        </w:rPr>
        <w:t xml:space="preserve"> </w:t>
      </w:r>
    </w:p>
    <w:p w:rsidR="00F574D0" w:rsidRPr="00295156" w:rsidRDefault="00F574D0" w:rsidP="00F574D0">
      <w:pPr>
        <w:pStyle w:val="04BodyText"/>
        <w:spacing w:before="120" w:after="120"/>
        <w:rPr>
          <w:szCs w:val="20"/>
        </w:rPr>
      </w:pPr>
      <w:r w:rsidRPr="00295156">
        <w:rPr>
          <w:szCs w:val="20"/>
        </w:rPr>
        <w:t xml:space="preserve">All contributions should be submitted online at </w:t>
      </w:r>
      <w:hyperlink r:id="rId13" w:history="1">
        <w:r w:rsidRPr="00295156">
          <w:rPr>
            <w:rStyle w:val="Hipercze"/>
            <w:szCs w:val="20"/>
          </w:rPr>
          <w:t>www.esma.europa.eu</w:t>
        </w:r>
      </w:hyperlink>
      <w:r w:rsidRPr="00295156">
        <w:rPr>
          <w:szCs w:val="20"/>
        </w:rPr>
        <w:t xml:space="preserve"> under the heading ‘Your i</w:t>
      </w:r>
      <w:r w:rsidRPr="00295156">
        <w:rPr>
          <w:szCs w:val="20"/>
        </w:rPr>
        <w:t>n</w:t>
      </w:r>
      <w:r w:rsidRPr="00295156">
        <w:rPr>
          <w:szCs w:val="20"/>
        </w:rPr>
        <w:t xml:space="preserve">put/Consultations’. </w:t>
      </w:r>
    </w:p>
    <w:p w:rsidR="00F574D0" w:rsidRPr="00295156" w:rsidRDefault="00F574D0" w:rsidP="00F574D0">
      <w:pPr>
        <w:autoSpaceDE w:val="0"/>
        <w:autoSpaceDN w:val="0"/>
        <w:adjustRightInd w:val="0"/>
        <w:spacing w:before="120" w:after="120" w:line="276" w:lineRule="auto"/>
        <w:jc w:val="both"/>
        <w:rPr>
          <w:rFonts w:cs="Georgia"/>
          <w:b/>
          <w:bCs/>
          <w:i/>
          <w:color w:val="000000"/>
          <w:sz w:val="20"/>
          <w:szCs w:val="20"/>
          <w:lang w:eastAsia="en-GB"/>
        </w:rPr>
      </w:pPr>
      <w:bookmarkStart w:id="1" w:name="_Toc335141334"/>
      <w:r w:rsidRPr="00295156">
        <w:rPr>
          <w:rFonts w:cs="Georgia"/>
          <w:b/>
          <w:bCs/>
          <w:i/>
          <w:color w:val="000000"/>
          <w:sz w:val="20"/>
          <w:szCs w:val="20"/>
          <w:lang w:eastAsia="en-GB"/>
        </w:rPr>
        <w:t>Publication of responses</w:t>
      </w:r>
      <w:bookmarkEnd w:id="1"/>
    </w:p>
    <w:p w:rsidR="00F574D0" w:rsidRPr="00295156" w:rsidRDefault="00F574D0" w:rsidP="00F574D0">
      <w:pPr>
        <w:pStyle w:val="04BodyText"/>
        <w:spacing w:before="120" w:after="120"/>
        <w:rPr>
          <w:szCs w:val="20"/>
        </w:rPr>
      </w:pPr>
      <w:r w:rsidRPr="00295156">
        <w:rPr>
          <w:szCs w:val="20"/>
        </w:rPr>
        <w:t xml:space="preserve">All contributions received will be published following the end of the consultation period, unless otherwise requested. </w:t>
      </w:r>
      <w:r w:rsidRPr="00295156">
        <w:rPr>
          <w:b/>
          <w:szCs w:val="20"/>
        </w:rPr>
        <w:t>Please clearly indicate by ticking the appropriate checkbox in the website submission form if you do not wish your contribution to be publicly disclosed. A standard confidentiality statement in an email message will not be treated as a request for non-disclosure.</w:t>
      </w:r>
      <w:r w:rsidRPr="00295156">
        <w:rPr>
          <w:szCs w:val="20"/>
        </w:rPr>
        <w:t xml:space="preserve"> Note also that a confidential response may be requested from us in accordance with ESMA’s rules on access to doc</w:t>
      </w:r>
      <w:r w:rsidRPr="00295156">
        <w:rPr>
          <w:szCs w:val="20"/>
        </w:rPr>
        <w:t>u</w:t>
      </w:r>
      <w:r w:rsidRPr="00295156">
        <w:rPr>
          <w:szCs w:val="20"/>
        </w:rPr>
        <w:t>ments. We may consult you if we receive such a request. Any decision we make is reviewable by ESMA’s Board of Appeal and the European Ombudsman.</w:t>
      </w:r>
    </w:p>
    <w:p w:rsidR="00F574D0" w:rsidRPr="00295156" w:rsidRDefault="00F574D0" w:rsidP="00F574D0">
      <w:pPr>
        <w:autoSpaceDE w:val="0"/>
        <w:autoSpaceDN w:val="0"/>
        <w:adjustRightInd w:val="0"/>
        <w:spacing w:before="120" w:after="120" w:line="276" w:lineRule="auto"/>
        <w:jc w:val="both"/>
        <w:rPr>
          <w:rFonts w:cs="Georgia"/>
          <w:b/>
          <w:bCs/>
          <w:i/>
          <w:color w:val="000000"/>
          <w:sz w:val="20"/>
          <w:szCs w:val="20"/>
          <w:lang w:eastAsia="en-GB"/>
        </w:rPr>
      </w:pPr>
      <w:bookmarkStart w:id="2" w:name="_Toc335141335"/>
      <w:r w:rsidRPr="00295156">
        <w:rPr>
          <w:rFonts w:cs="Georgia"/>
          <w:b/>
          <w:bCs/>
          <w:i/>
          <w:color w:val="000000"/>
          <w:sz w:val="20"/>
          <w:szCs w:val="20"/>
          <w:lang w:eastAsia="en-GB"/>
        </w:rPr>
        <w:t>Data protection</w:t>
      </w:r>
      <w:bookmarkEnd w:id="2"/>
    </w:p>
    <w:p w:rsidR="00F574D0" w:rsidRPr="00295156" w:rsidRDefault="00F574D0" w:rsidP="00F574D0">
      <w:pPr>
        <w:autoSpaceDE w:val="0"/>
        <w:autoSpaceDN w:val="0"/>
        <w:adjustRightInd w:val="0"/>
        <w:spacing w:before="120" w:after="120" w:line="276" w:lineRule="auto"/>
        <w:jc w:val="both"/>
        <w:rPr>
          <w:sz w:val="20"/>
          <w:szCs w:val="20"/>
        </w:rPr>
      </w:pPr>
      <w:r w:rsidRPr="00295156">
        <w:rPr>
          <w:sz w:val="20"/>
          <w:szCs w:val="20"/>
        </w:rPr>
        <w:t xml:space="preserve">Information on data protection can be found at </w:t>
      </w:r>
      <w:hyperlink r:id="rId14" w:history="1">
        <w:r w:rsidRPr="00295156">
          <w:rPr>
            <w:rStyle w:val="Hipercze"/>
            <w:sz w:val="20"/>
            <w:szCs w:val="20"/>
          </w:rPr>
          <w:t>www.esma.europa.eu</w:t>
        </w:r>
      </w:hyperlink>
      <w:r w:rsidRPr="00295156">
        <w:rPr>
          <w:sz w:val="20"/>
          <w:szCs w:val="20"/>
        </w:rPr>
        <w:t xml:space="preserve"> under the heading ‘Disclaimer’.</w:t>
      </w:r>
    </w:p>
    <w:bookmarkEnd w:id="0"/>
    <w:p w:rsidR="00473916" w:rsidRDefault="00473916" w:rsidP="00473916"/>
    <w:p w:rsidR="00473916" w:rsidRPr="00473916" w:rsidRDefault="00473916" w:rsidP="00473916"/>
    <w:p w:rsidR="00473916" w:rsidRPr="0026621B" w:rsidRDefault="00473916" w:rsidP="00473916">
      <w:pPr>
        <w:pStyle w:val="Nagwek1"/>
        <w:numPr>
          <w:ilvl w:val="0"/>
          <w:numId w:val="0"/>
        </w:numPr>
        <w:rPr>
          <w:sz w:val="22"/>
          <w:szCs w:val="22"/>
        </w:rPr>
      </w:pPr>
      <w:r w:rsidRPr="0026621B">
        <w:rPr>
          <w:sz w:val="22"/>
          <w:szCs w:val="22"/>
        </w:rPr>
        <w:lastRenderedPageBreak/>
        <w:t>General information about respondent</w:t>
      </w:r>
    </w:p>
    <w:tbl>
      <w:tblPr>
        <w:tblStyle w:val="Tabela-Siatka"/>
        <w:tblW w:w="0" w:type="auto"/>
        <w:tblLook w:val="04A0" w:firstRow="1" w:lastRow="0" w:firstColumn="1" w:lastColumn="0" w:noHBand="0" w:noVBand="1"/>
      </w:tblPr>
      <w:tblGrid>
        <w:gridCol w:w="3510"/>
        <w:gridCol w:w="6118"/>
      </w:tblGrid>
      <w:tr w:rsidR="00473916" w:rsidRPr="0026621B">
        <w:tc>
          <w:tcPr>
            <w:tcW w:w="3510" w:type="dxa"/>
          </w:tcPr>
          <w:p w:rsidR="00473916" w:rsidRPr="0026621B" w:rsidRDefault="00473916" w:rsidP="0067253C">
            <w:pPr>
              <w:rPr>
                <w:rFonts w:cs="Arial"/>
                <w:szCs w:val="22"/>
              </w:rPr>
            </w:pPr>
            <w:r w:rsidRPr="0026621B">
              <w:rPr>
                <w:rFonts w:cs="Arial"/>
                <w:szCs w:val="22"/>
              </w:rPr>
              <w:t>Are you representing an associ</w:t>
            </w:r>
            <w:r w:rsidRPr="0026621B">
              <w:rPr>
                <w:rFonts w:cs="Arial"/>
                <w:szCs w:val="22"/>
              </w:rPr>
              <w:t>a</w:t>
            </w:r>
            <w:r w:rsidRPr="0026621B">
              <w:rPr>
                <w:rFonts w:cs="Arial"/>
                <w:szCs w:val="22"/>
              </w:rPr>
              <w:t>tion?</w:t>
            </w:r>
          </w:p>
        </w:tc>
        <w:tc>
          <w:tcPr>
            <w:tcW w:w="6118" w:type="dxa"/>
          </w:tcPr>
          <w:p w:rsidR="00473916" w:rsidRPr="0026621B" w:rsidRDefault="00D459B1" w:rsidP="0067253C">
            <w:pPr>
              <w:rPr>
                <w:rFonts w:cs="Arial"/>
                <w:szCs w:val="22"/>
              </w:rPr>
            </w:pPr>
            <w:sdt>
              <w:sdtPr>
                <w:rPr>
                  <w:rFonts w:cs="Arial"/>
                  <w:szCs w:val="22"/>
                </w:rPr>
                <w:alias w:val="Association"/>
                <w:tag w:val="Association"/>
                <w:id w:val="-1769143793"/>
                <w:placeholder>
                  <w:docPart w:val="65E85BD11FA34C35ABE725446C5BAEC5"/>
                </w:placeholder>
                <w:comboBox>
                  <w:listItem w:displayText="Yes" w:value="Yes"/>
                  <w:listItem w:displayText="No" w:value="No"/>
                </w:comboBox>
              </w:sdtPr>
              <w:sdtEndPr/>
              <w:sdtContent>
                <w:permStart w:id="373313621" w:edGrp="everyone"/>
                <w:r w:rsidR="00BC23DB">
                  <w:rPr>
                    <w:rFonts w:cs="Arial"/>
                    <w:szCs w:val="22"/>
                  </w:rPr>
                  <w:t>No</w:t>
                </w:r>
                <w:permEnd w:id="373313621"/>
              </w:sdtContent>
            </w:sdt>
          </w:p>
        </w:tc>
      </w:tr>
      <w:tr w:rsidR="00473916" w:rsidRPr="0026621B">
        <w:tc>
          <w:tcPr>
            <w:tcW w:w="3510" w:type="dxa"/>
          </w:tcPr>
          <w:p w:rsidR="00473916" w:rsidRPr="0026621B" w:rsidRDefault="00473916" w:rsidP="0067253C">
            <w:pPr>
              <w:rPr>
                <w:rFonts w:cs="Arial"/>
                <w:szCs w:val="22"/>
              </w:rPr>
            </w:pPr>
            <w:r w:rsidRPr="0026621B">
              <w:rPr>
                <w:rFonts w:cs="Arial"/>
                <w:szCs w:val="22"/>
              </w:rPr>
              <w:t>Activity:</w:t>
            </w:r>
          </w:p>
        </w:tc>
        <w:tc>
          <w:tcPr>
            <w:tcW w:w="6118" w:type="dxa"/>
          </w:tcPr>
          <w:p w:rsidR="00473916" w:rsidRPr="0026621B" w:rsidRDefault="00D459B1" w:rsidP="0067253C">
            <w:pPr>
              <w:rPr>
                <w:rFonts w:cs="Arial"/>
                <w:szCs w:val="22"/>
              </w:rPr>
            </w:pPr>
            <w:sdt>
              <w:sdtPr>
                <w:rPr>
                  <w:rFonts w:cs="Arial"/>
                  <w:szCs w:val="22"/>
                </w:rPr>
                <w:alias w:val="Activity"/>
                <w:tag w:val="Activity"/>
                <w:id w:val="1654095920"/>
                <w:placeholder>
                  <w:docPart w:val="98048A7DD8DF4A6B8C6CF00D9B1940F8"/>
                </w:placeholder>
                <w:comboBox>
                  <w:listItem w:value="Choose an item."/>
                  <w:listItem w:displayText="Central Securities Depository" w:value="Central Securities Depository"/>
                  <w:listItem w:displayText="Central Counterparty" w:value="Central Counterparty"/>
                  <w:listItem w:displayText="Government, Regulatory and Enforcement" w:value="Government, Regulatory and Enforcement"/>
                  <w:listItem w:displayText="Investment Firm" w:value="Investment Firm"/>
                  <w:listItem w:displayText="Credit Institution" w:value="Credit Institution"/>
                  <w:listItem w:displayText="Fund/Investment Company" w:value="Fund/Investment Company"/>
                  <w:listItem w:displayText="Trading Venue" w:value="Trading Venue"/>
                  <w:listItem w:displayText="Service Provider" w:value="Service Provider"/>
                  <w:listItem w:displayText="Issuer" w:value="Issuer"/>
                  <w:listItem w:displayText="Professional Advisor" w:value="Professional Advisor"/>
                  <w:listItem w:displayText="Other" w:value="Other"/>
                </w:comboBox>
              </w:sdtPr>
              <w:sdtEndPr/>
              <w:sdtContent>
                <w:permStart w:id="311911557" w:edGrp="everyone"/>
                <w:r w:rsidR="00BC23DB">
                  <w:rPr>
                    <w:rFonts w:cs="Arial"/>
                    <w:szCs w:val="22"/>
                  </w:rPr>
                  <w:t>Central Securities Depository</w:t>
                </w:r>
                <w:permEnd w:id="311911557"/>
              </w:sdtContent>
            </w:sdt>
          </w:p>
        </w:tc>
      </w:tr>
      <w:tr w:rsidR="00473916" w:rsidRPr="0026621B">
        <w:tc>
          <w:tcPr>
            <w:tcW w:w="3510" w:type="dxa"/>
          </w:tcPr>
          <w:p w:rsidR="00473916" w:rsidRPr="0026621B" w:rsidRDefault="00473916" w:rsidP="0067253C">
            <w:pPr>
              <w:rPr>
                <w:rFonts w:cs="Arial"/>
                <w:szCs w:val="22"/>
              </w:rPr>
            </w:pPr>
            <w:r w:rsidRPr="0026621B">
              <w:rPr>
                <w:rFonts w:cs="Arial"/>
                <w:szCs w:val="22"/>
              </w:rPr>
              <w:t>Country/Region</w:t>
            </w:r>
          </w:p>
        </w:tc>
        <w:sdt>
          <w:sdtPr>
            <w:rPr>
              <w:rFonts w:cs="Arial"/>
              <w:szCs w:val="22"/>
            </w:rPr>
            <w:alias w:val="Country"/>
            <w:tag w:val="Country"/>
            <w:id w:val="-1549134410"/>
            <w:placeholder>
              <w:docPart w:val="5EAC301EA3224F67909AA00721C3F8B7"/>
            </w:placeholder>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ithuania" w:value="Lithuania"/>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EndPr/>
          <w:sdtContent>
            <w:permStart w:id="1768831188" w:edGrp="everyone" w:displacedByCustomXml="prev"/>
            <w:tc>
              <w:tcPr>
                <w:tcW w:w="6118" w:type="dxa"/>
              </w:tcPr>
              <w:p w:rsidR="00473916" w:rsidRPr="0026621B" w:rsidRDefault="00BC23DB" w:rsidP="0067253C">
                <w:pPr>
                  <w:rPr>
                    <w:rFonts w:cs="Arial"/>
                    <w:szCs w:val="22"/>
                  </w:rPr>
                </w:pPr>
                <w:r>
                  <w:rPr>
                    <w:rFonts w:cs="Arial"/>
                    <w:szCs w:val="22"/>
                  </w:rPr>
                  <w:t>Poland</w:t>
                </w:r>
              </w:p>
            </w:tc>
            <w:permEnd w:id="1768831188" w:displacedByCustomXml="next"/>
          </w:sdtContent>
        </w:sdt>
      </w:tr>
    </w:tbl>
    <w:p w:rsidR="007F4106" w:rsidRDefault="007F4106">
      <w:pPr>
        <w:rPr>
          <w:b/>
        </w:rPr>
      </w:pPr>
      <w:r>
        <w:br w:type="page"/>
      </w:r>
    </w:p>
    <w:p w:rsidR="00D12AFD" w:rsidRDefault="00D12AFD" w:rsidP="00965B03">
      <w:pPr>
        <w:pStyle w:val="Nagwek5"/>
        <w:ind w:left="567" w:hanging="567"/>
      </w:pPr>
      <w:r w:rsidRPr="002C4F00">
        <w:lastRenderedPageBreak/>
        <w:t>Do you think the proposed timeframes for allocations and confirmations under Article 2 of the RTS on Settlement Discipline are adequate?</w:t>
      </w:r>
    </w:p>
    <w:p w:rsidR="00D12AFD" w:rsidRPr="002C4F00" w:rsidRDefault="00D12AFD" w:rsidP="00BA1DEE">
      <w:pPr>
        <w:pStyle w:val="Nagwek5"/>
        <w:numPr>
          <w:ilvl w:val="0"/>
          <w:numId w:val="0"/>
        </w:numPr>
        <w:ind w:left="567"/>
      </w:pPr>
      <w:r w:rsidRPr="002C4F00">
        <w:t>If not, what would be feasible timeframes in your opinion?</w:t>
      </w:r>
    </w:p>
    <w:p w:rsidR="00D12AFD" w:rsidRDefault="00D12AFD" w:rsidP="00BA1DEE">
      <w:pPr>
        <w:ind w:left="567"/>
      </w:pPr>
    </w:p>
    <w:p w:rsidR="00D12AFD" w:rsidRPr="002C4F00" w:rsidRDefault="00D12AFD" w:rsidP="00BA1DEE">
      <w:pPr>
        <w:pStyle w:val="Nagwek5"/>
        <w:numPr>
          <w:ilvl w:val="0"/>
          <w:numId w:val="0"/>
        </w:numPr>
        <w:ind w:left="567"/>
      </w:pPr>
      <w:r w:rsidRPr="002C4F00">
        <w:t>Please provide details and arguments in case you envisage any technical difficulties in complying with the proposed timeframes.</w:t>
      </w:r>
    </w:p>
    <w:p w:rsidR="00D12AFD" w:rsidRDefault="00D12AFD" w:rsidP="00D12AFD"/>
    <w:p w:rsidR="00D12AFD" w:rsidRDefault="00D12AFD" w:rsidP="00D12AFD">
      <w:r>
        <w:t>&lt;ESMA_QUESTION_TS_CSDR_1&gt;</w:t>
      </w:r>
    </w:p>
    <w:p w:rsidR="00C32FB9" w:rsidRDefault="00017D63" w:rsidP="009D1DBE">
      <w:pPr>
        <w:pStyle w:val="Default"/>
        <w:jc w:val="both"/>
        <w:rPr>
          <w:rFonts w:ascii="Arial" w:hAnsi="Arial" w:cs="Arial"/>
          <w:bCs/>
          <w:color w:val="auto"/>
          <w:sz w:val="22"/>
          <w:szCs w:val="22"/>
          <w:lang w:val="en-US"/>
        </w:rPr>
      </w:pPr>
      <w:permStart w:id="1621713291" w:edGrp="everyone"/>
      <w:r w:rsidRPr="000C2041">
        <w:rPr>
          <w:rFonts w:ascii="Arial" w:hAnsi="Arial" w:cs="Arial"/>
          <w:bCs/>
          <w:color w:val="auto"/>
          <w:sz w:val="22"/>
          <w:szCs w:val="22"/>
          <w:lang w:val="en-US"/>
        </w:rPr>
        <w:t xml:space="preserve">From our point of view </w:t>
      </w:r>
      <w:r w:rsidRPr="000C2041">
        <w:rPr>
          <w:rFonts w:ascii="Arial" w:hAnsi="Arial" w:cs="Arial"/>
          <w:color w:val="auto"/>
          <w:sz w:val="22"/>
          <w:szCs w:val="22"/>
          <w:lang w:val="en-GB" w:eastAsia="ar-SA"/>
        </w:rPr>
        <w:t xml:space="preserve">CSDs are not directly in the scope of trade confirmation and allocation </w:t>
      </w:r>
      <w:r w:rsidRPr="000C2041">
        <w:rPr>
          <w:rFonts w:ascii="Arial" w:hAnsi="Arial" w:cs="Arial"/>
          <w:bCs/>
          <w:color w:val="auto"/>
          <w:sz w:val="22"/>
          <w:szCs w:val="22"/>
          <w:lang w:val="en-US"/>
        </w:rPr>
        <w:t xml:space="preserve">between investment firms and their professional clients. </w:t>
      </w:r>
    </w:p>
    <w:p w:rsidR="00017D63" w:rsidRPr="000C2041" w:rsidRDefault="00DE6552" w:rsidP="009D1DBE">
      <w:pPr>
        <w:pStyle w:val="Default"/>
        <w:jc w:val="both"/>
        <w:rPr>
          <w:rFonts w:ascii="Arial" w:hAnsi="Arial" w:cs="Arial"/>
          <w:bCs/>
          <w:color w:val="auto"/>
          <w:sz w:val="22"/>
          <w:szCs w:val="22"/>
          <w:lang w:val="en-US"/>
        </w:rPr>
      </w:pPr>
      <w:r>
        <w:rPr>
          <w:rFonts w:ascii="Arial" w:hAnsi="Arial" w:cs="Arial"/>
          <w:bCs/>
          <w:color w:val="auto"/>
          <w:sz w:val="22"/>
          <w:szCs w:val="22"/>
          <w:lang w:val="en-US"/>
        </w:rPr>
        <w:t>T</w:t>
      </w:r>
      <w:r w:rsidR="00017D63" w:rsidRPr="000C2041">
        <w:rPr>
          <w:rFonts w:ascii="Arial" w:hAnsi="Arial" w:cs="Arial"/>
          <w:bCs/>
          <w:color w:val="auto"/>
          <w:sz w:val="22"/>
          <w:szCs w:val="22"/>
          <w:lang w:val="en-US"/>
        </w:rPr>
        <w:t xml:space="preserve">o improve the process on </w:t>
      </w:r>
      <w:r>
        <w:rPr>
          <w:rFonts w:ascii="Arial" w:hAnsi="Arial" w:cs="Arial"/>
          <w:bCs/>
          <w:color w:val="auto"/>
          <w:sz w:val="22"/>
          <w:szCs w:val="22"/>
          <w:lang w:val="en-US"/>
        </w:rPr>
        <w:t xml:space="preserve">the </w:t>
      </w:r>
      <w:r w:rsidR="00017D63" w:rsidRPr="000C2041">
        <w:rPr>
          <w:rFonts w:ascii="Arial" w:hAnsi="Arial" w:cs="Arial"/>
          <w:bCs/>
          <w:color w:val="auto"/>
          <w:sz w:val="22"/>
          <w:szCs w:val="22"/>
          <w:lang w:val="en-US"/>
        </w:rPr>
        <w:t>CSD side it is crucia</w:t>
      </w:r>
      <w:r>
        <w:rPr>
          <w:rFonts w:ascii="Arial" w:hAnsi="Arial" w:cs="Arial"/>
          <w:bCs/>
          <w:color w:val="auto"/>
          <w:sz w:val="22"/>
          <w:szCs w:val="22"/>
          <w:lang w:val="en-US"/>
        </w:rPr>
        <w:t>l to use hold/</w:t>
      </w:r>
      <w:r w:rsidR="00017D63" w:rsidRPr="000C2041">
        <w:rPr>
          <w:rFonts w:ascii="Arial" w:hAnsi="Arial" w:cs="Arial"/>
          <w:bCs/>
          <w:color w:val="auto"/>
          <w:sz w:val="22"/>
          <w:szCs w:val="22"/>
          <w:lang w:val="en-US"/>
        </w:rPr>
        <w:t>release and tolerance level mechanisms.</w:t>
      </w:r>
    </w:p>
    <w:p w:rsidR="00017D63" w:rsidRPr="000C2041" w:rsidRDefault="00017D63" w:rsidP="009D1DBE">
      <w:pPr>
        <w:pStyle w:val="Default"/>
        <w:jc w:val="both"/>
        <w:rPr>
          <w:rFonts w:ascii="Arial" w:hAnsi="Arial" w:cs="Arial"/>
          <w:bCs/>
          <w:color w:val="auto"/>
          <w:sz w:val="22"/>
          <w:szCs w:val="22"/>
          <w:lang w:val="en-US"/>
        </w:rPr>
      </w:pPr>
      <w:r w:rsidRPr="000C2041">
        <w:rPr>
          <w:rFonts w:ascii="Arial" w:hAnsi="Arial" w:cs="Arial"/>
          <w:bCs/>
          <w:color w:val="auto"/>
          <w:sz w:val="22"/>
          <w:szCs w:val="22"/>
          <w:lang w:val="en-US"/>
        </w:rPr>
        <w:t>Hold release mechanism</w:t>
      </w:r>
      <w:r w:rsidR="00DE6552">
        <w:rPr>
          <w:rFonts w:ascii="Arial" w:hAnsi="Arial" w:cs="Arial"/>
          <w:bCs/>
          <w:color w:val="auto"/>
          <w:sz w:val="22"/>
          <w:szCs w:val="22"/>
          <w:lang w:val="en-US"/>
        </w:rPr>
        <w:t>s allow</w:t>
      </w:r>
      <w:r w:rsidRPr="000C2041">
        <w:rPr>
          <w:rFonts w:ascii="Arial" w:hAnsi="Arial" w:cs="Arial"/>
          <w:bCs/>
          <w:color w:val="auto"/>
          <w:sz w:val="22"/>
          <w:szCs w:val="22"/>
          <w:lang w:val="en-US"/>
        </w:rPr>
        <w:t xml:space="preserve"> the investment firm to send the instruction to </w:t>
      </w:r>
      <w:r w:rsidR="00DE6552">
        <w:rPr>
          <w:rFonts w:ascii="Arial" w:hAnsi="Arial" w:cs="Arial"/>
          <w:bCs/>
          <w:color w:val="auto"/>
          <w:sz w:val="22"/>
          <w:szCs w:val="22"/>
          <w:lang w:val="en-US"/>
        </w:rPr>
        <w:t xml:space="preserve">a </w:t>
      </w:r>
      <w:r w:rsidRPr="000C2041">
        <w:rPr>
          <w:rFonts w:ascii="Arial" w:hAnsi="Arial" w:cs="Arial"/>
          <w:bCs/>
          <w:color w:val="auto"/>
          <w:sz w:val="22"/>
          <w:szCs w:val="22"/>
          <w:lang w:val="en-US"/>
        </w:rPr>
        <w:t xml:space="preserve">CSD with </w:t>
      </w:r>
      <w:r w:rsidR="00DE6552">
        <w:rPr>
          <w:rFonts w:ascii="Arial" w:hAnsi="Arial" w:cs="Arial"/>
          <w:bCs/>
          <w:color w:val="auto"/>
          <w:sz w:val="22"/>
          <w:szCs w:val="22"/>
          <w:lang w:val="en-US"/>
        </w:rPr>
        <w:t xml:space="preserve">the </w:t>
      </w:r>
      <w:r w:rsidRPr="000C2041">
        <w:rPr>
          <w:rFonts w:ascii="Arial" w:hAnsi="Arial" w:cs="Arial"/>
          <w:bCs/>
          <w:color w:val="auto"/>
          <w:sz w:val="22"/>
          <w:szCs w:val="22"/>
          <w:lang w:val="en-US"/>
        </w:rPr>
        <w:t xml:space="preserve">status </w:t>
      </w:r>
      <w:r w:rsidR="00DE6552">
        <w:rPr>
          <w:rFonts w:ascii="Arial" w:hAnsi="Arial" w:cs="Arial"/>
          <w:bCs/>
          <w:color w:val="auto"/>
          <w:sz w:val="22"/>
          <w:szCs w:val="22"/>
          <w:lang w:val="en-US"/>
        </w:rPr>
        <w:t>“</w:t>
      </w:r>
      <w:r w:rsidRPr="000C2041">
        <w:rPr>
          <w:rFonts w:ascii="Arial" w:hAnsi="Arial" w:cs="Arial"/>
          <w:bCs/>
          <w:color w:val="auto"/>
          <w:sz w:val="22"/>
          <w:szCs w:val="22"/>
          <w:lang w:val="en-US"/>
        </w:rPr>
        <w:t>hold</w:t>
      </w:r>
      <w:r w:rsidR="00DE6552">
        <w:rPr>
          <w:rFonts w:ascii="Arial" w:hAnsi="Arial" w:cs="Arial"/>
          <w:bCs/>
          <w:color w:val="auto"/>
          <w:sz w:val="22"/>
          <w:szCs w:val="22"/>
          <w:lang w:val="en-US"/>
        </w:rPr>
        <w:t>”</w:t>
      </w:r>
      <w:r w:rsidRPr="000C2041">
        <w:rPr>
          <w:rFonts w:ascii="Arial" w:hAnsi="Arial" w:cs="Arial"/>
          <w:bCs/>
          <w:color w:val="auto"/>
          <w:sz w:val="22"/>
          <w:szCs w:val="22"/>
          <w:lang w:val="en-US"/>
        </w:rPr>
        <w:t xml:space="preserve"> while waiting for the confirmation from its client. The</w:t>
      </w:r>
      <w:r w:rsidR="00DE6552">
        <w:rPr>
          <w:rFonts w:ascii="Arial" w:hAnsi="Arial" w:cs="Arial"/>
          <w:bCs/>
          <w:color w:val="auto"/>
          <w:sz w:val="22"/>
          <w:szCs w:val="22"/>
          <w:lang w:val="en-US"/>
        </w:rPr>
        <w:t>n, after the confirmation only a “r</w:t>
      </w:r>
      <w:r w:rsidRPr="000C2041">
        <w:rPr>
          <w:rFonts w:ascii="Arial" w:hAnsi="Arial" w:cs="Arial"/>
          <w:bCs/>
          <w:color w:val="auto"/>
          <w:sz w:val="22"/>
          <w:szCs w:val="22"/>
          <w:lang w:val="en-US"/>
        </w:rPr>
        <w:t>elease</w:t>
      </w:r>
      <w:r w:rsidR="00DE6552">
        <w:rPr>
          <w:rFonts w:ascii="Arial" w:hAnsi="Arial" w:cs="Arial"/>
          <w:bCs/>
          <w:color w:val="auto"/>
          <w:sz w:val="22"/>
          <w:szCs w:val="22"/>
          <w:lang w:val="en-US"/>
        </w:rPr>
        <w:t>” instruction</w:t>
      </w:r>
      <w:r w:rsidRPr="000C2041">
        <w:rPr>
          <w:rFonts w:ascii="Arial" w:hAnsi="Arial" w:cs="Arial"/>
          <w:bCs/>
          <w:color w:val="auto"/>
          <w:sz w:val="22"/>
          <w:szCs w:val="22"/>
          <w:lang w:val="en-US"/>
        </w:rPr>
        <w:t xml:space="preserve"> is </w:t>
      </w:r>
      <w:r w:rsidR="00DE6552">
        <w:rPr>
          <w:rFonts w:ascii="Arial" w:hAnsi="Arial" w:cs="Arial"/>
          <w:bCs/>
          <w:color w:val="auto"/>
          <w:sz w:val="22"/>
          <w:szCs w:val="22"/>
          <w:lang w:val="en-US"/>
        </w:rPr>
        <w:t>required</w:t>
      </w:r>
      <w:r w:rsidRPr="000C2041">
        <w:rPr>
          <w:rFonts w:ascii="Arial" w:hAnsi="Arial" w:cs="Arial"/>
          <w:bCs/>
          <w:color w:val="auto"/>
          <w:sz w:val="22"/>
          <w:szCs w:val="22"/>
          <w:lang w:val="en-US"/>
        </w:rPr>
        <w:t>.</w:t>
      </w:r>
    </w:p>
    <w:p w:rsidR="00017D63" w:rsidRPr="000C2041" w:rsidRDefault="00017D63" w:rsidP="009D1DBE">
      <w:pPr>
        <w:pStyle w:val="Default"/>
        <w:jc w:val="both"/>
        <w:rPr>
          <w:rFonts w:ascii="Arial" w:hAnsi="Arial" w:cs="Arial"/>
          <w:bCs/>
          <w:color w:val="auto"/>
          <w:sz w:val="22"/>
          <w:szCs w:val="22"/>
          <w:lang w:val="en-US"/>
        </w:rPr>
      </w:pPr>
      <w:r w:rsidRPr="000C2041">
        <w:rPr>
          <w:rFonts w:ascii="Arial" w:hAnsi="Arial" w:cs="Arial"/>
          <w:bCs/>
          <w:color w:val="auto"/>
          <w:sz w:val="22"/>
          <w:szCs w:val="22"/>
          <w:lang w:val="en-US"/>
        </w:rPr>
        <w:t>Tolerance level</w:t>
      </w:r>
      <w:r w:rsidR="00DE6552">
        <w:rPr>
          <w:rFonts w:ascii="Arial" w:hAnsi="Arial" w:cs="Arial"/>
          <w:bCs/>
          <w:color w:val="auto"/>
          <w:sz w:val="22"/>
          <w:szCs w:val="22"/>
          <w:lang w:val="en-US"/>
        </w:rPr>
        <w:t>s allow</w:t>
      </w:r>
      <w:r w:rsidRPr="000C2041">
        <w:rPr>
          <w:rFonts w:ascii="Arial" w:hAnsi="Arial" w:cs="Arial"/>
          <w:bCs/>
          <w:color w:val="auto"/>
          <w:sz w:val="22"/>
          <w:szCs w:val="22"/>
          <w:lang w:val="en-US"/>
        </w:rPr>
        <w:t xml:space="preserve"> </w:t>
      </w:r>
      <w:r w:rsidR="00DE6552">
        <w:rPr>
          <w:rFonts w:ascii="Arial" w:hAnsi="Arial" w:cs="Arial"/>
          <w:bCs/>
          <w:color w:val="auto"/>
          <w:sz w:val="22"/>
          <w:szCs w:val="22"/>
          <w:lang w:val="en-US"/>
        </w:rPr>
        <w:t>for</w:t>
      </w:r>
      <w:r w:rsidRPr="000C2041">
        <w:rPr>
          <w:rFonts w:ascii="Arial" w:hAnsi="Arial" w:cs="Arial"/>
          <w:bCs/>
          <w:color w:val="auto"/>
          <w:sz w:val="22"/>
          <w:szCs w:val="22"/>
          <w:lang w:val="en-US"/>
        </w:rPr>
        <w:t xml:space="preserve"> settlement in the situation when the amount in the instructions differs between counterparties.</w:t>
      </w:r>
    </w:p>
    <w:p w:rsidR="00017D63" w:rsidRDefault="00017D63" w:rsidP="009D1DBE">
      <w:pPr>
        <w:rPr>
          <w:rFonts w:cs="Arial"/>
          <w:szCs w:val="22"/>
          <w:lang w:val="en-US"/>
        </w:rPr>
      </w:pPr>
      <w:r w:rsidRPr="000C2041">
        <w:rPr>
          <w:rFonts w:cs="Arial"/>
          <w:szCs w:val="22"/>
          <w:lang w:val="en-US"/>
        </w:rPr>
        <w:t>We would like to point out that the fields required for the purpose of trade confirmations need to be consistent with the fields used in the further processing of the transaction (e.g. for the matc</w:t>
      </w:r>
      <w:r w:rsidRPr="000C2041">
        <w:rPr>
          <w:rFonts w:cs="Arial"/>
          <w:szCs w:val="22"/>
          <w:lang w:val="en-US"/>
        </w:rPr>
        <w:t>h</w:t>
      </w:r>
      <w:r w:rsidRPr="000C2041">
        <w:rPr>
          <w:rFonts w:cs="Arial"/>
          <w:szCs w:val="22"/>
          <w:lang w:val="en-US"/>
        </w:rPr>
        <w:t>ing of instructions).</w:t>
      </w:r>
    </w:p>
    <w:permEnd w:id="1621713291"/>
    <w:p w:rsidR="00D12AFD" w:rsidRDefault="00D12AFD" w:rsidP="00D12AFD">
      <w:r>
        <w:t>&lt;ESMA_QUESTION_TS_CSDR_1&gt;</w:t>
      </w:r>
    </w:p>
    <w:p w:rsidR="00D12AFD" w:rsidRDefault="00D12AFD" w:rsidP="00B874B2">
      <w:pPr>
        <w:pStyle w:val="Nagwek5"/>
        <w:ind w:left="567" w:hanging="567"/>
        <w:rPr>
          <w:color w:val="000000"/>
          <w:lang w:eastAsia="en-GB"/>
        </w:rPr>
      </w:pPr>
      <w:r w:rsidRPr="002C4F00">
        <w:rPr>
          <w:color w:val="000000"/>
          <w:lang w:eastAsia="en-GB"/>
        </w:rPr>
        <w:t>Do you agree with the cases when matching would not be necessary, as specified under Article 3(2) of the draft RTS?</w:t>
      </w:r>
    </w:p>
    <w:p w:rsidR="00D12AFD" w:rsidRPr="00D12AFD" w:rsidRDefault="00D12AFD" w:rsidP="00BA1DEE">
      <w:pPr>
        <w:pStyle w:val="Nagwek5"/>
        <w:numPr>
          <w:ilvl w:val="0"/>
          <w:numId w:val="0"/>
        </w:numPr>
        <w:ind w:left="567"/>
        <w:rPr>
          <w:color w:val="000000"/>
          <w:lang w:eastAsia="en-GB"/>
        </w:rPr>
      </w:pPr>
      <w:r w:rsidRPr="00D12AFD">
        <w:rPr>
          <w:color w:val="000000"/>
          <w:lang w:eastAsia="en-GB"/>
        </w:rPr>
        <w:t>Should other cases be included? Please provide details and evidence for any pr</w:t>
      </w:r>
      <w:r w:rsidRPr="00D12AFD">
        <w:rPr>
          <w:color w:val="000000"/>
          <w:lang w:eastAsia="en-GB"/>
        </w:rPr>
        <w:t>o</w:t>
      </w:r>
      <w:r w:rsidRPr="00D12AFD">
        <w:rPr>
          <w:color w:val="000000"/>
          <w:lang w:eastAsia="en-GB"/>
        </w:rPr>
        <w:t>posed case.</w:t>
      </w:r>
    </w:p>
    <w:p w:rsidR="00D12AFD" w:rsidRDefault="00D12AFD" w:rsidP="00D12AFD"/>
    <w:p w:rsidR="00D12AFD" w:rsidRDefault="00D12AFD" w:rsidP="00D12AFD">
      <w:r>
        <w:t>&lt;ESMA_QUESTION_TS_CSDR_2&gt;</w:t>
      </w:r>
    </w:p>
    <w:p w:rsidR="00017D63" w:rsidRPr="000C2041" w:rsidRDefault="00017D63" w:rsidP="0067253C">
      <w:pPr>
        <w:rPr>
          <w:rFonts w:cs="Arial"/>
          <w:bCs/>
          <w:lang w:val="en-US"/>
        </w:rPr>
      </w:pPr>
      <w:permStart w:id="1641222460" w:edGrp="everyone"/>
      <w:r w:rsidRPr="000C2041">
        <w:rPr>
          <w:rFonts w:cs="Arial"/>
          <w:bCs/>
          <w:lang w:val="en-US"/>
        </w:rPr>
        <w:t>We agree that matching is not necessary in the following situations:</w:t>
      </w:r>
    </w:p>
    <w:p w:rsidR="00017D63" w:rsidRPr="000C2041" w:rsidRDefault="00017D63" w:rsidP="0067253C">
      <w:pPr>
        <w:autoSpaceDE w:val="0"/>
        <w:autoSpaceDN w:val="0"/>
        <w:adjustRightInd w:val="0"/>
        <w:rPr>
          <w:rFonts w:cs="Arial"/>
          <w:lang w:val="en-US"/>
        </w:rPr>
      </w:pPr>
      <w:r w:rsidRPr="000C2041">
        <w:rPr>
          <w:rFonts w:cs="Arial"/>
          <w:lang w:val="en-US"/>
        </w:rPr>
        <w:t xml:space="preserve">a) </w:t>
      </w:r>
      <w:proofErr w:type="gramStart"/>
      <w:r w:rsidRPr="000C2041">
        <w:rPr>
          <w:rFonts w:cs="Arial"/>
          <w:lang w:val="en-US"/>
        </w:rPr>
        <w:t>the</w:t>
      </w:r>
      <w:proofErr w:type="gramEnd"/>
      <w:r w:rsidRPr="000C2041">
        <w:rPr>
          <w:rFonts w:cs="Arial"/>
          <w:lang w:val="en-US"/>
        </w:rPr>
        <w:t xml:space="preserve"> settlement instructions received by the CSD are already matched by trading venues or other entities such as CCPs; </w:t>
      </w:r>
    </w:p>
    <w:p w:rsidR="00017D63" w:rsidRPr="000C2041" w:rsidRDefault="00017D63" w:rsidP="0067253C">
      <w:pPr>
        <w:autoSpaceDE w:val="0"/>
        <w:autoSpaceDN w:val="0"/>
        <w:adjustRightInd w:val="0"/>
        <w:rPr>
          <w:rFonts w:cs="Arial"/>
          <w:lang w:val="en-US"/>
        </w:rPr>
      </w:pPr>
      <w:r w:rsidRPr="000C2041">
        <w:rPr>
          <w:rFonts w:cs="Arial"/>
          <w:lang w:val="en-US"/>
        </w:rPr>
        <w:t>b) FoP instructions which consist of transfers of financial instruments between different accounts opened in the name of the same participant.</w:t>
      </w:r>
    </w:p>
    <w:p w:rsidR="00017D63" w:rsidRPr="000C2041" w:rsidRDefault="00017D63" w:rsidP="0067253C">
      <w:pPr>
        <w:autoSpaceDE w:val="0"/>
        <w:autoSpaceDN w:val="0"/>
        <w:adjustRightInd w:val="0"/>
        <w:rPr>
          <w:rFonts w:cs="Arial"/>
          <w:lang w:val="en-US"/>
        </w:rPr>
      </w:pPr>
    </w:p>
    <w:p w:rsidR="00017D63" w:rsidRPr="000C2041" w:rsidRDefault="009C252C" w:rsidP="0067253C">
      <w:pPr>
        <w:autoSpaceDE w:val="0"/>
        <w:autoSpaceDN w:val="0"/>
        <w:adjustRightInd w:val="0"/>
        <w:rPr>
          <w:rFonts w:cs="Arial"/>
          <w:lang w:val="en-US"/>
        </w:rPr>
      </w:pPr>
      <w:r>
        <w:rPr>
          <w:rFonts w:cs="Arial"/>
          <w:lang w:val="en-US"/>
        </w:rPr>
        <w:t>M</w:t>
      </w:r>
      <w:r w:rsidR="00017D63" w:rsidRPr="000C2041">
        <w:rPr>
          <w:rFonts w:cs="Arial"/>
          <w:lang w:val="en-US"/>
        </w:rPr>
        <w:t>atching of settlement instructions by CSDs should be fully automated and occur continuously throughout each business day.</w:t>
      </w:r>
    </w:p>
    <w:p w:rsidR="00017D63" w:rsidRPr="000C2041" w:rsidRDefault="009C252C" w:rsidP="0067253C">
      <w:pPr>
        <w:jc w:val="both"/>
        <w:rPr>
          <w:rFonts w:cs="Arial"/>
          <w:lang w:val="en-US"/>
        </w:rPr>
      </w:pPr>
      <w:r>
        <w:rPr>
          <w:rFonts w:cs="Arial"/>
          <w:lang w:val="en-US"/>
        </w:rPr>
        <w:t>In our opinion</w:t>
      </w:r>
      <w:r w:rsidR="00017D63" w:rsidRPr="000C2041">
        <w:rPr>
          <w:rFonts w:cs="Arial"/>
          <w:lang w:val="en-US"/>
        </w:rPr>
        <w:t xml:space="preserve"> t</w:t>
      </w:r>
      <w:r w:rsidR="00DE6552">
        <w:rPr>
          <w:rFonts w:cs="Arial"/>
          <w:lang w:val="en-US"/>
        </w:rPr>
        <w:t xml:space="preserve">he three exemptions set out in </w:t>
      </w:r>
      <w:proofErr w:type="gramStart"/>
      <w:r w:rsidR="00DE6552">
        <w:rPr>
          <w:rFonts w:cs="Arial"/>
          <w:lang w:val="en-US"/>
        </w:rPr>
        <w:t>A</w:t>
      </w:r>
      <w:r w:rsidR="00017D63" w:rsidRPr="000C2041">
        <w:rPr>
          <w:rFonts w:cs="Arial"/>
          <w:lang w:val="en-US"/>
        </w:rPr>
        <w:t>rt.3(</w:t>
      </w:r>
      <w:proofErr w:type="gramEnd"/>
      <w:r w:rsidR="00017D63" w:rsidRPr="000C2041">
        <w:rPr>
          <w:rFonts w:cs="Arial"/>
          <w:lang w:val="en-US"/>
        </w:rPr>
        <w:t xml:space="preserve">2) should not be considered exhaustive. Given the diversity of current market practices, more exemptions from mandatory matching will be necessary in a number of cases, including: </w:t>
      </w:r>
    </w:p>
    <w:p w:rsidR="00017D63" w:rsidRPr="000C2041" w:rsidRDefault="00017D63" w:rsidP="000834DD">
      <w:pPr>
        <w:pStyle w:val="Akapitzlist"/>
        <w:numPr>
          <w:ilvl w:val="0"/>
          <w:numId w:val="38"/>
        </w:numPr>
        <w:spacing w:line="276" w:lineRule="auto"/>
        <w:contextualSpacing w:val="0"/>
        <w:jc w:val="both"/>
        <w:rPr>
          <w:rFonts w:cs="Arial"/>
          <w:lang w:val="en-US"/>
        </w:rPr>
      </w:pPr>
      <w:r w:rsidRPr="000C2041">
        <w:rPr>
          <w:rFonts w:cs="Arial"/>
          <w:lang w:val="en-US"/>
        </w:rPr>
        <w:t xml:space="preserve">corporate actions processing; </w:t>
      </w:r>
    </w:p>
    <w:p w:rsidR="00017D63" w:rsidRPr="000C2041" w:rsidRDefault="00017D63" w:rsidP="000834DD">
      <w:pPr>
        <w:pStyle w:val="Akapitzlist"/>
        <w:numPr>
          <w:ilvl w:val="0"/>
          <w:numId w:val="38"/>
        </w:numPr>
        <w:spacing w:line="276" w:lineRule="auto"/>
        <w:contextualSpacing w:val="0"/>
        <w:jc w:val="both"/>
        <w:rPr>
          <w:rFonts w:cs="Arial"/>
          <w:lang w:val="en-US"/>
        </w:rPr>
      </w:pPr>
      <w:r w:rsidRPr="000C2041">
        <w:rPr>
          <w:rFonts w:cs="Arial"/>
          <w:lang w:val="en-US"/>
        </w:rPr>
        <w:t xml:space="preserve">other operations initiated by the CSD, if they are used in specific CSD procedures; </w:t>
      </w:r>
    </w:p>
    <w:p w:rsidR="00017D63" w:rsidRDefault="009C252C" w:rsidP="009C252C">
      <w:pPr>
        <w:pStyle w:val="Akapitzlist"/>
        <w:numPr>
          <w:ilvl w:val="0"/>
          <w:numId w:val="38"/>
        </w:numPr>
        <w:spacing w:line="276" w:lineRule="auto"/>
        <w:contextualSpacing w:val="0"/>
        <w:jc w:val="both"/>
        <w:rPr>
          <w:rFonts w:cs="Arial"/>
          <w:lang w:val="en-US"/>
        </w:rPr>
      </w:pPr>
      <w:proofErr w:type="gramStart"/>
      <w:r>
        <w:rPr>
          <w:rFonts w:cs="Arial"/>
          <w:lang w:val="en-US"/>
        </w:rPr>
        <w:t>situations</w:t>
      </w:r>
      <w:proofErr w:type="gramEnd"/>
      <w:r>
        <w:rPr>
          <w:rFonts w:cs="Arial"/>
          <w:lang w:val="en-US"/>
        </w:rPr>
        <w:t xml:space="preserve"> </w:t>
      </w:r>
      <w:r w:rsidR="00017D63" w:rsidRPr="000C2041">
        <w:rPr>
          <w:rFonts w:cs="Arial"/>
          <w:lang w:val="en-US"/>
        </w:rPr>
        <w:t>when instructions are processed as a result of a Court order (e.g. insolvency proceedings).</w:t>
      </w:r>
    </w:p>
    <w:permEnd w:id="1641222460"/>
    <w:p w:rsidR="00D12AFD" w:rsidRDefault="00D12AFD" w:rsidP="00D12AFD">
      <w:r>
        <w:t>&lt;ESMA_QUESTION_TS_CSDR_2&gt;</w:t>
      </w:r>
    </w:p>
    <w:p w:rsidR="00D12AFD" w:rsidRDefault="00D12AFD" w:rsidP="00965B03">
      <w:pPr>
        <w:pStyle w:val="Nagwek5"/>
        <w:ind w:left="567" w:hanging="567"/>
      </w:pPr>
      <w:r w:rsidRPr="002C4F00">
        <w:lastRenderedPageBreak/>
        <w:t xml:space="preserve">What are your views on the proposed approach under Article 3(11) of the draft RTS included in Chapter II of Annex I? </w:t>
      </w:r>
    </w:p>
    <w:p w:rsidR="00D12AFD" w:rsidRDefault="00D12AFD" w:rsidP="00BA1DEE">
      <w:pPr>
        <w:pStyle w:val="Nagwek5"/>
        <w:numPr>
          <w:ilvl w:val="0"/>
          <w:numId w:val="0"/>
        </w:numPr>
        <w:ind w:left="567"/>
      </w:pPr>
      <w:r w:rsidRPr="002C4F00">
        <w:t>Do you think that the 0.5% settlement fails threshold (i.e. 99.5% settlement efficiency rate) is adequate? If not, what would be an adequate threshold? Please provide d</w:t>
      </w:r>
      <w:r w:rsidRPr="002C4F00">
        <w:t>e</w:t>
      </w:r>
      <w:r w:rsidRPr="002C4F00">
        <w:t>tails and arguments.</w:t>
      </w:r>
    </w:p>
    <w:p w:rsidR="00D12AFD" w:rsidRPr="002C4F00" w:rsidRDefault="00D12AFD" w:rsidP="00BA1DEE">
      <w:pPr>
        <w:pStyle w:val="Nagwek5"/>
        <w:numPr>
          <w:ilvl w:val="0"/>
          <w:numId w:val="0"/>
        </w:numPr>
        <w:ind w:left="567"/>
      </w:pPr>
      <w:r w:rsidRPr="002C4F00">
        <w:t xml:space="preserve">Do you think that the 2,5 billion EUR/year in terms of the value of settlement </w:t>
      </w:r>
      <w:r w:rsidR="00851A83">
        <w:rPr>
          <w:rFonts w:cstheme="minorHAnsi"/>
          <w:szCs w:val="22"/>
        </w:rPr>
        <w:t>fails for a</w:t>
      </w:r>
      <w:r w:rsidR="00851A83" w:rsidRPr="00567AB7">
        <w:rPr>
          <w:rFonts w:cstheme="minorHAnsi"/>
          <w:szCs w:val="22"/>
        </w:rPr>
        <w:t xml:space="preserve"> securities settlement system operated</w:t>
      </w:r>
      <w:r w:rsidRPr="002C4F00">
        <w:t xml:space="preserve"> by a CSD is adequate? If not, what would be an adequate threshold? Please provide details and arguments.</w:t>
      </w:r>
    </w:p>
    <w:p w:rsidR="00D12AFD" w:rsidRDefault="00D12AFD" w:rsidP="00D12AFD"/>
    <w:p w:rsidR="00D12AFD" w:rsidRDefault="00D12AFD" w:rsidP="00D12AFD">
      <w:r>
        <w:t>&lt;ESMA_QUESTION_TS_CSDR_3&gt;</w:t>
      </w:r>
    </w:p>
    <w:p w:rsidR="00017D63" w:rsidRPr="000C2041" w:rsidRDefault="009C252C" w:rsidP="0067253C">
      <w:pPr>
        <w:rPr>
          <w:rFonts w:cs="Arial"/>
          <w:lang w:val="en-US"/>
        </w:rPr>
      </w:pPr>
      <w:permStart w:id="1420238451" w:edGrp="everyone"/>
      <w:r>
        <w:rPr>
          <w:rFonts w:cs="Arial"/>
          <w:lang w:val="en-US"/>
        </w:rPr>
        <w:t xml:space="preserve">In our opinion </w:t>
      </w:r>
      <w:r w:rsidR="00017D63" w:rsidRPr="000C2041">
        <w:rPr>
          <w:rFonts w:cs="Arial"/>
          <w:lang w:val="en-US"/>
        </w:rPr>
        <w:t>Level 2 legislation should not mandate specific technical functionalities of CSD systems. KDPW believes it should be up to each market to decide on the most effective and appropriate tools to prevent settlement fails, and that the objectives of the CSDR can be achieved without imposing a single technical design on all EU CSDs.</w:t>
      </w:r>
    </w:p>
    <w:p w:rsidR="00017D63" w:rsidRPr="000C2041" w:rsidRDefault="00DE6552" w:rsidP="0067253C">
      <w:pPr>
        <w:rPr>
          <w:rFonts w:cs="Arial"/>
          <w:lang w:val="en-US"/>
        </w:rPr>
      </w:pPr>
      <w:r>
        <w:rPr>
          <w:rFonts w:cs="Arial"/>
          <w:lang w:val="en-US"/>
        </w:rPr>
        <w:t>Additionally, the problem exists of</w:t>
      </w:r>
      <w:r w:rsidR="00017D63" w:rsidRPr="000C2041">
        <w:rPr>
          <w:rFonts w:cs="Arial"/>
          <w:lang w:val="en-US"/>
        </w:rPr>
        <w:t xml:space="preserve"> how CSDs, which suddenly fall below the threshold, then manage to introduce H/R, recycling or partials (if they do not currently have these facilities), within a 3 month period (as per Art</w:t>
      </w:r>
      <w:r w:rsidR="004924BD">
        <w:rPr>
          <w:rFonts w:cs="Arial"/>
          <w:lang w:val="en-US"/>
        </w:rPr>
        <w:t xml:space="preserve">. </w:t>
      </w:r>
      <w:r w:rsidR="00017D63" w:rsidRPr="000C2041">
        <w:rPr>
          <w:rFonts w:cs="Arial"/>
          <w:lang w:val="en-US"/>
        </w:rPr>
        <w:t xml:space="preserve">3 </w:t>
      </w:r>
      <w:r w:rsidR="00017D63" w:rsidRPr="000C2041">
        <w:rPr>
          <w:rFonts w:cs="Arial"/>
          <w:bCs/>
          <w:lang w:val="en-US"/>
        </w:rPr>
        <w:t>§13)?</w:t>
      </w:r>
      <w:r w:rsidR="003D03F2">
        <w:rPr>
          <w:rFonts w:cs="Arial"/>
          <w:bCs/>
          <w:lang w:val="en-US"/>
        </w:rPr>
        <w:t xml:space="preserve"> The proposed period is too short, taking into a</w:t>
      </w:r>
      <w:r w:rsidR="003D03F2">
        <w:rPr>
          <w:rFonts w:cs="Arial"/>
          <w:bCs/>
          <w:lang w:val="en-US"/>
        </w:rPr>
        <w:t>c</w:t>
      </w:r>
      <w:r w:rsidR="003D03F2">
        <w:rPr>
          <w:rFonts w:cs="Arial"/>
          <w:bCs/>
          <w:lang w:val="en-US"/>
        </w:rPr>
        <w:t>count, that the introduction of these facilities would require changes not only in the CSD’s sy</w:t>
      </w:r>
      <w:r w:rsidR="003D03F2">
        <w:rPr>
          <w:rFonts w:cs="Arial"/>
          <w:bCs/>
          <w:lang w:val="en-US"/>
        </w:rPr>
        <w:t>s</w:t>
      </w:r>
      <w:r w:rsidR="003D03F2">
        <w:rPr>
          <w:rFonts w:cs="Arial"/>
          <w:bCs/>
          <w:lang w:val="en-US"/>
        </w:rPr>
        <w:t>tem, but also in the systems of participants.</w:t>
      </w:r>
    </w:p>
    <w:p w:rsidR="00017D63" w:rsidRPr="000C2041" w:rsidRDefault="00017D63" w:rsidP="0067253C">
      <w:pPr>
        <w:rPr>
          <w:rFonts w:cs="Arial"/>
          <w:lang w:val="en-US"/>
        </w:rPr>
      </w:pPr>
      <w:r w:rsidRPr="000C2041">
        <w:rPr>
          <w:rFonts w:cs="Arial"/>
          <w:lang w:val="en-US"/>
        </w:rPr>
        <w:t xml:space="preserve">From our point of view the 99.5 settlement efficiency rate is adequate. </w:t>
      </w:r>
    </w:p>
    <w:p w:rsidR="00017D63" w:rsidRDefault="00017D63" w:rsidP="00D12AFD">
      <w:pPr>
        <w:rPr>
          <w:rFonts w:cs="Arial"/>
          <w:lang w:val="en-US"/>
        </w:rPr>
      </w:pPr>
      <w:r w:rsidRPr="000C2041">
        <w:rPr>
          <w:rFonts w:cs="Arial"/>
          <w:lang w:val="en-US"/>
        </w:rPr>
        <w:t xml:space="preserve">We suggest that only </w:t>
      </w:r>
      <w:r w:rsidR="00DE6552">
        <w:rPr>
          <w:rFonts w:cs="Arial"/>
          <w:lang w:val="en-US"/>
        </w:rPr>
        <w:t xml:space="preserve">a </w:t>
      </w:r>
      <w:r w:rsidRPr="000C2041">
        <w:rPr>
          <w:rFonts w:cs="Arial"/>
          <w:lang w:val="en-US"/>
        </w:rPr>
        <w:t>percentage threshold should be used. There are different size</w:t>
      </w:r>
      <w:r w:rsidR="00DE6552">
        <w:rPr>
          <w:rFonts w:cs="Arial"/>
          <w:lang w:val="en-US"/>
        </w:rPr>
        <w:t>s</w:t>
      </w:r>
      <w:r w:rsidRPr="000C2041">
        <w:rPr>
          <w:rFonts w:cs="Arial"/>
          <w:lang w:val="en-US"/>
        </w:rPr>
        <w:t xml:space="preserve"> of ma</w:t>
      </w:r>
      <w:r w:rsidRPr="000C2041">
        <w:rPr>
          <w:rFonts w:cs="Arial"/>
          <w:lang w:val="en-US"/>
        </w:rPr>
        <w:t>r</w:t>
      </w:r>
      <w:r w:rsidRPr="000C2041">
        <w:rPr>
          <w:rFonts w:cs="Arial"/>
          <w:lang w:val="en-US"/>
        </w:rPr>
        <w:t xml:space="preserve">kets so </w:t>
      </w:r>
      <w:r w:rsidR="00DE6552">
        <w:rPr>
          <w:rFonts w:cs="Arial"/>
          <w:lang w:val="en-US"/>
        </w:rPr>
        <w:t xml:space="preserve">a </w:t>
      </w:r>
      <w:r w:rsidRPr="000C2041">
        <w:rPr>
          <w:rFonts w:cs="Arial"/>
          <w:lang w:val="en-US"/>
        </w:rPr>
        <w:t>value based index will be quite difficult to implement.</w:t>
      </w:r>
    </w:p>
    <w:permEnd w:id="1420238451"/>
    <w:p w:rsidR="00D12AFD" w:rsidRDefault="00D12AFD" w:rsidP="00D12AFD">
      <w:r>
        <w:t>&lt;ESMA_QUESTION_TS_CSDR_3&gt;</w:t>
      </w:r>
    </w:p>
    <w:p w:rsidR="00D12AFD" w:rsidRPr="002C4F00" w:rsidRDefault="00D12AFD" w:rsidP="00965B03">
      <w:pPr>
        <w:pStyle w:val="Nagwek5"/>
        <w:ind w:left="567" w:hanging="567"/>
      </w:pPr>
      <w:r w:rsidRPr="002C4F00">
        <w:t>What are your views on the proposed draft RTS included in Chapter II of Annex I?</w:t>
      </w:r>
    </w:p>
    <w:p w:rsidR="00D12AFD" w:rsidRDefault="00D12AFD" w:rsidP="00D12AFD"/>
    <w:p w:rsidR="00D12AFD" w:rsidRDefault="00D12AFD" w:rsidP="00D12AFD">
      <w:r>
        <w:t>&lt;ESMA_QUESTION_TS_CSDR_4&gt;</w:t>
      </w:r>
    </w:p>
    <w:p w:rsidR="0067253C" w:rsidRPr="000C2041" w:rsidRDefault="003D03F2" w:rsidP="0067253C">
      <w:pPr>
        <w:autoSpaceDE w:val="0"/>
        <w:autoSpaceDN w:val="0"/>
        <w:adjustRightInd w:val="0"/>
        <w:jc w:val="both"/>
        <w:rPr>
          <w:rFonts w:cs="Arial"/>
          <w:lang w:val="en-US" w:eastAsia="en-GB"/>
        </w:rPr>
      </w:pPr>
      <w:permStart w:id="97930638" w:edGrp="everyone"/>
      <w:r>
        <w:rPr>
          <w:rFonts w:cs="Arial"/>
          <w:lang w:eastAsia="en-GB"/>
        </w:rPr>
        <w:t>In our opinion o</w:t>
      </w:r>
      <w:proofErr w:type="spellStart"/>
      <w:r w:rsidR="0067253C" w:rsidRPr="000C2041">
        <w:rPr>
          <w:rFonts w:cs="Arial"/>
          <w:lang w:val="en-US" w:eastAsia="en-GB"/>
        </w:rPr>
        <w:t>ccasional</w:t>
      </w:r>
      <w:proofErr w:type="spellEnd"/>
      <w:r w:rsidR="0067253C" w:rsidRPr="000C2041">
        <w:rPr>
          <w:rFonts w:cs="Arial"/>
          <w:lang w:val="en-US" w:eastAsia="en-GB"/>
        </w:rPr>
        <w:t xml:space="preserve"> manual interventions in CSD procedures are necessary and essential for the smooth processing and timely settlement of instructions, in particular where corrective actions are required, or in times of crisis. </w:t>
      </w:r>
    </w:p>
    <w:p w:rsidR="0067253C" w:rsidRPr="000C2041" w:rsidRDefault="0067253C" w:rsidP="0067253C">
      <w:pPr>
        <w:rPr>
          <w:rFonts w:cs="Arial"/>
          <w:lang w:val="en-US" w:eastAsia="en-GB"/>
        </w:rPr>
      </w:pPr>
      <w:r w:rsidRPr="000C2041">
        <w:rPr>
          <w:rFonts w:cs="Arial"/>
          <w:lang w:val="en-US" w:eastAsia="en-GB"/>
        </w:rPr>
        <w:t>The lack of a definiti</w:t>
      </w:r>
      <w:r w:rsidR="00DE6552">
        <w:rPr>
          <w:rFonts w:cs="Arial"/>
          <w:lang w:val="en-US" w:eastAsia="en-GB"/>
        </w:rPr>
        <w:t>on of “manual intervention” in A</w:t>
      </w:r>
      <w:r w:rsidRPr="000C2041">
        <w:rPr>
          <w:rFonts w:cs="Arial"/>
          <w:lang w:val="en-US" w:eastAsia="en-GB"/>
        </w:rPr>
        <w:t xml:space="preserve">rticle 3 of the draft RTS is a problem, as it could give rise to legal uncertainty. </w:t>
      </w:r>
    </w:p>
    <w:p w:rsidR="0067253C" w:rsidRPr="000C2041" w:rsidRDefault="0067253C" w:rsidP="0067253C">
      <w:pPr>
        <w:rPr>
          <w:rFonts w:cs="Arial"/>
          <w:lang w:val="en-US" w:eastAsia="en-GB"/>
        </w:rPr>
      </w:pPr>
      <w:r w:rsidRPr="000C2041">
        <w:rPr>
          <w:rFonts w:cs="Arial"/>
          <w:lang w:val="en-US" w:eastAsia="en-GB"/>
        </w:rPr>
        <w:t xml:space="preserve">CSDs </w:t>
      </w:r>
      <w:r w:rsidR="00493996">
        <w:rPr>
          <w:rFonts w:cs="Arial"/>
          <w:lang w:val="en-US" w:eastAsia="en-GB"/>
        </w:rPr>
        <w:t>should</w:t>
      </w:r>
      <w:r w:rsidRPr="000C2041">
        <w:rPr>
          <w:rFonts w:cs="Arial"/>
          <w:lang w:val="en-US" w:eastAsia="en-GB"/>
        </w:rPr>
        <w:t xml:space="preserve"> only be expected to report manual interventions which are not foreseen in the CSD’s operating procedures.</w:t>
      </w:r>
    </w:p>
    <w:p w:rsidR="0067253C" w:rsidRPr="000C2041" w:rsidRDefault="00493996" w:rsidP="0067253C">
      <w:pPr>
        <w:rPr>
          <w:rFonts w:cs="Arial"/>
          <w:lang w:val="en-US"/>
        </w:rPr>
      </w:pPr>
      <w:r>
        <w:rPr>
          <w:rFonts w:cs="Arial"/>
          <w:lang w:val="en-US" w:eastAsia="zh-TW" w:bidi="he-IL"/>
        </w:rPr>
        <w:t>KDPW shares the opinion of ECSDA, that p</w:t>
      </w:r>
      <w:r w:rsidR="0067253C" w:rsidRPr="000C2041">
        <w:rPr>
          <w:rFonts w:cs="Arial"/>
          <w:lang w:val="en-US" w:eastAsia="zh-TW" w:bidi="he-IL"/>
        </w:rPr>
        <w:t xml:space="preserve">rescribing the use of </w:t>
      </w:r>
      <w:proofErr w:type="spellStart"/>
      <w:r w:rsidR="0067253C" w:rsidRPr="000C2041">
        <w:rPr>
          <w:rFonts w:cs="Arial"/>
          <w:lang w:val="en-US" w:eastAsia="zh-TW" w:bidi="he-IL"/>
        </w:rPr>
        <w:t>standardised</w:t>
      </w:r>
      <w:proofErr w:type="spellEnd"/>
      <w:r w:rsidR="0067253C" w:rsidRPr="000C2041">
        <w:rPr>
          <w:rFonts w:cs="Arial"/>
          <w:lang w:val="en-US" w:eastAsia="zh-TW" w:bidi="he-IL"/>
        </w:rPr>
        <w:t xml:space="preserve"> mandatory matc</w:t>
      </w:r>
      <w:r w:rsidR="0067253C" w:rsidRPr="000C2041">
        <w:rPr>
          <w:rFonts w:cs="Arial"/>
          <w:lang w:val="en-US" w:eastAsia="zh-TW" w:bidi="he-IL"/>
        </w:rPr>
        <w:t>h</w:t>
      </w:r>
      <w:r w:rsidR="0067253C" w:rsidRPr="000C2041">
        <w:rPr>
          <w:rFonts w:cs="Arial"/>
          <w:lang w:val="en-US" w:eastAsia="zh-TW" w:bidi="he-IL"/>
        </w:rPr>
        <w:t>ing fields is not appropriate for binding Level 2 legislation and is not necessary to fulfil the Level 1 mandate granted to ESMA by the CSDR. Imposing mandatory matching fields by law will prevent flexible adaptations in the future and is unlikely to bring substantial benefits in terms of improving settlement efficiency. On the contrary, we believe that imposing mandatory matching fields by law could increase the number of settlement fails and create systemic risk. This is because</w:t>
      </w:r>
      <w:r w:rsidR="0067253C" w:rsidRPr="000C2041">
        <w:rPr>
          <w:rFonts w:cs="Arial"/>
          <w:lang w:val="en-US"/>
        </w:rPr>
        <w:t xml:space="preserve"> the higher the number of mandatory matching fields, the more likely it becomes that two instructions do not match.</w:t>
      </w:r>
    </w:p>
    <w:p w:rsidR="0067253C" w:rsidRDefault="0067253C" w:rsidP="0067253C">
      <w:pPr>
        <w:jc w:val="both"/>
        <w:rPr>
          <w:rFonts w:cs="Arial"/>
          <w:lang w:val="en-US"/>
        </w:rPr>
      </w:pPr>
      <w:r w:rsidRPr="000C2041">
        <w:rPr>
          <w:rFonts w:cs="Arial"/>
          <w:lang w:val="en-US"/>
        </w:rPr>
        <w:t xml:space="preserve">All fields proposed by ESMA </w:t>
      </w:r>
      <w:r w:rsidR="00493996">
        <w:rPr>
          <w:rFonts w:cs="Arial"/>
          <w:lang w:val="en-US"/>
        </w:rPr>
        <w:t>should</w:t>
      </w:r>
      <w:r w:rsidRPr="000C2041">
        <w:rPr>
          <w:rFonts w:cs="Arial"/>
          <w:lang w:val="en-US"/>
        </w:rPr>
        <w:t xml:space="preserve"> be amended to comply with I</w:t>
      </w:r>
      <w:r w:rsidR="00493996">
        <w:rPr>
          <w:rFonts w:cs="Arial"/>
          <w:lang w:val="en-US"/>
        </w:rPr>
        <w:t>SO standards (15022 and 20022) - t</w:t>
      </w:r>
      <w:r>
        <w:rPr>
          <w:rFonts w:cs="Arial"/>
          <w:lang w:val="en-US"/>
        </w:rPr>
        <w:t>here is a d</w:t>
      </w:r>
      <w:r w:rsidRPr="00F94F83">
        <w:rPr>
          <w:rFonts w:cs="Arial"/>
          <w:lang w:val="en-US"/>
        </w:rPr>
        <w:t xml:space="preserve">iscrepancy </w:t>
      </w:r>
      <w:r>
        <w:rPr>
          <w:rFonts w:cs="Arial"/>
          <w:lang w:val="en-US"/>
        </w:rPr>
        <w:t>in</w:t>
      </w:r>
      <w:r w:rsidR="00DE6552">
        <w:rPr>
          <w:rFonts w:cs="Arial"/>
          <w:lang w:val="en-US"/>
        </w:rPr>
        <w:t xml:space="preserve"> fields: “transaction type” and “</w:t>
      </w:r>
      <w:r w:rsidRPr="00F94F83">
        <w:rPr>
          <w:rFonts w:cs="Arial"/>
          <w:lang w:val="en-US"/>
        </w:rPr>
        <w:t>instruction</w:t>
      </w:r>
      <w:r>
        <w:rPr>
          <w:rFonts w:cs="Arial"/>
          <w:lang w:val="en-US"/>
        </w:rPr>
        <w:t xml:space="preserve"> </w:t>
      </w:r>
      <w:r w:rsidRPr="00F94F83">
        <w:rPr>
          <w:rFonts w:cs="Arial"/>
          <w:lang w:val="en-US"/>
        </w:rPr>
        <w:t>type”</w:t>
      </w:r>
      <w:r w:rsidR="00493996">
        <w:rPr>
          <w:rFonts w:cs="Arial"/>
          <w:lang w:val="en-US"/>
        </w:rPr>
        <w:t>.</w:t>
      </w:r>
    </w:p>
    <w:p w:rsidR="0067253C" w:rsidRPr="00F94F83" w:rsidRDefault="0067253C" w:rsidP="0067253C">
      <w:pPr>
        <w:jc w:val="both"/>
        <w:rPr>
          <w:rFonts w:cs="Arial"/>
          <w:lang w:val="en-US"/>
        </w:rPr>
      </w:pPr>
      <w:r>
        <w:rPr>
          <w:rFonts w:cs="Arial"/>
          <w:lang w:val="en-US"/>
        </w:rPr>
        <w:t xml:space="preserve">In Art 3(3) there are </w:t>
      </w:r>
      <w:r w:rsidR="00DE6552">
        <w:rPr>
          <w:rFonts w:cs="Arial"/>
          <w:lang w:val="en-US"/>
        </w:rPr>
        <w:t>erroneous references to A</w:t>
      </w:r>
      <w:r w:rsidR="00493996">
        <w:rPr>
          <w:rFonts w:cs="Arial"/>
          <w:lang w:val="en-US"/>
        </w:rPr>
        <w:t>rt. 4</w:t>
      </w:r>
      <w:r>
        <w:rPr>
          <w:rFonts w:cs="Arial"/>
          <w:lang w:val="en-US"/>
        </w:rPr>
        <w:t>(2)</w:t>
      </w:r>
      <w:r w:rsidR="00493996">
        <w:rPr>
          <w:rFonts w:cs="Arial"/>
          <w:lang w:val="en-US"/>
        </w:rPr>
        <w:t>,</w:t>
      </w:r>
      <w:r>
        <w:rPr>
          <w:rFonts w:cs="Arial"/>
          <w:lang w:val="en-US"/>
        </w:rPr>
        <w:t xml:space="preserve"> e.</w:t>
      </w:r>
      <w:r w:rsidR="00493996">
        <w:rPr>
          <w:rFonts w:cs="Arial"/>
          <w:lang w:val="en-US"/>
        </w:rPr>
        <w:t>g.</w:t>
      </w:r>
      <w:r>
        <w:rPr>
          <w:rFonts w:cs="Arial"/>
          <w:lang w:val="en-US"/>
        </w:rPr>
        <w:t xml:space="preserve"> there is no h)</w:t>
      </w:r>
      <w:r w:rsidR="00493996">
        <w:rPr>
          <w:rFonts w:cs="Arial"/>
          <w:lang w:val="en-US"/>
        </w:rPr>
        <w:t xml:space="preserve"> in this Article</w:t>
      </w:r>
      <w:r>
        <w:rPr>
          <w:rFonts w:cs="Arial"/>
          <w:lang w:val="en-US"/>
        </w:rPr>
        <w:t>.</w:t>
      </w:r>
    </w:p>
    <w:p w:rsidR="0067253C" w:rsidRPr="000C2041" w:rsidRDefault="0067253C" w:rsidP="0067253C">
      <w:pPr>
        <w:jc w:val="both"/>
        <w:rPr>
          <w:rFonts w:cs="Arial"/>
          <w:lang w:val="en-US"/>
        </w:rPr>
      </w:pPr>
      <w:r w:rsidRPr="000C2041">
        <w:rPr>
          <w:rFonts w:cs="Arial"/>
          <w:lang w:val="en-US"/>
        </w:rPr>
        <w:t>The obligation to recycle failed settlement instructions should only apply to instructions that have been matched and a CSD should be allowed to foresee the cancellation of instructions after a certain time to avoid "indefinite" recycling for those instructions.</w:t>
      </w:r>
    </w:p>
    <w:p w:rsidR="0067253C" w:rsidRPr="00493996" w:rsidRDefault="0067253C" w:rsidP="0067253C">
      <w:pPr>
        <w:jc w:val="both"/>
        <w:rPr>
          <w:rFonts w:cs="Arial"/>
          <w:lang w:val="en-US"/>
        </w:rPr>
      </w:pPr>
      <w:r w:rsidRPr="000C2041">
        <w:rPr>
          <w:rFonts w:cs="Arial"/>
          <w:lang w:val="en-US"/>
        </w:rPr>
        <w:t xml:space="preserve">Information </w:t>
      </w:r>
      <w:r>
        <w:rPr>
          <w:rFonts w:cs="Arial"/>
          <w:lang w:val="en-US"/>
        </w:rPr>
        <w:t>o</w:t>
      </w:r>
      <w:r w:rsidRPr="000C2041">
        <w:rPr>
          <w:rFonts w:cs="Arial"/>
          <w:lang w:val="en-US"/>
        </w:rPr>
        <w:t xml:space="preserve">n </w:t>
      </w:r>
      <w:r w:rsidR="00DE6552">
        <w:rPr>
          <w:rFonts w:cs="Arial"/>
          <w:lang w:val="en-US"/>
        </w:rPr>
        <w:t xml:space="preserve">the </w:t>
      </w:r>
      <w:r w:rsidRPr="000C2041">
        <w:rPr>
          <w:rFonts w:cs="Arial"/>
          <w:lang w:val="en-US"/>
        </w:rPr>
        <w:t>status of</w:t>
      </w:r>
      <w:r w:rsidR="00DE6552">
        <w:rPr>
          <w:rFonts w:cs="Arial"/>
          <w:lang w:val="en-US"/>
        </w:rPr>
        <w:t xml:space="preserve"> </w:t>
      </w:r>
      <w:r w:rsidRPr="000C2041">
        <w:rPr>
          <w:rFonts w:cs="Arial"/>
          <w:lang w:val="en-US"/>
        </w:rPr>
        <w:t xml:space="preserve">instruction should be consistent with ISO standards. </w:t>
      </w:r>
      <w:r w:rsidRPr="00493996">
        <w:rPr>
          <w:rFonts w:cs="Arial"/>
          <w:lang w:val="en-US"/>
        </w:rPr>
        <w:t xml:space="preserve">ISO norms do not define buy-in information. </w:t>
      </w:r>
    </w:p>
    <w:p w:rsidR="0067253C" w:rsidRDefault="0067253C" w:rsidP="00D12AFD">
      <w:pPr>
        <w:rPr>
          <w:rFonts w:cs="Arial"/>
          <w:lang w:val="en-US"/>
        </w:rPr>
      </w:pPr>
      <w:r w:rsidRPr="00F94F83">
        <w:rPr>
          <w:rFonts w:cs="Arial"/>
          <w:lang w:val="en-US"/>
        </w:rPr>
        <w:lastRenderedPageBreak/>
        <w:t xml:space="preserve">We strongly recommend </w:t>
      </w:r>
      <w:r>
        <w:rPr>
          <w:rFonts w:cs="Arial"/>
          <w:lang w:val="en-US"/>
        </w:rPr>
        <w:t xml:space="preserve">the </w:t>
      </w:r>
      <w:r w:rsidRPr="00F94F83">
        <w:rPr>
          <w:rFonts w:cs="Arial"/>
          <w:lang w:val="en-US"/>
        </w:rPr>
        <w:t xml:space="preserve">removal of </w:t>
      </w:r>
      <w:r w:rsidR="00142D02">
        <w:rPr>
          <w:rFonts w:cs="Arial"/>
          <w:lang w:val="en-US"/>
        </w:rPr>
        <w:t>requirement of</w:t>
      </w:r>
      <w:r w:rsidRPr="00F94F83">
        <w:rPr>
          <w:rFonts w:cs="Arial"/>
          <w:lang w:val="en-US"/>
        </w:rPr>
        <w:t xml:space="preserve"> </w:t>
      </w:r>
      <w:r>
        <w:rPr>
          <w:rFonts w:cs="Arial"/>
          <w:lang w:val="en-US"/>
        </w:rPr>
        <w:t>processing</w:t>
      </w:r>
      <w:r w:rsidR="00142D02">
        <w:rPr>
          <w:rFonts w:cs="Arial"/>
          <w:lang w:val="en-US"/>
        </w:rPr>
        <w:t xml:space="preserve"> of data</w:t>
      </w:r>
      <w:r>
        <w:rPr>
          <w:rFonts w:cs="Arial"/>
          <w:lang w:val="en-US"/>
        </w:rPr>
        <w:t>, which are not related to CSD activit</w:t>
      </w:r>
      <w:r w:rsidR="00142D02">
        <w:rPr>
          <w:rFonts w:cs="Arial"/>
          <w:lang w:val="en-US"/>
        </w:rPr>
        <w:t>ies (e.g. buy-ins)</w:t>
      </w:r>
      <w:r>
        <w:rPr>
          <w:rFonts w:cs="Arial"/>
          <w:lang w:val="en-US"/>
        </w:rPr>
        <w:t xml:space="preserve"> and </w:t>
      </w:r>
      <w:proofErr w:type="gramStart"/>
      <w:r w:rsidR="00142D02">
        <w:rPr>
          <w:rFonts w:cs="Arial"/>
          <w:lang w:val="en-US"/>
        </w:rPr>
        <w:t>not</w:t>
      </w:r>
      <w:r>
        <w:rPr>
          <w:rFonts w:cs="Arial"/>
          <w:lang w:val="en-US"/>
        </w:rPr>
        <w:t xml:space="preserve"> </w:t>
      </w:r>
      <w:proofErr w:type="spellStart"/>
      <w:r>
        <w:rPr>
          <w:rFonts w:cs="Arial"/>
          <w:lang w:val="en-US"/>
        </w:rPr>
        <w:t>not</w:t>
      </w:r>
      <w:proofErr w:type="spellEnd"/>
      <w:proofErr w:type="gramEnd"/>
      <w:r>
        <w:rPr>
          <w:rFonts w:cs="Arial"/>
          <w:lang w:val="en-US"/>
        </w:rPr>
        <w:t xml:space="preserve"> </w:t>
      </w:r>
      <w:r w:rsidR="00142D02">
        <w:rPr>
          <w:rFonts w:cs="Arial"/>
          <w:lang w:val="en-US"/>
        </w:rPr>
        <w:t>covere</w:t>
      </w:r>
      <w:r>
        <w:rPr>
          <w:rFonts w:cs="Arial"/>
          <w:lang w:val="en-US"/>
        </w:rPr>
        <w:t xml:space="preserve">d </w:t>
      </w:r>
      <w:r w:rsidR="00142D02">
        <w:rPr>
          <w:rFonts w:cs="Arial"/>
          <w:lang w:val="en-US"/>
        </w:rPr>
        <w:t>by</w:t>
      </w:r>
      <w:r>
        <w:rPr>
          <w:rFonts w:cs="Arial"/>
          <w:lang w:val="en-US"/>
        </w:rPr>
        <w:t xml:space="preserve"> ISO norms.</w:t>
      </w:r>
    </w:p>
    <w:permEnd w:id="97930638"/>
    <w:p w:rsidR="00D12AFD" w:rsidRDefault="00D12AFD" w:rsidP="00D12AFD">
      <w:r>
        <w:t>&lt;ESMA_QUESTION_TS_CSDR_4&gt;</w:t>
      </w:r>
    </w:p>
    <w:p w:rsidR="00D12AFD" w:rsidRPr="002C4F00" w:rsidRDefault="00D12AFD" w:rsidP="00965B03">
      <w:pPr>
        <w:pStyle w:val="Nagwek5"/>
        <w:ind w:left="567" w:hanging="567"/>
      </w:pPr>
      <w:r>
        <w:t xml:space="preserve"> </w:t>
      </w:r>
      <w:r w:rsidRPr="00030F8D">
        <w:t>What are your views on the proposed draft RTS on the monitoring of settlement fails as included in Section 1 of Chapter III of Annex I?</w:t>
      </w:r>
    </w:p>
    <w:p w:rsidR="00D12AFD" w:rsidRDefault="00D12AFD" w:rsidP="00D12AFD"/>
    <w:p w:rsidR="00D12AFD" w:rsidRDefault="00D12AFD" w:rsidP="00D12AFD">
      <w:r>
        <w:t>&lt;ESMA_QUESTION_TS_CSDR_5&gt;</w:t>
      </w:r>
    </w:p>
    <w:p w:rsidR="00131FE9" w:rsidRPr="000C2041" w:rsidRDefault="00DE6552" w:rsidP="002834CE">
      <w:pPr>
        <w:rPr>
          <w:rFonts w:cs="Arial"/>
          <w:lang w:val="en-US"/>
        </w:rPr>
      </w:pPr>
      <w:permStart w:id="130877420" w:edGrp="everyone"/>
      <w:r>
        <w:rPr>
          <w:rFonts w:cs="Arial"/>
          <w:lang w:val="en-US"/>
        </w:rPr>
        <w:t xml:space="preserve">A </w:t>
      </w:r>
      <w:r w:rsidR="00131FE9" w:rsidRPr="000C2041">
        <w:rPr>
          <w:rFonts w:cs="Arial"/>
          <w:lang w:val="en-US"/>
        </w:rPr>
        <w:t xml:space="preserve">CSD should </w:t>
      </w:r>
      <w:r>
        <w:rPr>
          <w:rFonts w:cs="Arial"/>
          <w:lang w:val="en-US"/>
        </w:rPr>
        <w:t xml:space="preserve">be </w:t>
      </w:r>
      <w:r w:rsidR="00131FE9" w:rsidRPr="000C2041">
        <w:rPr>
          <w:rFonts w:cs="Arial"/>
          <w:lang w:val="en-US"/>
        </w:rPr>
        <w:t xml:space="preserve">able to identify and keep information about the intended settlement date and the status of settlement instructions which </w:t>
      </w:r>
      <w:r w:rsidR="00CE79B4">
        <w:rPr>
          <w:rFonts w:cs="Arial"/>
          <w:lang w:val="en-US"/>
        </w:rPr>
        <w:t xml:space="preserve">have </w:t>
      </w:r>
      <w:r w:rsidR="00131FE9" w:rsidRPr="000C2041">
        <w:rPr>
          <w:rFonts w:cs="Arial"/>
          <w:lang w:val="en-US"/>
        </w:rPr>
        <w:t xml:space="preserve">entered the system. </w:t>
      </w:r>
    </w:p>
    <w:p w:rsidR="00673CF6" w:rsidRDefault="00673CF6" w:rsidP="002834CE">
      <w:pPr>
        <w:rPr>
          <w:rFonts w:cs="Arial"/>
          <w:lang w:val="en-US"/>
        </w:rPr>
      </w:pPr>
      <w:r>
        <w:rPr>
          <w:rFonts w:cs="Arial"/>
          <w:lang w:val="en-US"/>
        </w:rPr>
        <w:t>R</w:t>
      </w:r>
      <w:r w:rsidR="00131FE9" w:rsidRPr="000C2041">
        <w:rPr>
          <w:rFonts w:cs="Arial"/>
          <w:lang w:val="en-US"/>
        </w:rPr>
        <w:t xml:space="preserve">eporting requirements should </w:t>
      </w:r>
      <w:r>
        <w:rPr>
          <w:rFonts w:cs="Arial"/>
          <w:lang w:val="en-US"/>
        </w:rPr>
        <w:t>take into account</w:t>
      </w:r>
      <w:r w:rsidR="00131FE9" w:rsidRPr="000C2041">
        <w:rPr>
          <w:rFonts w:cs="Arial"/>
          <w:lang w:val="en-US"/>
        </w:rPr>
        <w:t xml:space="preserve"> the fact that </w:t>
      </w:r>
      <w:r>
        <w:rPr>
          <w:rFonts w:cs="Arial"/>
          <w:lang w:val="en-US"/>
        </w:rPr>
        <w:t xml:space="preserve">a </w:t>
      </w:r>
      <w:r w:rsidR="00131FE9" w:rsidRPr="000C2041">
        <w:rPr>
          <w:rFonts w:cs="Arial"/>
          <w:lang w:val="en-US"/>
        </w:rPr>
        <w:t xml:space="preserve">CSD can only identify and report information that </w:t>
      </w:r>
      <w:r>
        <w:rPr>
          <w:rFonts w:cs="Arial"/>
          <w:lang w:val="en-US"/>
        </w:rPr>
        <w:t>i</w:t>
      </w:r>
      <w:r w:rsidR="00131FE9" w:rsidRPr="000C2041">
        <w:rPr>
          <w:rFonts w:cs="Arial"/>
          <w:lang w:val="en-US"/>
        </w:rPr>
        <w:t>t actually ha</w:t>
      </w:r>
      <w:r>
        <w:rPr>
          <w:rFonts w:cs="Arial"/>
          <w:lang w:val="en-US"/>
        </w:rPr>
        <w:t>s</w:t>
      </w:r>
      <w:r w:rsidR="00131FE9" w:rsidRPr="000C2041">
        <w:rPr>
          <w:rFonts w:cs="Arial"/>
          <w:lang w:val="en-US"/>
        </w:rPr>
        <w:t xml:space="preserve"> access to. In relation to the required information on buy-ins, we would like to po</w:t>
      </w:r>
      <w:r w:rsidR="00CE79B4">
        <w:rPr>
          <w:rFonts w:cs="Arial"/>
          <w:lang w:val="en-US"/>
        </w:rPr>
        <w:t>int out that this information is</w:t>
      </w:r>
      <w:r w:rsidR="00131FE9" w:rsidRPr="000C2041">
        <w:rPr>
          <w:rFonts w:cs="Arial"/>
          <w:lang w:val="en-US"/>
        </w:rPr>
        <w:t xml:space="preserve"> in most cases currently not available to CSDs. </w:t>
      </w:r>
    </w:p>
    <w:p w:rsidR="00131FE9" w:rsidRPr="000C2041" w:rsidRDefault="00131FE9" w:rsidP="002834CE">
      <w:pPr>
        <w:rPr>
          <w:rFonts w:cs="Arial"/>
          <w:lang w:val="en-US"/>
        </w:rPr>
      </w:pPr>
      <w:r w:rsidRPr="000C2041">
        <w:rPr>
          <w:rFonts w:cs="Arial"/>
          <w:lang w:val="en-US"/>
        </w:rPr>
        <w:t>We strongly believe that CSDs should not be required to be involved in the buy-in process.</w:t>
      </w:r>
    </w:p>
    <w:p w:rsidR="00673CF6" w:rsidRDefault="00131FE9" w:rsidP="002834CE">
      <w:pPr>
        <w:jc w:val="both"/>
        <w:rPr>
          <w:rFonts w:cs="Arial"/>
          <w:bCs/>
          <w:lang w:val="en-US"/>
        </w:rPr>
      </w:pPr>
      <w:r w:rsidRPr="000C2041">
        <w:rPr>
          <w:rFonts w:cs="Arial"/>
          <w:bCs/>
          <w:lang w:val="en-US"/>
        </w:rPr>
        <w:t>If we accept that it is important to differentiate between transactions executed on trading pla</w:t>
      </w:r>
      <w:r w:rsidRPr="000C2041">
        <w:rPr>
          <w:rFonts w:cs="Arial"/>
          <w:bCs/>
          <w:lang w:val="en-US"/>
        </w:rPr>
        <w:t>t</w:t>
      </w:r>
      <w:r w:rsidRPr="000C2041">
        <w:rPr>
          <w:rFonts w:cs="Arial"/>
          <w:bCs/>
          <w:lang w:val="en-US"/>
        </w:rPr>
        <w:t>forms from OTC trades, and between transactions cleared in a CCP from non-CCP cleared transactions, it is worth noting that this differentiation will not be achieved by applying a list of ISO codes for the “transaction type” field. Any attempt to apply a list of ISO codes as required by the provisions of CSDR for the purpose of identifying the transaction type so as to monitor se</w:t>
      </w:r>
      <w:r w:rsidRPr="000C2041">
        <w:rPr>
          <w:rFonts w:cs="Arial"/>
          <w:bCs/>
          <w:lang w:val="en-US"/>
        </w:rPr>
        <w:t>t</w:t>
      </w:r>
      <w:r w:rsidRPr="000C2041">
        <w:rPr>
          <w:rFonts w:cs="Arial"/>
          <w:bCs/>
          <w:lang w:val="en-US"/>
        </w:rPr>
        <w:t xml:space="preserve">tlement fails may be premature, bearing in mind the current low levels of </w:t>
      </w:r>
      <w:proofErr w:type="spellStart"/>
      <w:r w:rsidRPr="000C2041">
        <w:rPr>
          <w:rFonts w:cs="Arial"/>
          <w:bCs/>
          <w:lang w:val="en-US"/>
        </w:rPr>
        <w:t>harmonisation</w:t>
      </w:r>
      <w:proofErr w:type="spellEnd"/>
      <w:r w:rsidRPr="000C2041">
        <w:rPr>
          <w:rFonts w:cs="Arial"/>
          <w:bCs/>
          <w:lang w:val="en-US"/>
        </w:rPr>
        <w:t xml:space="preserve"> i</w:t>
      </w:r>
      <w:r w:rsidR="00673CF6">
        <w:rPr>
          <w:rFonts w:cs="Arial"/>
          <w:bCs/>
          <w:lang w:val="en-US"/>
        </w:rPr>
        <w:t>n this scope. Currently</w:t>
      </w:r>
      <w:r w:rsidRPr="000C2041">
        <w:rPr>
          <w:rFonts w:cs="Arial"/>
          <w:bCs/>
          <w:lang w:val="en-US"/>
        </w:rPr>
        <w:t xml:space="preserve"> the rule is to apply market practice, which is defined according to the needs of users in a given market, which is not necessarily the same across different markets. Achieving a </w:t>
      </w:r>
      <w:proofErr w:type="spellStart"/>
      <w:r w:rsidRPr="000C2041">
        <w:rPr>
          <w:rFonts w:cs="Arial"/>
          <w:bCs/>
          <w:lang w:val="en-US"/>
        </w:rPr>
        <w:t>harmonised</w:t>
      </w:r>
      <w:proofErr w:type="spellEnd"/>
      <w:r w:rsidRPr="000C2041">
        <w:rPr>
          <w:rFonts w:cs="Arial"/>
          <w:bCs/>
          <w:lang w:val="en-US"/>
        </w:rPr>
        <w:t xml:space="preserve"> effect here will not be possible without far-reaching system changes in the trading and post-trading sphere and does not seem realistic within the time frame for the implementation of the CSDR regulation (see ECSDA comment to </w:t>
      </w:r>
      <w:proofErr w:type="spellStart"/>
      <w:r w:rsidRPr="000C2041">
        <w:rPr>
          <w:rFonts w:cs="Arial"/>
          <w:bCs/>
          <w:lang w:val="en-US"/>
        </w:rPr>
        <w:t>Standardised</w:t>
      </w:r>
      <w:proofErr w:type="spellEnd"/>
      <w:r w:rsidRPr="000C2041">
        <w:rPr>
          <w:rFonts w:cs="Arial"/>
          <w:bCs/>
          <w:lang w:val="en-US"/>
        </w:rPr>
        <w:t xml:space="preserve"> matching fields, art.3(3)). </w:t>
      </w:r>
    </w:p>
    <w:p w:rsidR="00131FE9" w:rsidRPr="000C2041" w:rsidRDefault="00131FE9" w:rsidP="002834CE">
      <w:pPr>
        <w:jc w:val="both"/>
        <w:rPr>
          <w:rFonts w:cs="Arial"/>
          <w:bCs/>
          <w:lang w:val="en-US"/>
        </w:rPr>
      </w:pPr>
      <w:r w:rsidRPr="000C2041">
        <w:rPr>
          <w:rFonts w:cs="Arial"/>
          <w:bCs/>
          <w:lang w:val="en-US"/>
        </w:rPr>
        <w:t>One proposal that could be examined is a separate segregation of transaction types along the following lines:</w:t>
      </w:r>
    </w:p>
    <w:p w:rsidR="00131FE9" w:rsidRPr="000C2041" w:rsidRDefault="00131FE9" w:rsidP="002834CE">
      <w:pPr>
        <w:jc w:val="both"/>
        <w:rPr>
          <w:rFonts w:cs="Arial"/>
          <w:bCs/>
          <w:lang w:val="en-US"/>
        </w:rPr>
      </w:pPr>
      <w:r w:rsidRPr="000C2041">
        <w:rPr>
          <w:rFonts w:cs="Arial"/>
          <w:bCs/>
          <w:lang w:val="en-US"/>
        </w:rPr>
        <w:t xml:space="preserve">1) </w:t>
      </w:r>
      <w:proofErr w:type="gramStart"/>
      <w:r w:rsidRPr="000C2041">
        <w:rPr>
          <w:rFonts w:cs="Arial"/>
          <w:bCs/>
          <w:lang w:val="en-US"/>
        </w:rPr>
        <w:t>referring</w:t>
      </w:r>
      <w:proofErr w:type="gramEnd"/>
      <w:r w:rsidRPr="000C2041">
        <w:rPr>
          <w:rFonts w:cs="Arial"/>
          <w:bCs/>
          <w:lang w:val="en-US"/>
        </w:rPr>
        <w:t xml:space="preserve"> to underlying business transaction or type of business operation:</w:t>
      </w:r>
    </w:p>
    <w:p w:rsidR="00131FE9" w:rsidRPr="000C2041" w:rsidRDefault="00131FE9" w:rsidP="002834CE">
      <w:pPr>
        <w:jc w:val="both"/>
        <w:rPr>
          <w:rFonts w:cs="Arial"/>
          <w:bCs/>
          <w:lang w:val="en-US"/>
        </w:rPr>
      </w:pPr>
      <w:r w:rsidRPr="000C2041">
        <w:rPr>
          <w:rFonts w:cs="Arial"/>
          <w:bCs/>
          <w:lang w:val="en-US"/>
        </w:rPr>
        <w:t>(</w:t>
      </w:r>
      <w:proofErr w:type="spellStart"/>
      <w:r w:rsidRPr="000C2041">
        <w:rPr>
          <w:rFonts w:cs="Arial"/>
          <w:bCs/>
          <w:lang w:val="en-US"/>
        </w:rPr>
        <w:t>i</w:t>
      </w:r>
      <w:proofErr w:type="spellEnd"/>
      <w:r w:rsidRPr="000C2041">
        <w:rPr>
          <w:rFonts w:cs="Arial"/>
          <w:bCs/>
          <w:lang w:val="en-US"/>
        </w:rPr>
        <w:t xml:space="preserve">)           </w:t>
      </w:r>
      <w:proofErr w:type="gramStart"/>
      <w:r w:rsidRPr="000C2041">
        <w:rPr>
          <w:rFonts w:cs="Arial"/>
          <w:bCs/>
          <w:lang w:val="en-US"/>
        </w:rPr>
        <w:t>trades</w:t>
      </w:r>
      <w:proofErr w:type="gramEnd"/>
      <w:r w:rsidRPr="000C2041">
        <w:rPr>
          <w:rFonts w:cs="Arial"/>
          <w:bCs/>
          <w:lang w:val="en-US"/>
        </w:rPr>
        <w:t xml:space="preserve"> (purchase or sale of securities);</w:t>
      </w:r>
    </w:p>
    <w:p w:rsidR="00131FE9" w:rsidRPr="000C2041" w:rsidRDefault="00131FE9" w:rsidP="002834CE">
      <w:pPr>
        <w:jc w:val="both"/>
        <w:rPr>
          <w:rFonts w:cs="Arial"/>
          <w:bCs/>
          <w:lang w:val="en-US"/>
        </w:rPr>
      </w:pPr>
      <w:r w:rsidRPr="000C2041">
        <w:rPr>
          <w:rFonts w:cs="Arial"/>
          <w:bCs/>
          <w:lang w:val="en-US"/>
        </w:rPr>
        <w:t xml:space="preserve">(ii)          </w:t>
      </w:r>
      <w:proofErr w:type="gramStart"/>
      <w:r w:rsidRPr="000C2041">
        <w:rPr>
          <w:rFonts w:cs="Arial"/>
          <w:bCs/>
          <w:lang w:val="en-US"/>
        </w:rPr>
        <w:t>transactions</w:t>
      </w:r>
      <w:proofErr w:type="gramEnd"/>
      <w:r w:rsidRPr="000C2041">
        <w:rPr>
          <w:rFonts w:cs="Arial"/>
          <w:bCs/>
          <w:lang w:val="en-US"/>
        </w:rPr>
        <w:t xml:space="preserve"> related to collateral management, securities lending/borrowing, repurchase transactions;</w:t>
      </w:r>
    </w:p>
    <w:p w:rsidR="00131FE9" w:rsidRPr="000C2041" w:rsidRDefault="00131FE9" w:rsidP="002834CE">
      <w:pPr>
        <w:jc w:val="both"/>
        <w:rPr>
          <w:rFonts w:cs="Arial"/>
          <w:bCs/>
          <w:lang w:val="en-US"/>
        </w:rPr>
      </w:pPr>
      <w:r w:rsidRPr="000C2041">
        <w:rPr>
          <w:rFonts w:cs="Arial"/>
          <w:bCs/>
          <w:lang w:val="en-US"/>
        </w:rPr>
        <w:t xml:space="preserve">(iii)         </w:t>
      </w:r>
      <w:proofErr w:type="gramStart"/>
      <w:r w:rsidRPr="000C2041">
        <w:rPr>
          <w:rFonts w:cs="Arial"/>
          <w:bCs/>
          <w:lang w:val="en-US"/>
        </w:rPr>
        <w:t>corporate</w:t>
      </w:r>
      <w:proofErr w:type="gramEnd"/>
      <w:r w:rsidRPr="000C2041">
        <w:rPr>
          <w:rFonts w:cs="Arial"/>
          <w:bCs/>
          <w:lang w:val="en-US"/>
        </w:rPr>
        <w:t xml:space="preserve"> actions and custody related operations;</w:t>
      </w:r>
    </w:p>
    <w:p w:rsidR="00131FE9" w:rsidRPr="000C2041" w:rsidRDefault="00131FE9" w:rsidP="002834CE">
      <w:pPr>
        <w:jc w:val="both"/>
        <w:rPr>
          <w:rFonts w:cs="Arial"/>
          <w:bCs/>
          <w:lang w:val="en-US"/>
        </w:rPr>
      </w:pPr>
      <w:r w:rsidRPr="000C2041">
        <w:rPr>
          <w:rFonts w:cs="Arial"/>
          <w:bCs/>
          <w:lang w:val="en-US"/>
        </w:rPr>
        <w:t xml:space="preserve">(iv)         </w:t>
      </w:r>
      <w:proofErr w:type="gramStart"/>
      <w:r w:rsidRPr="000C2041">
        <w:rPr>
          <w:rFonts w:cs="Arial"/>
          <w:bCs/>
          <w:lang w:val="en-US"/>
        </w:rPr>
        <w:t>other</w:t>
      </w:r>
      <w:proofErr w:type="gramEnd"/>
      <w:r w:rsidRPr="000C2041">
        <w:rPr>
          <w:rFonts w:cs="Arial"/>
          <w:bCs/>
          <w:lang w:val="en-US"/>
        </w:rPr>
        <w:t xml:space="preserve"> transactions;</w:t>
      </w:r>
    </w:p>
    <w:p w:rsidR="00131FE9" w:rsidRPr="000C2041" w:rsidRDefault="00131FE9" w:rsidP="002834CE">
      <w:pPr>
        <w:jc w:val="both"/>
        <w:rPr>
          <w:rFonts w:cs="Arial"/>
          <w:bCs/>
          <w:lang w:val="en-US"/>
        </w:rPr>
      </w:pPr>
      <w:r w:rsidRPr="000C2041">
        <w:rPr>
          <w:rFonts w:cs="Arial"/>
          <w:bCs/>
          <w:lang w:val="en-US"/>
        </w:rPr>
        <w:t xml:space="preserve">2) </w:t>
      </w:r>
      <w:proofErr w:type="gramStart"/>
      <w:r w:rsidRPr="000C2041">
        <w:rPr>
          <w:rFonts w:cs="Arial"/>
          <w:bCs/>
          <w:lang w:val="en-US"/>
        </w:rPr>
        <w:t>referring</w:t>
      </w:r>
      <w:proofErr w:type="gramEnd"/>
      <w:r w:rsidRPr="000C2041">
        <w:rPr>
          <w:rFonts w:cs="Arial"/>
          <w:bCs/>
          <w:lang w:val="en-US"/>
        </w:rPr>
        <w:t xml:space="preserve"> to the place of trading:</w:t>
      </w:r>
    </w:p>
    <w:p w:rsidR="00131FE9" w:rsidRPr="000C2041" w:rsidRDefault="00131FE9" w:rsidP="002834CE">
      <w:pPr>
        <w:jc w:val="both"/>
        <w:rPr>
          <w:rFonts w:cs="Arial"/>
          <w:bCs/>
          <w:lang w:val="en-US"/>
        </w:rPr>
      </w:pPr>
      <w:r w:rsidRPr="000C2041">
        <w:rPr>
          <w:rFonts w:cs="Arial"/>
          <w:bCs/>
          <w:lang w:val="en-US"/>
        </w:rPr>
        <w:t>(</w:t>
      </w:r>
      <w:proofErr w:type="spellStart"/>
      <w:proofErr w:type="gramStart"/>
      <w:r w:rsidRPr="000C2041">
        <w:rPr>
          <w:rFonts w:cs="Arial"/>
          <w:bCs/>
          <w:lang w:val="en-US"/>
        </w:rPr>
        <w:t>i</w:t>
      </w:r>
      <w:proofErr w:type="spellEnd"/>
      <w:proofErr w:type="gramEnd"/>
      <w:r w:rsidRPr="000C2041">
        <w:rPr>
          <w:rFonts w:cs="Arial"/>
          <w:bCs/>
          <w:lang w:val="en-US"/>
        </w:rPr>
        <w:t>)           executed on a trading venue;</w:t>
      </w:r>
    </w:p>
    <w:p w:rsidR="00131FE9" w:rsidRPr="000C2041" w:rsidRDefault="00131FE9" w:rsidP="002834CE">
      <w:pPr>
        <w:jc w:val="both"/>
        <w:rPr>
          <w:rFonts w:cs="Arial"/>
          <w:bCs/>
          <w:lang w:val="en-US"/>
        </w:rPr>
      </w:pPr>
      <w:r w:rsidRPr="000C2041">
        <w:rPr>
          <w:rFonts w:cs="Arial"/>
          <w:bCs/>
          <w:lang w:val="en-US"/>
        </w:rPr>
        <w:t xml:space="preserve">(ii)          </w:t>
      </w:r>
      <w:proofErr w:type="gramStart"/>
      <w:r w:rsidRPr="000C2041">
        <w:rPr>
          <w:rFonts w:cs="Arial"/>
          <w:bCs/>
          <w:lang w:val="en-US"/>
        </w:rPr>
        <w:t>other</w:t>
      </w:r>
      <w:proofErr w:type="gramEnd"/>
      <w:r w:rsidRPr="000C2041">
        <w:rPr>
          <w:rFonts w:cs="Arial"/>
          <w:bCs/>
          <w:lang w:val="en-US"/>
        </w:rPr>
        <w:t xml:space="preserve"> transactions;</w:t>
      </w:r>
    </w:p>
    <w:p w:rsidR="00131FE9" w:rsidRPr="000C2041" w:rsidRDefault="00131FE9" w:rsidP="002834CE">
      <w:pPr>
        <w:jc w:val="both"/>
        <w:rPr>
          <w:rFonts w:cs="Arial"/>
          <w:bCs/>
          <w:lang w:val="en-US"/>
        </w:rPr>
      </w:pPr>
      <w:r w:rsidRPr="000C2041">
        <w:rPr>
          <w:rFonts w:cs="Arial"/>
          <w:bCs/>
          <w:lang w:val="en-US"/>
        </w:rPr>
        <w:t xml:space="preserve">3) </w:t>
      </w:r>
      <w:proofErr w:type="gramStart"/>
      <w:r w:rsidRPr="000C2041">
        <w:rPr>
          <w:rFonts w:cs="Arial"/>
          <w:bCs/>
          <w:lang w:val="en-US"/>
        </w:rPr>
        <w:t>referring</w:t>
      </w:r>
      <w:proofErr w:type="gramEnd"/>
      <w:r w:rsidRPr="000C2041">
        <w:rPr>
          <w:rFonts w:cs="Arial"/>
          <w:bCs/>
          <w:lang w:val="en-US"/>
        </w:rPr>
        <w:t xml:space="preserve"> to transaction clearing:</w:t>
      </w:r>
    </w:p>
    <w:p w:rsidR="00131FE9" w:rsidRPr="000C2041" w:rsidRDefault="00131FE9" w:rsidP="002834CE">
      <w:pPr>
        <w:jc w:val="both"/>
        <w:rPr>
          <w:rFonts w:cs="Arial"/>
          <w:bCs/>
          <w:lang w:val="en-US"/>
        </w:rPr>
      </w:pPr>
      <w:r w:rsidRPr="000C2041">
        <w:rPr>
          <w:rFonts w:cs="Arial"/>
          <w:bCs/>
          <w:lang w:val="en-US"/>
        </w:rPr>
        <w:t>(</w:t>
      </w:r>
      <w:proofErr w:type="spellStart"/>
      <w:r w:rsidRPr="000C2041">
        <w:rPr>
          <w:rFonts w:cs="Arial"/>
          <w:bCs/>
          <w:lang w:val="en-US"/>
        </w:rPr>
        <w:t>i</w:t>
      </w:r>
      <w:proofErr w:type="spellEnd"/>
      <w:r w:rsidRPr="000C2041">
        <w:rPr>
          <w:rFonts w:cs="Arial"/>
          <w:bCs/>
          <w:lang w:val="en-US"/>
        </w:rPr>
        <w:t>)           CCP cleared transactions,</w:t>
      </w:r>
    </w:p>
    <w:p w:rsidR="00131FE9" w:rsidRPr="000C2041" w:rsidRDefault="00131FE9" w:rsidP="002834CE">
      <w:pPr>
        <w:jc w:val="both"/>
        <w:rPr>
          <w:rFonts w:cs="Arial"/>
          <w:bCs/>
          <w:lang w:val="en-US"/>
        </w:rPr>
      </w:pPr>
      <w:r w:rsidRPr="000C2041">
        <w:rPr>
          <w:rFonts w:cs="Arial"/>
          <w:bCs/>
          <w:lang w:val="en-US"/>
        </w:rPr>
        <w:t xml:space="preserve">(ii)          </w:t>
      </w:r>
      <w:proofErr w:type="gramStart"/>
      <w:r w:rsidRPr="000C2041">
        <w:rPr>
          <w:rFonts w:cs="Arial"/>
          <w:bCs/>
          <w:lang w:val="en-US"/>
        </w:rPr>
        <w:t>other</w:t>
      </w:r>
      <w:proofErr w:type="gramEnd"/>
      <w:r w:rsidRPr="000C2041">
        <w:rPr>
          <w:rFonts w:cs="Arial"/>
          <w:bCs/>
          <w:lang w:val="en-US"/>
        </w:rPr>
        <w:t xml:space="preserve"> transactions.</w:t>
      </w:r>
    </w:p>
    <w:p w:rsidR="00131FE9" w:rsidRPr="000C2041" w:rsidRDefault="00131FE9" w:rsidP="002834CE">
      <w:pPr>
        <w:jc w:val="both"/>
        <w:rPr>
          <w:rFonts w:cs="Arial"/>
          <w:bCs/>
          <w:lang w:val="en-US"/>
        </w:rPr>
      </w:pPr>
      <w:r w:rsidRPr="000C2041">
        <w:rPr>
          <w:rFonts w:cs="Arial"/>
          <w:bCs/>
          <w:lang w:val="en-US"/>
        </w:rPr>
        <w:t>This type of segregation will allow for the direct mapping of transaction structures to ISO compl</w:t>
      </w:r>
      <w:r w:rsidRPr="000C2041">
        <w:rPr>
          <w:rFonts w:cs="Arial"/>
          <w:bCs/>
          <w:lang w:val="en-US"/>
        </w:rPr>
        <w:t>i</w:t>
      </w:r>
      <w:r w:rsidRPr="000C2041">
        <w:rPr>
          <w:rFonts w:cs="Arial"/>
          <w:bCs/>
          <w:lang w:val="en-US"/>
        </w:rPr>
        <w:t>ant instruction fields.</w:t>
      </w:r>
    </w:p>
    <w:p w:rsidR="00131FE9" w:rsidRPr="000C2041" w:rsidRDefault="00131FE9" w:rsidP="002834CE">
      <w:pPr>
        <w:rPr>
          <w:rFonts w:cs="Arial"/>
          <w:lang w:val="en-US"/>
        </w:rPr>
      </w:pPr>
      <w:r w:rsidRPr="000C2041">
        <w:rPr>
          <w:rFonts w:cs="Arial"/>
          <w:lang w:val="en-US"/>
        </w:rPr>
        <w:t xml:space="preserve">The reasons for failed instructions </w:t>
      </w:r>
      <w:r w:rsidR="00673CF6">
        <w:rPr>
          <w:rFonts w:cs="Arial"/>
          <w:lang w:val="en-US"/>
        </w:rPr>
        <w:t>should take into account, that</w:t>
      </w:r>
      <w:r w:rsidRPr="000C2041">
        <w:rPr>
          <w:rFonts w:cs="Arial"/>
          <w:lang w:val="en-US"/>
        </w:rPr>
        <w:t xml:space="preserve"> the</w:t>
      </w:r>
      <w:r w:rsidR="00673CF6">
        <w:rPr>
          <w:rFonts w:cs="Arial"/>
          <w:lang w:val="en-US"/>
        </w:rPr>
        <w:t>s</w:t>
      </w:r>
      <w:r w:rsidRPr="000C2041">
        <w:rPr>
          <w:rFonts w:cs="Arial"/>
          <w:lang w:val="en-US"/>
        </w:rPr>
        <w:t xml:space="preserve">e </w:t>
      </w:r>
      <w:r w:rsidR="00673CF6">
        <w:rPr>
          <w:rFonts w:cs="Arial"/>
          <w:lang w:val="en-US"/>
        </w:rPr>
        <w:t>might be</w:t>
      </w:r>
      <w:r w:rsidRPr="000C2041">
        <w:rPr>
          <w:rFonts w:cs="Arial"/>
          <w:lang w:val="en-US"/>
        </w:rPr>
        <w:t xml:space="preserve"> not only </w:t>
      </w:r>
      <w:r w:rsidR="00673CF6">
        <w:rPr>
          <w:rFonts w:cs="Arial"/>
          <w:lang w:val="en-US"/>
        </w:rPr>
        <w:t>‘</w:t>
      </w:r>
      <w:r w:rsidRPr="000C2041">
        <w:rPr>
          <w:rFonts w:cs="Arial"/>
          <w:lang w:val="en-US"/>
        </w:rPr>
        <w:t>lack o</w:t>
      </w:r>
      <w:r w:rsidR="00CE79B4">
        <w:rPr>
          <w:rFonts w:cs="Arial"/>
          <w:lang w:val="en-US"/>
        </w:rPr>
        <w:t>f securities</w:t>
      </w:r>
      <w:r w:rsidR="00673CF6">
        <w:rPr>
          <w:rFonts w:cs="Arial"/>
          <w:lang w:val="en-US"/>
        </w:rPr>
        <w:t>’</w:t>
      </w:r>
      <w:r w:rsidR="00CE79B4">
        <w:rPr>
          <w:rFonts w:cs="Arial"/>
          <w:lang w:val="en-US"/>
        </w:rPr>
        <w:t xml:space="preserve"> or </w:t>
      </w:r>
      <w:r w:rsidR="00673CF6">
        <w:rPr>
          <w:rFonts w:cs="Arial"/>
          <w:lang w:val="en-US"/>
        </w:rPr>
        <w:t>‘</w:t>
      </w:r>
      <w:r w:rsidR="00CE79B4">
        <w:rPr>
          <w:rFonts w:cs="Arial"/>
          <w:lang w:val="en-US"/>
        </w:rPr>
        <w:t>lack of cash</w:t>
      </w:r>
      <w:r w:rsidR="00673CF6">
        <w:rPr>
          <w:rFonts w:cs="Arial"/>
          <w:lang w:val="en-US"/>
        </w:rPr>
        <w:t>’</w:t>
      </w:r>
      <w:r w:rsidR="00CE79B4">
        <w:rPr>
          <w:rFonts w:cs="Arial"/>
          <w:lang w:val="en-US"/>
        </w:rPr>
        <w:t xml:space="preserve">, </w:t>
      </w:r>
      <w:r w:rsidR="00673CF6">
        <w:rPr>
          <w:rFonts w:cs="Arial"/>
          <w:lang w:val="en-US"/>
        </w:rPr>
        <w:t xml:space="preserve">there are also </w:t>
      </w:r>
      <w:r w:rsidRPr="000C2041">
        <w:rPr>
          <w:rFonts w:cs="Arial"/>
          <w:lang w:val="en-US"/>
        </w:rPr>
        <w:t xml:space="preserve">other reasons for settlement fails, such </w:t>
      </w:r>
      <w:r w:rsidR="00CE79B4">
        <w:rPr>
          <w:rFonts w:cs="Arial"/>
          <w:lang w:val="en-US"/>
        </w:rPr>
        <w:t xml:space="preserve">as </w:t>
      </w:r>
      <w:r w:rsidRPr="000C2041">
        <w:rPr>
          <w:rFonts w:cs="Arial"/>
          <w:lang w:val="en-US"/>
        </w:rPr>
        <w:t>sending of late instructions, instruction</w:t>
      </w:r>
      <w:r w:rsidR="00CE79B4">
        <w:rPr>
          <w:rFonts w:cs="Arial"/>
          <w:lang w:val="en-US"/>
        </w:rPr>
        <w:t>s with the status “</w:t>
      </w:r>
      <w:r w:rsidRPr="000C2041">
        <w:rPr>
          <w:rFonts w:cs="Arial"/>
          <w:lang w:val="en-US"/>
        </w:rPr>
        <w:t>hold” or temporary restrictions for settlement with a certain ISIN code.</w:t>
      </w:r>
    </w:p>
    <w:p w:rsidR="00131FE9" w:rsidRPr="000C2041" w:rsidRDefault="00673CF6" w:rsidP="002834CE">
      <w:pPr>
        <w:rPr>
          <w:rFonts w:cs="Arial"/>
          <w:lang w:val="en-US"/>
        </w:rPr>
      </w:pPr>
      <w:r>
        <w:rPr>
          <w:rFonts w:cs="Arial"/>
          <w:lang w:val="en-US"/>
        </w:rPr>
        <w:t>KDPW</w:t>
      </w:r>
      <w:r w:rsidR="00131FE9" w:rsidRPr="000C2041">
        <w:rPr>
          <w:rFonts w:cs="Arial"/>
          <w:lang w:val="en-US"/>
        </w:rPr>
        <w:t xml:space="preserve"> do</w:t>
      </w:r>
      <w:r>
        <w:rPr>
          <w:rFonts w:cs="Arial"/>
          <w:lang w:val="en-US"/>
        </w:rPr>
        <w:t>es</w:t>
      </w:r>
      <w:r w:rsidR="00131FE9" w:rsidRPr="000C2041">
        <w:rPr>
          <w:rFonts w:cs="Arial"/>
          <w:lang w:val="en-US"/>
        </w:rPr>
        <w:t xml:space="preserve"> not have access to information regarding the </w:t>
      </w:r>
      <w:r w:rsidR="00131FE9" w:rsidRPr="000C2041">
        <w:rPr>
          <w:rFonts w:cs="Arial"/>
          <w:i/>
          <w:lang w:val="en-US"/>
        </w:rPr>
        <w:t>“missing amount”</w:t>
      </w:r>
      <w:r w:rsidR="00131FE9" w:rsidRPr="000C2041">
        <w:rPr>
          <w:rFonts w:cs="Arial"/>
          <w:lang w:val="en-US"/>
        </w:rPr>
        <w:t xml:space="preserve"> of cash in the cash accounts maintained by their participants at the central bank.</w:t>
      </w:r>
    </w:p>
    <w:p w:rsidR="00131FE9" w:rsidRPr="000C2041" w:rsidRDefault="00CE79B4" w:rsidP="002834CE">
      <w:pPr>
        <w:rPr>
          <w:rFonts w:cs="Arial"/>
          <w:lang w:val="en-US"/>
        </w:rPr>
      </w:pPr>
      <w:r>
        <w:rPr>
          <w:rFonts w:cs="Arial"/>
          <w:lang w:val="en-US"/>
        </w:rPr>
        <w:t>As regards A</w:t>
      </w:r>
      <w:r w:rsidR="00131FE9" w:rsidRPr="000C2041">
        <w:rPr>
          <w:rFonts w:cs="Arial"/>
          <w:lang w:val="en-US"/>
        </w:rPr>
        <w:t>rt.4(3) on the "working flow" with the top ten participants, KDPW supports the spirit of ESMA's proposal</w:t>
      </w:r>
      <w:r w:rsidR="0033004D" w:rsidRPr="0033004D">
        <w:rPr>
          <w:rFonts w:cs="Arial"/>
          <w:lang w:val="en-US"/>
        </w:rPr>
        <w:t xml:space="preserve"> </w:t>
      </w:r>
      <w:r w:rsidR="0033004D">
        <w:rPr>
          <w:rFonts w:cs="Arial"/>
          <w:lang w:val="en-US"/>
        </w:rPr>
        <w:t xml:space="preserve">and </w:t>
      </w:r>
      <w:proofErr w:type="spellStart"/>
      <w:r w:rsidR="0033004D" w:rsidRPr="000C2041">
        <w:rPr>
          <w:rFonts w:cs="Arial"/>
          <w:lang w:val="en-US"/>
        </w:rPr>
        <w:t>recognise</w:t>
      </w:r>
      <w:r w:rsidR="0033004D">
        <w:rPr>
          <w:rFonts w:cs="Arial"/>
          <w:lang w:val="en-US"/>
        </w:rPr>
        <w:t>s</w:t>
      </w:r>
      <w:proofErr w:type="spellEnd"/>
      <w:r w:rsidR="0033004D" w:rsidRPr="000C2041">
        <w:rPr>
          <w:rFonts w:cs="Arial"/>
          <w:lang w:val="en-US"/>
        </w:rPr>
        <w:t xml:space="preserve"> the need to establish a dialogue with </w:t>
      </w:r>
      <w:r w:rsidR="0033004D">
        <w:rPr>
          <w:rFonts w:cs="Arial"/>
          <w:lang w:val="en-US"/>
        </w:rPr>
        <w:t>its</w:t>
      </w:r>
      <w:r w:rsidR="0033004D" w:rsidRPr="000C2041">
        <w:rPr>
          <w:rFonts w:cs="Arial"/>
          <w:lang w:val="en-US"/>
        </w:rPr>
        <w:t xml:space="preserve"> most important participants in terms of settlement fails</w:t>
      </w:r>
      <w:r w:rsidR="00131FE9" w:rsidRPr="000C2041">
        <w:rPr>
          <w:rFonts w:cs="Arial"/>
          <w:lang w:val="en-US"/>
        </w:rPr>
        <w:t>, but disagrees that such working flow should be specified in Level 2 legislation. CSD should be able to identify the participants with the highest rates of settlement fails</w:t>
      </w:r>
      <w:r w:rsidR="0033004D">
        <w:rPr>
          <w:rFonts w:cs="Arial"/>
          <w:lang w:val="en-US"/>
        </w:rPr>
        <w:t xml:space="preserve"> and cooperate with them to improve their performance, but, taking into account </w:t>
      </w:r>
      <w:r w:rsidR="0033004D">
        <w:rPr>
          <w:rFonts w:cs="Arial"/>
          <w:lang w:val="en-US"/>
        </w:rPr>
        <w:lastRenderedPageBreak/>
        <w:t>the different reasons for their fails, this cooperation should have more individual character</w:t>
      </w:r>
      <w:r w:rsidR="00131FE9" w:rsidRPr="000C2041">
        <w:rPr>
          <w:rFonts w:cs="Arial"/>
          <w:lang w:val="en-US"/>
        </w:rPr>
        <w:t xml:space="preserve">. We believe that </w:t>
      </w:r>
      <w:r>
        <w:rPr>
          <w:rFonts w:cs="Arial"/>
          <w:lang w:val="en-US"/>
        </w:rPr>
        <w:t xml:space="preserve">a CSD gives </w:t>
      </w:r>
      <w:r w:rsidR="00131FE9" w:rsidRPr="000C2041">
        <w:rPr>
          <w:rFonts w:cs="Arial"/>
          <w:lang w:val="en-US"/>
        </w:rPr>
        <w:t xml:space="preserve">participants </w:t>
      </w:r>
      <w:r w:rsidR="0033004D">
        <w:rPr>
          <w:rFonts w:cs="Arial"/>
          <w:lang w:val="en-US"/>
        </w:rPr>
        <w:t xml:space="preserve">sufficient </w:t>
      </w:r>
      <w:r w:rsidR="00131FE9" w:rsidRPr="000C2041">
        <w:rPr>
          <w:rFonts w:cs="Arial"/>
          <w:lang w:val="en-US"/>
        </w:rPr>
        <w:t>tools to avoid fail</w:t>
      </w:r>
      <w:r w:rsidR="0033004D">
        <w:rPr>
          <w:rFonts w:cs="Arial"/>
          <w:lang w:val="en-US"/>
        </w:rPr>
        <w:t>s</w:t>
      </w:r>
      <w:r w:rsidR="00131FE9" w:rsidRPr="000C2041">
        <w:rPr>
          <w:rFonts w:cs="Arial"/>
          <w:lang w:val="en-US"/>
        </w:rPr>
        <w:t xml:space="preserve"> and </w:t>
      </w:r>
      <w:r w:rsidR="0033004D">
        <w:rPr>
          <w:rFonts w:cs="Arial"/>
          <w:lang w:val="en-US"/>
        </w:rPr>
        <w:t>it is a participant’s task to</w:t>
      </w:r>
      <w:r w:rsidR="00131FE9" w:rsidRPr="000C2041">
        <w:rPr>
          <w:rFonts w:cs="Arial"/>
          <w:lang w:val="en-US"/>
        </w:rPr>
        <w:t xml:space="preserve"> improve its operation.</w:t>
      </w:r>
    </w:p>
    <w:p w:rsidR="00131FE9" w:rsidRDefault="00CE79B4" w:rsidP="002834CE">
      <w:pPr>
        <w:rPr>
          <w:rFonts w:cs="Arial"/>
          <w:lang w:val="en-US"/>
        </w:rPr>
      </w:pPr>
      <w:r>
        <w:rPr>
          <w:rFonts w:cs="Arial"/>
          <w:lang w:val="en-US"/>
        </w:rPr>
        <w:t xml:space="preserve">A </w:t>
      </w:r>
      <w:r w:rsidR="00131FE9" w:rsidRPr="000C2041">
        <w:rPr>
          <w:rFonts w:cs="Arial"/>
          <w:lang w:val="en-US"/>
        </w:rPr>
        <w:t>CSD should send reports on settlement fails</w:t>
      </w:r>
      <w:r w:rsidR="00D52066">
        <w:rPr>
          <w:rFonts w:cs="Arial"/>
          <w:lang w:val="en-US"/>
        </w:rPr>
        <w:t xml:space="preserve"> to public authorities. In our opinion</w:t>
      </w:r>
      <w:r w:rsidR="00131FE9" w:rsidRPr="000C2041">
        <w:rPr>
          <w:rFonts w:cs="Arial"/>
          <w:lang w:val="en-US"/>
        </w:rPr>
        <w:t xml:space="preserve"> reports on a monthly basis should be send 10 working days </w:t>
      </w:r>
      <w:r w:rsidR="0033004D">
        <w:rPr>
          <w:rFonts w:cs="Arial"/>
          <w:lang w:val="en-US"/>
        </w:rPr>
        <w:t>after</w:t>
      </w:r>
      <w:r w:rsidR="00131FE9" w:rsidRPr="000C2041">
        <w:rPr>
          <w:rFonts w:cs="Arial"/>
          <w:lang w:val="en-US"/>
        </w:rPr>
        <w:t xml:space="preserve"> the end of each month and reports on a</w:t>
      </w:r>
      <w:r w:rsidR="00131FE9" w:rsidRPr="000C2041">
        <w:rPr>
          <w:rFonts w:cs="Arial"/>
          <w:lang w:val="en-US"/>
        </w:rPr>
        <w:t>n</w:t>
      </w:r>
      <w:r w:rsidR="00131FE9" w:rsidRPr="000C2041">
        <w:rPr>
          <w:rFonts w:cs="Arial"/>
          <w:lang w:val="en-US"/>
        </w:rPr>
        <w:t>nual basis should be sen</w:t>
      </w:r>
      <w:r w:rsidR="00D52066">
        <w:rPr>
          <w:rFonts w:cs="Arial"/>
          <w:lang w:val="en-US"/>
        </w:rPr>
        <w:t>t</w:t>
      </w:r>
      <w:r w:rsidR="00131FE9" w:rsidRPr="000C2041">
        <w:rPr>
          <w:rFonts w:cs="Arial"/>
          <w:lang w:val="en-US"/>
        </w:rPr>
        <w:t xml:space="preserve"> 20 working days </w:t>
      </w:r>
      <w:r w:rsidR="00652DF2">
        <w:rPr>
          <w:rFonts w:cs="Arial"/>
          <w:lang w:val="en-US"/>
        </w:rPr>
        <w:t>after</w:t>
      </w:r>
      <w:r w:rsidR="00131FE9" w:rsidRPr="000C2041">
        <w:rPr>
          <w:rFonts w:cs="Arial"/>
          <w:lang w:val="en-US"/>
        </w:rPr>
        <w:t xml:space="preserve"> the end of each year.</w:t>
      </w:r>
      <w:r w:rsidR="00131FE9">
        <w:rPr>
          <w:rFonts w:cs="Arial"/>
          <w:lang w:val="en-US"/>
        </w:rPr>
        <w:t xml:space="preserve"> Working days should be defined as working days specific for the calendar of the Member State.</w:t>
      </w:r>
    </w:p>
    <w:p w:rsidR="00131FE9" w:rsidRDefault="00131FE9" w:rsidP="002834CE">
      <w:pPr>
        <w:rPr>
          <w:rFonts w:cs="Arial"/>
          <w:lang w:val="en-US"/>
        </w:rPr>
      </w:pPr>
    </w:p>
    <w:p w:rsidR="00131FE9" w:rsidRDefault="00131FE9" w:rsidP="002834CE">
      <w:pPr>
        <w:rPr>
          <w:rFonts w:cs="Arial"/>
          <w:lang w:val="en-US"/>
        </w:rPr>
      </w:pPr>
      <w:r>
        <w:rPr>
          <w:rFonts w:cs="Arial"/>
          <w:lang w:val="en-US"/>
        </w:rPr>
        <w:t xml:space="preserve">It is indicated that information “shall be transmitted in a machine readable format” – the scope of data is defined in Annex 1. </w:t>
      </w:r>
      <w:r w:rsidR="00652DF2">
        <w:rPr>
          <w:rFonts w:cs="Arial"/>
          <w:lang w:val="en-US"/>
        </w:rPr>
        <w:t>We assume, that it</w:t>
      </w:r>
      <w:r w:rsidR="00D52066">
        <w:rPr>
          <w:rFonts w:cs="Arial"/>
          <w:lang w:val="en-US"/>
        </w:rPr>
        <w:t xml:space="preserve"> mean</w:t>
      </w:r>
      <w:r w:rsidR="00652DF2">
        <w:rPr>
          <w:rFonts w:cs="Arial"/>
          <w:lang w:val="en-US"/>
        </w:rPr>
        <w:t>s</w:t>
      </w:r>
      <w:r w:rsidR="00D52066">
        <w:rPr>
          <w:rFonts w:cs="Arial"/>
          <w:lang w:val="en-US"/>
        </w:rPr>
        <w:t xml:space="preserve"> that</w:t>
      </w:r>
      <w:r>
        <w:rPr>
          <w:rFonts w:cs="Arial"/>
          <w:lang w:val="en-US"/>
        </w:rPr>
        <w:t xml:space="preserve"> the fo</w:t>
      </w:r>
      <w:r w:rsidR="00D52066">
        <w:rPr>
          <w:rFonts w:cs="Arial"/>
          <w:lang w:val="en-US"/>
        </w:rPr>
        <w:t>rmat will be bilaterally agreed</w:t>
      </w:r>
      <w:r>
        <w:rPr>
          <w:rFonts w:cs="Arial"/>
          <w:lang w:val="en-US"/>
        </w:rPr>
        <w:t xml:space="preserve"> between </w:t>
      </w:r>
      <w:r w:rsidR="00652DF2">
        <w:rPr>
          <w:rFonts w:cs="Arial"/>
          <w:lang w:val="en-US"/>
        </w:rPr>
        <w:t>each</w:t>
      </w:r>
      <w:r w:rsidR="00D52066">
        <w:rPr>
          <w:rFonts w:cs="Arial"/>
          <w:lang w:val="en-US"/>
        </w:rPr>
        <w:t xml:space="preserve"> </w:t>
      </w:r>
      <w:r>
        <w:rPr>
          <w:rFonts w:cs="Arial"/>
          <w:lang w:val="en-US"/>
        </w:rPr>
        <w:t xml:space="preserve">CSD and </w:t>
      </w:r>
      <w:r w:rsidR="00652DF2">
        <w:rPr>
          <w:rFonts w:cs="Arial"/>
          <w:lang w:val="en-US"/>
        </w:rPr>
        <w:t>its</w:t>
      </w:r>
      <w:r w:rsidR="00D52066">
        <w:rPr>
          <w:rFonts w:cs="Arial"/>
          <w:lang w:val="en-US"/>
        </w:rPr>
        <w:t xml:space="preserve"> </w:t>
      </w:r>
      <w:r>
        <w:rPr>
          <w:rFonts w:cs="Arial"/>
          <w:lang w:val="en-US"/>
        </w:rPr>
        <w:t>competent authority</w:t>
      </w:r>
      <w:r w:rsidR="00652DF2">
        <w:rPr>
          <w:rFonts w:cs="Arial"/>
          <w:lang w:val="en-US"/>
        </w:rPr>
        <w:t>.</w:t>
      </w:r>
      <w:r>
        <w:rPr>
          <w:rFonts w:cs="Arial"/>
          <w:lang w:val="en-US"/>
        </w:rPr>
        <w:t xml:space="preserve"> If </w:t>
      </w:r>
      <w:r w:rsidR="00652DF2">
        <w:rPr>
          <w:rFonts w:cs="Arial"/>
          <w:lang w:val="en-US"/>
        </w:rPr>
        <w:t>such was the intention of ESMA</w:t>
      </w:r>
      <w:r w:rsidR="00D52066">
        <w:rPr>
          <w:rFonts w:cs="Arial"/>
          <w:lang w:val="en-US"/>
        </w:rPr>
        <w:t xml:space="preserve">, </w:t>
      </w:r>
      <w:r w:rsidR="00652DF2">
        <w:rPr>
          <w:rFonts w:cs="Arial"/>
          <w:lang w:val="en-US"/>
        </w:rPr>
        <w:t>it should be clearly indicated in</w:t>
      </w:r>
      <w:r>
        <w:rPr>
          <w:rFonts w:cs="Arial"/>
          <w:lang w:val="en-US"/>
        </w:rPr>
        <w:t xml:space="preserve"> </w:t>
      </w:r>
      <w:r w:rsidR="00D52066">
        <w:rPr>
          <w:rFonts w:cs="Arial"/>
          <w:lang w:val="en-US"/>
        </w:rPr>
        <w:t xml:space="preserve">the </w:t>
      </w:r>
      <w:r>
        <w:rPr>
          <w:rFonts w:cs="Arial"/>
          <w:lang w:val="en-US"/>
        </w:rPr>
        <w:t>RTS.</w:t>
      </w:r>
    </w:p>
    <w:p w:rsidR="00131FE9" w:rsidRDefault="00131FE9" w:rsidP="002834CE">
      <w:pPr>
        <w:rPr>
          <w:rFonts w:cs="Arial"/>
          <w:lang w:val="en-US"/>
        </w:rPr>
      </w:pPr>
    </w:p>
    <w:p w:rsidR="00D52066" w:rsidRDefault="007F0268" w:rsidP="002834CE">
      <w:pPr>
        <w:rPr>
          <w:rFonts w:cs="Arial"/>
          <w:lang w:val="en-US"/>
        </w:rPr>
      </w:pPr>
      <w:r>
        <w:rPr>
          <w:rFonts w:cs="Arial"/>
          <w:lang w:val="en-US"/>
        </w:rPr>
        <w:t>It is assumed that periodic reports would be generated and transmitted by a dedicated IT sy</w:t>
      </w:r>
      <w:r>
        <w:rPr>
          <w:rFonts w:cs="Arial"/>
          <w:lang w:val="en-US"/>
        </w:rPr>
        <w:t>s</w:t>
      </w:r>
      <w:r>
        <w:rPr>
          <w:rFonts w:cs="Arial"/>
          <w:lang w:val="en-US"/>
        </w:rPr>
        <w:t xml:space="preserve">tem. </w:t>
      </w:r>
      <w:r w:rsidR="00D52066">
        <w:rPr>
          <w:rFonts w:cs="Arial"/>
          <w:lang w:val="en-US"/>
        </w:rPr>
        <w:t>The</w:t>
      </w:r>
      <w:r w:rsidR="00131FE9">
        <w:rPr>
          <w:rFonts w:cs="Arial"/>
          <w:lang w:val="en-US"/>
        </w:rPr>
        <w:t xml:space="preserve"> possibility </w:t>
      </w:r>
      <w:r w:rsidR="00652DF2">
        <w:rPr>
          <w:rFonts w:cs="Arial"/>
          <w:lang w:val="en-US"/>
        </w:rPr>
        <w:t xml:space="preserve">for a competent authority </w:t>
      </w:r>
      <w:r w:rsidR="00131FE9">
        <w:rPr>
          <w:rFonts w:cs="Arial"/>
          <w:lang w:val="en-US"/>
        </w:rPr>
        <w:t xml:space="preserve">to request more </w:t>
      </w:r>
      <w:r w:rsidR="00D52066">
        <w:rPr>
          <w:rFonts w:cs="Arial"/>
          <w:lang w:val="en-US"/>
        </w:rPr>
        <w:t>frequent</w:t>
      </w:r>
      <w:r w:rsidR="00652DF2">
        <w:rPr>
          <w:rFonts w:cs="Arial"/>
          <w:lang w:val="en-US"/>
        </w:rPr>
        <w:t xml:space="preserve"> and more detailed</w:t>
      </w:r>
      <w:r w:rsidR="00131FE9">
        <w:rPr>
          <w:rFonts w:cs="Arial"/>
          <w:lang w:val="en-US"/>
        </w:rPr>
        <w:t xml:space="preserve"> repor</w:t>
      </w:r>
      <w:r w:rsidR="00131FE9">
        <w:rPr>
          <w:rFonts w:cs="Arial"/>
          <w:lang w:val="en-US"/>
        </w:rPr>
        <w:t>t</w:t>
      </w:r>
      <w:r w:rsidR="00131FE9">
        <w:rPr>
          <w:rFonts w:cs="Arial"/>
          <w:lang w:val="en-US"/>
        </w:rPr>
        <w:t xml:space="preserve">ing </w:t>
      </w:r>
      <w:r w:rsidR="00D52066">
        <w:rPr>
          <w:rFonts w:cs="Arial"/>
          <w:lang w:val="en-US"/>
        </w:rPr>
        <w:t xml:space="preserve">from a CSD </w:t>
      </w:r>
      <w:r w:rsidR="00652DF2">
        <w:rPr>
          <w:rFonts w:cs="Arial"/>
          <w:lang w:val="en-US"/>
        </w:rPr>
        <w:t xml:space="preserve">(Art 5(2)) </w:t>
      </w:r>
      <w:r>
        <w:rPr>
          <w:rFonts w:cs="Arial"/>
          <w:lang w:val="en-US"/>
        </w:rPr>
        <w:t>brings</w:t>
      </w:r>
      <w:r w:rsidR="00131FE9">
        <w:rPr>
          <w:rFonts w:cs="Arial"/>
          <w:lang w:val="en-US"/>
        </w:rPr>
        <w:t xml:space="preserve"> additional costs that are difficult to estimate</w:t>
      </w:r>
      <w:r>
        <w:rPr>
          <w:rFonts w:cs="Arial"/>
          <w:lang w:val="en-US"/>
        </w:rPr>
        <w:t>, as</w:t>
      </w:r>
      <w:r w:rsidR="00131FE9">
        <w:rPr>
          <w:rFonts w:cs="Arial"/>
          <w:lang w:val="en-US"/>
        </w:rPr>
        <w:t xml:space="preserve"> </w:t>
      </w:r>
      <w:r>
        <w:rPr>
          <w:rFonts w:cs="Arial"/>
          <w:lang w:val="en-US"/>
        </w:rPr>
        <w:t>any a</w:t>
      </w:r>
      <w:r w:rsidR="00131FE9">
        <w:rPr>
          <w:rFonts w:cs="Arial"/>
          <w:lang w:val="en-US"/>
        </w:rPr>
        <w:t>d hoc request</w:t>
      </w:r>
      <w:r w:rsidR="00D52066">
        <w:rPr>
          <w:rFonts w:cs="Arial"/>
          <w:lang w:val="en-US"/>
        </w:rPr>
        <w:t>s</w:t>
      </w:r>
      <w:r w:rsidR="00131FE9">
        <w:rPr>
          <w:rFonts w:cs="Arial"/>
          <w:lang w:val="en-US"/>
        </w:rPr>
        <w:t xml:space="preserve"> for additional information would </w:t>
      </w:r>
      <w:r>
        <w:rPr>
          <w:rFonts w:cs="Arial"/>
          <w:lang w:val="en-US"/>
        </w:rPr>
        <w:t>require</w:t>
      </w:r>
      <w:r w:rsidR="00131FE9">
        <w:rPr>
          <w:rFonts w:cs="Arial"/>
          <w:lang w:val="en-US"/>
        </w:rPr>
        <w:t xml:space="preserve"> manual </w:t>
      </w:r>
      <w:r>
        <w:rPr>
          <w:rFonts w:cs="Arial"/>
          <w:lang w:val="en-US"/>
        </w:rPr>
        <w:t>processing</w:t>
      </w:r>
      <w:r w:rsidR="00131FE9">
        <w:rPr>
          <w:rFonts w:cs="Arial"/>
          <w:lang w:val="en-US"/>
        </w:rPr>
        <w:t>. We propose to del</w:t>
      </w:r>
      <w:r>
        <w:rPr>
          <w:rFonts w:cs="Arial"/>
          <w:lang w:val="en-US"/>
        </w:rPr>
        <w:t>e</w:t>
      </w:r>
      <w:r w:rsidR="00131FE9">
        <w:rPr>
          <w:rFonts w:cs="Arial"/>
          <w:lang w:val="en-US"/>
        </w:rPr>
        <w:t>te th</w:t>
      </w:r>
      <w:r>
        <w:rPr>
          <w:rFonts w:cs="Arial"/>
          <w:lang w:val="en-US"/>
        </w:rPr>
        <w:t>is possibility</w:t>
      </w:r>
      <w:r w:rsidR="00131FE9">
        <w:rPr>
          <w:rFonts w:cs="Arial"/>
          <w:lang w:val="en-US"/>
        </w:rPr>
        <w:t xml:space="preserve"> or to limit</w:t>
      </w:r>
      <w:r w:rsidR="00D52066">
        <w:rPr>
          <w:rFonts w:cs="Arial"/>
          <w:lang w:val="en-US"/>
        </w:rPr>
        <w:t xml:space="preserve"> it to particular situations. </w:t>
      </w:r>
    </w:p>
    <w:p w:rsidR="00131FE9" w:rsidRDefault="00131FE9" w:rsidP="002834CE">
      <w:pPr>
        <w:rPr>
          <w:rFonts w:cs="Arial"/>
          <w:lang w:val="en-US"/>
        </w:rPr>
      </w:pPr>
      <w:r>
        <w:rPr>
          <w:rFonts w:cs="Arial"/>
          <w:lang w:val="en-US"/>
        </w:rPr>
        <w:t xml:space="preserve">The scope of the additional data should be in line with </w:t>
      </w:r>
      <w:r w:rsidR="00D52066">
        <w:rPr>
          <w:rFonts w:cs="Arial"/>
          <w:lang w:val="en-US"/>
        </w:rPr>
        <w:t xml:space="preserve">the </w:t>
      </w:r>
      <w:r w:rsidR="007F0268">
        <w:rPr>
          <w:rFonts w:cs="Arial"/>
          <w:lang w:val="en-US"/>
        </w:rPr>
        <w:t xml:space="preserve">requirements of the </w:t>
      </w:r>
      <w:r>
        <w:rPr>
          <w:rFonts w:cs="Arial"/>
          <w:lang w:val="en-US"/>
        </w:rPr>
        <w:t>record keeping section.</w:t>
      </w:r>
    </w:p>
    <w:p w:rsidR="00131FE9" w:rsidRDefault="00131FE9" w:rsidP="002834CE">
      <w:pPr>
        <w:rPr>
          <w:rFonts w:cs="Arial"/>
          <w:lang w:val="en-US"/>
        </w:rPr>
      </w:pPr>
      <w:r>
        <w:rPr>
          <w:rFonts w:cs="Arial"/>
          <w:lang w:val="en-US"/>
        </w:rPr>
        <w:t>In our opinion reports on settlement fails should be sent only to competent authorities. The co</w:t>
      </w:r>
      <w:r>
        <w:rPr>
          <w:rFonts w:cs="Arial"/>
          <w:lang w:val="en-US"/>
        </w:rPr>
        <w:t>m</w:t>
      </w:r>
      <w:r>
        <w:rPr>
          <w:rFonts w:cs="Arial"/>
          <w:lang w:val="en-US"/>
        </w:rPr>
        <w:t xml:space="preserve">petent authority should send reports </w:t>
      </w:r>
      <w:r w:rsidR="007F0268">
        <w:rPr>
          <w:rFonts w:cs="Arial"/>
          <w:lang w:val="en-US"/>
        </w:rPr>
        <w:t xml:space="preserve">further </w:t>
      </w:r>
      <w:r>
        <w:rPr>
          <w:rFonts w:cs="Arial"/>
          <w:lang w:val="en-US"/>
        </w:rPr>
        <w:t xml:space="preserve">to </w:t>
      </w:r>
      <w:r w:rsidR="00D52066">
        <w:rPr>
          <w:rFonts w:cs="Arial"/>
          <w:lang w:val="en-US"/>
        </w:rPr>
        <w:t xml:space="preserve">the </w:t>
      </w:r>
      <w:r>
        <w:rPr>
          <w:rFonts w:cs="Arial"/>
          <w:lang w:val="en-US"/>
        </w:rPr>
        <w:t>relevant authorities and ESMA.</w:t>
      </w:r>
    </w:p>
    <w:p w:rsidR="00131FE9" w:rsidRDefault="00131FE9" w:rsidP="002834CE">
      <w:pPr>
        <w:rPr>
          <w:rFonts w:cs="Arial"/>
          <w:lang w:val="en-US"/>
        </w:rPr>
      </w:pPr>
    </w:p>
    <w:p w:rsidR="00131FE9" w:rsidRDefault="00D52066" w:rsidP="002834CE">
      <w:pPr>
        <w:rPr>
          <w:rFonts w:cs="Arial"/>
          <w:lang w:val="en-US"/>
        </w:rPr>
      </w:pPr>
      <w:proofErr w:type="gramStart"/>
      <w:r>
        <w:rPr>
          <w:rFonts w:cs="Arial"/>
          <w:lang w:val="en-US"/>
        </w:rPr>
        <w:t>Comments to</w:t>
      </w:r>
      <w:r w:rsidR="00131FE9">
        <w:rPr>
          <w:rFonts w:cs="Arial"/>
          <w:lang w:val="en-US"/>
        </w:rPr>
        <w:t xml:space="preserve"> </w:t>
      </w:r>
      <w:r w:rsidR="007F0268">
        <w:rPr>
          <w:rFonts w:cs="Arial"/>
          <w:lang w:val="en-US"/>
        </w:rPr>
        <w:t xml:space="preserve">the content of </w:t>
      </w:r>
      <w:r w:rsidR="00131FE9">
        <w:rPr>
          <w:rFonts w:cs="Arial"/>
          <w:lang w:val="en-US"/>
        </w:rPr>
        <w:t>settlement fails</w:t>
      </w:r>
      <w:proofErr w:type="gramEnd"/>
      <w:r w:rsidR="00131FE9">
        <w:rPr>
          <w:rFonts w:cs="Arial"/>
          <w:lang w:val="en-US"/>
        </w:rPr>
        <w:t xml:space="preserve"> report to public authorities:</w:t>
      </w:r>
    </w:p>
    <w:p w:rsidR="00131FE9" w:rsidRDefault="00131FE9" w:rsidP="000834DD">
      <w:pPr>
        <w:pStyle w:val="Akapitzlist"/>
        <w:numPr>
          <w:ilvl w:val="0"/>
          <w:numId w:val="38"/>
        </w:numPr>
        <w:spacing w:line="276" w:lineRule="auto"/>
        <w:rPr>
          <w:rFonts w:cs="Arial"/>
          <w:lang w:val="en-US"/>
        </w:rPr>
      </w:pPr>
      <w:r w:rsidRPr="00F94F83">
        <w:rPr>
          <w:rFonts w:cs="Arial"/>
          <w:lang w:val="en-US"/>
        </w:rPr>
        <w:t xml:space="preserve">reasons for failed instructions – there are </w:t>
      </w:r>
      <w:r w:rsidR="007F0268" w:rsidRPr="00F94F83">
        <w:rPr>
          <w:rFonts w:cs="Arial"/>
          <w:lang w:val="en-US"/>
        </w:rPr>
        <w:t>other reasons for settlement fails</w:t>
      </w:r>
      <w:r w:rsidR="007F0268">
        <w:rPr>
          <w:rFonts w:cs="Arial"/>
          <w:lang w:val="en-US"/>
        </w:rPr>
        <w:t>, apart from</w:t>
      </w:r>
      <w:r w:rsidRPr="00F94F83">
        <w:rPr>
          <w:rFonts w:cs="Arial"/>
          <w:lang w:val="en-US"/>
        </w:rPr>
        <w:t xml:space="preserve"> lack o</w:t>
      </w:r>
      <w:r w:rsidR="00D52066">
        <w:rPr>
          <w:rFonts w:cs="Arial"/>
          <w:lang w:val="en-US"/>
        </w:rPr>
        <w:t>f securities or lack of cash,</w:t>
      </w:r>
      <w:r w:rsidRPr="00F94F83">
        <w:rPr>
          <w:rFonts w:cs="Arial"/>
          <w:lang w:val="en-US"/>
        </w:rPr>
        <w:t xml:space="preserve"> such</w:t>
      </w:r>
      <w:r w:rsidR="00D52066">
        <w:rPr>
          <w:rFonts w:cs="Arial"/>
          <w:lang w:val="en-US"/>
        </w:rPr>
        <w:t xml:space="preserve"> as</w:t>
      </w:r>
      <w:r w:rsidRPr="00F94F83">
        <w:rPr>
          <w:rFonts w:cs="Arial"/>
          <w:lang w:val="en-US"/>
        </w:rPr>
        <w:t xml:space="preserve"> sending of late instructions, instruction</w:t>
      </w:r>
      <w:r w:rsidR="00D52066">
        <w:rPr>
          <w:rFonts w:cs="Arial"/>
          <w:lang w:val="en-US"/>
        </w:rPr>
        <w:t>s with the status “</w:t>
      </w:r>
      <w:r w:rsidRPr="00F94F83">
        <w:rPr>
          <w:rFonts w:cs="Arial"/>
          <w:lang w:val="en-US"/>
        </w:rPr>
        <w:t>hold” or temporary restrictions for settlement with a certain ISIN code</w:t>
      </w:r>
      <w:r w:rsidR="00D52066">
        <w:rPr>
          <w:rFonts w:cs="Arial"/>
          <w:lang w:val="en-US"/>
        </w:rPr>
        <w:t>.</w:t>
      </w:r>
    </w:p>
    <w:p w:rsidR="00131FE9" w:rsidRDefault="00131FE9" w:rsidP="000834DD">
      <w:pPr>
        <w:pStyle w:val="Akapitzlist"/>
        <w:numPr>
          <w:ilvl w:val="0"/>
          <w:numId w:val="38"/>
        </w:numPr>
        <w:spacing w:line="276" w:lineRule="auto"/>
        <w:rPr>
          <w:rFonts w:cs="Arial"/>
          <w:lang w:val="en-US"/>
        </w:rPr>
      </w:pPr>
      <w:proofErr w:type="gramStart"/>
      <w:r w:rsidRPr="00F94F83">
        <w:rPr>
          <w:rFonts w:cs="Arial"/>
          <w:lang w:val="en-US"/>
        </w:rPr>
        <w:t>number</w:t>
      </w:r>
      <w:proofErr w:type="gramEnd"/>
      <w:r w:rsidRPr="00F94F83">
        <w:rPr>
          <w:rFonts w:cs="Arial"/>
          <w:lang w:val="en-US"/>
        </w:rPr>
        <w:t xml:space="preserve"> and value of settlement fails –  we assume that </w:t>
      </w:r>
      <w:r w:rsidR="00D52066">
        <w:rPr>
          <w:rFonts w:cs="Arial"/>
          <w:lang w:val="en-US"/>
        </w:rPr>
        <w:t xml:space="preserve">the </w:t>
      </w:r>
      <w:r w:rsidRPr="00F94F83">
        <w:rPr>
          <w:rFonts w:cs="Arial"/>
          <w:lang w:val="en-US"/>
        </w:rPr>
        <w:t>data relate to all instructions,</w:t>
      </w:r>
      <w:r>
        <w:rPr>
          <w:rFonts w:cs="Arial"/>
          <w:lang w:val="en-US"/>
        </w:rPr>
        <w:t xml:space="preserve"> </w:t>
      </w:r>
      <w:r w:rsidRPr="00F94F83">
        <w:rPr>
          <w:rFonts w:cs="Arial"/>
          <w:lang w:val="en-US"/>
        </w:rPr>
        <w:t>including</w:t>
      </w:r>
      <w:r>
        <w:rPr>
          <w:rFonts w:cs="Arial"/>
          <w:lang w:val="en-US"/>
        </w:rPr>
        <w:t xml:space="preserve"> failed</w:t>
      </w:r>
      <w:r w:rsidRPr="00F94F83">
        <w:rPr>
          <w:rFonts w:cs="Arial"/>
          <w:lang w:val="en-US"/>
        </w:rPr>
        <w:t xml:space="preserve"> instructions in </w:t>
      </w:r>
      <w:r w:rsidR="00D52066">
        <w:rPr>
          <w:rFonts w:cs="Arial"/>
          <w:lang w:val="en-US"/>
        </w:rPr>
        <w:t xml:space="preserve">the </w:t>
      </w:r>
      <w:r w:rsidRPr="00F94F83">
        <w:rPr>
          <w:rFonts w:cs="Arial"/>
          <w:lang w:val="en-US"/>
        </w:rPr>
        <w:t>chain</w:t>
      </w:r>
      <w:r w:rsidRPr="00FE4952">
        <w:rPr>
          <w:rFonts w:cs="Arial"/>
          <w:lang w:val="en-US"/>
        </w:rPr>
        <w:t>.</w:t>
      </w:r>
    </w:p>
    <w:p w:rsidR="00131FE9" w:rsidRDefault="00131FE9" w:rsidP="000834DD">
      <w:pPr>
        <w:pStyle w:val="Akapitzlist"/>
        <w:numPr>
          <w:ilvl w:val="0"/>
          <w:numId w:val="38"/>
        </w:numPr>
        <w:spacing w:line="276" w:lineRule="auto"/>
        <w:rPr>
          <w:rFonts w:cs="Arial"/>
          <w:lang w:val="en-US"/>
        </w:rPr>
      </w:pPr>
      <w:r>
        <w:rPr>
          <w:rFonts w:cs="Arial"/>
          <w:lang w:val="en-US"/>
        </w:rPr>
        <w:t>It is unclear, which exchange rate should be taken for conversion of values into EUR</w:t>
      </w:r>
      <w:r w:rsidRPr="00FE4952">
        <w:rPr>
          <w:rFonts w:cs="Arial"/>
          <w:lang w:val="en-US"/>
        </w:rPr>
        <w:t xml:space="preserve"> </w:t>
      </w:r>
      <w:r>
        <w:rPr>
          <w:rFonts w:cs="Arial"/>
          <w:lang w:val="en-US"/>
        </w:rPr>
        <w:t>– should it be an exchange rate for a given date or an average from a predefined period, the ECB reference date</w:t>
      </w:r>
      <w:r w:rsidR="00D52066">
        <w:rPr>
          <w:rFonts w:cs="Arial"/>
          <w:lang w:val="en-US"/>
        </w:rPr>
        <w:t>,</w:t>
      </w:r>
      <w:r>
        <w:rPr>
          <w:rFonts w:cs="Arial"/>
          <w:lang w:val="en-US"/>
        </w:rPr>
        <w:t xml:space="preserve"> or the exchange rate established by the Polish Central Bank?</w:t>
      </w:r>
    </w:p>
    <w:p w:rsidR="00131FE9" w:rsidRPr="00F94F83" w:rsidRDefault="00131FE9" w:rsidP="000834DD">
      <w:pPr>
        <w:pStyle w:val="Akapitzlist"/>
        <w:numPr>
          <w:ilvl w:val="0"/>
          <w:numId w:val="38"/>
        </w:numPr>
        <w:spacing w:line="276" w:lineRule="auto"/>
        <w:rPr>
          <w:rFonts w:cs="Arial"/>
          <w:lang w:val="en-US"/>
        </w:rPr>
      </w:pPr>
      <w:proofErr w:type="gramStart"/>
      <w:r w:rsidRPr="00F94F83">
        <w:rPr>
          <w:rFonts w:cs="Arial"/>
          <w:lang w:val="en-US"/>
        </w:rPr>
        <w:t>top</w:t>
      </w:r>
      <w:proofErr w:type="gramEnd"/>
      <w:r w:rsidRPr="00F94F83">
        <w:rPr>
          <w:rFonts w:cs="Arial"/>
          <w:lang w:val="en-US"/>
        </w:rPr>
        <w:t xml:space="preserve"> 10 participants –  it is worth </w:t>
      </w:r>
      <w:r w:rsidR="00D52066">
        <w:rPr>
          <w:rFonts w:cs="Arial"/>
          <w:lang w:val="en-US"/>
        </w:rPr>
        <w:t>noting</w:t>
      </w:r>
      <w:r w:rsidRPr="00F94F83">
        <w:rPr>
          <w:rFonts w:cs="Arial"/>
          <w:lang w:val="en-US"/>
        </w:rPr>
        <w:t xml:space="preserve"> that the biggest contributors might be participants from </w:t>
      </w:r>
      <w:r w:rsidR="00D52066">
        <w:rPr>
          <w:rFonts w:cs="Arial"/>
          <w:lang w:val="en-US"/>
        </w:rPr>
        <w:t xml:space="preserve">the </w:t>
      </w:r>
      <w:r w:rsidRPr="00F94F83">
        <w:rPr>
          <w:rFonts w:cs="Arial"/>
          <w:lang w:val="en-US"/>
        </w:rPr>
        <w:t>settlement</w:t>
      </w:r>
      <w:r>
        <w:rPr>
          <w:rFonts w:cs="Arial"/>
          <w:lang w:val="en-US"/>
        </w:rPr>
        <w:t xml:space="preserve"> fails</w:t>
      </w:r>
      <w:r w:rsidRPr="0036634F">
        <w:rPr>
          <w:rFonts w:cs="Arial"/>
          <w:lang w:val="en-US"/>
        </w:rPr>
        <w:t xml:space="preserve"> chain,</w:t>
      </w:r>
      <w:r>
        <w:rPr>
          <w:rFonts w:cs="Arial"/>
          <w:lang w:val="en-US"/>
        </w:rPr>
        <w:t xml:space="preserve"> but </w:t>
      </w:r>
      <w:r w:rsidR="00D52066">
        <w:rPr>
          <w:rFonts w:cs="Arial"/>
          <w:lang w:val="en-US"/>
        </w:rPr>
        <w:t>not the one which</w:t>
      </w:r>
      <w:r w:rsidRPr="00F94F83">
        <w:rPr>
          <w:rFonts w:cs="Arial"/>
          <w:lang w:val="en-US"/>
        </w:rPr>
        <w:t xml:space="preserve"> cause</w:t>
      </w:r>
      <w:r w:rsidR="00D52066">
        <w:rPr>
          <w:rFonts w:cs="Arial"/>
          <w:lang w:val="en-US"/>
        </w:rPr>
        <w:t>d</w:t>
      </w:r>
      <w:r w:rsidRPr="00F94F83">
        <w:rPr>
          <w:rFonts w:cs="Arial"/>
          <w:lang w:val="en-US"/>
        </w:rPr>
        <w:t xml:space="preserve"> the fail. </w:t>
      </w:r>
    </w:p>
    <w:p w:rsidR="00131FE9" w:rsidRPr="00F94F83" w:rsidRDefault="007F0268" w:rsidP="000834DD">
      <w:pPr>
        <w:pStyle w:val="Akapitzlist"/>
        <w:numPr>
          <w:ilvl w:val="0"/>
          <w:numId w:val="38"/>
        </w:numPr>
        <w:spacing w:line="276" w:lineRule="auto"/>
        <w:rPr>
          <w:rFonts w:cs="Arial"/>
          <w:lang w:val="en-US"/>
        </w:rPr>
      </w:pPr>
      <w:proofErr w:type="gramStart"/>
      <w:r>
        <w:rPr>
          <w:rFonts w:cs="Arial"/>
          <w:lang w:val="en-US"/>
        </w:rPr>
        <w:t>f</w:t>
      </w:r>
      <w:r w:rsidR="00D52066">
        <w:rPr>
          <w:rFonts w:cs="Arial"/>
          <w:lang w:val="en-US"/>
        </w:rPr>
        <w:t>ield</w:t>
      </w:r>
      <w:proofErr w:type="gramEnd"/>
      <w:r w:rsidR="00D52066">
        <w:rPr>
          <w:rFonts w:cs="Arial"/>
          <w:lang w:val="en-US"/>
        </w:rPr>
        <w:t xml:space="preserve"> 13 “</w:t>
      </w:r>
      <w:r w:rsidR="00131FE9" w:rsidRPr="00F94F83">
        <w:rPr>
          <w:rFonts w:cs="Arial"/>
          <w:lang w:val="en-US"/>
        </w:rPr>
        <w:t xml:space="preserve">main reason” – </w:t>
      </w:r>
      <w:r w:rsidRPr="00F94F83">
        <w:rPr>
          <w:rFonts w:cs="Arial"/>
          <w:lang w:val="en-US"/>
        </w:rPr>
        <w:t xml:space="preserve">such fields are not used in </w:t>
      </w:r>
      <w:r>
        <w:rPr>
          <w:rFonts w:cs="Arial"/>
          <w:lang w:val="en-US"/>
        </w:rPr>
        <w:t>system solutions, which would create difficulties if the</w:t>
      </w:r>
      <w:r w:rsidR="00D52066">
        <w:rPr>
          <w:rFonts w:cs="Arial"/>
          <w:lang w:val="en-US"/>
        </w:rPr>
        <w:t xml:space="preserve"> </w:t>
      </w:r>
      <w:r w:rsidR="00131FE9" w:rsidRPr="00F94F83">
        <w:rPr>
          <w:rFonts w:cs="Arial"/>
          <w:lang w:val="en-US"/>
        </w:rPr>
        <w:t xml:space="preserve">report </w:t>
      </w:r>
      <w:r>
        <w:rPr>
          <w:rFonts w:cs="Arial"/>
          <w:lang w:val="en-US"/>
        </w:rPr>
        <w:t>were to</w:t>
      </w:r>
      <w:r w:rsidR="00131FE9" w:rsidRPr="00F94F83">
        <w:rPr>
          <w:rFonts w:cs="Arial"/>
          <w:lang w:val="en-US"/>
        </w:rPr>
        <w:t xml:space="preserve"> be created automatically</w:t>
      </w:r>
      <w:r w:rsidR="00131FE9">
        <w:rPr>
          <w:rFonts w:cs="Arial"/>
          <w:lang w:val="en-US"/>
        </w:rPr>
        <w:t>.</w:t>
      </w:r>
      <w:r w:rsidR="00131FE9" w:rsidRPr="00F94F83">
        <w:rPr>
          <w:rFonts w:cs="Arial"/>
          <w:lang w:val="en-US"/>
        </w:rPr>
        <w:t xml:space="preserve"> </w:t>
      </w:r>
    </w:p>
    <w:p w:rsidR="00131FE9" w:rsidRPr="00F94F83" w:rsidRDefault="007F0268" w:rsidP="000834DD">
      <w:pPr>
        <w:pStyle w:val="Akapitzlist"/>
        <w:numPr>
          <w:ilvl w:val="0"/>
          <w:numId w:val="38"/>
        </w:numPr>
        <w:spacing w:line="276" w:lineRule="auto"/>
        <w:rPr>
          <w:rFonts w:cs="Arial"/>
          <w:lang w:val="en-US"/>
        </w:rPr>
      </w:pPr>
      <w:proofErr w:type="gramStart"/>
      <w:r>
        <w:rPr>
          <w:rFonts w:cs="Arial"/>
          <w:lang w:val="en-US"/>
        </w:rPr>
        <w:t>f</w:t>
      </w:r>
      <w:r w:rsidR="00131FE9">
        <w:rPr>
          <w:rFonts w:cs="Arial"/>
          <w:lang w:val="en-US"/>
        </w:rPr>
        <w:t>ield</w:t>
      </w:r>
      <w:proofErr w:type="gramEnd"/>
      <w:r w:rsidR="00131FE9">
        <w:rPr>
          <w:rFonts w:cs="Arial"/>
          <w:lang w:val="en-US"/>
        </w:rPr>
        <w:t xml:space="preserve"> </w:t>
      </w:r>
      <w:r w:rsidR="00F14589">
        <w:rPr>
          <w:rFonts w:cs="Arial"/>
          <w:lang w:val="en-US"/>
        </w:rPr>
        <w:t>19 “</w:t>
      </w:r>
      <w:r w:rsidR="00131FE9" w:rsidRPr="00F94F83">
        <w:rPr>
          <w:rFonts w:cs="Arial"/>
          <w:lang w:val="en-US"/>
        </w:rPr>
        <w:t>total num</w:t>
      </w:r>
      <w:r w:rsidR="00131FE9">
        <w:rPr>
          <w:rFonts w:cs="Arial"/>
          <w:lang w:val="en-US"/>
        </w:rPr>
        <w:t>ber of penal</w:t>
      </w:r>
      <w:r w:rsidR="00131FE9" w:rsidRPr="00F94F83">
        <w:rPr>
          <w:rFonts w:cs="Arial"/>
          <w:lang w:val="en-US"/>
        </w:rPr>
        <w:t xml:space="preserve">ties” – </w:t>
      </w:r>
      <w:r w:rsidR="00131FE9">
        <w:rPr>
          <w:rFonts w:cs="Arial"/>
          <w:lang w:val="en-US"/>
        </w:rPr>
        <w:t xml:space="preserve"> it is not clear how to </w:t>
      </w:r>
      <w:r>
        <w:rPr>
          <w:rFonts w:cs="Arial"/>
          <w:lang w:val="en-US"/>
        </w:rPr>
        <w:t>count</w:t>
      </w:r>
      <w:r w:rsidR="00131FE9">
        <w:rPr>
          <w:rFonts w:cs="Arial"/>
          <w:lang w:val="en-US"/>
        </w:rPr>
        <w:t xml:space="preserve"> </w:t>
      </w:r>
      <w:r w:rsidR="00F14589">
        <w:rPr>
          <w:rFonts w:cs="Arial"/>
          <w:lang w:val="en-US"/>
        </w:rPr>
        <w:t>the “</w:t>
      </w:r>
      <w:r w:rsidR="00131FE9" w:rsidRPr="00F94F83">
        <w:rPr>
          <w:rFonts w:cs="Arial"/>
          <w:lang w:val="en-US"/>
        </w:rPr>
        <w:t>num</w:t>
      </w:r>
      <w:r w:rsidR="00131FE9">
        <w:rPr>
          <w:rFonts w:cs="Arial"/>
          <w:lang w:val="en-US"/>
        </w:rPr>
        <w:t>b</w:t>
      </w:r>
      <w:r w:rsidR="00131FE9" w:rsidRPr="00F94F83">
        <w:rPr>
          <w:rFonts w:cs="Arial"/>
          <w:lang w:val="en-US"/>
        </w:rPr>
        <w:t>er of pena</w:t>
      </w:r>
      <w:r w:rsidR="00131FE9" w:rsidRPr="00F94F83">
        <w:rPr>
          <w:rFonts w:cs="Arial"/>
          <w:lang w:val="en-US"/>
        </w:rPr>
        <w:t>l</w:t>
      </w:r>
      <w:r w:rsidR="00131FE9" w:rsidRPr="00F94F83">
        <w:rPr>
          <w:rFonts w:cs="Arial"/>
          <w:lang w:val="en-US"/>
        </w:rPr>
        <w:t xml:space="preserve">ties”, </w:t>
      </w:r>
      <w:r>
        <w:rPr>
          <w:rFonts w:cs="Arial"/>
          <w:lang w:val="en-US"/>
        </w:rPr>
        <w:t>i</w:t>
      </w:r>
      <w:r w:rsidR="00131FE9">
        <w:rPr>
          <w:rFonts w:cs="Arial"/>
          <w:lang w:val="en-US"/>
        </w:rPr>
        <w:t xml:space="preserve">n our opinion only field 20 </w:t>
      </w:r>
      <w:r w:rsidR="00F14589">
        <w:rPr>
          <w:rFonts w:cs="Arial"/>
          <w:lang w:val="en-US"/>
        </w:rPr>
        <w:t>“</w:t>
      </w:r>
      <w:r w:rsidR="00131FE9" w:rsidRPr="00F94F83">
        <w:rPr>
          <w:rFonts w:cs="Arial"/>
          <w:lang w:val="en-US"/>
        </w:rPr>
        <w:t xml:space="preserve">total value of penalties” </w:t>
      </w:r>
      <w:r w:rsidR="00131FE9">
        <w:rPr>
          <w:rFonts w:cs="Arial"/>
          <w:lang w:val="en-US"/>
        </w:rPr>
        <w:t>should</w:t>
      </w:r>
      <w:r w:rsidR="00F14589">
        <w:rPr>
          <w:rFonts w:cs="Arial"/>
          <w:lang w:val="en-US"/>
        </w:rPr>
        <w:t xml:space="preserve"> be </w:t>
      </w:r>
      <w:r>
        <w:rPr>
          <w:rFonts w:cs="Arial"/>
          <w:lang w:val="en-US"/>
        </w:rPr>
        <w:t>counted</w:t>
      </w:r>
      <w:r w:rsidR="00131FE9">
        <w:rPr>
          <w:rFonts w:cs="Arial"/>
          <w:lang w:val="en-US"/>
        </w:rPr>
        <w:t>.</w:t>
      </w:r>
    </w:p>
    <w:p w:rsidR="00131FE9" w:rsidRPr="00F94F83" w:rsidRDefault="00131FE9" w:rsidP="000834DD">
      <w:pPr>
        <w:pStyle w:val="Akapitzlist"/>
        <w:numPr>
          <w:ilvl w:val="0"/>
          <w:numId w:val="38"/>
        </w:numPr>
        <w:spacing w:line="276" w:lineRule="auto"/>
        <w:rPr>
          <w:rFonts w:cs="Arial"/>
          <w:lang w:val="en-US"/>
        </w:rPr>
      </w:pPr>
      <w:proofErr w:type="gramStart"/>
      <w:r w:rsidRPr="00F94F83">
        <w:rPr>
          <w:rFonts w:cs="Arial"/>
          <w:lang w:val="en-US"/>
        </w:rPr>
        <w:t>buy-in</w:t>
      </w:r>
      <w:proofErr w:type="gramEnd"/>
      <w:r w:rsidRPr="00F94F83">
        <w:rPr>
          <w:rFonts w:cs="Arial"/>
          <w:lang w:val="en-US"/>
        </w:rPr>
        <w:t xml:space="preserve"> fields – as we </w:t>
      </w:r>
      <w:r w:rsidR="007F0268">
        <w:rPr>
          <w:rFonts w:cs="Arial"/>
          <w:lang w:val="en-US"/>
        </w:rPr>
        <w:t>indicated</w:t>
      </w:r>
      <w:r w:rsidRPr="00F94F83">
        <w:rPr>
          <w:rFonts w:cs="Arial"/>
          <w:lang w:val="en-US"/>
        </w:rPr>
        <w:t xml:space="preserve"> earlier</w:t>
      </w:r>
      <w:r w:rsidR="00F14589">
        <w:rPr>
          <w:rFonts w:cs="Arial"/>
          <w:lang w:val="en-US"/>
        </w:rPr>
        <w:t>,</w:t>
      </w:r>
      <w:r w:rsidRPr="00F94F83">
        <w:rPr>
          <w:rFonts w:cs="Arial"/>
          <w:lang w:val="en-US"/>
        </w:rPr>
        <w:t xml:space="preserve"> these </w:t>
      </w:r>
      <w:r w:rsidR="007F0268">
        <w:rPr>
          <w:rFonts w:cs="Arial"/>
          <w:lang w:val="en-US"/>
        </w:rPr>
        <w:t xml:space="preserve">information </w:t>
      </w:r>
      <w:r w:rsidRPr="00F94F83">
        <w:rPr>
          <w:rFonts w:cs="Arial"/>
          <w:lang w:val="en-US"/>
        </w:rPr>
        <w:t xml:space="preserve">are </w:t>
      </w:r>
      <w:r w:rsidR="007F0268">
        <w:rPr>
          <w:rFonts w:cs="Arial"/>
          <w:lang w:val="en-US"/>
        </w:rPr>
        <w:t xml:space="preserve">currently </w:t>
      </w:r>
      <w:r w:rsidRPr="00F94F83">
        <w:rPr>
          <w:rFonts w:cs="Arial"/>
          <w:lang w:val="en-US"/>
        </w:rPr>
        <w:t xml:space="preserve">not </w:t>
      </w:r>
      <w:r w:rsidR="007F0268">
        <w:rPr>
          <w:rFonts w:cs="Arial"/>
          <w:lang w:val="en-US"/>
        </w:rPr>
        <w:t>processed by KDPW</w:t>
      </w:r>
      <w:r w:rsidR="00F14589">
        <w:rPr>
          <w:rFonts w:cs="Arial"/>
          <w:lang w:val="en-US"/>
        </w:rPr>
        <w:t>.</w:t>
      </w:r>
    </w:p>
    <w:p w:rsidR="00131FE9" w:rsidRDefault="00131FE9" w:rsidP="000834DD">
      <w:pPr>
        <w:pStyle w:val="Akapitzlist"/>
        <w:numPr>
          <w:ilvl w:val="0"/>
          <w:numId w:val="38"/>
        </w:numPr>
        <w:spacing w:line="276" w:lineRule="auto"/>
        <w:rPr>
          <w:rFonts w:cs="Arial"/>
          <w:lang w:val="en-US"/>
        </w:rPr>
      </w:pPr>
      <w:proofErr w:type="gramStart"/>
      <w:r w:rsidRPr="00F94F83">
        <w:rPr>
          <w:rFonts w:cs="Arial"/>
          <w:lang w:val="en-US"/>
        </w:rPr>
        <w:t>field</w:t>
      </w:r>
      <w:proofErr w:type="gramEnd"/>
      <w:r w:rsidRPr="00F94F83">
        <w:rPr>
          <w:rFonts w:cs="Arial"/>
          <w:lang w:val="en-US"/>
        </w:rPr>
        <w:t xml:space="preserve"> 27 -  it is not clear which information should be </w:t>
      </w:r>
      <w:r w:rsidR="00123110">
        <w:rPr>
          <w:rFonts w:cs="Arial"/>
          <w:lang w:val="en-US"/>
        </w:rPr>
        <w:t>indicated here</w:t>
      </w:r>
      <w:r w:rsidRPr="00F94F83">
        <w:rPr>
          <w:rFonts w:cs="Arial"/>
          <w:lang w:val="en-US"/>
        </w:rPr>
        <w:t>, such fiel</w:t>
      </w:r>
      <w:r>
        <w:rPr>
          <w:rFonts w:cs="Arial"/>
          <w:lang w:val="en-US"/>
        </w:rPr>
        <w:t>d</w:t>
      </w:r>
      <w:r w:rsidRPr="00F94F83">
        <w:rPr>
          <w:rFonts w:cs="Arial"/>
          <w:lang w:val="en-US"/>
        </w:rPr>
        <w:t xml:space="preserve">s are not used in </w:t>
      </w:r>
      <w:r w:rsidR="00123110">
        <w:rPr>
          <w:rFonts w:cs="Arial"/>
          <w:lang w:val="en-US"/>
        </w:rPr>
        <w:t xml:space="preserve">CSD </w:t>
      </w:r>
      <w:r w:rsidRPr="00F94F83">
        <w:rPr>
          <w:rFonts w:cs="Arial"/>
          <w:lang w:val="en-US"/>
        </w:rPr>
        <w:t>system solutions.</w:t>
      </w:r>
    </w:p>
    <w:p w:rsidR="00131FE9" w:rsidRPr="00F94F83" w:rsidRDefault="00131FE9" w:rsidP="000834DD">
      <w:pPr>
        <w:pStyle w:val="Akapitzlist"/>
        <w:numPr>
          <w:ilvl w:val="0"/>
          <w:numId w:val="38"/>
        </w:numPr>
        <w:spacing w:line="276" w:lineRule="auto"/>
        <w:rPr>
          <w:rFonts w:cs="Arial"/>
          <w:lang w:val="en-US"/>
        </w:rPr>
      </w:pPr>
      <w:r>
        <w:rPr>
          <w:rFonts w:cs="Arial"/>
          <w:lang w:val="en-US"/>
        </w:rPr>
        <w:t>Fields 28 and 29 – it is unclear, whether the</w:t>
      </w:r>
      <w:r w:rsidR="000656D2">
        <w:rPr>
          <w:rFonts w:cs="Arial"/>
          <w:lang w:val="en-US"/>
        </w:rPr>
        <w:t>se</w:t>
      </w:r>
      <w:r>
        <w:rPr>
          <w:rFonts w:cs="Arial"/>
          <w:lang w:val="en-US"/>
        </w:rPr>
        <w:t xml:space="preserve"> values</w:t>
      </w:r>
      <w:r w:rsidR="000656D2">
        <w:rPr>
          <w:rFonts w:cs="Arial"/>
          <w:lang w:val="en-US"/>
        </w:rPr>
        <w:t xml:space="preserve"> should be reported every quarter, or only </w:t>
      </w:r>
      <w:r w:rsidR="00123110">
        <w:rPr>
          <w:rFonts w:cs="Arial"/>
          <w:lang w:val="en-US"/>
        </w:rPr>
        <w:t>when</w:t>
      </w:r>
      <w:r w:rsidR="000656D2">
        <w:rPr>
          <w:rFonts w:cs="Arial"/>
          <w:lang w:val="en-US"/>
        </w:rPr>
        <w:t xml:space="preserve"> the th</w:t>
      </w:r>
      <w:r w:rsidR="00F14589">
        <w:rPr>
          <w:rFonts w:cs="Arial"/>
          <w:lang w:val="en-US"/>
        </w:rPr>
        <w:t>resholds defined in Art. 3.</w:t>
      </w:r>
      <w:r w:rsidR="000656D2">
        <w:rPr>
          <w:rFonts w:cs="Arial"/>
          <w:lang w:val="en-US"/>
        </w:rPr>
        <w:t>11 are exceeded.</w:t>
      </w:r>
    </w:p>
    <w:p w:rsidR="00131FE9" w:rsidRDefault="00131FE9" w:rsidP="000834DD">
      <w:pPr>
        <w:pStyle w:val="Akapitzlist"/>
        <w:numPr>
          <w:ilvl w:val="0"/>
          <w:numId w:val="38"/>
        </w:numPr>
        <w:spacing w:line="276" w:lineRule="auto"/>
        <w:rPr>
          <w:rFonts w:cs="Arial"/>
          <w:lang w:val="en-US"/>
        </w:rPr>
      </w:pPr>
      <w:r w:rsidRPr="00F94F83">
        <w:rPr>
          <w:rFonts w:cs="Arial"/>
          <w:lang w:val="en-US"/>
        </w:rPr>
        <w:t xml:space="preserve">It is not </w:t>
      </w:r>
      <w:r w:rsidR="00F14589">
        <w:rPr>
          <w:rFonts w:cs="Arial"/>
          <w:lang w:val="en-US"/>
        </w:rPr>
        <w:t>clear how to take into account “</w:t>
      </w:r>
      <w:r w:rsidRPr="00F94F83">
        <w:rPr>
          <w:rFonts w:cs="Arial"/>
          <w:lang w:val="en-US"/>
        </w:rPr>
        <w:t>partially settled instructions” in data r</w:t>
      </w:r>
      <w:r>
        <w:rPr>
          <w:rFonts w:cs="Arial"/>
          <w:lang w:val="en-US"/>
        </w:rPr>
        <w:t>e</w:t>
      </w:r>
      <w:r w:rsidRPr="00F94F83">
        <w:rPr>
          <w:rFonts w:cs="Arial"/>
          <w:lang w:val="en-US"/>
        </w:rPr>
        <w:t xml:space="preserve">lating to </w:t>
      </w:r>
      <w:r>
        <w:rPr>
          <w:rFonts w:cs="Arial"/>
          <w:lang w:val="en-US"/>
        </w:rPr>
        <w:t xml:space="preserve">the </w:t>
      </w:r>
      <w:r w:rsidRPr="00F94F83">
        <w:rPr>
          <w:rFonts w:cs="Arial"/>
          <w:lang w:val="en-US"/>
        </w:rPr>
        <w:t>num</w:t>
      </w:r>
      <w:r>
        <w:rPr>
          <w:rFonts w:cs="Arial"/>
          <w:lang w:val="en-US"/>
        </w:rPr>
        <w:t>b</w:t>
      </w:r>
      <w:r w:rsidRPr="00F94F83">
        <w:rPr>
          <w:rFonts w:cs="Arial"/>
          <w:lang w:val="en-US"/>
        </w:rPr>
        <w:t>er</w:t>
      </w:r>
      <w:r w:rsidR="000656D2">
        <w:rPr>
          <w:rFonts w:cs="Arial"/>
          <w:lang w:val="en-US"/>
        </w:rPr>
        <w:t xml:space="preserve"> and value</w:t>
      </w:r>
      <w:r w:rsidRPr="00F94F83">
        <w:rPr>
          <w:rFonts w:cs="Arial"/>
          <w:lang w:val="en-US"/>
        </w:rPr>
        <w:t xml:space="preserve"> of settlement fails</w:t>
      </w:r>
      <w:r w:rsidR="000656D2">
        <w:rPr>
          <w:rFonts w:cs="Arial"/>
          <w:lang w:val="en-US"/>
        </w:rPr>
        <w:t xml:space="preserve"> and the </w:t>
      </w:r>
      <w:r w:rsidR="000656D2" w:rsidRPr="00F94F83">
        <w:rPr>
          <w:rFonts w:cs="Arial"/>
          <w:lang w:val="en-US"/>
        </w:rPr>
        <w:t>num</w:t>
      </w:r>
      <w:r w:rsidR="000656D2">
        <w:rPr>
          <w:rFonts w:cs="Arial"/>
          <w:lang w:val="en-US"/>
        </w:rPr>
        <w:t>b</w:t>
      </w:r>
      <w:r w:rsidR="000656D2" w:rsidRPr="00F94F83">
        <w:rPr>
          <w:rFonts w:cs="Arial"/>
          <w:lang w:val="en-US"/>
        </w:rPr>
        <w:t>er</w:t>
      </w:r>
      <w:r w:rsidR="000656D2">
        <w:rPr>
          <w:rFonts w:cs="Arial"/>
          <w:lang w:val="en-US"/>
        </w:rPr>
        <w:t xml:space="preserve"> and value</w:t>
      </w:r>
      <w:r w:rsidR="000656D2" w:rsidRPr="00F94F83">
        <w:rPr>
          <w:rFonts w:cs="Arial"/>
          <w:lang w:val="en-US"/>
        </w:rPr>
        <w:t xml:space="preserve"> of settlement</w:t>
      </w:r>
      <w:r w:rsidR="000656D2">
        <w:rPr>
          <w:rFonts w:cs="Arial"/>
          <w:lang w:val="en-US"/>
        </w:rPr>
        <w:t xml:space="preserve"> instru</w:t>
      </w:r>
      <w:r w:rsidR="000656D2">
        <w:rPr>
          <w:rFonts w:cs="Arial"/>
          <w:lang w:val="en-US"/>
        </w:rPr>
        <w:t>c</w:t>
      </w:r>
      <w:r w:rsidR="000656D2">
        <w:rPr>
          <w:rFonts w:cs="Arial"/>
          <w:lang w:val="en-US"/>
        </w:rPr>
        <w:t>tions, i.e. whether a partially settled instruction should be counted as one instruction, r</w:t>
      </w:r>
      <w:r w:rsidR="000656D2">
        <w:rPr>
          <w:rFonts w:cs="Arial"/>
          <w:lang w:val="en-US"/>
        </w:rPr>
        <w:t>e</w:t>
      </w:r>
      <w:r w:rsidR="000656D2">
        <w:rPr>
          <w:rFonts w:cs="Arial"/>
          <w:lang w:val="en-US"/>
        </w:rPr>
        <w:lastRenderedPageBreak/>
        <w:t>gardless of the number of parts in which it has been settled or whether each part should be counted separately.</w:t>
      </w:r>
    </w:p>
    <w:p w:rsidR="000656D2" w:rsidRPr="00F94F83" w:rsidRDefault="000656D2" w:rsidP="000834DD">
      <w:pPr>
        <w:pStyle w:val="Akapitzlist"/>
        <w:numPr>
          <w:ilvl w:val="0"/>
          <w:numId w:val="38"/>
        </w:numPr>
        <w:spacing w:line="276" w:lineRule="auto"/>
        <w:rPr>
          <w:rFonts w:cs="Arial"/>
          <w:lang w:val="en-US"/>
        </w:rPr>
      </w:pPr>
      <w:r>
        <w:rPr>
          <w:rFonts w:cs="Arial"/>
          <w:lang w:val="en-US"/>
        </w:rPr>
        <w:t>In our opinion the classification of assets used in the column “Type of asset class” should be in line with ISO 10962. If it is not the case, there should</w:t>
      </w:r>
      <w:r w:rsidR="00AD47EE">
        <w:rPr>
          <w:rFonts w:cs="Arial"/>
          <w:lang w:val="en-US"/>
        </w:rPr>
        <w:t xml:space="preserve"> be clear assigning of financial instruments to each type of asset class.</w:t>
      </w:r>
    </w:p>
    <w:p w:rsidR="00131FE9" w:rsidRDefault="00131FE9" w:rsidP="002834CE">
      <w:pPr>
        <w:rPr>
          <w:rFonts w:cs="Arial"/>
          <w:lang w:val="en-US"/>
        </w:rPr>
      </w:pPr>
    </w:p>
    <w:p w:rsidR="00131FE9" w:rsidRPr="000C2041" w:rsidRDefault="00131FE9" w:rsidP="002834CE">
      <w:pPr>
        <w:rPr>
          <w:rFonts w:cs="Arial"/>
          <w:lang w:val="en-US"/>
        </w:rPr>
      </w:pPr>
      <w:proofErr w:type="gramStart"/>
      <w:r>
        <w:rPr>
          <w:rFonts w:cs="Arial"/>
          <w:lang w:val="en-US"/>
        </w:rPr>
        <w:t xml:space="preserve">Remarks to </w:t>
      </w:r>
      <w:r w:rsidRPr="000C2041">
        <w:rPr>
          <w:rFonts w:cs="Arial"/>
          <w:lang w:val="en-US"/>
        </w:rPr>
        <w:t>Reports on settlement fails</w:t>
      </w:r>
      <w:proofErr w:type="gramEnd"/>
      <w:r w:rsidRPr="000C2041">
        <w:rPr>
          <w:rFonts w:cs="Arial"/>
          <w:lang w:val="en-US"/>
        </w:rPr>
        <w:t xml:space="preserve"> to be made public (annex 2):</w:t>
      </w:r>
    </w:p>
    <w:p w:rsidR="008D5B46" w:rsidRDefault="008D5B46" w:rsidP="008D5B46">
      <w:pPr>
        <w:pStyle w:val="Akapitzlist"/>
        <w:numPr>
          <w:ilvl w:val="0"/>
          <w:numId w:val="38"/>
        </w:numPr>
        <w:spacing w:line="276" w:lineRule="auto"/>
        <w:rPr>
          <w:rFonts w:cs="Arial"/>
          <w:lang w:val="en-US"/>
        </w:rPr>
      </w:pPr>
      <w:r w:rsidRPr="00F94F83">
        <w:rPr>
          <w:rFonts w:cs="Arial"/>
          <w:lang w:val="en-US"/>
        </w:rPr>
        <w:t>reasons for failed instructions – there are other reasons for settlement fails</w:t>
      </w:r>
      <w:r>
        <w:rPr>
          <w:rFonts w:cs="Arial"/>
          <w:lang w:val="en-US"/>
        </w:rPr>
        <w:t>, apart from</w:t>
      </w:r>
      <w:r w:rsidRPr="00F94F83">
        <w:rPr>
          <w:rFonts w:cs="Arial"/>
          <w:lang w:val="en-US"/>
        </w:rPr>
        <w:t xml:space="preserve"> lack o</w:t>
      </w:r>
      <w:r>
        <w:rPr>
          <w:rFonts w:cs="Arial"/>
          <w:lang w:val="en-US"/>
        </w:rPr>
        <w:t>f securities or lack of cash,</w:t>
      </w:r>
      <w:r w:rsidRPr="00F94F83">
        <w:rPr>
          <w:rFonts w:cs="Arial"/>
          <w:lang w:val="en-US"/>
        </w:rPr>
        <w:t xml:space="preserve"> such</w:t>
      </w:r>
      <w:r>
        <w:rPr>
          <w:rFonts w:cs="Arial"/>
          <w:lang w:val="en-US"/>
        </w:rPr>
        <w:t xml:space="preserve"> as</w:t>
      </w:r>
      <w:r w:rsidRPr="00F94F83">
        <w:rPr>
          <w:rFonts w:cs="Arial"/>
          <w:lang w:val="en-US"/>
        </w:rPr>
        <w:t xml:space="preserve"> sending of late instructions, instruction</w:t>
      </w:r>
      <w:r>
        <w:rPr>
          <w:rFonts w:cs="Arial"/>
          <w:lang w:val="en-US"/>
        </w:rPr>
        <w:t>s with the status “</w:t>
      </w:r>
      <w:r w:rsidRPr="00F94F83">
        <w:rPr>
          <w:rFonts w:cs="Arial"/>
          <w:lang w:val="en-US"/>
        </w:rPr>
        <w:t>hold” or temporary restrictions for settlement with a certain ISIN code</w:t>
      </w:r>
      <w:r>
        <w:rPr>
          <w:rFonts w:cs="Arial"/>
          <w:lang w:val="en-US"/>
        </w:rPr>
        <w:t>.</w:t>
      </w:r>
    </w:p>
    <w:p w:rsidR="00131FE9" w:rsidRPr="000C2041" w:rsidRDefault="00131FE9" w:rsidP="000834DD">
      <w:pPr>
        <w:pStyle w:val="Akapitzlist"/>
        <w:numPr>
          <w:ilvl w:val="0"/>
          <w:numId w:val="38"/>
        </w:numPr>
        <w:spacing w:line="276" w:lineRule="auto"/>
        <w:rPr>
          <w:rFonts w:cs="Arial"/>
          <w:lang w:val="en-US"/>
        </w:rPr>
      </w:pPr>
      <w:r>
        <w:rPr>
          <w:rFonts w:cs="Arial"/>
          <w:lang w:val="en-US"/>
        </w:rPr>
        <w:t>field</w:t>
      </w:r>
      <w:r w:rsidRPr="000C2041">
        <w:rPr>
          <w:rFonts w:cs="Arial"/>
          <w:lang w:val="en-US"/>
        </w:rPr>
        <w:t xml:space="preserve"> 16 </w:t>
      </w:r>
      <w:r>
        <w:rPr>
          <w:rFonts w:cs="Arial"/>
          <w:lang w:val="en-US"/>
        </w:rPr>
        <w:t xml:space="preserve">should </w:t>
      </w:r>
      <w:r w:rsidR="008D5B46">
        <w:rPr>
          <w:rFonts w:cs="Arial"/>
          <w:lang w:val="en-US"/>
        </w:rPr>
        <w:t>indicate the</w:t>
      </w:r>
      <w:r>
        <w:rPr>
          <w:rFonts w:cs="Arial"/>
          <w:lang w:val="en-US"/>
        </w:rPr>
        <w:t xml:space="preserve"> “number” instead of</w:t>
      </w:r>
      <w:r w:rsidRPr="000C2041">
        <w:rPr>
          <w:rFonts w:cs="Arial"/>
          <w:lang w:val="en-US"/>
        </w:rPr>
        <w:t xml:space="preserve"> “volume” of failed settlement instructions,</w:t>
      </w:r>
    </w:p>
    <w:p w:rsidR="008D5B46" w:rsidRDefault="008D5B46" w:rsidP="008D5B46">
      <w:pPr>
        <w:pStyle w:val="Akapitzlist"/>
        <w:numPr>
          <w:ilvl w:val="0"/>
          <w:numId w:val="38"/>
        </w:numPr>
        <w:spacing w:line="276" w:lineRule="auto"/>
        <w:rPr>
          <w:rFonts w:cs="Arial"/>
          <w:lang w:val="en-US"/>
        </w:rPr>
      </w:pPr>
      <w:proofErr w:type="gramStart"/>
      <w:r w:rsidRPr="00F94F83">
        <w:rPr>
          <w:rFonts w:cs="Arial"/>
          <w:lang w:val="en-US"/>
        </w:rPr>
        <w:t>field</w:t>
      </w:r>
      <w:proofErr w:type="gramEnd"/>
      <w:r w:rsidRPr="00F94F83">
        <w:rPr>
          <w:rFonts w:cs="Arial"/>
          <w:lang w:val="en-US"/>
        </w:rPr>
        <w:t xml:space="preserve"> 27 -  it is not clear which information should be </w:t>
      </w:r>
      <w:r>
        <w:rPr>
          <w:rFonts w:cs="Arial"/>
          <w:lang w:val="en-US"/>
        </w:rPr>
        <w:t>indicated here</w:t>
      </w:r>
      <w:r w:rsidRPr="00F94F83">
        <w:rPr>
          <w:rFonts w:cs="Arial"/>
          <w:lang w:val="en-US"/>
        </w:rPr>
        <w:t>, such fiel</w:t>
      </w:r>
      <w:r>
        <w:rPr>
          <w:rFonts w:cs="Arial"/>
          <w:lang w:val="en-US"/>
        </w:rPr>
        <w:t>d</w:t>
      </w:r>
      <w:r w:rsidRPr="00F94F83">
        <w:rPr>
          <w:rFonts w:cs="Arial"/>
          <w:lang w:val="en-US"/>
        </w:rPr>
        <w:t xml:space="preserve">s are not used in </w:t>
      </w:r>
      <w:r>
        <w:rPr>
          <w:rFonts w:cs="Arial"/>
          <w:lang w:val="en-US"/>
        </w:rPr>
        <w:t xml:space="preserve">CSD </w:t>
      </w:r>
      <w:r w:rsidRPr="00F94F83">
        <w:rPr>
          <w:rFonts w:cs="Arial"/>
          <w:lang w:val="en-US"/>
        </w:rPr>
        <w:t>system solutions.</w:t>
      </w:r>
    </w:p>
    <w:p w:rsidR="00AD47EE" w:rsidRDefault="00AD47EE" w:rsidP="000834DD">
      <w:pPr>
        <w:pStyle w:val="Akapitzlist"/>
        <w:numPr>
          <w:ilvl w:val="0"/>
          <w:numId w:val="38"/>
        </w:numPr>
        <w:rPr>
          <w:rFonts w:cs="Arial"/>
          <w:lang w:val="en-US"/>
        </w:rPr>
      </w:pPr>
      <w:r w:rsidRPr="00F94F83">
        <w:rPr>
          <w:rFonts w:cs="Arial"/>
          <w:lang w:val="en-US"/>
        </w:rPr>
        <w:t xml:space="preserve">It is not </w:t>
      </w:r>
      <w:r w:rsidR="00F14589">
        <w:rPr>
          <w:rFonts w:cs="Arial"/>
          <w:lang w:val="en-US"/>
        </w:rPr>
        <w:t>clear how to take into account “</w:t>
      </w:r>
      <w:r w:rsidRPr="00F94F83">
        <w:rPr>
          <w:rFonts w:cs="Arial"/>
          <w:lang w:val="en-US"/>
        </w:rPr>
        <w:t>partially settled” instructions” in data r</w:t>
      </w:r>
      <w:r>
        <w:rPr>
          <w:rFonts w:cs="Arial"/>
          <w:lang w:val="en-US"/>
        </w:rPr>
        <w:t>e</w:t>
      </w:r>
      <w:r w:rsidRPr="00F94F83">
        <w:rPr>
          <w:rFonts w:cs="Arial"/>
          <w:lang w:val="en-US"/>
        </w:rPr>
        <w:t xml:space="preserve">lating to </w:t>
      </w:r>
      <w:r>
        <w:rPr>
          <w:rFonts w:cs="Arial"/>
          <w:lang w:val="en-US"/>
        </w:rPr>
        <w:t xml:space="preserve">the </w:t>
      </w:r>
      <w:r w:rsidRPr="00F94F83">
        <w:rPr>
          <w:rFonts w:cs="Arial"/>
          <w:lang w:val="en-US"/>
        </w:rPr>
        <w:t>num</w:t>
      </w:r>
      <w:r>
        <w:rPr>
          <w:rFonts w:cs="Arial"/>
          <w:lang w:val="en-US"/>
        </w:rPr>
        <w:t>b</w:t>
      </w:r>
      <w:r w:rsidRPr="00F94F83">
        <w:rPr>
          <w:rFonts w:cs="Arial"/>
          <w:lang w:val="en-US"/>
        </w:rPr>
        <w:t>er</w:t>
      </w:r>
      <w:r>
        <w:rPr>
          <w:rFonts w:cs="Arial"/>
          <w:lang w:val="en-US"/>
        </w:rPr>
        <w:t xml:space="preserve"> and value</w:t>
      </w:r>
      <w:r w:rsidRPr="00F94F83">
        <w:rPr>
          <w:rFonts w:cs="Arial"/>
          <w:lang w:val="en-US"/>
        </w:rPr>
        <w:t xml:space="preserve"> of settlement fails</w:t>
      </w:r>
      <w:r>
        <w:rPr>
          <w:rFonts w:cs="Arial"/>
          <w:lang w:val="en-US"/>
        </w:rPr>
        <w:t xml:space="preserve"> and the </w:t>
      </w:r>
      <w:r w:rsidRPr="00F94F83">
        <w:rPr>
          <w:rFonts w:cs="Arial"/>
          <w:lang w:val="en-US"/>
        </w:rPr>
        <w:t>num</w:t>
      </w:r>
      <w:r>
        <w:rPr>
          <w:rFonts w:cs="Arial"/>
          <w:lang w:val="en-US"/>
        </w:rPr>
        <w:t>b</w:t>
      </w:r>
      <w:r w:rsidRPr="00F94F83">
        <w:rPr>
          <w:rFonts w:cs="Arial"/>
          <w:lang w:val="en-US"/>
        </w:rPr>
        <w:t>er</w:t>
      </w:r>
      <w:r>
        <w:rPr>
          <w:rFonts w:cs="Arial"/>
          <w:lang w:val="en-US"/>
        </w:rPr>
        <w:t xml:space="preserve"> and value</w:t>
      </w:r>
      <w:r w:rsidRPr="00F94F83">
        <w:rPr>
          <w:rFonts w:cs="Arial"/>
          <w:lang w:val="en-US"/>
        </w:rPr>
        <w:t xml:space="preserve"> of settlement</w:t>
      </w:r>
      <w:r>
        <w:rPr>
          <w:rFonts w:cs="Arial"/>
          <w:lang w:val="en-US"/>
        </w:rPr>
        <w:t xml:space="preserve"> instru</w:t>
      </w:r>
      <w:r>
        <w:rPr>
          <w:rFonts w:cs="Arial"/>
          <w:lang w:val="en-US"/>
        </w:rPr>
        <w:t>c</w:t>
      </w:r>
      <w:r>
        <w:rPr>
          <w:rFonts w:cs="Arial"/>
          <w:lang w:val="en-US"/>
        </w:rPr>
        <w:t>tions, i.e. whether a partially settled instruction should be counted as one instruction, r</w:t>
      </w:r>
      <w:r>
        <w:rPr>
          <w:rFonts w:cs="Arial"/>
          <w:lang w:val="en-US"/>
        </w:rPr>
        <w:t>e</w:t>
      </w:r>
      <w:r>
        <w:rPr>
          <w:rFonts w:cs="Arial"/>
          <w:lang w:val="en-US"/>
        </w:rPr>
        <w:t>gardless of the number of parts in which it has been settled or whether each part should be counted separately.</w:t>
      </w:r>
    </w:p>
    <w:p w:rsidR="00AD47EE" w:rsidRDefault="00AD47EE" w:rsidP="000834DD">
      <w:pPr>
        <w:pStyle w:val="Akapitzlist"/>
        <w:numPr>
          <w:ilvl w:val="0"/>
          <w:numId w:val="38"/>
        </w:numPr>
        <w:spacing w:line="276" w:lineRule="auto"/>
        <w:rPr>
          <w:rFonts w:cs="Arial"/>
          <w:lang w:val="en-US"/>
        </w:rPr>
      </w:pPr>
      <w:proofErr w:type="gramStart"/>
      <w:r w:rsidRPr="00F94F83">
        <w:rPr>
          <w:rFonts w:cs="Arial"/>
          <w:lang w:val="en-US"/>
        </w:rPr>
        <w:t>number</w:t>
      </w:r>
      <w:proofErr w:type="gramEnd"/>
      <w:r w:rsidRPr="00F94F83">
        <w:rPr>
          <w:rFonts w:cs="Arial"/>
          <w:lang w:val="en-US"/>
        </w:rPr>
        <w:t xml:space="preserve"> and value of settlement fails –  we assume that </w:t>
      </w:r>
      <w:r w:rsidR="00F14589">
        <w:rPr>
          <w:rFonts w:cs="Arial"/>
          <w:lang w:val="en-US"/>
        </w:rPr>
        <w:t xml:space="preserve">the </w:t>
      </w:r>
      <w:r w:rsidRPr="00F94F83">
        <w:rPr>
          <w:rFonts w:cs="Arial"/>
          <w:lang w:val="en-US"/>
        </w:rPr>
        <w:t>data relate to all instructions,</w:t>
      </w:r>
      <w:r>
        <w:rPr>
          <w:rFonts w:cs="Arial"/>
          <w:lang w:val="en-US"/>
        </w:rPr>
        <w:t xml:space="preserve"> </w:t>
      </w:r>
      <w:r w:rsidRPr="00F94F83">
        <w:rPr>
          <w:rFonts w:cs="Arial"/>
          <w:lang w:val="en-US"/>
        </w:rPr>
        <w:t>including</w:t>
      </w:r>
      <w:r>
        <w:rPr>
          <w:rFonts w:cs="Arial"/>
          <w:lang w:val="en-US"/>
        </w:rPr>
        <w:t xml:space="preserve"> failed</w:t>
      </w:r>
      <w:r w:rsidRPr="00F94F83">
        <w:rPr>
          <w:rFonts w:cs="Arial"/>
          <w:lang w:val="en-US"/>
        </w:rPr>
        <w:t xml:space="preserve"> instructions in </w:t>
      </w:r>
      <w:r w:rsidR="00F14589">
        <w:rPr>
          <w:rFonts w:cs="Arial"/>
          <w:lang w:val="en-US"/>
        </w:rPr>
        <w:t xml:space="preserve">the </w:t>
      </w:r>
      <w:r w:rsidRPr="00F94F83">
        <w:rPr>
          <w:rFonts w:cs="Arial"/>
          <w:lang w:val="en-US"/>
        </w:rPr>
        <w:t>chain</w:t>
      </w:r>
      <w:r w:rsidRPr="00FE4952">
        <w:rPr>
          <w:rFonts w:cs="Arial"/>
          <w:lang w:val="en-US"/>
        </w:rPr>
        <w:t>.</w:t>
      </w:r>
    </w:p>
    <w:p w:rsidR="00AD47EE" w:rsidRPr="00AD47EE" w:rsidRDefault="00AD47EE" w:rsidP="000834DD">
      <w:pPr>
        <w:pStyle w:val="Akapitzlist"/>
        <w:numPr>
          <w:ilvl w:val="0"/>
          <w:numId w:val="38"/>
        </w:numPr>
        <w:spacing w:line="276" w:lineRule="auto"/>
        <w:rPr>
          <w:rFonts w:cs="Arial"/>
          <w:lang w:val="en-US"/>
        </w:rPr>
      </w:pPr>
      <w:r>
        <w:rPr>
          <w:rFonts w:cs="Arial"/>
          <w:lang w:val="en-US"/>
        </w:rPr>
        <w:t>It is unclear, which exchange rate should be taken for conversion of values into EUR</w:t>
      </w:r>
      <w:r w:rsidRPr="00FE4952">
        <w:rPr>
          <w:rFonts w:cs="Arial"/>
          <w:lang w:val="en-US"/>
        </w:rPr>
        <w:t xml:space="preserve"> </w:t>
      </w:r>
      <w:r>
        <w:rPr>
          <w:rFonts w:cs="Arial"/>
          <w:lang w:val="en-US"/>
        </w:rPr>
        <w:t>– should it be an exchange rate for a given date or an average from a predefined period, the ECB reference date</w:t>
      </w:r>
      <w:r w:rsidR="00F14589">
        <w:rPr>
          <w:rFonts w:cs="Arial"/>
          <w:lang w:val="en-US"/>
        </w:rPr>
        <w:t>,</w:t>
      </w:r>
      <w:r>
        <w:rPr>
          <w:rFonts w:cs="Arial"/>
          <w:lang w:val="en-US"/>
        </w:rPr>
        <w:t xml:space="preserve"> or the exchange rate established by the Polish Central Bank?</w:t>
      </w:r>
    </w:p>
    <w:permEnd w:id="130877420"/>
    <w:p w:rsidR="00D12AFD" w:rsidRDefault="00D12AFD" w:rsidP="00D12AFD">
      <w:r>
        <w:t>&lt;ESMA_QUESTION_TS_CSDR_5&gt;</w:t>
      </w:r>
    </w:p>
    <w:p w:rsidR="00D12AFD" w:rsidRPr="002C4F00" w:rsidRDefault="00D12AFD" w:rsidP="00965B03">
      <w:pPr>
        <w:pStyle w:val="Nagwek5"/>
        <w:ind w:left="567" w:hanging="567"/>
      </w:pPr>
      <w:r w:rsidRPr="002C4F00">
        <w:t>What are your views on the proposed draft RTS related to the penalty mechanism? Do you agree that when CSDs use a common settlement infrastructure, the proc</w:t>
      </w:r>
      <w:r w:rsidRPr="002C4F00">
        <w:t>e</w:t>
      </w:r>
      <w:r w:rsidRPr="002C4F00">
        <w:t>dures for cash penalties should be jointly managed?</w:t>
      </w:r>
    </w:p>
    <w:p w:rsidR="00D12AFD" w:rsidRDefault="00D12AFD" w:rsidP="00D12AFD"/>
    <w:p w:rsidR="00D12AFD" w:rsidRDefault="00D12AFD" w:rsidP="00D12AFD">
      <w:r>
        <w:t>&lt;ESMA_QUESTION_TS_CSDR_6&gt;</w:t>
      </w:r>
    </w:p>
    <w:p w:rsidR="00017D63" w:rsidRPr="000C2041" w:rsidRDefault="00017D63" w:rsidP="00017D63">
      <w:pPr>
        <w:rPr>
          <w:rFonts w:cs="Arial"/>
          <w:lang w:val="en-US"/>
        </w:rPr>
      </w:pPr>
      <w:permStart w:id="2051146254" w:edGrp="everyone"/>
      <w:r w:rsidRPr="000C2041">
        <w:rPr>
          <w:rFonts w:cs="Arial"/>
          <w:lang w:val="en-US"/>
        </w:rPr>
        <w:t xml:space="preserve">We agree </w:t>
      </w:r>
      <w:r w:rsidR="005E06CC">
        <w:rPr>
          <w:rFonts w:cs="Arial"/>
          <w:lang w:val="en-US"/>
        </w:rPr>
        <w:t xml:space="preserve">that </w:t>
      </w:r>
      <w:r w:rsidRPr="000C2041">
        <w:rPr>
          <w:rFonts w:cs="Arial"/>
          <w:lang w:val="en-US"/>
        </w:rPr>
        <w:t>the penalty mechanism should consider:</w:t>
      </w:r>
    </w:p>
    <w:p w:rsidR="00017D63" w:rsidRPr="000C2041" w:rsidRDefault="00017D63" w:rsidP="000834DD">
      <w:pPr>
        <w:pStyle w:val="Akapitzlist"/>
        <w:numPr>
          <w:ilvl w:val="0"/>
          <w:numId w:val="39"/>
        </w:numPr>
        <w:spacing w:line="276" w:lineRule="auto"/>
        <w:contextualSpacing w:val="0"/>
        <w:rPr>
          <w:rFonts w:cs="Arial"/>
          <w:lang w:val="en-US"/>
        </w:rPr>
      </w:pPr>
      <w:r w:rsidRPr="000C2041">
        <w:rPr>
          <w:rFonts w:cs="Arial"/>
          <w:lang w:val="en-US"/>
        </w:rPr>
        <w:t>Instructions failed on ISD,</w:t>
      </w:r>
    </w:p>
    <w:p w:rsidR="00017D63" w:rsidRPr="000C2041" w:rsidRDefault="00F14589" w:rsidP="000834DD">
      <w:pPr>
        <w:pStyle w:val="Akapitzlist"/>
        <w:numPr>
          <w:ilvl w:val="0"/>
          <w:numId w:val="39"/>
        </w:numPr>
        <w:spacing w:line="276" w:lineRule="auto"/>
        <w:contextualSpacing w:val="0"/>
        <w:rPr>
          <w:rFonts w:cs="Arial"/>
          <w:lang w:val="en-US"/>
        </w:rPr>
      </w:pPr>
      <w:r>
        <w:rPr>
          <w:rFonts w:cs="Arial"/>
          <w:lang w:val="en-US"/>
        </w:rPr>
        <w:t>Instructions he</w:t>
      </w:r>
      <w:r w:rsidR="00017D63" w:rsidRPr="000C2041">
        <w:rPr>
          <w:rFonts w:cs="Arial"/>
          <w:lang w:val="en-US"/>
        </w:rPr>
        <w:t>ld on ISD,</w:t>
      </w:r>
    </w:p>
    <w:p w:rsidR="00017D63" w:rsidRPr="000C2041" w:rsidRDefault="00F14589" w:rsidP="000834DD">
      <w:pPr>
        <w:pStyle w:val="Akapitzlist"/>
        <w:numPr>
          <w:ilvl w:val="0"/>
          <w:numId w:val="39"/>
        </w:numPr>
        <w:spacing w:line="276" w:lineRule="auto"/>
        <w:contextualSpacing w:val="0"/>
        <w:rPr>
          <w:rFonts w:cs="Arial"/>
          <w:lang w:val="en-US"/>
        </w:rPr>
      </w:pPr>
      <w:r>
        <w:rPr>
          <w:rFonts w:cs="Arial"/>
          <w:lang w:val="en-US"/>
        </w:rPr>
        <w:t>Instructions entered int</w:t>
      </w:r>
      <w:r w:rsidR="00017D63" w:rsidRPr="000C2041">
        <w:rPr>
          <w:rFonts w:cs="Arial"/>
          <w:lang w:val="en-US"/>
        </w:rPr>
        <w:t>o the settlement system after ISD.</w:t>
      </w:r>
    </w:p>
    <w:p w:rsidR="00017D63" w:rsidRPr="000C2041" w:rsidRDefault="00017D63" w:rsidP="00017D63">
      <w:pPr>
        <w:rPr>
          <w:rFonts w:cs="Arial"/>
          <w:lang w:val="en-US"/>
        </w:rPr>
      </w:pPr>
      <w:r w:rsidRPr="000C2041">
        <w:rPr>
          <w:rFonts w:cs="Arial"/>
          <w:lang w:val="en-US"/>
        </w:rPr>
        <w:t>The ISD is always the point from which the penalty is calculated.</w:t>
      </w:r>
    </w:p>
    <w:p w:rsidR="00017D63" w:rsidRPr="000C2041" w:rsidRDefault="00017D63" w:rsidP="00017D63">
      <w:pPr>
        <w:tabs>
          <w:tab w:val="left" w:pos="567"/>
        </w:tabs>
        <w:jc w:val="both"/>
        <w:rPr>
          <w:rFonts w:cs="Arial"/>
          <w:bCs/>
          <w:lang w:val="en-US"/>
        </w:rPr>
      </w:pPr>
      <w:r w:rsidRPr="000C2041">
        <w:rPr>
          <w:rFonts w:cs="Arial"/>
          <w:bCs/>
          <w:lang w:val="en-US"/>
        </w:rPr>
        <w:t xml:space="preserve">We would like to point out that </w:t>
      </w:r>
      <w:r w:rsidR="005E06CC">
        <w:rPr>
          <w:rFonts w:cs="Arial"/>
          <w:bCs/>
          <w:lang w:val="en-US"/>
        </w:rPr>
        <w:t>KDPW</w:t>
      </w:r>
      <w:r w:rsidRPr="000C2041">
        <w:rPr>
          <w:rFonts w:cs="Arial"/>
          <w:bCs/>
          <w:lang w:val="en-US"/>
        </w:rPr>
        <w:t xml:space="preserve"> currently do</w:t>
      </w:r>
      <w:r w:rsidR="005E06CC">
        <w:rPr>
          <w:rFonts w:cs="Arial"/>
          <w:bCs/>
          <w:lang w:val="en-US"/>
        </w:rPr>
        <w:t>es</w:t>
      </w:r>
      <w:r w:rsidRPr="000C2041">
        <w:rPr>
          <w:rFonts w:cs="Arial"/>
          <w:bCs/>
          <w:lang w:val="en-US"/>
        </w:rPr>
        <w:t xml:space="preserve"> not have access to the information required to assess if a particular financial instrument is admitted to trading to a </w:t>
      </w:r>
      <w:proofErr w:type="spellStart"/>
      <w:r w:rsidRPr="000C2041">
        <w:rPr>
          <w:rFonts w:cs="Arial"/>
          <w:bCs/>
          <w:lang w:val="en-US"/>
        </w:rPr>
        <w:t>MiFID</w:t>
      </w:r>
      <w:proofErr w:type="spellEnd"/>
      <w:r w:rsidRPr="000C2041">
        <w:rPr>
          <w:rFonts w:cs="Arial"/>
          <w:bCs/>
          <w:lang w:val="en-US"/>
        </w:rPr>
        <w:t xml:space="preserve"> trading venue (Regulated Market, MTF or OTF)</w:t>
      </w:r>
      <w:r w:rsidR="005E06CC">
        <w:rPr>
          <w:rFonts w:cs="Arial"/>
          <w:bCs/>
          <w:lang w:val="en-US"/>
        </w:rPr>
        <w:t xml:space="preserve"> if the trading venue is outside Poland.</w:t>
      </w:r>
      <w:r w:rsidRPr="000C2041">
        <w:rPr>
          <w:rFonts w:cs="Arial"/>
          <w:bCs/>
          <w:lang w:val="en-US"/>
        </w:rPr>
        <w:t xml:space="preserve"> </w:t>
      </w:r>
      <w:r w:rsidR="005E06CC">
        <w:rPr>
          <w:rFonts w:cs="Arial"/>
          <w:bCs/>
          <w:lang w:val="en-US"/>
        </w:rPr>
        <w:t>Therefore,</w:t>
      </w:r>
      <w:r w:rsidRPr="000C2041">
        <w:rPr>
          <w:rFonts w:cs="Arial"/>
          <w:bCs/>
          <w:lang w:val="en-US"/>
        </w:rPr>
        <w:t xml:space="preserve"> giving CSDs access to a central and reliable source of information on which securities are "admitted to trading on a </w:t>
      </w:r>
      <w:proofErr w:type="spellStart"/>
      <w:r w:rsidRPr="000C2041">
        <w:rPr>
          <w:rFonts w:cs="Arial"/>
          <w:bCs/>
          <w:lang w:val="en-US"/>
        </w:rPr>
        <w:t>MiFID</w:t>
      </w:r>
      <w:proofErr w:type="spellEnd"/>
      <w:r w:rsidRPr="000C2041">
        <w:rPr>
          <w:rFonts w:cs="Arial"/>
          <w:bCs/>
          <w:lang w:val="en-US"/>
        </w:rPr>
        <w:t xml:space="preserve"> venue" (and not only</w:t>
      </w:r>
      <w:r w:rsidR="005E06CC">
        <w:rPr>
          <w:rFonts w:cs="Arial"/>
          <w:bCs/>
          <w:lang w:val="en-US"/>
        </w:rPr>
        <w:t xml:space="preserve"> on</w:t>
      </w:r>
      <w:r w:rsidRPr="000C2041">
        <w:rPr>
          <w:rFonts w:cs="Arial"/>
          <w:bCs/>
          <w:lang w:val="en-US"/>
        </w:rPr>
        <w:t xml:space="preserve"> a regulated market) will be indispensable for a proper i</w:t>
      </w:r>
      <w:r w:rsidRPr="000C2041">
        <w:rPr>
          <w:rFonts w:cs="Arial"/>
          <w:bCs/>
          <w:lang w:val="en-US"/>
        </w:rPr>
        <w:t>m</w:t>
      </w:r>
      <w:r w:rsidRPr="000C2041">
        <w:rPr>
          <w:rFonts w:cs="Arial"/>
          <w:bCs/>
          <w:lang w:val="en-US"/>
        </w:rPr>
        <w:t>plementation of the Level 2 standards on settlement discipline.</w:t>
      </w:r>
    </w:p>
    <w:p w:rsidR="00876DE4" w:rsidRDefault="00017D63" w:rsidP="00017D63">
      <w:pPr>
        <w:rPr>
          <w:rFonts w:cs="Arial"/>
          <w:lang w:val="en-US"/>
        </w:rPr>
      </w:pPr>
      <w:r w:rsidRPr="000C2041">
        <w:rPr>
          <w:rFonts w:cs="Arial"/>
          <w:lang w:val="en-US"/>
        </w:rPr>
        <w:t>In order to limit the flow of cash</w:t>
      </w:r>
      <w:r w:rsidR="00876DE4">
        <w:rPr>
          <w:rFonts w:cs="Arial"/>
          <w:lang w:val="en-US"/>
        </w:rPr>
        <w:t xml:space="preserve"> while processing penalty payments</w:t>
      </w:r>
      <w:r w:rsidRPr="000C2041">
        <w:rPr>
          <w:rFonts w:cs="Arial"/>
          <w:lang w:val="en-US"/>
        </w:rPr>
        <w:t>, participant</w:t>
      </w:r>
      <w:r w:rsidR="00F14589">
        <w:rPr>
          <w:rFonts w:cs="Arial"/>
          <w:lang w:val="en-US"/>
        </w:rPr>
        <w:t>s</w:t>
      </w:r>
      <w:r w:rsidRPr="000C2041">
        <w:rPr>
          <w:rFonts w:cs="Arial"/>
          <w:lang w:val="en-US"/>
        </w:rPr>
        <w:t xml:space="preserve"> should be able to net amount</w:t>
      </w:r>
      <w:r w:rsidR="00F14589">
        <w:rPr>
          <w:rFonts w:cs="Arial"/>
          <w:lang w:val="en-US"/>
        </w:rPr>
        <w:t>s</w:t>
      </w:r>
      <w:r w:rsidRPr="000C2041">
        <w:rPr>
          <w:rFonts w:cs="Arial"/>
          <w:lang w:val="en-US"/>
        </w:rPr>
        <w:t xml:space="preserve"> due with the amount </w:t>
      </w:r>
      <w:r w:rsidR="00F14589">
        <w:rPr>
          <w:rFonts w:cs="Arial"/>
          <w:lang w:val="en-US"/>
        </w:rPr>
        <w:t>they</w:t>
      </w:r>
      <w:r w:rsidRPr="000C2041">
        <w:rPr>
          <w:rFonts w:cs="Arial"/>
          <w:lang w:val="en-US"/>
        </w:rPr>
        <w:t xml:space="preserve"> should receive (only net amount</w:t>
      </w:r>
      <w:r w:rsidR="00F14589">
        <w:rPr>
          <w:rFonts w:cs="Arial"/>
          <w:lang w:val="en-US"/>
        </w:rPr>
        <w:t>s</w:t>
      </w:r>
      <w:r w:rsidRPr="000C2041">
        <w:rPr>
          <w:rFonts w:cs="Arial"/>
          <w:lang w:val="en-US"/>
        </w:rPr>
        <w:t xml:space="preserve"> would be paid/redistributed on a monthly basis). </w:t>
      </w:r>
    </w:p>
    <w:p w:rsidR="00017D63" w:rsidRPr="000C2041" w:rsidRDefault="00017D63" w:rsidP="00017D63">
      <w:pPr>
        <w:rPr>
          <w:rFonts w:cs="Arial"/>
        </w:rPr>
      </w:pPr>
      <w:r w:rsidRPr="000C2041">
        <w:rPr>
          <w:rFonts w:cs="Arial"/>
          <w:lang w:val="en-US"/>
        </w:rPr>
        <w:t>We agree the penalty mechanism shall not apply to failing parti</w:t>
      </w:r>
      <w:r w:rsidR="00F14589">
        <w:rPr>
          <w:rFonts w:cs="Arial"/>
          <w:lang w:val="en-US"/>
        </w:rPr>
        <w:t>cipants that are CCPs. However,</w:t>
      </w:r>
      <w:r w:rsidRPr="000C2041">
        <w:rPr>
          <w:rFonts w:cs="Arial"/>
          <w:lang w:val="en-US"/>
        </w:rPr>
        <w:t xml:space="preserve"> in our opinion CSD</w:t>
      </w:r>
      <w:r w:rsidR="00F14589">
        <w:rPr>
          <w:rFonts w:cs="Arial"/>
          <w:lang w:val="en-US"/>
        </w:rPr>
        <w:t xml:space="preserve">s should </w:t>
      </w:r>
      <w:r w:rsidRPr="000C2041">
        <w:rPr>
          <w:rFonts w:cs="Arial"/>
          <w:lang w:val="en-US"/>
        </w:rPr>
        <w:t xml:space="preserve">run the process of collection and redistribution of cash </w:t>
      </w:r>
      <w:proofErr w:type="gramStart"/>
      <w:r w:rsidRPr="000C2041">
        <w:rPr>
          <w:rFonts w:cs="Arial"/>
          <w:lang w:val="en-US"/>
        </w:rPr>
        <w:t>penalties  without</w:t>
      </w:r>
      <w:proofErr w:type="gramEnd"/>
      <w:r w:rsidRPr="000C2041">
        <w:rPr>
          <w:rFonts w:cs="Arial"/>
          <w:lang w:val="en-US"/>
        </w:rPr>
        <w:t xml:space="preserve">  CCP and Clearing Members involvement. </w:t>
      </w:r>
      <w:r w:rsidR="00993E39">
        <w:rPr>
          <w:rFonts w:cs="Arial"/>
          <w:lang w:val="en-US"/>
        </w:rPr>
        <w:t>If a</w:t>
      </w:r>
      <w:r w:rsidRPr="000C2041">
        <w:rPr>
          <w:rFonts w:cs="Arial"/>
        </w:rPr>
        <w:t xml:space="preserve"> CCP operat</w:t>
      </w:r>
      <w:r w:rsidR="00993E39">
        <w:rPr>
          <w:rFonts w:cs="Arial"/>
        </w:rPr>
        <w:t>es</w:t>
      </w:r>
      <w:r w:rsidRPr="000C2041">
        <w:rPr>
          <w:rFonts w:cs="Arial"/>
        </w:rPr>
        <w:t xml:space="preserve"> under Trade-date-netting/Settlement Date Netting</w:t>
      </w:r>
      <w:r w:rsidR="00F14589">
        <w:rPr>
          <w:rFonts w:cs="Arial"/>
        </w:rPr>
        <w:t>,</w:t>
      </w:r>
      <w:r w:rsidRPr="000C2041">
        <w:rPr>
          <w:rFonts w:cs="Arial"/>
        </w:rPr>
        <w:t xml:space="preserve"> </w:t>
      </w:r>
      <w:r w:rsidR="00876DE4">
        <w:rPr>
          <w:rFonts w:cs="Arial"/>
        </w:rPr>
        <w:t xml:space="preserve">such as KDPW_CCP, </w:t>
      </w:r>
      <w:r w:rsidR="00993E39">
        <w:rPr>
          <w:rFonts w:cs="Arial"/>
        </w:rPr>
        <w:t xml:space="preserve">information on </w:t>
      </w:r>
      <w:r w:rsidRPr="000C2041">
        <w:rPr>
          <w:rFonts w:cs="Arial"/>
        </w:rPr>
        <w:t xml:space="preserve">transactions </w:t>
      </w:r>
      <w:r w:rsidR="00993E39">
        <w:rPr>
          <w:rFonts w:cs="Arial"/>
        </w:rPr>
        <w:t>is</w:t>
      </w:r>
      <w:r w:rsidRPr="000C2041">
        <w:rPr>
          <w:rFonts w:cs="Arial"/>
        </w:rPr>
        <w:t xml:space="preserve"> </w:t>
      </w:r>
      <w:r w:rsidR="00993E39">
        <w:rPr>
          <w:rFonts w:cs="Arial"/>
        </w:rPr>
        <w:t>present</w:t>
      </w:r>
      <w:r w:rsidRPr="000C2041">
        <w:rPr>
          <w:rFonts w:cs="Arial"/>
        </w:rPr>
        <w:t xml:space="preserve"> in the CSD</w:t>
      </w:r>
      <w:r w:rsidR="00876DE4">
        <w:rPr>
          <w:rFonts w:cs="Arial"/>
        </w:rPr>
        <w:t xml:space="preserve"> system</w:t>
      </w:r>
      <w:r w:rsidRPr="000C2041">
        <w:rPr>
          <w:rFonts w:cs="Arial"/>
        </w:rPr>
        <w:t xml:space="preserve"> after ISD and therefore the</w:t>
      </w:r>
      <w:r w:rsidR="00993E39">
        <w:rPr>
          <w:rFonts w:cs="Arial"/>
        </w:rPr>
        <w:t xml:space="preserve"> CSD</w:t>
      </w:r>
      <w:r w:rsidRPr="000C2041">
        <w:rPr>
          <w:rFonts w:cs="Arial"/>
        </w:rPr>
        <w:t xml:space="preserve"> ha</w:t>
      </w:r>
      <w:r w:rsidR="00993E39">
        <w:rPr>
          <w:rFonts w:cs="Arial"/>
        </w:rPr>
        <w:t>s</w:t>
      </w:r>
      <w:r w:rsidRPr="000C2041">
        <w:rPr>
          <w:rFonts w:cs="Arial"/>
        </w:rPr>
        <w:t xml:space="preserve"> all the information required for the calcul</w:t>
      </w:r>
      <w:r w:rsidRPr="000C2041">
        <w:rPr>
          <w:rFonts w:cs="Arial"/>
        </w:rPr>
        <w:t>a</w:t>
      </w:r>
      <w:r w:rsidRPr="000C2041">
        <w:rPr>
          <w:rFonts w:cs="Arial"/>
        </w:rPr>
        <w:lastRenderedPageBreak/>
        <w:t xml:space="preserve">tion of penalties on </w:t>
      </w:r>
      <w:r w:rsidR="00993E39">
        <w:rPr>
          <w:rFonts w:cs="Arial"/>
        </w:rPr>
        <w:t xml:space="preserve">the CCP </w:t>
      </w:r>
      <w:r w:rsidRPr="000C2041">
        <w:rPr>
          <w:rFonts w:cs="Arial"/>
        </w:rPr>
        <w:t xml:space="preserve">cleared transactions. In such case it should be possible for </w:t>
      </w:r>
      <w:r w:rsidR="00993E39">
        <w:rPr>
          <w:rFonts w:cs="Arial"/>
        </w:rPr>
        <w:t xml:space="preserve">a </w:t>
      </w:r>
      <w:r w:rsidRPr="000C2041">
        <w:rPr>
          <w:rFonts w:cs="Arial"/>
        </w:rPr>
        <w:t xml:space="preserve">CSD to collect and redistribute penalties directly from CSD participants which can also be </w:t>
      </w:r>
      <w:r w:rsidR="00F14589">
        <w:rPr>
          <w:rFonts w:cs="Arial"/>
        </w:rPr>
        <w:t xml:space="preserve">members </w:t>
      </w:r>
      <w:r w:rsidRPr="000C2041">
        <w:rPr>
          <w:rFonts w:cs="Arial"/>
        </w:rPr>
        <w:t>of the CCP. In case the clearing member is not a participant of the CSD, penalties could be co</w:t>
      </w:r>
      <w:r w:rsidRPr="000C2041">
        <w:rPr>
          <w:rFonts w:cs="Arial"/>
        </w:rPr>
        <w:t>l</w:t>
      </w:r>
      <w:r w:rsidRPr="000C2041">
        <w:rPr>
          <w:rFonts w:cs="Arial"/>
        </w:rPr>
        <w:t xml:space="preserve">lected by its settlement agent who will pass on penalties </w:t>
      </w:r>
      <w:r w:rsidR="00F14589">
        <w:rPr>
          <w:rFonts w:cs="Arial"/>
        </w:rPr>
        <w:t>to</w:t>
      </w:r>
      <w:r w:rsidRPr="000C2041">
        <w:rPr>
          <w:rFonts w:cs="Arial"/>
        </w:rPr>
        <w:t xml:space="preserve"> the clearing member according to their contractual relationship, without the need of involving the CCP.</w:t>
      </w:r>
    </w:p>
    <w:p w:rsidR="00993E39" w:rsidRDefault="00993E39" w:rsidP="00017D63">
      <w:pPr>
        <w:rPr>
          <w:rFonts w:cs="Arial"/>
          <w:lang w:val="en-US"/>
        </w:rPr>
      </w:pPr>
      <w:r>
        <w:rPr>
          <w:rFonts w:cs="Arial"/>
        </w:rPr>
        <w:t>This would also streamline the processing of penalties when there is a dependence of settl</w:t>
      </w:r>
      <w:r>
        <w:rPr>
          <w:rFonts w:cs="Arial"/>
        </w:rPr>
        <w:t>e</w:t>
      </w:r>
      <w:r>
        <w:rPr>
          <w:rFonts w:cs="Arial"/>
        </w:rPr>
        <w:t>ment of trades which are cleared by a CCP and those which are not cleared by a CCP, i.e.</w:t>
      </w:r>
      <w:r w:rsidR="00017D63" w:rsidRPr="000C2041">
        <w:rPr>
          <w:rFonts w:cs="Arial"/>
          <w:lang w:val="en-US"/>
        </w:rPr>
        <w:t xml:space="preserve"> </w:t>
      </w:r>
      <w:r>
        <w:rPr>
          <w:rFonts w:cs="Arial"/>
          <w:lang w:val="en-US"/>
        </w:rPr>
        <w:t xml:space="preserve">a </w:t>
      </w:r>
      <w:r w:rsidR="00017D63" w:rsidRPr="000C2041">
        <w:rPr>
          <w:rFonts w:cs="Arial"/>
          <w:lang w:val="en-US"/>
        </w:rPr>
        <w:t>CCP</w:t>
      </w:r>
      <w:r>
        <w:rPr>
          <w:rFonts w:cs="Arial"/>
          <w:lang w:val="en-US"/>
        </w:rPr>
        <w:t>-</w:t>
      </w:r>
      <w:r w:rsidR="00017D63" w:rsidRPr="000C2041">
        <w:rPr>
          <w:rFonts w:cs="Arial"/>
          <w:lang w:val="en-US"/>
        </w:rPr>
        <w:t xml:space="preserve">cleared trade for onward OTC delivery to custodian. </w:t>
      </w:r>
      <w:r>
        <w:rPr>
          <w:rFonts w:cs="Arial"/>
          <w:lang w:val="en-US"/>
        </w:rPr>
        <w:t xml:space="preserve">If a </w:t>
      </w:r>
      <w:r w:rsidR="00017D63" w:rsidRPr="000C2041">
        <w:rPr>
          <w:rFonts w:cs="Arial"/>
          <w:lang w:val="en-US"/>
        </w:rPr>
        <w:t>CCP member (seller) fails to deli</w:t>
      </w:r>
      <w:r w:rsidR="00017D63" w:rsidRPr="000C2041">
        <w:rPr>
          <w:rFonts w:cs="Arial"/>
          <w:lang w:val="en-US"/>
        </w:rPr>
        <w:t>v</w:t>
      </w:r>
      <w:r w:rsidR="00017D63" w:rsidRPr="000C2041">
        <w:rPr>
          <w:rFonts w:cs="Arial"/>
          <w:lang w:val="en-US"/>
        </w:rPr>
        <w:t xml:space="preserve">er securities, </w:t>
      </w:r>
      <w:r>
        <w:rPr>
          <w:rFonts w:cs="Arial"/>
          <w:lang w:val="en-US"/>
        </w:rPr>
        <w:t xml:space="preserve">another </w:t>
      </w:r>
      <w:r w:rsidR="00017D63" w:rsidRPr="000C2041">
        <w:rPr>
          <w:rFonts w:cs="Arial"/>
          <w:lang w:val="en-US"/>
        </w:rPr>
        <w:t>CCP member (buyer) does not obtain securities for onward OTC transfer to</w:t>
      </w:r>
      <w:r>
        <w:rPr>
          <w:rFonts w:cs="Arial"/>
          <w:lang w:val="en-US"/>
        </w:rPr>
        <w:t xml:space="preserve"> a</w:t>
      </w:r>
      <w:r w:rsidR="00017D63" w:rsidRPr="000C2041">
        <w:rPr>
          <w:rFonts w:cs="Arial"/>
          <w:lang w:val="en-US"/>
        </w:rPr>
        <w:t xml:space="preserve"> custodian. CSD passes penalty info to CCP, which </w:t>
      </w:r>
      <w:proofErr w:type="spellStart"/>
      <w:r w:rsidR="00017D63" w:rsidRPr="000C2041">
        <w:rPr>
          <w:rFonts w:cs="Arial"/>
          <w:lang w:val="en-US"/>
        </w:rPr>
        <w:t>penalises</w:t>
      </w:r>
      <w:proofErr w:type="spellEnd"/>
      <w:r w:rsidR="00017D63" w:rsidRPr="000C2041">
        <w:rPr>
          <w:rFonts w:cs="Arial"/>
          <w:lang w:val="en-US"/>
        </w:rPr>
        <w:t xml:space="preserve"> </w:t>
      </w:r>
      <w:r>
        <w:rPr>
          <w:rFonts w:cs="Arial"/>
          <w:lang w:val="en-US"/>
        </w:rPr>
        <w:t>its</w:t>
      </w:r>
      <w:r w:rsidR="00017D63" w:rsidRPr="000C2041">
        <w:rPr>
          <w:rFonts w:cs="Arial"/>
          <w:lang w:val="en-US"/>
        </w:rPr>
        <w:t xml:space="preserve"> member (seller) and co</w:t>
      </w:r>
      <w:r w:rsidR="00017D63" w:rsidRPr="000C2041">
        <w:rPr>
          <w:rFonts w:cs="Arial"/>
          <w:lang w:val="en-US"/>
        </w:rPr>
        <w:t>m</w:t>
      </w:r>
      <w:r w:rsidR="00017D63" w:rsidRPr="000C2041">
        <w:rPr>
          <w:rFonts w:cs="Arial"/>
          <w:lang w:val="en-US"/>
        </w:rPr>
        <w:t xml:space="preserve">pensates the </w:t>
      </w:r>
      <w:r>
        <w:rPr>
          <w:rFonts w:cs="Arial"/>
          <w:lang w:val="en-US"/>
        </w:rPr>
        <w:t>other</w:t>
      </w:r>
      <w:r w:rsidR="00017D63" w:rsidRPr="000C2041">
        <w:rPr>
          <w:rFonts w:cs="Arial"/>
          <w:lang w:val="en-US"/>
        </w:rPr>
        <w:t xml:space="preserve"> member (buyer). </w:t>
      </w:r>
      <w:r>
        <w:rPr>
          <w:rFonts w:cs="Arial"/>
          <w:lang w:val="en-US"/>
        </w:rPr>
        <w:t>If the CCP would be excluded from the CSD penalty sy</w:t>
      </w:r>
      <w:r>
        <w:rPr>
          <w:rFonts w:cs="Arial"/>
          <w:lang w:val="en-US"/>
        </w:rPr>
        <w:t>s</w:t>
      </w:r>
      <w:r>
        <w:rPr>
          <w:rFonts w:cs="Arial"/>
          <w:lang w:val="en-US"/>
        </w:rPr>
        <w:t>tem, a problem arises how to</w:t>
      </w:r>
      <w:r w:rsidR="00017D63" w:rsidRPr="000C2041">
        <w:rPr>
          <w:rFonts w:cs="Arial"/>
          <w:lang w:val="en-US"/>
        </w:rPr>
        <w:t xml:space="preserve"> compensate the custodian, who did not receive the onward deli</w:t>
      </w:r>
      <w:r w:rsidR="00017D63" w:rsidRPr="000C2041">
        <w:rPr>
          <w:rFonts w:cs="Arial"/>
          <w:lang w:val="en-US"/>
        </w:rPr>
        <w:t>v</w:t>
      </w:r>
      <w:r w:rsidR="00017D63" w:rsidRPr="000C2041">
        <w:rPr>
          <w:rFonts w:cs="Arial"/>
          <w:lang w:val="en-US"/>
        </w:rPr>
        <w:t>ery</w:t>
      </w:r>
      <w:r>
        <w:rPr>
          <w:rFonts w:cs="Arial"/>
          <w:lang w:val="en-US"/>
        </w:rPr>
        <w:t>.</w:t>
      </w:r>
      <w:r w:rsidR="00017D63" w:rsidRPr="000C2041">
        <w:rPr>
          <w:rFonts w:cs="Arial"/>
          <w:lang w:val="en-US"/>
        </w:rPr>
        <w:t xml:space="preserve"> </w:t>
      </w:r>
    </w:p>
    <w:p w:rsidR="0084721D" w:rsidRDefault="00017D63" w:rsidP="00D12AFD">
      <w:pPr>
        <w:rPr>
          <w:rFonts w:cs="Arial"/>
          <w:lang w:val="en-US"/>
        </w:rPr>
      </w:pPr>
      <w:r w:rsidRPr="000C2041">
        <w:rPr>
          <w:rFonts w:cs="Arial"/>
          <w:lang w:val="en-US"/>
        </w:rPr>
        <w:t>KDPW agrees that CSDs should only redistribute monies they have actually collected, in order not to bear any financial risks. In cases where a participant does not pay late settlement pena</w:t>
      </w:r>
      <w:r w:rsidRPr="000C2041">
        <w:rPr>
          <w:rFonts w:cs="Arial"/>
          <w:lang w:val="en-US"/>
        </w:rPr>
        <w:t>l</w:t>
      </w:r>
      <w:r w:rsidRPr="000C2041">
        <w:rPr>
          <w:rFonts w:cs="Arial"/>
          <w:lang w:val="en-US"/>
        </w:rPr>
        <w:t>ties owed to the CSD at the end of the month (e.g. if a participant goes into default), we woul</w:t>
      </w:r>
      <w:r w:rsidR="00F14589">
        <w:rPr>
          <w:rFonts w:cs="Arial"/>
          <w:lang w:val="en-US"/>
        </w:rPr>
        <w:t>d like to clarify that, as per A</w:t>
      </w:r>
      <w:r w:rsidRPr="000C2041">
        <w:rPr>
          <w:rFonts w:cs="Arial"/>
          <w:lang w:val="en-US"/>
        </w:rPr>
        <w:t>rt.</w:t>
      </w:r>
      <w:r w:rsidR="00F14589">
        <w:rPr>
          <w:rFonts w:cs="Arial"/>
          <w:lang w:val="en-US"/>
        </w:rPr>
        <w:t xml:space="preserve"> </w:t>
      </w:r>
      <w:r w:rsidRPr="000C2041">
        <w:rPr>
          <w:rFonts w:cs="Arial"/>
          <w:lang w:val="en-US"/>
        </w:rPr>
        <w:t xml:space="preserve">8 of the draft RTS, the CSD is entitled to delay the payment of the "redistributed" penalties to the suffering parties until </w:t>
      </w:r>
      <w:r w:rsidR="0016385C">
        <w:rPr>
          <w:rFonts w:cs="Arial"/>
          <w:lang w:val="en-US"/>
        </w:rPr>
        <w:t>the</w:t>
      </w:r>
      <w:r w:rsidRPr="000C2041">
        <w:rPr>
          <w:rFonts w:cs="Arial"/>
          <w:lang w:val="en-US"/>
        </w:rPr>
        <w:t xml:space="preserve"> moment the payment is</w:t>
      </w:r>
      <w:r w:rsidR="0016385C">
        <w:rPr>
          <w:rFonts w:cs="Arial"/>
          <w:lang w:val="en-US"/>
        </w:rPr>
        <w:t xml:space="preserve"> actually</w:t>
      </w:r>
      <w:r w:rsidRPr="000C2041">
        <w:rPr>
          <w:rFonts w:cs="Arial"/>
          <w:lang w:val="en-US"/>
        </w:rPr>
        <w:t xml:space="preserve"> r</w:t>
      </w:r>
      <w:r w:rsidRPr="000C2041">
        <w:rPr>
          <w:rFonts w:cs="Arial"/>
          <w:lang w:val="en-US"/>
        </w:rPr>
        <w:t>e</w:t>
      </w:r>
      <w:r w:rsidRPr="000C2041">
        <w:rPr>
          <w:rFonts w:cs="Arial"/>
          <w:lang w:val="en-US"/>
        </w:rPr>
        <w:t xml:space="preserve">ceived. It is worth </w:t>
      </w:r>
      <w:r w:rsidR="00480345">
        <w:rPr>
          <w:rFonts w:cs="Arial"/>
          <w:lang w:val="en-US"/>
        </w:rPr>
        <w:t>highlighting</w:t>
      </w:r>
      <w:r w:rsidRPr="000C2041">
        <w:rPr>
          <w:rFonts w:cs="Arial"/>
          <w:lang w:val="en-US"/>
        </w:rPr>
        <w:t xml:space="preserve"> that </w:t>
      </w:r>
      <w:r w:rsidR="00480345">
        <w:rPr>
          <w:rFonts w:cs="Arial"/>
          <w:lang w:val="en-US"/>
        </w:rPr>
        <w:t xml:space="preserve">the </w:t>
      </w:r>
      <w:r w:rsidRPr="000C2041">
        <w:rPr>
          <w:rFonts w:cs="Arial"/>
          <w:lang w:val="en-US"/>
        </w:rPr>
        <w:t xml:space="preserve">penalty mechanism uses netting which means that the lack of payment from one participant changes the positions for other participants in </w:t>
      </w:r>
      <w:r w:rsidR="00480345">
        <w:rPr>
          <w:rFonts w:cs="Arial"/>
          <w:lang w:val="en-US"/>
        </w:rPr>
        <w:t>the chain e.g</w:t>
      </w:r>
      <w:r w:rsidRPr="000C2041">
        <w:rPr>
          <w:rFonts w:cs="Arial"/>
          <w:lang w:val="en-US"/>
        </w:rPr>
        <w:t>. if such a situation occurs</w:t>
      </w:r>
      <w:r w:rsidR="00480345">
        <w:rPr>
          <w:rFonts w:cs="Arial"/>
          <w:lang w:val="en-US"/>
        </w:rPr>
        <w:t>, the</w:t>
      </w:r>
      <w:r w:rsidRPr="000C2041">
        <w:rPr>
          <w:rFonts w:cs="Arial"/>
          <w:lang w:val="en-US"/>
        </w:rPr>
        <w:t xml:space="preserve"> participant with </w:t>
      </w:r>
      <w:r w:rsidR="00480345">
        <w:rPr>
          <w:rFonts w:cs="Arial"/>
          <w:lang w:val="en-US"/>
        </w:rPr>
        <w:t xml:space="preserve">the </w:t>
      </w:r>
      <w:r w:rsidRPr="000C2041">
        <w:rPr>
          <w:rFonts w:cs="Arial"/>
          <w:lang w:val="en-US"/>
        </w:rPr>
        <w:t xml:space="preserve">neutral position in </w:t>
      </w:r>
      <w:r w:rsidR="00480345">
        <w:rPr>
          <w:rFonts w:cs="Arial"/>
          <w:lang w:val="en-US"/>
        </w:rPr>
        <w:t xml:space="preserve">the </w:t>
      </w:r>
      <w:r w:rsidRPr="000C2041">
        <w:rPr>
          <w:rFonts w:cs="Arial"/>
          <w:lang w:val="en-US"/>
        </w:rPr>
        <w:t>chain might be obliged to pay.</w:t>
      </w:r>
    </w:p>
    <w:permEnd w:id="2051146254"/>
    <w:p w:rsidR="00D12AFD" w:rsidRDefault="00D12AFD" w:rsidP="00D12AFD">
      <w:r>
        <w:t>&lt;ESMA_QUESTION_TS_CSDR_6&gt;</w:t>
      </w:r>
    </w:p>
    <w:p w:rsidR="00D12AFD" w:rsidRDefault="00D12AFD" w:rsidP="00965B03">
      <w:pPr>
        <w:pStyle w:val="Nagwek5"/>
        <w:ind w:left="567" w:hanging="567"/>
      </w:pPr>
      <w:r w:rsidRPr="002C4F00">
        <w:t>What are your views on the proposed draft RTS related to the buy-in process?</w:t>
      </w:r>
    </w:p>
    <w:p w:rsidR="00D12AFD" w:rsidRDefault="00D12AFD" w:rsidP="00BA1DEE">
      <w:pPr>
        <w:pStyle w:val="Nagwek5"/>
        <w:numPr>
          <w:ilvl w:val="0"/>
          <w:numId w:val="0"/>
        </w:numPr>
        <w:ind w:left="567"/>
        <w:rPr>
          <w:b w:val="0"/>
        </w:rPr>
      </w:pPr>
      <w:r w:rsidRPr="002C4F00">
        <w:t>In particular, what are your views on applying partial settlement at the end of the e</w:t>
      </w:r>
      <w:r w:rsidRPr="002C4F00">
        <w:t>x</w:t>
      </w:r>
      <w:r w:rsidRPr="002C4F00">
        <w:t>tension period? Do you consider that the partialling of the settlement instruction would impact the rights and obligations of the participants?</w:t>
      </w:r>
    </w:p>
    <w:p w:rsidR="00D12AFD" w:rsidRPr="002C4F00" w:rsidRDefault="00D12AFD" w:rsidP="00BA1DEE">
      <w:pPr>
        <w:pStyle w:val="Nagwek5"/>
        <w:numPr>
          <w:ilvl w:val="0"/>
          <w:numId w:val="0"/>
        </w:numPr>
        <w:ind w:left="567"/>
      </w:pPr>
      <w:r w:rsidRPr="002C4F00">
        <w:t xml:space="preserve"> What do you think about the proposed approach for limiting multiple buy-in and the timing for the participant to provide the information to the CSD?</w:t>
      </w:r>
    </w:p>
    <w:p w:rsidR="00D12AFD" w:rsidRDefault="00D12AFD" w:rsidP="00D12AFD"/>
    <w:p w:rsidR="00D12AFD" w:rsidRDefault="00D12AFD" w:rsidP="00D12AFD">
      <w:r>
        <w:t>&lt;ESMA_QUESTION_TS_CSDR_7&gt;</w:t>
      </w:r>
    </w:p>
    <w:p w:rsidR="00AD75F0" w:rsidRDefault="00D16E50" w:rsidP="00017D63">
      <w:pPr>
        <w:rPr>
          <w:rFonts w:cs="Arial"/>
          <w:lang w:val="en-US"/>
        </w:rPr>
      </w:pPr>
      <w:permStart w:id="528907693" w:edGrp="everyone"/>
      <w:r>
        <w:rPr>
          <w:rFonts w:cs="Arial"/>
          <w:lang w:val="en-US"/>
        </w:rPr>
        <w:t xml:space="preserve">A </w:t>
      </w:r>
      <w:r w:rsidR="00017D63" w:rsidRPr="00D16E50">
        <w:rPr>
          <w:rFonts w:cs="Arial"/>
          <w:lang w:val="en-US"/>
        </w:rPr>
        <w:t>CSD</w:t>
      </w:r>
      <w:r w:rsidR="00017D63" w:rsidRPr="000C2041">
        <w:rPr>
          <w:rFonts w:cs="Arial"/>
          <w:lang w:val="en-US"/>
        </w:rPr>
        <w:t xml:space="preserve"> should not be involved in the buy-in process except </w:t>
      </w:r>
      <w:r>
        <w:rPr>
          <w:rFonts w:cs="Arial"/>
          <w:lang w:val="en-US"/>
        </w:rPr>
        <w:t>where</w:t>
      </w:r>
      <w:r w:rsidR="00480345">
        <w:rPr>
          <w:rFonts w:cs="Arial"/>
          <w:lang w:val="en-US"/>
        </w:rPr>
        <w:t xml:space="preserve"> </w:t>
      </w:r>
      <w:r>
        <w:rPr>
          <w:rFonts w:cs="Arial"/>
          <w:lang w:val="en-US"/>
        </w:rPr>
        <w:t xml:space="preserve">it </w:t>
      </w:r>
      <w:r w:rsidR="00017D63" w:rsidRPr="000C2041">
        <w:rPr>
          <w:rFonts w:cs="Arial"/>
          <w:lang w:val="en-US"/>
        </w:rPr>
        <w:t>inform</w:t>
      </w:r>
      <w:r>
        <w:rPr>
          <w:rFonts w:cs="Arial"/>
          <w:lang w:val="en-US"/>
        </w:rPr>
        <w:t>s</w:t>
      </w:r>
      <w:r w:rsidR="00017D63" w:rsidRPr="000C2041">
        <w:rPr>
          <w:rFonts w:cs="Arial"/>
          <w:lang w:val="en-US"/>
        </w:rPr>
        <w:t xml:space="preserve"> CCPs, trading ve</w:t>
      </w:r>
      <w:r w:rsidR="00017D63" w:rsidRPr="000C2041">
        <w:rPr>
          <w:rFonts w:cs="Arial"/>
          <w:lang w:val="en-US"/>
        </w:rPr>
        <w:t>n</w:t>
      </w:r>
      <w:r w:rsidR="00017D63" w:rsidRPr="000C2041">
        <w:rPr>
          <w:rFonts w:cs="Arial"/>
          <w:lang w:val="en-US"/>
        </w:rPr>
        <w:t>ue</w:t>
      </w:r>
      <w:r w:rsidR="00480345">
        <w:rPr>
          <w:rFonts w:cs="Arial"/>
          <w:lang w:val="en-US"/>
        </w:rPr>
        <w:t>s and CSD</w:t>
      </w:r>
      <w:r w:rsidR="00017D63" w:rsidRPr="000C2041">
        <w:rPr>
          <w:rFonts w:cs="Arial"/>
          <w:lang w:val="en-US"/>
        </w:rPr>
        <w:t xml:space="preserve"> participants about s</w:t>
      </w:r>
      <w:r w:rsidR="00AD75F0">
        <w:rPr>
          <w:rFonts w:cs="Arial"/>
          <w:lang w:val="en-US"/>
        </w:rPr>
        <w:t>ecurities that should be bought</w:t>
      </w:r>
      <w:r w:rsidR="00017D63" w:rsidRPr="000C2041">
        <w:rPr>
          <w:rFonts w:cs="Arial"/>
          <w:lang w:val="en-US"/>
        </w:rPr>
        <w:t xml:space="preserve">-in by sending </w:t>
      </w:r>
      <w:r w:rsidR="00AD75F0">
        <w:rPr>
          <w:rFonts w:cs="Arial"/>
          <w:lang w:val="en-US"/>
        </w:rPr>
        <w:t>a</w:t>
      </w:r>
      <w:r w:rsidR="00017D63" w:rsidRPr="000C2041">
        <w:rPr>
          <w:rFonts w:cs="Arial"/>
          <w:lang w:val="en-US"/>
        </w:rPr>
        <w:t xml:space="preserve"> report and </w:t>
      </w:r>
      <w:r>
        <w:rPr>
          <w:rFonts w:cs="Arial"/>
          <w:lang w:val="en-US"/>
        </w:rPr>
        <w:t>accepting</w:t>
      </w:r>
      <w:r w:rsidR="00017D63" w:rsidRPr="000C2041">
        <w:rPr>
          <w:rFonts w:cs="Arial"/>
          <w:lang w:val="en-US"/>
        </w:rPr>
        <w:t xml:space="preserve"> </w:t>
      </w:r>
      <w:r>
        <w:rPr>
          <w:rFonts w:cs="Arial"/>
          <w:lang w:val="en-US"/>
        </w:rPr>
        <w:t>settlement of</w:t>
      </w:r>
      <w:r w:rsidR="00017D63" w:rsidRPr="000C2041">
        <w:rPr>
          <w:rFonts w:cs="Arial"/>
          <w:lang w:val="en-US"/>
        </w:rPr>
        <w:t xml:space="preserve"> buy-in instructions.</w:t>
      </w:r>
      <w:r w:rsidR="00AD75F0">
        <w:rPr>
          <w:rFonts w:cs="Arial"/>
          <w:lang w:val="en-US"/>
        </w:rPr>
        <w:t xml:space="preserve"> Currently</w:t>
      </w:r>
      <w:r w:rsidR="00017D63" w:rsidRPr="000C2041">
        <w:rPr>
          <w:rFonts w:cs="Arial"/>
          <w:lang w:val="en-US"/>
        </w:rPr>
        <w:t xml:space="preserve"> CSDs are</w:t>
      </w:r>
      <w:r w:rsidR="00AD75F0">
        <w:rPr>
          <w:rFonts w:cs="Arial"/>
          <w:lang w:val="en-US"/>
        </w:rPr>
        <w:t xml:space="preserve"> usually</w:t>
      </w:r>
      <w:r w:rsidR="00017D63" w:rsidRPr="000C2041">
        <w:rPr>
          <w:rFonts w:cs="Arial"/>
          <w:lang w:val="en-US"/>
        </w:rPr>
        <w:t xml:space="preserve"> not involved in the buy-in process. </w:t>
      </w:r>
      <w:r w:rsidR="00AD75F0">
        <w:rPr>
          <w:rFonts w:cs="Arial"/>
          <w:bCs/>
          <w:lang w:val="en-US"/>
        </w:rPr>
        <w:t>I</w:t>
      </w:r>
      <w:r w:rsidR="00AD75F0" w:rsidRPr="000C2041">
        <w:rPr>
          <w:rFonts w:cs="Arial"/>
          <w:bCs/>
          <w:lang w:val="en-US"/>
        </w:rPr>
        <w:t>n practice there is no one-to-one correspondence between trades and settlement instructions</w:t>
      </w:r>
      <w:r w:rsidR="00AD75F0">
        <w:rPr>
          <w:rFonts w:cs="Arial"/>
          <w:bCs/>
          <w:lang w:val="en-US"/>
        </w:rPr>
        <w:t xml:space="preserve">. Usually </w:t>
      </w:r>
      <w:r w:rsidR="00AD75F0" w:rsidRPr="000C2041">
        <w:rPr>
          <w:rFonts w:cs="Arial"/>
          <w:bCs/>
          <w:lang w:val="en-US"/>
        </w:rPr>
        <w:t xml:space="preserve">CSDs do not have any contractual relationship with trade counterparties (which, unlike CSD participants, are responsible for executing buy-ins). </w:t>
      </w:r>
      <w:r w:rsidR="00AD75F0" w:rsidRPr="000C2041">
        <w:rPr>
          <w:rFonts w:cs="Arial"/>
          <w:lang w:val="en-US"/>
        </w:rPr>
        <w:t xml:space="preserve">Collecting information on buy-ins at CSD level, rather than at trading level, </w:t>
      </w:r>
      <w:r w:rsidR="00AD75F0">
        <w:rPr>
          <w:rFonts w:cs="Arial"/>
          <w:lang w:val="en-US"/>
        </w:rPr>
        <w:t>would</w:t>
      </w:r>
      <w:r w:rsidR="00AD75F0" w:rsidRPr="000C2041">
        <w:rPr>
          <w:rFonts w:cs="Arial"/>
          <w:lang w:val="en-US"/>
        </w:rPr>
        <w:t xml:space="preserve"> generate a whole set of problems given that CSDs currently do not have access to the required information on buy-ins and, even if they receive such information in the future, they will have absolutely no way to control that this info</w:t>
      </w:r>
      <w:r w:rsidR="00AD75F0" w:rsidRPr="000C2041">
        <w:rPr>
          <w:rFonts w:cs="Arial"/>
          <w:lang w:val="en-US"/>
        </w:rPr>
        <w:t>r</w:t>
      </w:r>
      <w:r w:rsidR="00AD75F0" w:rsidRPr="000C2041">
        <w:rPr>
          <w:rFonts w:cs="Arial"/>
          <w:lang w:val="en-US"/>
        </w:rPr>
        <w:t>mation is complete or accurate.</w:t>
      </w:r>
    </w:p>
    <w:p w:rsidR="00AD75F0" w:rsidRDefault="00017D63" w:rsidP="00017D63">
      <w:pPr>
        <w:rPr>
          <w:rFonts w:cs="Arial"/>
          <w:lang w:val="en-US"/>
        </w:rPr>
      </w:pPr>
      <w:r w:rsidRPr="000C2041">
        <w:rPr>
          <w:rFonts w:cs="Arial"/>
          <w:lang w:val="en-US"/>
        </w:rPr>
        <w:t xml:space="preserve">Giving CSDs a role in relation to buy-ins will </w:t>
      </w:r>
      <w:r w:rsidR="00AD75F0">
        <w:rPr>
          <w:rFonts w:cs="Arial"/>
          <w:lang w:val="en-US"/>
        </w:rPr>
        <w:t>bring</w:t>
      </w:r>
      <w:r w:rsidRPr="000C2041">
        <w:rPr>
          <w:rFonts w:cs="Arial"/>
          <w:lang w:val="en-US"/>
        </w:rPr>
        <w:t xml:space="preserve"> new liabilities and will thus increase </w:t>
      </w:r>
      <w:r w:rsidR="00AD75F0">
        <w:rPr>
          <w:rFonts w:cs="Arial"/>
          <w:lang w:val="en-US"/>
        </w:rPr>
        <w:t>their</w:t>
      </w:r>
      <w:r w:rsidRPr="000C2041">
        <w:rPr>
          <w:rFonts w:cs="Arial"/>
          <w:lang w:val="en-US"/>
        </w:rPr>
        <w:t xml:space="preserve"> risk profile, contrary to the overall objective of the CSDR. </w:t>
      </w:r>
    </w:p>
    <w:p w:rsidR="00017D63" w:rsidRPr="000C2041" w:rsidRDefault="00017D63" w:rsidP="00017D63">
      <w:pPr>
        <w:rPr>
          <w:rFonts w:cs="Arial"/>
          <w:lang w:val="en-US" w:eastAsia="en-GB"/>
        </w:rPr>
      </w:pPr>
      <w:r w:rsidRPr="000C2041">
        <w:rPr>
          <w:rFonts w:cs="Arial"/>
          <w:lang w:val="en-US" w:eastAsia="en-GB"/>
        </w:rPr>
        <w:t xml:space="preserve"> </w:t>
      </w:r>
    </w:p>
    <w:p w:rsidR="00017D63" w:rsidRPr="000C2041" w:rsidRDefault="00017D63" w:rsidP="00017D63">
      <w:pPr>
        <w:rPr>
          <w:rFonts w:cs="Arial"/>
          <w:lang w:val="en-US" w:eastAsia="en-GB"/>
        </w:rPr>
      </w:pPr>
      <w:r w:rsidRPr="000C2041">
        <w:rPr>
          <w:rFonts w:cs="Arial"/>
          <w:lang w:val="en-US" w:eastAsia="en-GB"/>
        </w:rPr>
        <w:t>KDPW disagree</w:t>
      </w:r>
      <w:r w:rsidR="00D16E50">
        <w:rPr>
          <w:rFonts w:cs="Arial"/>
          <w:lang w:val="en-US" w:eastAsia="en-GB"/>
        </w:rPr>
        <w:t xml:space="preserve">s with the proposed wording of </w:t>
      </w:r>
      <w:proofErr w:type="gramStart"/>
      <w:r w:rsidR="00D16E50">
        <w:rPr>
          <w:rFonts w:cs="Arial"/>
          <w:lang w:val="en-US" w:eastAsia="en-GB"/>
        </w:rPr>
        <w:t>A</w:t>
      </w:r>
      <w:r w:rsidRPr="000C2041">
        <w:rPr>
          <w:rFonts w:cs="Arial"/>
          <w:lang w:val="en-US" w:eastAsia="en-GB"/>
        </w:rPr>
        <w:t>rt.11(</w:t>
      </w:r>
      <w:proofErr w:type="gramEnd"/>
      <w:r w:rsidRPr="000C2041">
        <w:rPr>
          <w:rFonts w:cs="Arial"/>
          <w:lang w:val="en-US" w:eastAsia="en-GB"/>
        </w:rPr>
        <w:t>5) and believes that the obligation for CSDs to reserve relevant securities before partial settlement should be deleted. Not only is such "reservation" unnecessary, but it would also potentially create various problems for the CSD and its participants</w:t>
      </w:r>
      <w:r w:rsidR="00AD75F0">
        <w:rPr>
          <w:rFonts w:cs="Arial"/>
          <w:lang w:val="en-US" w:eastAsia="en-GB"/>
        </w:rPr>
        <w:t xml:space="preserve"> (such as blocki</w:t>
      </w:r>
      <w:r w:rsidR="00795254">
        <w:rPr>
          <w:rFonts w:cs="Arial"/>
          <w:lang w:val="en-US" w:eastAsia="en-GB"/>
        </w:rPr>
        <w:t>n</w:t>
      </w:r>
      <w:r w:rsidR="00AD75F0">
        <w:rPr>
          <w:rFonts w:cs="Arial"/>
          <w:lang w:val="en-US" w:eastAsia="en-GB"/>
        </w:rPr>
        <w:t>g assets which would be used for settlement of other transa</w:t>
      </w:r>
      <w:r w:rsidR="00AD75F0">
        <w:rPr>
          <w:rFonts w:cs="Arial"/>
          <w:lang w:val="en-US" w:eastAsia="en-GB"/>
        </w:rPr>
        <w:t>c</w:t>
      </w:r>
      <w:r w:rsidR="00AD75F0">
        <w:rPr>
          <w:rFonts w:cs="Arial"/>
          <w:lang w:val="en-US" w:eastAsia="en-GB"/>
        </w:rPr>
        <w:t xml:space="preserve">tions on ISD, which would lead to </w:t>
      </w:r>
      <w:r w:rsidR="00795254">
        <w:rPr>
          <w:rFonts w:cs="Arial"/>
          <w:lang w:val="en-US" w:eastAsia="en-GB"/>
        </w:rPr>
        <w:t>more settlement fails)</w:t>
      </w:r>
      <w:r w:rsidRPr="000C2041">
        <w:rPr>
          <w:rFonts w:cs="Arial"/>
          <w:lang w:val="en-US" w:eastAsia="en-GB"/>
        </w:rPr>
        <w:t xml:space="preserve">. </w:t>
      </w:r>
    </w:p>
    <w:p w:rsidR="00017D63" w:rsidRPr="000C2041" w:rsidRDefault="00536027" w:rsidP="00017D63">
      <w:pPr>
        <w:rPr>
          <w:rFonts w:cs="Arial"/>
          <w:lang w:val="en-US"/>
        </w:rPr>
      </w:pPr>
      <w:r>
        <w:rPr>
          <w:rFonts w:cs="Arial"/>
          <w:lang w:val="en-US"/>
        </w:rPr>
        <w:lastRenderedPageBreak/>
        <w:t>P</w:t>
      </w:r>
      <w:r w:rsidR="00017D63" w:rsidRPr="000C2041">
        <w:rPr>
          <w:rFonts w:cs="Arial"/>
          <w:lang w:val="en-US"/>
        </w:rPr>
        <w:t xml:space="preserve">artial settlement should apply to instructions (including buy-in instructions) from the moment the instruction is </w:t>
      </w:r>
      <w:r>
        <w:rPr>
          <w:rFonts w:cs="Arial"/>
          <w:lang w:val="en-US"/>
        </w:rPr>
        <w:t xml:space="preserve">sent for </w:t>
      </w:r>
      <w:r w:rsidR="00017D63" w:rsidRPr="000C2041">
        <w:rPr>
          <w:rFonts w:cs="Arial"/>
          <w:lang w:val="en-US"/>
        </w:rPr>
        <w:t>settle</w:t>
      </w:r>
      <w:r>
        <w:rPr>
          <w:rFonts w:cs="Arial"/>
          <w:lang w:val="en-US"/>
        </w:rPr>
        <w:t>ment</w:t>
      </w:r>
      <w:r w:rsidR="00017D63" w:rsidRPr="000C2041">
        <w:rPr>
          <w:rFonts w:cs="Arial"/>
          <w:lang w:val="en-US"/>
        </w:rPr>
        <w:t xml:space="preserve"> for the first time on the intended settlement date.  </w:t>
      </w:r>
    </w:p>
    <w:p w:rsidR="00017D63" w:rsidRPr="000C2041" w:rsidRDefault="00017D63" w:rsidP="00017D63">
      <w:pPr>
        <w:rPr>
          <w:rFonts w:cs="Arial"/>
          <w:lang w:val="en-US"/>
        </w:rPr>
      </w:pPr>
      <w:r w:rsidRPr="000C2041">
        <w:rPr>
          <w:rFonts w:cs="Arial"/>
          <w:lang w:val="en-US"/>
        </w:rPr>
        <w:t xml:space="preserve">We </w:t>
      </w:r>
      <w:r w:rsidR="00536027">
        <w:rPr>
          <w:rFonts w:cs="Arial"/>
          <w:lang w:val="en-US"/>
        </w:rPr>
        <w:t>do not agree that</w:t>
      </w:r>
      <w:r w:rsidRPr="000C2041">
        <w:rPr>
          <w:rFonts w:cs="Arial"/>
          <w:lang w:val="en-US"/>
        </w:rPr>
        <w:t xml:space="preserve"> </w:t>
      </w:r>
      <w:r w:rsidR="00D16E50">
        <w:rPr>
          <w:rFonts w:cs="Arial"/>
          <w:lang w:val="en-US"/>
        </w:rPr>
        <w:t xml:space="preserve">the </w:t>
      </w:r>
      <w:r w:rsidR="00536027">
        <w:rPr>
          <w:rFonts w:cs="Arial"/>
          <w:lang w:val="en-US"/>
        </w:rPr>
        <w:t>buy-</w:t>
      </w:r>
      <w:r w:rsidRPr="000C2041">
        <w:rPr>
          <w:rFonts w:cs="Arial"/>
          <w:lang w:val="en-US"/>
        </w:rPr>
        <w:t>in process should be used for instructions on hold. In such a situ</w:t>
      </w:r>
      <w:r w:rsidRPr="000C2041">
        <w:rPr>
          <w:rFonts w:cs="Arial"/>
          <w:lang w:val="en-US"/>
        </w:rPr>
        <w:t>a</w:t>
      </w:r>
      <w:r w:rsidRPr="000C2041">
        <w:rPr>
          <w:rFonts w:cs="Arial"/>
          <w:lang w:val="en-US"/>
        </w:rPr>
        <w:t>tion</w:t>
      </w:r>
      <w:r w:rsidR="00536027">
        <w:rPr>
          <w:rFonts w:cs="Arial"/>
          <w:lang w:val="en-US"/>
        </w:rPr>
        <w:t xml:space="preserve"> the</w:t>
      </w:r>
      <w:r w:rsidRPr="000C2041">
        <w:rPr>
          <w:rFonts w:cs="Arial"/>
          <w:lang w:val="en-US"/>
        </w:rPr>
        <w:t xml:space="preserve"> settlement</w:t>
      </w:r>
      <w:r w:rsidR="00536027">
        <w:rPr>
          <w:rFonts w:cs="Arial"/>
          <w:lang w:val="en-US"/>
        </w:rPr>
        <w:t xml:space="preserve"> failure</w:t>
      </w:r>
      <w:r w:rsidRPr="000C2041">
        <w:rPr>
          <w:rFonts w:cs="Arial"/>
          <w:lang w:val="en-US"/>
        </w:rPr>
        <w:t xml:space="preserve"> is caused by the status of</w:t>
      </w:r>
      <w:r w:rsidR="00D16E50">
        <w:rPr>
          <w:rFonts w:cs="Arial"/>
          <w:lang w:val="en-US"/>
        </w:rPr>
        <w:t xml:space="preserve"> </w:t>
      </w:r>
      <w:r w:rsidR="00536027">
        <w:rPr>
          <w:rFonts w:cs="Arial"/>
          <w:lang w:val="en-US"/>
        </w:rPr>
        <w:t>the</w:t>
      </w:r>
      <w:r w:rsidRPr="000C2041">
        <w:rPr>
          <w:rFonts w:cs="Arial"/>
          <w:lang w:val="en-US"/>
        </w:rPr>
        <w:t xml:space="preserve"> instruction (on hold)</w:t>
      </w:r>
      <w:r w:rsidR="00536027">
        <w:rPr>
          <w:rFonts w:cs="Arial"/>
          <w:lang w:val="en-US"/>
        </w:rPr>
        <w:t xml:space="preserve"> and</w:t>
      </w:r>
      <w:r w:rsidRPr="000C2041">
        <w:rPr>
          <w:rFonts w:cs="Arial"/>
          <w:lang w:val="en-US"/>
        </w:rPr>
        <w:t xml:space="preserve"> </w:t>
      </w:r>
      <w:r w:rsidR="00D16E50">
        <w:rPr>
          <w:rFonts w:cs="Arial"/>
          <w:lang w:val="en-US"/>
        </w:rPr>
        <w:t xml:space="preserve">not by the </w:t>
      </w:r>
      <w:r w:rsidR="00536027">
        <w:rPr>
          <w:rFonts w:cs="Arial"/>
          <w:lang w:val="en-US"/>
        </w:rPr>
        <w:t xml:space="preserve">actual </w:t>
      </w:r>
      <w:r w:rsidR="00D16E50">
        <w:rPr>
          <w:rFonts w:cs="Arial"/>
          <w:lang w:val="en-US"/>
        </w:rPr>
        <w:t>lack of securities. The buy-in process</w:t>
      </w:r>
      <w:r w:rsidRPr="000C2041">
        <w:rPr>
          <w:rFonts w:cs="Arial"/>
          <w:lang w:val="en-US"/>
        </w:rPr>
        <w:t xml:space="preserve"> w</w:t>
      </w:r>
      <w:r w:rsidR="00536027">
        <w:rPr>
          <w:rFonts w:cs="Arial"/>
          <w:lang w:val="en-US"/>
        </w:rPr>
        <w:t>ould</w:t>
      </w:r>
      <w:r w:rsidRPr="000C2041">
        <w:rPr>
          <w:rFonts w:cs="Arial"/>
          <w:lang w:val="en-US"/>
        </w:rPr>
        <w:t xml:space="preserve"> not automatically settle </w:t>
      </w:r>
      <w:r w:rsidR="00536027">
        <w:rPr>
          <w:rFonts w:cs="Arial"/>
          <w:lang w:val="en-US"/>
        </w:rPr>
        <w:t xml:space="preserve">if the status of the </w:t>
      </w:r>
      <w:r w:rsidRPr="000C2041">
        <w:rPr>
          <w:rFonts w:cs="Arial"/>
          <w:lang w:val="en-US"/>
        </w:rPr>
        <w:t>instruction</w:t>
      </w:r>
      <w:r w:rsidR="00536027">
        <w:rPr>
          <w:rFonts w:cs="Arial"/>
          <w:lang w:val="en-US"/>
        </w:rPr>
        <w:t xml:space="preserve"> is still</w:t>
      </w:r>
      <w:r w:rsidRPr="000C2041">
        <w:rPr>
          <w:rFonts w:cs="Arial"/>
          <w:lang w:val="en-US"/>
        </w:rPr>
        <w:t xml:space="preserve"> </w:t>
      </w:r>
      <w:r w:rsidR="00536027">
        <w:rPr>
          <w:rFonts w:cs="Arial"/>
          <w:lang w:val="en-US"/>
        </w:rPr>
        <w:t>‘</w:t>
      </w:r>
      <w:r w:rsidRPr="000C2041">
        <w:rPr>
          <w:rFonts w:cs="Arial"/>
          <w:lang w:val="en-US"/>
        </w:rPr>
        <w:t>on hold</w:t>
      </w:r>
      <w:r w:rsidR="00536027">
        <w:rPr>
          <w:rFonts w:cs="Arial"/>
          <w:lang w:val="en-US"/>
        </w:rPr>
        <w:t>’</w:t>
      </w:r>
      <w:r w:rsidRPr="000C2041">
        <w:rPr>
          <w:rFonts w:cs="Arial"/>
          <w:lang w:val="en-US"/>
        </w:rPr>
        <w:t>.</w:t>
      </w:r>
    </w:p>
    <w:p w:rsidR="00017D63" w:rsidRPr="00F94F83" w:rsidRDefault="00017D63" w:rsidP="00017D63">
      <w:pPr>
        <w:rPr>
          <w:rFonts w:cs="Arial"/>
          <w:lang w:val="en-US"/>
        </w:rPr>
      </w:pPr>
    </w:p>
    <w:p w:rsidR="00017D63" w:rsidRPr="000C2041" w:rsidRDefault="00017D63" w:rsidP="00017D63">
      <w:pPr>
        <w:tabs>
          <w:tab w:val="left" w:pos="567"/>
        </w:tabs>
        <w:jc w:val="both"/>
        <w:rPr>
          <w:rFonts w:cs="Arial"/>
          <w:lang w:val="en-US"/>
        </w:rPr>
      </w:pPr>
      <w:r w:rsidRPr="000C2041">
        <w:rPr>
          <w:rFonts w:cs="Arial"/>
          <w:lang w:val="en-US"/>
        </w:rPr>
        <w:t xml:space="preserve">If </w:t>
      </w:r>
      <w:r w:rsidR="00D16E50">
        <w:rPr>
          <w:rFonts w:cs="Arial"/>
          <w:lang w:val="en-US"/>
        </w:rPr>
        <w:t xml:space="preserve">a </w:t>
      </w:r>
      <w:r w:rsidRPr="000C2041">
        <w:rPr>
          <w:rFonts w:cs="Arial"/>
          <w:lang w:val="en-US"/>
        </w:rPr>
        <w:t xml:space="preserve">buy-in fails, </w:t>
      </w:r>
      <w:r w:rsidR="00D16E50">
        <w:rPr>
          <w:rFonts w:cs="Arial"/>
          <w:lang w:val="en-US"/>
        </w:rPr>
        <w:t xml:space="preserve">the </w:t>
      </w:r>
      <w:r w:rsidRPr="000C2041">
        <w:rPr>
          <w:rFonts w:cs="Arial"/>
          <w:lang w:val="en-US"/>
        </w:rPr>
        <w:t xml:space="preserve">compensation process should be performed by entities which </w:t>
      </w:r>
      <w:r w:rsidR="00536027">
        <w:rPr>
          <w:rFonts w:cs="Arial"/>
          <w:lang w:val="en-US"/>
        </w:rPr>
        <w:t>initiate</w:t>
      </w:r>
      <w:r w:rsidR="00D16E50">
        <w:rPr>
          <w:rFonts w:cs="Arial"/>
          <w:lang w:val="en-US"/>
        </w:rPr>
        <w:t xml:space="preserve"> the</w:t>
      </w:r>
      <w:r w:rsidRPr="000C2041">
        <w:rPr>
          <w:rFonts w:cs="Arial"/>
          <w:lang w:val="en-US"/>
        </w:rPr>
        <w:t xml:space="preserve"> buy-in process</w:t>
      </w:r>
      <w:r w:rsidR="00D16E50">
        <w:rPr>
          <w:rFonts w:cs="Arial"/>
          <w:lang w:val="en-US"/>
        </w:rPr>
        <w:t>: CCPs, trading venues and CSD</w:t>
      </w:r>
      <w:r w:rsidRPr="000C2041">
        <w:rPr>
          <w:rFonts w:cs="Arial"/>
          <w:lang w:val="en-US"/>
        </w:rPr>
        <w:t xml:space="preserve"> participants. </w:t>
      </w:r>
      <w:r w:rsidR="00D16E50">
        <w:rPr>
          <w:rFonts w:cs="Arial"/>
          <w:lang w:val="en-US"/>
        </w:rPr>
        <w:t xml:space="preserve">A </w:t>
      </w:r>
      <w:r w:rsidRPr="000C2041">
        <w:rPr>
          <w:rFonts w:cs="Arial"/>
          <w:lang w:val="en-US"/>
        </w:rPr>
        <w:t>CSD should only support tools to exe</w:t>
      </w:r>
      <w:r w:rsidR="000E3C3E">
        <w:rPr>
          <w:rFonts w:cs="Arial"/>
          <w:lang w:val="en-US"/>
        </w:rPr>
        <w:t>cute the process e.g</w:t>
      </w:r>
      <w:r w:rsidRPr="000C2041">
        <w:rPr>
          <w:rFonts w:cs="Arial"/>
          <w:lang w:val="en-US"/>
        </w:rPr>
        <w:t>. cancelling of instructions</w:t>
      </w:r>
      <w:r w:rsidR="000E3C3E">
        <w:rPr>
          <w:rFonts w:cs="Arial"/>
          <w:lang w:val="en-US"/>
        </w:rPr>
        <w:t>.</w:t>
      </w:r>
      <w:r w:rsidRPr="000C2041">
        <w:rPr>
          <w:rFonts w:cs="Arial"/>
          <w:lang w:val="en-US"/>
        </w:rPr>
        <w:t xml:space="preserve">  </w:t>
      </w:r>
    </w:p>
    <w:p w:rsidR="00017D63" w:rsidRPr="00F94F83" w:rsidRDefault="00017D63" w:rsidP="00017D63">
      <w:pPr>
        <w:tabs>
          <w:tab w:val="left" w:pos="567"/>
        </w:tabs>
        <w:jc w:val="both"/>
        <w:rPr>
          <w:rFonts w:cs="Arial"/>
          <w:lang w:val="en-US"/>
        </w:rPr>
      </w:pPr>
    </w:p>
    <w:p w:rsidR="00017D63" w:rsidRPr="000C2041" w:rsidRDefault="000E3C3E" w:rsidP="00017D63">
      <w:pPr>
        <w:tabs>
          <w:tab w:val="left" w:pos="567"/>
        </w:tabs>
        <w:jc w:val="both"/>
        <w:rPr>
          <w:rFonts w:cs="Arial"/>
          <w:lang w:val="en-US"/>
        </w:rPr>
      </w:pPr>
      <w:r>
        <w:rPr>
          <w:rFonts w:cs="Arial"/>
          <w:lang w:val="en-US"/>
        </w:rPr>
        <w:t xml:space="preserve">As regards </w:t>
      </w:r>
      <w:proofErr w:type="gramStart"/>
      <w:r>
        <w:rPr>
          <w:rFonts w:cs="Arial"/>
          <w:lang w:val="en-US"/>
        </w:rPr>
        <w:t>A</w:t>
      </w:r>
      <w:r w:rsidR="00017D63" w:rsidRPr="000C2041">
        <w:rPr>
          <w:rFonts w:cs="Arial"/>
          <w:lang w:val="en-US"/>
        </w:rPr>
        <w:t>rt.11(</w:t>
      </w:r>
      <w:proofErr w:type="gramEnd"/>
      <w:r w:rsidR="00017D63" w:rsidRPr="000C2041">
        <w:rPr>
          <w:rFonts w:cs="Arial"/>
          <w:lang w:val="en-US"/>
        </w:rPr>
        <w:t xml:space="preserve">10), </w:t>
      </w:r>
      <w:r w:rsidR="00017D63" w:rsidRPr="000C2041">
        <w:rPr>
          <w:rFonts w:cs="Arial"/>
          <w:lang w:val="en-US" w:eastAsia="en-GB"/>
        </w:rPr>
        <w:t>requiring CSDs to test the consistency of the information provided by failing participants or a trading venue with settlement instructions is unpractical and will not allow CSDs to prevent multiple buy-ins. We</w:t>
      </w:r>
      <w:r>
        <w:rPr>
          <w:rFonts w:cs="Arial"/>
          <w:lang w:val="en-US" w:eastAsia="en-GB"/>
        </w:rPr>
        <w:t xml:space="preserve"> understand that, in line with A</w:t>
      </w:r>
      <w:r w:rsidR="00017D63" w:rsidRPr="000C2041">
        <w:rPr>
          <w:rFonts w:cs="Arial"/>
          <w:lang w:val="en-US" w:eastAsia="en-GB"/>
        </w:rPr>
        <w:t xml:space="preserve">rticle 7(10) of the Level 1 text of the CSDR, ESMA wishes to avoid unnecessary buy-ins in the context of chains of failed transactions, but we are convinced that the proposed wording of </w:t>
      </w:r>
      <w:proofErr w:type="gramStart"/>
      <w:r>
        <w:rPr>
          <w:rFonts w:cs="Arial"/>
          <w:lang w:val="en-US"/>
        </w:rPr>
        <w:t>A</w:t>
      </w:r>
      <w:r w:rsidR="00017D63" w:rsidRPr="000C2041">
        <w:rPr>
          <w:rFonts w:cs="Arial"/>
          <w:lang w:val="en-US"/>
        </w:rPr>
        <w:t>rt.11(</w:t>
      </w:r>
      <w:proofErr w:type="gramEnd"/>
      <w:r w:rsidR="00017D63" w:rsidRPr="000C2041">
        <w:rPr>
          <w:rFonts w:cs="Arial"/>
          <w:lang w:val="en-US"/>
        </w:rPr>
        <w:t xml:space="preserve">10) is unworkable and will not </w:t>
      </w:r>
      <w:r>
        <w:rPr>
          <w:rFonts w:cs="Arial"/>
          <w:lang w:val="en-US"/>
        </w:rPr>
        <w:t xml:space="preserve">achieve this aim. </w:t>
      </w:r>
      <w:r w:rsidR="00017D63" w:rsidRPr="000C2041">
        <w:rPr>
          <w:rFonts w:cs="Arial"/>
          <w:lang w:val="en-US"/>
        </w:rPr>
        <w:t>CSDs</w:t>
      </w:r>
      <w:r w:rsidR="00987E55">
        <w:rPr>
          <w:rFonts w:cs="Arial"/>
          <w:lang w:val="en-US"/>
        </w:rPr>
        <w:t xml:space="preserve"> should not</w:t>
      </w:r>
      <w:r w:rsidR="00017D63" w:rsidRPr="000C2041">
        <w:rPr>
          <w:rFonts w:cs="Arial"/>
          <w:lang w:val="en-US"/>
        </w:rPr>
        <w:t xml:space="preserve"> take responsibility for deciding on the n</w:t>
      </w:r>
      <w:r w:rsidR="00987E55">
        <w:rPr>
          <w:rFonts w:cs="Arial"/>
          <w:lang w:val="en-US"/>
        </w:rPr>
        <w:t>umber of buy-ins to be executed</w:t>
      </w:r>
      <w:r w:rsidR="00017D63" w:rsidRPr="000C2041">
        <w:rPr>
          <w:rFonts w:cs="Arial"/>
          <w:lang w:val="en-US"/>
        </w:rPr>
        <w:t xml:space="preserve">. </w:t>
      </w:r>
    </w:p>
    <w:p w:rsidR="00987E55" w:rsidRDefault="00017D63" w:rsidP="00D12AFD">
      <w:pPr>
        <w:rPr>
          <w:rFonts w:cs="Arial"/>
          <w:lang w:val="en-US"/>
        </w:rPr>
      </w:pPr>
      <w:r w:rsidRPr="000C2041">
        <w:rPr>
          <w:rFonts w:cs="Arial"/>
          <w:lang w:val="en-US"/>
        </w:rPr>
        <w:t>Additional</w:t>
      </w:r>
      <w:r w:rsidR="0067253C">
        <w:rPr>
          <w:rFonts w:cs="Arial"/>
          <w:lang w:val="en-US"/>
        </w:rPr>
        <w:t>l</w:t>
      </w:r>
      <w:r w:rsidRPr="000C2041">
        <w:rPr>
          <w:rFonts w:cs="Arial"/>
          <w:lang w:val="en-US"/>
        </w:rPr>
        <w:t>y</w:t>
      </w:r>
      <w:r w:rsidR="000E3C3E">
        <w:rPr>
          <w:rFonts w:cs="Arial"/>
          <w:lang w:val="en-US"/>
        </w:rPr>
        <w:t>,</w:t>
      </w:r>
      <w:r w:rsidRPr="000C2041">
        <w:rPr>
          <w:rFonts w:cs="Arial"/>
          <w:lang w:val="en-US"/>
        </w:rPr>
        <w:t xml:space="preserve"> the above proposition is not consistent with STP </w:t>
      </w:r>
      <w:r w:rsidR="000E3C3E">
        <w:rPr>
          <w:rFonts w:cs="Arial"/>
          <w:lang w:val="en-US"/>
        </w:rPr>
        <w:t>principles (</w:t>
      </w:r>
      <w:proofErr w:type="gramStart"/>
      <w:r w:rsidR="000E3C3E">
        <w:rPr>
          <w:rFonts w:cs="Arial"/>
          <w:lang w:val="en-US"/>
        </w:rPr>
        <w:t>A</w:t>
      </w:r>
      <w:r w:rsidRPr="000C2041">
        <w:rPr>
          <w:rFonts w:cs="Arial"/>
          <w:lang w:val="en-US"/>
        </w:rPr>
        <w:t>rt.3(</w:t>
      </w:r>
      <w:proofErr w:type="gramEnd"/>
      <w:r w:rsidRPr="000C2041">
        <w:rPr>
          <w:rFonts w:cs="Arial"/>
          <w:lang w:val="en-US"/>
        </w:rPr>
        <w:t xml:space="preserve">1)) </w:t>
      </w:r>
      <w:r w:rsidR="00987E55">
        <w:rPr>
          <w:rFonts w:cs="Arial"/>
          <w:lang w:val="en-US"/>
        </w:rPr>
        <w:t xml:space="preserve">regarding the </w:t>
      </w:r>
      <w:proofErr w:type="spellStart"/>
      <w:r w:rsidR="00987E55">
        <w:rPr>
          <w:rFonts w:cs="Arial"/>
          <w:lang w:val="en-US"/>
        </w:rPr>
        <w:t>minimalisation</w:t>
      </w:r>
      <w:proofErr w:type="spellEnd"/>
      <w:r w:rsidR="00987E55">
        <w:rPr>
          <w:rFonts w:cs="Arial"/>
          <w:lang w:val="en-US"/>
        </w:rPr>
        <w:t xml:space="preserve"> of</w:t>
      </w:r>
      <w:r w:rsidRPr="000C2041">
        <w:rPr>
          <w:rFonts w:cs="Arial"/>
          <w:lang w:val="en-US"/>
        </w:rPr>
        <w:t xml:space="preserve"> manual interventions.</w:t>
      </w:r>
    </w:p>
    <w:permEnd w:id="528907693"/>
    <w:p w:rsidR="00D12AFD" w:rsidRDefault="00D12AFD" w:rsidP="00D12AFD">
      <w:r>
        <w:t>&lt;ESMA_QUESTION_TS_CSDR_7&gt;</w:t>
      </w:r>
    </w:p>
    <w:p w:rsidR="00D12AFD" w:rsidRPr="002C4F00" w:rsidRDefault="00D12AFD" w:rsidP="00965B03">
      <w:pPr>
        <w:pStyle w:val="Nagwek5"/>
        <w:ind w:left="567" w:hanging="567"/>
      </w:pPr>
      <w:r w:rsidRPr="002C4F00">
        <w:t>What are your views on the proposed draft RTS related to the buy-in timeframe and extension period?</w:t>
      </w:r>
    </w:p>
    <w:p w:rsidR="00D12AFD" w:rsidRDefault="00D12AFD" w:rsidP="00D12AFD"/>
    <w:p w:rsidR="00D12AFD" w:rsidRDefault="00D12AFD" w:rsidP="00D12AFD">
      <w:r>
        <w:t>&lt;ESMA_QUESTION_TS_CSDR_8&gt;</w:t>
      </w:r>
    </w:p>
    <w:p w:rsidR="00017D63" w:rsidRPr="000C2041" w:rsidRDefault="000E3C3E" w:rsidP="0067253C">
      <w:pPr>
        <w:tabs>
          <w:tab w:val="left" w:pos="567"/>
        </w:tabs>
        <w:jc w:val="both"/>
        <w:rPr>
          <w:rFonts w:cs="Arial"/>
          <w:lang w:val="en-US"/>
        </w:rPr>
      </w:pPr>
      <w:permStart w:id="188028996" w:edGrp="everyone"/>
      <w:r>
        <w:rPr>
          <w:rFonts w:cs="Arial"/>
          <w:bCs/>
          <w:lang w:val="en-US"/>
        </w:rPr>
        <w:t xml:space="preserve">A </w:t>
      </w:r>
      <w:r w:rsidR="00017D63" w:rsidRPr="000C2041">
        <w:rPr>
          <w:rFonts w:cs="Arial"/>
          <w:bCs/>
          <w:lang w:val="en-US"/>
        </w:rPr>
        <w:t>CSD should not be responsible for estimation of liquidity of securities.</w:t>
      </w:r>
      <w:r w:rsidR="00017D63" w:rsidRPr="000C2041">
        <w:rPr>
          <w:rFonts w:cs="Arial"/>
          <w:lang w:val="en-US"/>
        </w:rPr>
        <w:t xml:space="preserve"> If </w:t>
      </w:r>
      <w:r w:rsidR="00EF4C90">
        <w:rPr>
          <w:rFonts w:cs="Arial"/>
          <w:lang w:val="en-US"/>
        </w:rPr>
        <w:t xml:space="preserve">the </w:t>
      </w:r>
      <w:r w:rsidR="00017D63" w:rsidRPr="000C2041">
        <w:rPr>
          <w:rFonts w:cs="Arial"/>
          <w:lang w:val="en-US"/>
        </w:rPr>
        <w:t>criterion of liquidity in rel</w:t>
      </w:r>
      <w:r w:rsidR="000D1553" w:rsidRPr="000C2041">
        <w:rPr>
          <w:rFonts w:cs="Arial"/>
          <w:lang w:val="en-US"/>
        </w:rPr>
        <w:t>a</w:t>
      </w:r>
      <w:r w:rsidR="00017D63" w:rsidRPr="000C2041">
        <w:rPr>
          <w:rFonts w:cs="Arial"/>
          <w:lang w:val="en-US"/>
        </w:rPr>
        <w:t>tion to buy-in timeframe an</w:t>
      </w:r>
      <w:r w:rsidR="000D1553">
        <w:rPr>
          <w:rFonts w:cs="Arial"/>
          <w:lang w:val="en-US"/>
        </w:rPr>
        <w:t>d extension period will be used</w:t>
      </w:r>
      <w:r w:rsidR="00017D63" w:rsidRPr="000C2041">
        <w:rPr>
          <w:rFonts w:cs="Arial"/>
          <w:lang w:val="en-US"/>
        </w:rPr>
        <w:t>, a central list of those instr</w:t>
      </w:r>
      <w:r w:rsidR="00017D63" w:rsidRPr="000C2041">
        <w:rPr>
          <w:rFonts w:cs="Arial"/>
          <w:lang w:val="en-US"/>
        </w:rPr>
        <w:t>u</w:t>
      </w:r>
      <w:r w:rsidR="00017D63" w:rsidRPr="000C2041">
        <w:rPr>
          <w:rFonts w:cs="Arial"/>
          <w:lang w:val="en-US"/>
        </w:rPr>
        <w:t>ments falling under the definition of "liquid market" in accordance with point (a) of Article 2(1)(17) or point (b) of Article 2(1)(17), respectively,</w:t>
      </w:r>
      <w:r w:rsidR="000D1553">
        <w:rPr>
          <w:rFonts w:cs="Arial"/>
          <w:lang w:val="en-US"/>
        </w:rPr>
        <w:t xml:space="preserve"> of Regulation (EU) No 600/2014</w:t>
      </w:r>
      <w:r w:rsidR="00017D63" w:rsidRPr="000C2041">
        <w:rPr>
          <w:rFonts w:cs="Arial"/>
          <w:lang w:val="en-US"/>
        </w:rPr>
        <w:t xml:space="preserve"> </w:t>
      </w:r>
      <w:r w:rsidR="000D1553">
        <w:rPr>
          <w:rFonts w:cs="Arial"/>
          <w:lang w:val="en-US"/>
        </w:rPr>
        <w:t>should</w:t>
      </w:r>
      <w:r w:rsidR="00017D63" w:rsidRPr="000C2041">
        <w:rPr>
          <w:rFonts w:cs="Arial"/>
          <w:lang w:val="en-US"/>
        </w:rPr>
        <w:t xml:space="preserve"> be made available</w:t>
      </w:r>
      <w:r w:rsidR="000D1553">
        <w:rPr>
          <w:rFonts w:cs="Arial"/>
          <w:lang w:val="en-US"/>
        </w:rPr>
        <w:t xml:space="preserve"> to CSDs</w:t>
      </w:r>
      <w:r w:rsidR="00017D63" w:rsidRPr="000C2041">
        <w:rPr>
          <w:rFonts w:cs="Arial"/>
          <w:lang w:val="en-US"/>
        </w:rPr>
        <w:t>.</w:t>
      </w:r>
    </w:p>
    <w:p w:rsidR="00017D63" w:rsidRPr="000C2041" w:rsidRDefault="00017D63" w:rsidP="0067253C">
      <w:pPr>
        <w:tabs>
          <w:tab w:val="left" w:pos="567"/>
        </w:tabs>
        <w:jc w:val="both"/>
        <w:rPr>
          <w:rFonts w:cs="Arial"/>
          <w:lang w:val="en-US"/>
        </w:rPr>
      </w:pPr>
      <w:r w:rsidRPr="000C2041">
        <w:rPr>
          <w:rFonts w:cs="Arial"/>
          <w:lang w:val="en-US"/>
        </w:rPr>
        <w:t xml:space="preserve">KDPW expects that such a list will be updated </w:t>
      </w:r>
      <w:r w:rsidR="00EF4C90">
        <w:rPr>
          <w:rFonts w:cs="Arial"/>
          <w:lang w:val="en-US"/>
        </w:rPr>
        <w:t>every day,</w:t>
      </w:r>
      <w:r w:rsidRPr="000C2041">
        <w:rPr>
          <w:rFonts w:cs="Arial"/>
          <w:lang w:val="en-US"/>
        </w:rPr>
        <w:t xml:space="preserve"> taking into account the possibility of </w:t>
      </w:r>
      <w:r w:rsidR="00A34633" w:rsidRPr="000C2041">
        <w:rPr>
          <w:rFonts w:cs="Arial"/>
          <w:lang w:val="en-US"/>
        </w:rPr>
        <w:t xml:space="preserve">registration </w:t>
      </w:r>
      <w:r w:rsidR="00A34633">
        <w:rPr>
          <w:rFonts w:cs="Arial"/>
          <w:lang w:val="en-US"/>
        </w:rPr>
        <w:t xml:space="preserve">of </w:t>
      </w:r>
      <w:r w:rsidRPr="000C2041">
        <w:rPr>
          <w:rFonts w:cs="Arial"/>
          <w:lang w:val="en-US"/>
        </w:rPr>
        <w:t xml:space="preserve">new series of securities. </w:t>
      </w:r>
    </w:p>
    <w:p w:rsidR="00017D63" w:rsidRDefault="00017D63" w:rsidP="00D12AFD">
      <w:pPr>
        <w:rPr>
          <w:rFonts w:cs="Arial"/>
          <w:lang w:val="en-US"/>
        </w:rPr>
      </w:pPr>
      <w:r w:rsidRPr="000C2041">
        <w:rPr>
          <w:rFonts w:cs="Arial"/>
          <w:lang w:val="en-US"/>
        </w:rPr>
        <w:t xml:space="preserve">It may be easier to have </w:t>
      </w:r>
      <w:r w:rsidR="00A34633">
        <w:rPr>
          <w:rFonts w:cs="Arial"/>
          <w:lang w:val="en-US"/>
        </w:rPr>
        <w:t>the same</w:t>
      </w:r>
      <w:r w:rsidRPr="000C2041">
        <w:rPr>
          <w:rFonts w:cs="Arial"/>
          <w:lang w:val="en-US"/>
        </w:rPr>
        <w:t xml:space="preserve"> exten</w:t>
      </w:r>
      <w:r w:rsidR="00A34633">
        <w:rPr>
          <w:rFonts w:cs="Arial"/>
          <w:lang w:val="en-US"/>
        </w:rPr>
        <w:t>s</w:t>
      </w:r>
      <w:r w:rsidRPr="000C2041">
        <w:rPr>
          <w:rFonts w:cs="Arial"/>
          <w:lang w:val="en-US"/>
        </w:rPr>
        <w:t>ion period for every security type</w:t>
      </w:r>
      <w:r w:rsidR="00A34633">
        <w:rPr>
          <w:rFonts w:cs="Arial"/>
          <w:lang w:val="en-US"/>
        </w:rPr>
        <w:t>,</w:t>
      </w:r>
      <w:r w:rsidRPr="000C2041">
        <w:rPr>
          <w:rFonts w:cs="Arial"/>
          <w:lang w:val="en-US"/>
        </w:rPr>
        <w:t xml:space="preserve"> </w:t>
      </w:r>
      <w:r w:rsidR="00EF4C90">
        <w:rPr>
          <w:rFonts w:cs="Arial"/>
          <w:lang w:val="en-US"/>
        </w:rPr>
        <w:t>regardless of</w:t>
      </w:r>
      <w:r w:rsidRPr="000C2041">
        <w:rPr>
          <w:rFonts w:cs="Arial"/>
          <w:lang w:val="en-US"/>
        </w:rPr>
        <w:t xml:space="preserve"> the liquidity of the security.</w:t>
      </w:r>
    </w:p>
    <w:permEnd w:id="188028996"/>
    <w:p w:rsidR="00D12AFD" w:rsidRDefault="00D12AFD" w:rsidP="00D12AFD">
      <w:r>
        <w:t>&lt;ESMA_QUESTION_TS_CSDR_8&gt;</w:t>
      </w:r>
    </w:p>
    <w:p w:rsidR="00D12AFD" w:rsidRPr="002C4F00" w:rsidRDefault="00D12AFD" w:rsidP="00965B03">
      <w:pPr>
        <w:pStyle w:val="Nagwek5"/>
        <w:ind w:left="567" w:hanging="567"/>
      </w:pPr>
      <w:r w:rsidRPr="002C4F00">
        <w:t>What are your views on the proposed draft RTS related to the type of operations and their timeframe that render buy-in ineffective?</w:t>
      </w:r>
    </w:p>
    <w:p w:rsidR="00D12AFD" w:rsidRDefault="00D12AFD" w:rsidP="00D12AFD"/>
    <w:p w:rsidR="00D12AFD" w:rsidRDefault="00D12AFD" w:rsidP="00D12AFD">
      <w:r>
        <w:t>&lt;ESMA_QUESTION_TS_CSDR_9&gt;</w:t>
      </w:r>
    </w:p>
    <w:p w:rsidR="00017D63" w:rsidRPr="000C2041" w:rsidRDefault="00017D63" w:rsidP="00017D63">
      <w:pPr>
        <w:rPr>
          <w:rFonts w:cs="Arial"/>
          <w:lang w:val="en-US"/>
        </w:rPr>
      </w:pPr>
      <w:permStart w:id="655694880" w:edGrp="everyone"/>
      <w:r w:rsidRPr="000C2041">
        <w:rPr>
          <w:rFonts w:cs="Arial"/>
          <w:lang w:val="en-US"/>
        </w:rPr>
        <w:t>In KDPW</w:t>
      </w:r>
      <w:r w:rsidR="00EF4C90">
        <w:rPr>
          <w:rFonts w:cs="Arial"/>
          <w:lang w:val="en-US"/>
        </w:rPr>
        <w:t>’s</w:t>
      </w:r>
      <w:r w:rsidRPr="000C2041">
        <w:rPr>
          <w:rFonts w:cs="Arial"/>
          <w:lang w:val="en-US"/>
        </w:rPr>
        <w:t xml:space="preserve"> opinion</w:t>
      </w:r>
      <w:r w:rsidR="00EF4C90">
        <w:rPr>
          <w:rFonts w:cs="Arial"/>
          <w:lang w:val="en-US"/>
        </w:rPr>
        <w:t>, repo</w:t>
      </w:r>
      <w:r w:rsidRPr="000C2041">
        <w:rPr>
          <w:rFonts w:cs="Arial"/>
          <w:lang w:val="en-US"/>
        </w:rPr>
        <w:t xml:space="preserve"> and securities lending should not be subject </w:t>
      </w:r>
      <w:r w:rsidR="0031779D">
        <w:rPr>
          <w:rFonts w:cs="Arial"/>
          <w:lang w:val="en-US"/>
        </w:rPr>
        <w:t>to</w:t>
      </w:r>
      <w:r w:rsidRPr="000C2041">
        <w:rPr>
          <w:rFonts w:cs="Arial"/>
          <w:lang w:val="en-US"/>
        </w:rPr>
        <w:t xml:space="preserve"> buy-in</w:t>
      </w:r>
      <w:r w:rsidR="00EF4C90">
        <w:rPr>
          <w:rFonts w:cs="Arial"/>
          <w:lang w:val="en-US"/>
        </w:rPr>
        <w:t>s</w:t>
      </w:r>
      <w:r w:rsidRPr="000C2041">
        <w:rPr>
          <w:rFonts w:cs="Arial"/>
          <w:lang w:val="en-US"/>
        </w:rPr>
        <w:t>.</w:t>
      </w:r>
    </w:p>
    <w:permEnd w:id="655694880"/>
    <w:p w:rsidR="00D12AFD" w:rsidRDefault="00D12AFD" w:rsidP="00D12AFD">
      <w:r>
        <w:t>&lt;ESMA_QUESTION_TS_CSDR_9&gt;</w:t>
      </w:r>
    </w:p>
    <w:p w:rsidR="00D12AFD" w:rsidRPr="002C4F00" w:rsidRDefault="00D12AFD" w:rsidP="00965B03">
      <w:pPr>
        <w:pStyle w:val="Nagwek5"/>
        <w:ind w:left="567" w:hanging="567"/>
      </w:pPr>
      <w:r w:rsidRPr="002C4F00">
        <w:t>What are your views on the proposed draft RTS related to the calculation of the cash compensation?</w:t>
      </w:r>
    </w:p>
    <w:p w:rsidR="00D12AFD" w:rsidRDefault="00D12AFD" w:rsidP="00D12AFD"/>
    <w:p w:rsidR="00D12AFD" w:rsidRDefault="00D12AFD" w:rsidP="00D12AFD">
      <w:r>
        <w:t>&lt;ESMA_QUESTION_TS_CSDR_10&gt;</w:t>
      </w:r>
    </w:p>
    <w:p w:rsidR="00017D63" w:rsidRPr="000C2041" w:rsidRDefault="00017D63" w:rsidP="0067253C">
      <w:pPr>
        <w:rPr>
          <w:rFonts w:cs="Arial"/>
          <w:lang w:val="en-US"/>
        </w:rPr>
      </w:pPr>
      <w:permStart w:id="281739550" w:edGrp="everyone"/>
      <w:r w:rsidRPr="000C2041">
        <w:rPr>
          <w:rFonts w:cs="Arial"/>
          <w:lang w:val="en-US"/>
        </w:rPr>
        <w:t>In our opinion</w:t>
      </w:r>
      <w:r w:rsidR="00C576C1">
        <w:rPr>
          <w:rFonts w:cs="Arial"/>
          <w:lang w:val="en-US"/>
        </w:rPr>
        <w:t>,</w:t>
      </w:r>
      <w:r w:rsidRPr="000C2041">
        <w:rPr>
          <w:rFonts w:cs="Arial"/>
          <w:lang w:val="en-US"/>
        </w:rPr>
        <w:t xml:space="preserve"> cash compensation should be </w:t>
      </w:r>
      <w:proofErr w:type="gramStart"/>
      <w:r w:rsidRPr="000C2041">
        <w:rPr>
          <w:rFonts w:cs="Arial"/>
          <w:lang w:val="en-US"/>
        </w:rPr>
        <w:t>proceeded</w:t>
      </w:r>
      <w:proofErr w:type="gramEnd"/>
      <w:r w:rsidRPr="000C2041">
        <w:rPr>
          <w:rFonts w:cs="Arial"/>
          <w:lang w:val="en-US"/>
        </w:rPr>
        <w:t xml:space="preserve"> by </w:t>
      </w:r>
      <w:r w:rsidR="005327E6">
        <w:rPr>
          <w:rFonts w:cs="Arial"/>
          <w:lang w:val="en-US"/>
        </w:rPr>
        <w:t>a</w:t>
      </w:r>
      <w:r w:rsidR="00C576C1">
        <w:rPr>
          <w:rFonts w:cs="Arial"/>
          <w:lang w:val="en-US"/>
        </w:rPr>
        <w:t xml:space="preserve"> </w:t>
      </w:r>
      <w:r w:rsidRPr="000C2041">
        <w:rPr>
          <w:rFonts w:cs="Arial"/>
          <w:lang w:val="en-US"/>
        </w:rPr>
        <w:t>CCP and price of the compens</w:t>
      </w:r>
      <w:r w:rsidRPr="000C2041">
        <w:rPr>
          <w:rFonts w:cs="Arial"/>
          <w:lang w:val="en-US"/>
        </w:rPr>
        <w:t>a</w:t>
      </w:r>
      <w:r w:rsidRPr="000C2041">
        <w:rPr>
          <w:rFonts w:cs="Arial"/>
          <w:lang w:val="en-US"/>
        </w:rPr>
        <w:t>tion should be calculated on a basis of the recent available market price of the security.</w:t>
      </w:r>
    </w:p>
    <w:p w:rsidR="00017D63" w:rsidRDefault="00017D63" w:rsidP="00D12AFD">
      <w:pPr>
        <w:rPr>
          <w:rFonts w:cs="Arial"/>
          <w:lang w:val="en-US"/>
        </w:rPr>
      </w:pPr>
      <w:r w:rsidRPr="000C2041">
        <w:rPr>
          <w:rFonts w:cs="Arial"/>
          <w:lang w:val="en-US"/>
        </w:rPr>
        <w:lastRenderedPageBreak/>
        <w:t xml:space="preserve">If </w:t>
      </w:r>
      <w:r w:rsidR="00C576C1">
        <w:rPr>
          <w:rFonts w:cs="Arial"/>
          <w:lang w:val="en-US"/>
        </w:rPr>
        <w:t xml:space="preserve">a </w:t>
      </w:r>
      <w:r w:rsidRPr="000C2041">
        <w:rPr>
          <w:rFonts w:cs="Arial"/>
          <w:lang w:val="en-US"/>
        </w:rPr>
        <w:t xml:space="preserve">buy-in fails, </w:t>
      </w:r>
      <w:r w:rsidR="00C576C1">
        <w:rPr>
          <w:rFonts w:cs="Arial"/>
          <w:lang w:val="en-US"/>
        </w:rPr>
        <w:t xml:space="preserve">the </w:t>
      </w:r>
      <w:r w:rsidRPr="000C2041">
        <w:rPr>
          <w:rFonts w:cs="Arial"/>
          <w:lang w:val="en-US"/>
        </w:rPr>
        <w:t xml:space="preserve">compensation process should be performed by entities which </w:t>
      </w:r>
      <w:r w:rsidR="005327E6">
        <w:rPr>
          <w:rFonts w:cs="Arial"/>
          <w:lang w:val="en-US"/>
        </w:rPr>
        <w:t>initiate the</w:t>
      </w:r>
      <w:r w:rsidRPr="000C2041">
        <w:rPr>
          <w:rFonts w:cs="Arial"/>
          <w:lang w:val="en-US"/>
        </w:rPr>
        <w:t xml:space="preserve"> buy-in process</w:t>
      </w:r>
      <w:r w:rsidR="00C576C1">
        <w:rPr>
          <w:rFonts w:cs="Arial"/>
          <w:lang w:val="en-US"/>
        </w:rPr>
        <w:t>: CCPs, trading venues and CSD</w:t>
      </w:r>
      <w:r w:rsidRPr="000C2041">
        <w:rPr>
          <w:rFonts w:cs="Arial"/>
          <w:lang w:val="en-US"/>
        </w:rPr>
        <w:t xml:space="preserve"> participants. </w:t>
      </w:r>
      <w:r w:rsidR="00C576C1">
        <w:rPr>
          <w:rFonts w:cs="Arial"/>
          <w:lang w:val="en-US"/>
        </w:rPr>
        <w:t xml:space="preserve">A </w:t>
      </w:r>
      <w:r w:rsidRPr="000C2041">
        <w:rPr>
          <w:rFonts w:cs="Arial"/>
          <w:lang w:val="en-US"/>
        </w:rPr>
        <w:t>CSD should only support tools to exe</w:t>
      </w:r>
      <w:r w:rsidR="00C576C1">
        <w:rPr>
          <w:rFonts w:cs="Arial"/>
          <w:lang w:val="en-US"/>
        </w:rPr>
        <w:t>cute the</w:t>
      </w:r>
      <w:r w:rsidRPr="000C2041">
        <w:rPr>
          <w:rFonts w:cs="Arial"/>
          <w:lang w:val="en-US"/>
        </w:rPr>
        <w:t xml:space="preserve"> process </w:t>
      </w:r>
      <w:r w:rsidR="00C576C1">
        <w:rPr>
          <w:rFonts w:cs="Arial"/>
          <w:lang w:val="en-US"/>
        </w:rPr>
        <w:t>e.g</w:t>
      </w:r>
      <w:r w:rsidRPr="000C2041">
        <w:rPr>
          <w:rFonts w:cs="Arial"/>
          <w:lang w:val="en-US"/>
        </w:rPr>
        <w:t>. cancelling of instructions.</w:t>
      </w:r>
    </w:p>
    <w:permEnd w:id="281739550"/>
    <w:p w:rsidR="00D12AFD" w:rsidRDefault="00D12AFD" w:rsidP="00D12AFD">
      <w:r>
        <w:t>&lt;ESMA_QUESTION_TS_CSDR_10&gt;</w:t>
      </w:r>
    </w:p>
    <w:p w:rsidR="00D12AFD" w:rsidRPr="002C4F00" w:rsidRDefault="00D12AFD" w:rsidP="00965B03">
      <w:pPr>
        <w:pStyle w:val="Nagwek5"/>
        <w:ind w:left="567" w:hanging="567"/>
      </w:pPr>
      <w:r w:rsidRPr="002C4F00">
        <w:t>What are your views on the proposed draft RTS related to the conditions for a pa</w:t>
      </w:r>
      <w:r w:rsidRPr="002C4F00">
        <w:t>r</w:t>
      </w:r>
      <w:r w:rsidRPr="002C4F00">
        <w:t>ticipant to consistently and systematically fail?</w:t>
      </w:r>
    </w:p>
    <w:p w:rsidR="00D12AFD" w:rsidRDefault="00D12AFD" w:rsidP="00D12AFD"/>
    <w:p w:rsidR="00D12AFD" w:rsidRDefault="00D12AFD" w:rsidP="00D12AFD">
      <w:r>
        <w:t>&lt;ESMA_QUESTION_TS_CSDR_11&gt;</w:t>
      </w:r>
    </w:p>
    <w:p w:rsidR="00017D63" w:rsidRPr="000C2041" w:rsidRDefault="00017D63" w:rsidP="0067253C">
      <w:pPr>
        <w:rPr>
          <w:rFonts w:cs="Arial"/>
          <w:bCs/>
          <w:lang w:val="en-US"/>
        </w:rPr>
      </w:pPr>
      <w:permStart w:id="2041608900" w:edGrp="everyone"/>
      <w:r w:rsidRPr="000C2041">
        <w:rPr>
          <w:rFonts w:cs="Arial"/>
          <w:lang w:val="en-US"/>
        </w:rPr>
        <w:t xml:space="preserve">We would like to insist that, when a participant falls under the threshold defined in </w:t>
      </w:r>
      <w:proofErr w:type="gramStart"/>
      <w:r w:rsidR="00F344D7">
        <w:rPr>
          <w:rFonts w:cs="Arial"/>
          <w:lang w:val="en-US"/>
        </w:rPr>
        <w:t>A</w:t>
      </w:r>
      <w:r w:rsidRPr="000C2041">
        <w:rPr>
          <w:rFonts w:cs="Arial"/>
          <w:lang w:val="en-US"/>
        </w:rPr>
        <w:t>rt.16(</w:t>
      </w:r>
      <w:proofErr w:type="gramEnd"/>
      <w:r w:rsidRPr="000C2041">
        <w:rPr>
          <w:rFonts w:cs="Arial"/>
          <w:lang w:val="en-US"/>
        </w:rPr>
        <w:t>1), this should never lead to the automatic suspension of that participant. The suspension of a partic</w:t>
      </w:r>
      <w:r w:rsidRPr="000C2041">
        <w:rPr>
          <w:rFonts w:cs="Arial"/>
          <w:lang w:val="en-US"/>
        </w:rPr>
        <w:t>i</w:t>
      </w:r>
      <w:r w:rsidRPr="000C2041">
        <w:rPr>
          <w:rFonts w:cs="Arial"/>
          <w:lang w:val="en-US"/>
        </w:rPr>
        <w:t xml:space="preserve">pant is an extreme measure that can only be used as the ultimate </w:t>
      </w:r>
      <w:r w:rsidR="00F344D7">
        <w:rPr>
          <w:rFonts w:cs="Arial"/>
          <w:lang w:val="en-US"/>
        </w:rPr>
        <w:t>sanction</w:t>
      </w:r>
      <w:r w:rsidRPr="000C2041">
        <w:rPr>
          <w:rFonts w:cs="Arial"/>
          <w:lang w:val="en-US"/>
        </w:rPr>
        <w:t xml:space="preserve"> to a serious problem and only be implemented after careful consideration of the circumstances in each case and in close consultation with the competent authority.</w:t>
      </w:r>
    </w:p>
    <w:p w:rsidR="00017D63" w:rsidRDefault="00017D63" w:rsidP="00D12AFD">
      <w:pPr>
        <w:rPr>
          <w:rFonts w:cs="Arial"/>
          <w:bCs/>
          <w:lang w:val="en-US"/>
        </w:rPr>
      </w:pPr>
      <w:r w:rsidRPr="000C2041">
        <w:rPr>
          <w:rFonts w:cs="Arial"/>
          <w:bCs/>
          <w:lang w:val="en-US"/>
        </w:rPr>
        <w:t>Participant should be assessed over a 12-month period.  In our view a threshold should be set by reference to the settlement efficiency rate of each securities settlement system and should be considered a</w:t>
      </w:r>
      <w:r w:rsidR="005327E6">
        <w:rPr>
          <w:rFonts w:cs="Arial"/>
          <w:bCs/>
          <w:lang w:val="en-US"/>
        </w:rPr>
        <w:t>s</w:t>
      </w:r>
      <w:r w:rsidRPr="000C2041">
        <w:rPr>
          <w:rFonts w:cs="Arial"/>
          <w:bCs/>
          <w:lang w:val="en-US"/>
        </w:rPr>
        <w:t xml:space="preserve"> more than 10 % deviation in value or volume.</w:t>
      </w:r>
    </w:p>
    <w:permEnd w:id="2041608900"/>
    <w:p w:rsidR="00D12AFD" w:rsidRDefault="00D12AFD" w:rsidP="00D12AFD">
      <w:r>
        <w:t>&lt;ESMA_QUESTION_TS_CSDR_11&gt;</w:t>
      </w:r>
    </w:p>
    <w:p w:rsidR="00D12AFD" w:rsidRPr="002C4F00" w:rsidRDefault="00D12AFD" w:rsidP="00965B03">
      <w:pPr>
        <w:pStyle w:val="Nagwek5"/>
        <w:ind w:left="567" w:hanging="567"/>
      </w:pPr>
      <w:r w:rsidRPr="002C4F00">
        <w:t>What are your views on the proposed draft RTS related to the settlement information for CCPs and trading venues?</w:t>
      </w:r>
    </w:p>
    <w:p w:rsidR="00D12AFD" w:rsidRDefault="00D12AFD" w:rsidP="00D12AFD"/>
    <w:p w:rsidR="00D12AFD" w:rsidRDefault="00D12AFD" w:rsidP="00D12AFD">
      <w:r>
        <w:t>&lt;ESMA_QUESTION_TS_CSDR_12&gt;</w:t>
      </w:r>
    </w:p>
    <w:p w:rsidR="00017D63" w:rsidRDefault="00017D63" w:rsidP="00D12AFD">
      <w:pPr>
        <w:rPr>
          <w:rFonts w:cs="Arial"/>
          <w:lang w:val="en-US"/>
        </w:rPr>
      </w:pPr>
      <w:permStart w:id="1623399437" w:edGrp="everyone"/>
      <w:r w:rsidRPr="000C2041">
        <w:rPr>
          <w:rFonts w:cs="Arial"/>
          <w:lang w:val="en-US"/>
        </w:rPr>
        <w:t>We agree that CSD</w:t>
      </w:r>
      <w:r w:rsidR="00F344D7">
        <w:rPr>
          <w:rFonts w:cs="Arial"/>
          <w:lang w:val="en-US"/>
        </w:rPr>
        <w:t>s</w:t>
      </w:r>
      <w:r w:rsidRPr="000C2041">
        <w:rPr>
          <w:rFonts w:cs="Arial"/>
          <w:lang w:val="en-US"/>
        </w:rPr>
        <w:t xml:space="preserve"> should </w:t>
      </w:r>
      <w:r w:rsidR="00F344D7">
        <w:rPr>
          <w:rFonts w:cs="Arial"/>
          <w:lang w:val="en-US"/>
        </w:rPr>
        <w:t>send settlement instruction</w:t>
      </w:r>
      <w:r w:rsidRPr="000C2041">
        <w:rPr>
          <w:rFonts w:cs="Arial"/>
          <w:lang w:val="en-US"/>
        </w:rPr>
        <w:t xml:space="preserve"> statuses to </w:t>
      </w:r>
      <w:r w:rsidR="005327E6">
        <w:rPr>
          <w:rFonts w:cs="Arial"/>
          <w:lang w:val="en-US"/>
        </w:rPr>
        <w:t>the</w:t>
      </w:r>
      <w:r w:rsidR="00F344D7">
        <w:rPr>
          <w:rFonts w:cs="Arial"/>
          <w:lang w:val="en-US"/>
        </w:rPr>
        <w:t xml:space="preserve"> </w:t>
      </w:r>
      <w:r w:rsidRPr="000C2041">
        <w:rPr>
          <w:rFonts w:cs="Arial"/>
          <w:lang w:val="en-US"/>
        </w:rPr>
        <w:t xml:space="preserve">market venue or/and to </w:t>
      </w:r>
      <w:r w:rsidR="00F344D7">
        <w:rPr>
          <w:rFonts w:cs="Arial"/>
          <w:lang w:val="en-US"/>
        </w:rPr>
        <w:t xml:space="preserve">the </w:t>
      </w:r>
      <w:r w:rsidRPr="000C2041">
        <w:rPr>
          <w:rFonts w:cs="Arial"/>
          <w:lang w:val="en-US"/>
        </w:rPr>
        <w:t>CCP.</w:t>
      </w:r>
    </w:p>
    <w:permEnd w:id="1623399437"/>
    <w:p w:rsidR="00D12AFD" w:rsidRDefault="00D12AFD" w:rsidP="00D12AFD">
      <w:r>
        <w:t>&lt;ESMA_QUESTION_TS_CSDR_12&gt;</w:t>
      </w:r>
    </w:p>
    <w:p w:rsidR="00D12AFD" w:rsidRPr="002C4F00" w:rsidRDefault="00D12AFD" w:rsidP="00965B03">
      <w:pPr>
        <w:pStyle w:val="Nagwek5"/>
        <w:ind w:left="567" w:hanging="567"/>
      </w:pPr>
      <w:r w:rsidRPr="002C4F00">
        <w:t>What are your views on the proposed draft RTS related to anti-avoidance rules for cash penalties and buy-in?</w:t>
      </w:r>
    </w:p>
    <w:p w:rsidR="00D12AFD" w:rsidRDefault="00D12AFD" w:rsidP="00D12AFD"/>
    <w:p w:rsidR="00D12AFD" w:rsidRDefault="00D12AFD" w:rsidP="00D12AFD">
      <w:r>
        <w:t>&lt;ESMA_QUESTION_TS_CSDR_13&gt;</w:t>
      </w:r>
    </w:p>
    <w:p w:rsidR="00017D63" w:rsidRDefault="00017D63" w:rsidP="00D12AFD">
      <w:pPr>
        <w:rPr>
          <w:rFonts w:cs="Arial"/>
          <w:bCs/>
          <w:lang w:val="en-US"/>
        </w:rPr>
      </w:pPr>
      <w:permStart w:id="1081698532" w:edGrp="everyone"/>
      <w:r w:rsidRPr="000C2041">
        <w:rPr>
          <w:rFonts w:cs="Arial"/>
          <w:bCs/>
          <w:lang w:val="en-US"/>
        </w:rPr>
        <w:t xml:space="preserve">The cash penalty mechanism and the buy-in process should be applied by all CSDs (buy-in </w:t>
      </w:r>
      <w:r w:rsidR="005327E6">
        <w:rPr>
          <w:rFonts w:cs="Arial"/>
          <w:bCs/>
          <w:lang w:val="en-US"/>
        </w:rPr>
        <w:t>in</w:t>
      </w:r>
      <w:r w:rsidRPr="000C2041">
        <w:rPr>
          <w:rFonts w:cs="Arial"/>
          <w:bCs/>
          <w:lang w:val="en-US"/>
        </w:rPr>
        <w:t xml:space="preserve"> cooperation with CCPs). The difference in models or systems used by CSDs should not lead to a different application of the regulation.</w:t>
      </w:r>
    </w:p>
    <w:permEnd w:id="1081698532"/>
    <w:p w:rsidR="00D12AFD" w:rsidRDefault="00D12AFD" w:rsidP="00D12AFD">
      <w:r>
        <w:t>&lt;ESMA_QUESTION_TS_CSDR_13&gt;</w:t>
      </w:r>
    </w:p>
    <w:p w:rsidR="00D12AFD" w:rsidRPr="002C4F00" w:rsidRDefault="00D12AFD" w:rsidP="00965B03">
      <w:pPr>
        <w:pStyle w:val="Nagwek5"/>
        <w:ind w:left="567" w:hanging="567"/>
      </w:pPr>
      <w:r w:rsidRPr="002C4F00">
        <w:t>Do you agree that 1</w:t>
      </w:r>
      <w:r w:rsidR="00775F04">
        <w:t>8</w:t>
      </w:r>
      <w:r w:rsidRPr="002C4F00">
        <w:t xml:space="preserve"> months would be an appropriate timeframe for the implement</w:t>
      </w:r>
      <w:r w:rsidRPr="002C4F00">
        <w:t>a</w:t>
      </w:r>
      <w:r w:rsidRPr="002C4F00">
        <w:t>tion of the settlement discipline regime under CSDR? If not, what would be an a</w:t>
      </w:r>
      <w:r w:rsidRPr="002C4F00">
        <w:t>p</w:t>
      </w:r>
      <w:r w:rsidRPr="002C4F00">
        <w:t>propriate timeframe in your opinion? Please provide concrete data and evidence justifying a phase-in for the settlement discipline measures and supporting your proposals.</w:t>
      </w:r>
    </w:p>
    <w:p w:rsidR="00D12AFD" w:rsidRDefault="00D12AFD" w:rsidP="00D12AFD"/>
    <w:p w:rsidR="00D12AFD" w:rsidRDefault="00D12AFD" w:rsidP="00D12AFD">
      <w:r>
        <w:t>&lt;ESMA_QUESTION_TS_CSDR_14&gt;</w:t>
      </w:r>
    </w:p>
    <w:p w:rsidR="0067253C" w:rsidRDefault="0067253C" w:rsidP="00D12AFD">
      <w:pPr>
        <w:rPr>
          <w:rFonts w:cs="Arial"/>
          <w:bCs/>
          <w:lang w:val="en-US"/>
        </w:rPr>
      </w:pPr>
      <w:permStart w:id="993140685" w:edGrp="everyone"/>
      <w:r w:rsidRPr="000C2041">
        <w:rPr>
          <w:rFonts w:cs="Arial"/>
          <w:bCs/>
          <w:lang w:val="en-US"/>
        </w:rPr>
        <w:t>It seems that at least 18, and preferably 24 months would be required to implement the settl</w:t>
      </w:r>
      <w:r w:rsidRPr="000C2041">
        <w:rPr>
          <w:rFonts w:cs="Arial"/>
          <w:bCs/>
          <w:lang w:val="en-US"/>
        </w:rPr>
        <w:t>e</w:t>
      </w:r>
      <w:r w:rsidRPr="000C2041">
        <w:rPr>
          <w:rFonts w:cs="Arial"/>
          <w:bCs/>
          <w:lang w:val="en-US"/>
        </w:rPr>
        <w:t>ment discipline regime as proposed under CSDR, but excluding the buy-in regime as proposed in the Technical Standards. This timeframe takes into account not only the implementation of changes to a CSD system, but also the required customi</w:t>
      </w:r>
      <w:r w:rsidR="005327E6">
        <w:rPr>
          <w:rFonts w:cs="Arial"/>
          <w:bCs/>
          <w:lang w:val="en-US"/>
        </w:rPr>
        <w:t>z</w:t>
      </w:r>
      <w:r w:rsidRPr="000C2041">
        <w:rPr>
          <w:rFonts w:cs="Arial"/>
          <w:bCs/>
          <w:lang w:val="en-US"/>
        </w:rPr>
        <w:t>ations, including testing, in the sy</w:t>
      </w:r>
      <w:r w:rsidRPr="000C2041">
        <w:rPr>
          <w:rFonts w:cs="Arial"/>
          <w:bCs/>
          <w:lang w:val="en-US"/>
        </w:rPr>
        <w:t>s</w:t>
      </w:r>
      <w:r w:rsidRPr="000C2041">
        <w:rPr>
          <w:rFonts w:cs="Arial"/>
          <w:bCs/>
          <w:lang w:val="en-US"/>
        </w:rPr>
        <w:t>tems of CSD participants and other entities, e.g. CCPs. Our experience shows that implement</w:t>
      </w:r>
      <w:r w:rsidRPr="000C2041">
        <w:rPr>
          <w:rFonts w:cs="Arial"/>
          <w:bCs/>
          <w:lang w:val="en-US"/>
        </w:rPr>
        <w:t>a</w:t>
      </w:r>
      <w:r w:rsidRPr="000C2041">
        <w:rPr>
          <w:rFonts w:cs="Arial"/>
          <w:bCs/>
          <w:lang w:val="en-US"/>
        </w:rPr>
        <w:t>tion of fairly simple changes to participants’ systems takes many months in a situation when there are few IT companies on the market offering their services to many participants.</w:t>
      </w:r>
    </w:p>
    <w:p w:rsidR="0067253C" w:rsidRDefault="0067253C" w:rsidP="00D12AFD">
      <w:pPr>
        <w:rPr>
          <w:rFonts w:cs="Arial"/>
          <w:bCs/>
          <w:lang w:val="en-US"/>
        </w:rPr>
      </w:pPr>
      <w:r w:rsidRPr="00F94F83">
        <w:rPr>
          <w:rFonts w:cs="Arial"/>
          <w:bCs/>
          <w:lang w:val="en-US"/>
        </w:rPr>
        <w:t xml:space="preserve">It is worth </w:t>
      </w:r>
      <w:r w:rsidR="00F344D7">
        <w:rPr>
          <w:rFonts w:cs="Arial"/>
          <w:bCs/>
          <w:lang w:val="en-US"/>
        </w:rPr>
        <w:t>highlighting</w:t>
      </w:r>
      <w:r w:rsidRPr="00F94F83">
        <w:rPr>
          <w:rFonts w:cs="Arial"/>
          <w:bCs/>
          <w:lang w:val="en-US"/>
        </w:rPr>
        <w:t xml:space="preserve"> that </w:t>
      </w:r>
      <w:r>
        <w:rPr>
          <w:rFonts w:cs="Arial"/>
          <w:bCs/>
          <w:lang w:val="en-US"/>
        </w:rPr>
        <w:t xml:space="preserve">postponement of changes in the area of settlement discipline regime should </w:t>
      </w:r>
      <w:r w:rsidR="004E063C">
        <w:rPr>
          <w:rFonts w:cs="Arial"/>
          <w:bCs/>
          <w:lang w:val="en-US"/>
        </w:rPr>
        <w:t>have effect on</w:t>
      </w:r>
      <w:r>
        <w:rPr>
          <w:rFonts w:cs="Arial"/>
          <w:bCs/>
          <w:lang w:val="en-US"/>
        </w:rPr>
        <w:t xml:space="preserve"> the implementation of other RTS </w:t>
      </w:r>
      <w:r w:rsidR="00F344D7">
        <w:rPr>
          <w:rFonts w:cs="Arial"/>
          <w:bCs/>
          <w:lang w:val="en-US"/>
        </w:rPr>
        <w:t xml:space="preserve">related </w:t>
      </w:r>
      <w:r>
        <w:rPr>
          <w:rFonts w:cs="Arial"/>
          <w:bCs/>
          <w:lang w:val="en-US"/>
        </w:rPr>
        <w:t xml:space="preserve">regulations </w:t>
      </w:r>
      <w:r w:rsidR="00F344D7">
        <w:rPr>
          <w:rFonts w:cs="Arial"/>
          <w:bCs/>
          <w:lang w:val="en-US"/>
        </w:rPr>
        <w:t>e.g</w:t>
      </w:r>
      <w:r>
        <w:rPr>
          <w:rFonts w:cs="Arial"/>
          <w:bCs/>
          <w:lang w:val="en-US"/>
        </w:rPr>
        <w:t>.: record keeping.</w:t>
      </w:r>
    </w:p>
    <w:permEnd w:id="993140685"/>
    <w:p w:rsidR="00D12AFD" w:rsidRDefault="00D12AFD" w:rsidP="00D12AFD">
      <w:r>
        <w:lastRenderedPageBreak/>
        <w:t>&lt;ESMA_QUESTION_TS_CSDR_14&gt;</w:t>
      </w:r>
    </w:p>
    <w:p w:rsidR="00D12AFD" w:rsidRPr="002C4F00" w:rsidRDefault="00D12AFD" w:rsidP="00965B03">
      <w:pPr>
        <w:pStyle w:val="Nagwek5"/>
        <w:ind w:left="567" w:hanging="567"/>
      </w:pPr>
      <w:r w:rsidRPr="002C4F00">
        <w:t>What are your views on the proposed draft RTS</w:t>
      </w:r>
      <w:r>
        <w:t xml:space="preserve"> on CSD authorisation</w:t>
      </w:r>
      <w:r w:rsidRPr="002C4F00">
        <w:t xml:space="preserve"> (Chapter II of Annex II) and draft ITS </w:t>
      </w:r>
      <w:r>
        <w:t xml:space="preserve">on CSD authorisation </w:t>
      </w:r>
      <w:r w:rsidRPr="002C4F00">
        <w:t>(Chapter I of Annex VI)?</w:t>
      </w:r>
    </w:p>
    <w:p w:rsidR="00D12AFD" w:rsidRDefault="00D12AFD" w:rsidP="00D12AFD"/>
    <w:p w:rsidR="00D12AFD" w:rsidRDefault="00D12AFD" w:rsidP="00D12AFD">
      <w:r>
        <w:t>&lt;ESMA_QUESTION_TS_CSDR_15&gt;</w:t>
      </w:r>
    </w:p>
    <w:p w:rsidR="00A628B2" w:rsidRPr="004E063C" w:rsidRDefault="00A628B2" w:rsidP="004E063C">
      <w:pPr>
        <w:ind w:left="360"/>
        <w:rPr>
          <w:szCs w:val="22"/>
        </w:rPr>
      </w:pPr>
      <w:permStart w:id="422261820" w:edGrp="everyone"/>
      <w:proofErr w:type="gramStart"/>
      <w:r w:rsidRPr="004E063C">
        <w:rPr>
          <w:szCs w:val="22"/>
        </w:rPr>
        <w:t>Art.5(</w:t>
      </w:r>
      <w:proofErr w:type="gramEnd"/>
      <w:r w:rsidRPr="004E063C">
        <w:rPr>
          <w:szCs w:val="22"/>
        </w:rPr>
        <w:t>1)(a) of the draft RTS includes a reference to international accounting standards to which KDPW is not subject today. Given that there is no mention of these accounting repor</w:t>
      </w:r>
      <w:r w:rsidRPr="004E063C">
        <w:rPr>
          <w:szCs w:val="22"/>
        </w:rPr>
        <w:t>t</w:t>
      </w:r>
      <w:r w:rsidRPr="004E063C">
        <w:rPr>
          <w:szCs w:val="22"/>
        </w:rPr>
        <w:t>ing standards in the Level 1 CSD Regulation, and in the absence of a mandate for ESMA to harmonise CSD accounting standards, we believe that the draft RTS should not impose a</w:t>
      </w:r>
      <w:r w:rsidRPr="004E063C">
        <w:rPr>
          <w:szCs w:val="22"/>
        </w:rPr>
        <w:t>d</w:t>
      </w:r>
      <w:r w:rsidRPr="004E063C">
        <w:rPr>
          <w:szCs w:val="22"/>
        </w:rPr>
        <w:t>ditional requirements in this area, especially as the CSDR requirements can be fulfilled by r</w:t>
      </w:r>
      <w:r w:rsidRPr="004E063C">
        <w:rPr>
          <w:szCs w:val="22"/>
        </w:rPr>
        <w:t>e</w:t>
      </w:r>
      <w:r w:rsidRPr="004E063C">
        <w:rPr>
          <w:szCs w:val="22"/>
        </w:rPr>
        <w:t>lying on existing accounting standards used by KDPW (and agreed with competent author</w:t>
      </w:r>
      <w:r w:rsidRPr="004E063C">
        <w:rPr>
          <w:szCs w:val="22"/>
        </w:rPr>
        <w:t>i</w:t>
      </w:r>
      <w:r w:rsidRPr="004E063C">
        <w:rPr>
          <w:szCs w:val="22"/>
        </w:rPr>
        <w:t>ties).</w:t>
      </w:r>
    </w:p>
    <w:p w:rsidR="00A628B2" w:rsidRPr="009D1DBE" w:rsidRDefault="00A628B2" w:rsidP="004E063C">
      <w:pPr>
        <w:pStyle w:val="Akapitzlist"/>
        <w:tabs>
          <w:tab w:val="left" w:pos="567"/>
        </w:tabs>
        <w:ind w:left="360"/>
        <w:jc w:val="both"/>
        <w:rPr>
          <w:rFonts w:cs="Arial"/>
          <w:szCs w:val="22"/>
        </w:rPr>
      </w:pPr>
      <w:r w:rsidRPr="009D1DBE">
        <w:rPr>
          <w:rFonts w:cs="Arial"/>
          <w:szCs w:val="22"/>
        </w:rPr>
        <w:t xml:space="preserve">KDPW supports ECSDA in its standpoint here, thus we suggest amending </w:t>
      </w:r>
      <w:proofErr w:type="gramStart"/>
      <w:r w:rsidRPr="009D1DBE">
        <w:rPr>
          <w:rFonts w:cs="Arial"/>
          <w:szCs w:val="22"/>
        </w:rPr>
        <w:t>art.5(</w:t>
      </w:r>
      <w:proofErr w:type="gramEnd"/>
      <w:r w:rsidRPr="009D1DBE">
        <w:rPr>
          <w:rFonts w:cs="Arial"/>
          <w:szCs w:val="22"/>
        </w:rPr>
        <w:t>1) of the draft RTS as follows:</w:t>
      </w:r>
    </w:p>
    <w:p w:rsidR="00A628B2" w:rsidRPr="009D1DBE" w:rsidRDefault="00A628B2" w:rsidP="009D1DBE">
      <w:pPr>
        <w:pBdr>
          <w:top w:val="dashed" w:sz="4" w:space="1" w:color="auto"/>
          <w:left w:val="dashed" w:sz="4" w:space="4" w:color="auto"/>
          <w:bottom w:val="dashed" w:sz="4" w:space="1" w:color="auto"/>
          <w:right w:val="dashed" w:sz="4" w:space="4" w:color="auto"/>
        </w:pBdr>
        <w:tabs>
          <w:tab w:val="left" w:pos="567"/>
        </w:tabs>
        <w:ind w:left="360"/>
        <w:jc w:val="both"/>
        <w:rPr>
          <w:rFonts w:cs="Arial"/>
          <w:i/>
          <w:szCs w:val="22"/>
        </w:rPr>
      </w:pPr>
      <w:r w:rsidRPr="009D1DBE">
        <w:rPr>
          <w:rFonts w:cs="Arial"/>
          <w:i/>
          <w:szCs w:val="22"/>
        </w:rPr>
        <w:t>Article 5 - Financial reports, business plans, recovery plans and resolution plans</w:t>
      </w:r>
    </w:p>
    <w:p w:rsidR="00A628B2" w:rsidRPr="009D1DBE" w:rsidRDefault="00A628B2" w:rsidP="009D1DBE">
      <w:pPr>
        <w:pBdr>
          <w:top w:val="dashed" w:sz="4" w:space="1" w:color="auto"/>
          <w:left w:val="dashed" w:sz="4" w:space="4" w:color="auto"/>
          <w:bottom w:val="dashed" w:sz="4" w:space="1" w:color="auto"/>
          <w:right w:val="dashed" w:sz="4" w:space="4" w:color="auto"/>
        </w:pBdr>
        <w:tabs>
          <w:tab w:val="left" w:pos="567"/>
        </w:tabs>
        <w:ind w:left="360"/>
        <w:jc w:val="both"/>
        <w:rPr>
          <w:rFonts w:cs="Arial"/>
          <w:i/>
          <w:szCs w:val="22"/>
        </w:rPr>
      </w:pPr>
      <w:r w:rsidRPr="009D1DBE">
        <w:rPr>
          <w:rFonts w:cs="Arial"/>
          <w:i/>
          <w:szCs w:val="22"/>
        </w:rPr>
        <w:t>1. An application for authorisation of a CSD shall contain the following financial and business information about the applicant CSD:</w:t>
      </w:r>
    </w:p>
    <w:p w:rsidR="00A628B2" w:rsidRPr="009D1DBE" w:rsidRDefault="00A628B2" w:rsidP="009D1DBE">
      <w:pPr>
        <w:pBdr>
          <w:top w:val="dashed" w:sz="4" w:space="1" w:color="auto"/>
          <w:left w:val="dashed" w:sz="4" w:space="4" w:color="auto"/>
          <w:bottom w:val="dashed" w:sz="4" w:space="1" w:color="auto"/>
          <w:right w:val="dashed" w:sz="4" w:space="4" w:color="auto"/>
        </w:pBdr>
        <w:tabs>
          <w:tab w:val="left" w:pos="567"/>
        </w:tabs>
        <w:ind w:left="360"/>
        <w:jc w:val="both"/>
        <w:rPr>
          <w:rFonts w:cs="Arial"/>
          <w:i/>
          <w:szCs w:val="22"/>
        </w:rPr>
      </w:pPr>
      <w:r w:rsidRPr="009D1DBE">
        <w:rPr>
          <w:rFonts w:cs="Arial"/>
          <w:i/>
          <w:szCs w:val="22"/>
        </w:rPr>
        <w:t xml:space="preserve">(a) </w:t>
      </w:r>
      <w:proofErr w:type="gramStart"/>
      <w:r w:rsidRPr="009D1DBE">
        <w:rPr>
          <w:rFonts w:cs="Arial"/>
          <w:i/>
          <w:szCs w:val="22"/>
        </w:rPr>
        <w:t>a</w:t>
      </w:r>
      <w:proofErr w:type="gramEnd"/>
      <w:r w:rsidRPr="009D1DBE">
        <w:rPr>
          <w:rFonts w:cs="Arial"/>
          <w:i/>
          <w:szCs w:val="22"/>
        </w:rPr>
        <w:t xml:space="preserve"> complete set of financial statements, </w:t>
      </w:r>
      <w:r w:rsidRPr="009D1DBE">
        <w:rPr>
          <w:rFonts w:cs="Arial"/>
          <w:b/>
          <w:i/>
          <w:strike/>
          <w:szCs w:val="22"/>
        </w:rPr>
        <w:t>prepared in conformity with Regulation (EC) No 1606/2002 of the European Parliament and of the Council of 19 July 2002 on the application of international accounting standards</w:t>
      </w:r>
      <w:r w:rsidRPr="009D1DBE">
        <w:rPr>
          <w:rFonts w:cs="Arial"/>
          <w:i/>
          <w:szCs w:val="22"/>
        </w:rPr>
        <w:t>, for the preceding three years;</w:t>
      </w:r>
    </w:p>
    <w:p w:rsidR="00A628B2" w:rsidRPr="009D1DBE" w:rsidRDefault="00A628B2" w:rsidP="009D1DBE">
      <w:pPr>
        <w:pStyle w:val="Akapitzlist"/>
        <w:contextualSpacing w:val="0"/>
        <w:rPr>
          <w:szCs w:val="22"/>
        </w:rPr>
      </w:pPr>
    </w:p>
    <w:p w:rsidR="002D3D1A" w:rsidRDefault="00F344D7" w:rsidP="004E063C">
      <w:pPr>
        <w:ind w:left="360"/>
        <w:rPr>
          <w:rFonts w:cs="Arial"/>
          <w:szCs w:val="22"/>
          <w:lang w:val="en-US"/>
        </w:rPr>
      </w:pPr>
      <w:r w:rsidRPr="004E063C">
        <w:rPr>
          <w:rFonts w:cs="Arial"/>
          <w:szCs w:val="22"/>
          <w:lang w:val="en-US"/>
        </w:rPr>
        <w:t xml:space="preserve">As regards </w:t>
      </w:r>
      <w:proofErr w:type="gramStart"/>
      <w:r w:rsidRPr="004E063C">
        <w:rPr>
          <w:rFonts w:cs="Arial"/>
          <w:szCs w:val="22"/>
          <w:lang w:val="en-US"/>
        </w:rPr>
        <w:t>A</w:t>
      </w:r>
      <w:r w:rsidR="002D3D1A" w:rsidRPr="004E063C">
        <w:rPr>
          <w:rFonts w:cs="Arial"/>
          <w:szCs w:val="22"/>
          <w:lang w:val="en-US"/>
        </w:rPr>
        <w:t>rt.5(</w:t>
      </w:r>
      <w:proofErr w:type="gramEnd"/>
      <w:r w:rsidR="002D3D1A" w:rsidRPr="004E063C">
        <w:rPr>
          <w:rFonts w:cs="Arial"/>
          <w:szCs w:val="22"/>
          <w:lang w:val="en-US"/>
        </w:rPr>
        <w:t xml:space="preserve">1)(d) of the draft RTS, KDPW is not convinced that the requirement for CSDs to include a business plan in their application for </w:t>
      </w:r>
      <w:proofErr w:type="spellStart"/>
      <w:r w:rsidR="002D3D1A" w:rsidRPr="004E063C">
        <w:rPr>
          <w:rFonts w:cs="Arial"/>
          <w:szCs w:val="22"/>
          <w:lang w:val="en-US"/>
        </w:rPr>
        <w:t>authorisation</w:t>
      </w:r>
      <w:proofErr w:type="spellEnd"/>
      <w:r w:rsidR="002D3D1A" w:rsidRPr="004E063C">
        <w:rPr>
          <w:rFonts w:cs="Arial"/>
          <w:szCs w:val="22"/>
          <w:lang w:val="en-US"/>
        </w:rPr>
        <w:t xml:space="preserve"> is necessary in the case of </w:t>
      </w:r>
      <w:r w:rsidR="004E063C">
        <w:rPr>
          <w:rFonts w:cs="Arial"/>
          <w:szCs w:val="22"/>
          <w:lang w:val="en-US"/>
        </w:rPr>
        <w:t>an already established CSD</w:t>
      </w:r>
      <w:r w:rsidR="002D3D1A" w:rsidRPr="004E063C">
        <w:rPr>
          <w:rFonts w:cs="Arial"/>
          <w:szCs w:val="22"/>
          <w:lang w:val="en-US"/>
        </w:rPr>
        <w:t xml:space="preserve">. We believe that contemplating different business scenarios for CSD services over a 3-year period makes sense for newly established CSDs, but that it is unlikely to provide any important new elements to </w:t>
      </w:r>
      <w:r w:rsidR="004E063C">
        <w:rPr>
          <w:rFonts w:cs="Arial"/>
          <w:szCs w:val="22"/>
          <w:lang w:val="en-US"/>
        </w:rPr>
        <w:t xml:space="preserve">a </w:t>
      </w:r>
      <w:r w:rsidR="002D3D1A" w:rsidRPr="004E063C">
        <w:rPr>
          <w:rFonts w:cs="Arial"/>
          <w:szCs w:val="22"/>
          <w:lang w:val="en-US"/>
        </w:rPr>
        <w:t>competent authorit</w:t>
      </w:r>
      <w:r w:rsidR="004E063C">
        <w:rPr>
          <w:rFonts w:cs="Arial"/>
          <w:szCs w:val="22"/>
          <w:lang w:val="en-US"/>
        </w:rPr>
        <w:t>y</w:t>
      </w:r>
      <w:r w:rsidR="002D3D1A" w:rsidRPr="004E063C">
        <w:rPr>
          <w:rFonts w:cs="Arial"/>
          <w:szCs w:val="22"/>
          <w:lang w:val="en-US"/>
        </w:rPr>
        <w:t xml:space="preserve"> already aware of the business plans of </w:t>
      </w:r>
      <w:r w:rsidR="004E063C">
        <w:rPr>
          <w:rFonts w:cs="Arial"/>
          <w:szCs w:val="22"/>
          <w:lang w:val="en-US"/>
        </w:rPr>
        <w:t xml:space="preserve">an </w:t>
      </w:r>
      <w:r w:rsidR="002D3D1A" w:rsidRPr="004E063C">
        <w:rPr>
          <w:rFonts w:cs="Arial"/>
          <w:szCs w:val="22"/>
          <w:lang w:val="en-US"/>
        </w:rPr>
        <w:t xml:space="preserve">existing CSD under </w:t>
      </w:r>
      <w:r w:rsidR="004E063C">
        <w:rPr>
          <w:rFonts w:cs="Arial"/>
          <w:szCs w:val="22"/>
          <w:lang w:val="en-US"/>
        </w:rPr>
        <w:t>its</w:t>
      </w:r>
      <w:r w:rsidR="002D3D1A" w:rsidRPr="004E063C">
        <w:rPr>
          <w:rFonts w:cs="Arial"/>
          <w:szCs w:val="22"/>
          <w:lang w:val="en-US"/>
        </w:rPr>
        <w:t xml:space="preserve"> supervision.</w:t>
      </w:r>
    </w:p>
    <w:p w:rsidR="004E063C" w:rsidRPr="004E063C" w:rsidRDefault="004E063C" w:rsidP="004E063C">
      <w:pPr>
        <w:ind w:left="360"/>
        <w:rPr>
          <w:szCs w:val="22"/>
        </w:rPr>
      </w:pPr>
    </w:p>
    <w:p w:rsidR="00A628B2" w:rsidRPr="004E063C" w:rsidRDefault="00A628B2" w:rsidP="004E063C">
      <w:pPr>
        <w:ind w:left="360"/>
        <w:rPr>
          <w:szCs w:val="22"/>
        </w:rPr>
      </w:pPr>
      <w:r w:rsidRPr="004E063C">
        <w:rPr>
          <w:szCs w:val="22"/>
        </w:rPr>
        <w:t>We are concerned that</w:t>
      </w:r>
      <w:r w:rsidR="001503F5" w:rsidRPr="004E063C">
        <w:rPr>
          <w:szCs w:val="22"/>
        </w:rPr>
        <w:t xml:space="preserve"> under Article 5(5</w:t>
      </w:r>
      <w:proofErr w:type="gramStart"/>
      <w:r w:rsidR="001503F5" w:rsidRPr="004E063C">
        <w:rPr>
          <w:szCs w:val="22"/>
        </w:rPr>
        <w:t>)(</w:t>
      </w:r>
      <w:proofErr w:type="gramEnd"/>
      <w:r w:rsidR="001503F5" w:rsidRPr="004E063C">
        <w:rPr>
          <w:szCs w:val="22"/>
        </w:rPr>
        <w:t>b)</w:t>
      </w:r>
      <w:r w:rsidRPr="004E063C">
        <w:rPr>
          <w:szCs w:val="22"/>
        </w:rPr>
        <w:t xml:space="preserve"> it is expected that </w:t>
      </w:r>
      <w:r w:rsidR="004E063C">
        <w:rPr>
          <w:szCs w:val="22"/>
        </w:rPr>
        <w:t>a</w:t>
      </w:r>
      <w:r w:rsidRPr="004E063C">
        <w:rPr>
          <w:szCs w:val="22"/>
        </w:rPr>
        <w:t xml:space="preserve"> CSD will </w:t>
      </w:r>
      <w:r w:rsidR="004E063C">
        <w:rPr>
          <w:szCs w:val="22"/>
        </w:rPr>
        <w:t xml:space="preserve">have to </w:t>
      </w:r>
      <w:r w:rsidRPr="004E063C">
        <w:rPr>
          <w:szCs w:val="22"/>
        </w:rPr>
        <w:t xml:space="preserve">prepare and maintain </w:t>
      </w:r>
      <w:r w:rsidR="00F344D7" w:rsidRPr="004E063C">
        <w:rPr>
          <w:szCs w:val="22"/>
        </w:rPr>
        <w:t>a</w:t>
      </w:r>
      <w:r w:rsidRPr="004E063C">
        <w:rPr>
          <w:szCs w:val="22"/>
        </w:rPr>
        <w:t xml:space="preserve"> resolution plan document. This document is in fact a compilation of superv</w:t>
      </w:r>
      <w:r w:rsidRPr="004E063C">
        <w:rPr>
          <w:szCs w:val="22"/>
        </w:rPr>
        <w:t>i</w:t>
      </w:r>
      <w:r w:rsidRPr="004E063C">
        <w:rPr>
          <w:szCs w:val="22"/>
        </w:rPr>
        <w:t>sory tools introduced in the event that the recovery plan (that is in fact drafted and mai</w:t>
      </w:r>
      <w:r w:rsidRPr="004E063C">
        <w:rPr>
          <w:szCs w:val="22"/>
        </w:rPr>
        <w:t>n</w:t>
      </w:r>
      <w:r w:rsidRPr="004E063C">
        <w:rPr>
          <w:szCs w:val="22"/>
        </w:rPr>
        <w:t>tained by the CSD) will not achieve the desired effects. In this we would like to support the ECSDA standpoint.</w:t>
      </w:r>
      <w:r w:rsidRPr="004E063C">
        <w:rPr>
          <w:color w:val="FF0000"/>
          <w:szCs w:val="22"/>
        </w:rPr>
        <w:t xml:space="preserve"> </w:t>
      </w:r>
      <w:r w:rsidRPr="004E063C">
        <w:rPr>
          <w:rFonts w:cs="Arial"/>
          <w:szCs w:val="22"/>
          <w:lang w:eastAsia="ar-SA"/>
        </w:rPr>
        <w:t>We strongly believe that unlike recovery plans, which are drafted and maintained by CSDs, resolution plans are the responsibility of public author</w:t>
      </w:r>
      <w:r w:rsidR="00F344D7" w:rsidRPr="004E063C">
        <w:rPr>
          <w:rFonts w:cs="Arial"/>
          <w:szCs w:val="22"/>
          <w:lang w:eastAsia="ar-SA"/>
        </w:rPr>
        <w:t>ities, as acknow</w:t>
      </w:r>
      <w:r w:rsidR="00F344D7" w:rsidRPr="004E063C">
        <w:rPr>
          <w:rFonts w:cs="Arial"/>
          <w:szCs w:val="22"/>
          <w:lang w:eastAsia="ar-SA"/>
        </w:rPr>
        <w:t>l</w:t>
      </w:r>
      <w:r w:rsidR="00F344D7" w:rsidRPr="004E063C">
        <w:rPr>
          <w:rFonts w:cs="Arial"/>
          <w:szCs w:val="22"/>
          <w:lang w:eastAsia="ar-SA"/>
        </w:rPr>
        <w:t>edged by CSDR A</w:t>
      </w:r>
      <w:r w:rsidRPr="004E063C">
        <w:rPr>
          <w:rFonts w:cs="Arial"/>
          <w:szCs w:val="22"/>
          <w:lang w:eastAsia="ar-SA"/>
        </w:rPr>
        <w:t>rticle 22, CPMI-IOSCO Principles for financial market infrastructures (PFMI)</w:t>
      </w:r>
      <w:r w:rsidRPr="009D1DBE">
        <w:rPr>
          <w:rFonts w:cs="Arial"/>
          <w:vertAlign w:val="superscript"/>
          <w:lang w:eastAsia="ar-SA"/>
        </w:rPr>
        <w:footnoteReference w:id="2"/>
      </w:r>
      <w:r w:rsidRPr="004E063C">
        <w:rPr>
          <w:rFonts w:cs="Arial"/>
          <w:szCs w:val="22"/>
          <w:lang w:eastAsia="ar-SA"/>
        </w:rPr>
        <w:t xml:space="preserve"> and the FSB Key Attributes</w:t>
      </w:r>
      <w:r w:rsidRPr="009D1DBE">
        <w:rPr>
          <w:rFonts w:cs="Arial"/>
          <w:vertAlign w:val="superscript"/>
          <w:lang w:eastAsia="ar-SA"/>
        </w:rPr>
        <w:footnoteReference w:id="3"/>
      </w:r>
      <w:r w:rsidRPr="004E063C">
        <w:rPr>
          <w:rFonts w:cs="Arial"/>
          <w:szCs w:val="22"/>
          <w:lang w:eastAsia="ar-SA"/>
        </w:rPr>
        <w:t>. Asking a CSD to provide its resolution plan to the co</w:t>
      </w:r>
      <w:r w:rsidRPr="004E063C">
        <w:rPr>
          <w:rFonts w:cs="Arial"/>
          <w:szCs w:val="22"/>
          <w:lang w:eastAsia="ar-SA"/>
        </w:rPr>
        <w:t>m</w:t>
      </w:r>
      <w:r w:rsidRPr="004E063C">
        <w:rPr>
          <w:rFonts w:cs="Arial"/>
          <w:szCs w:val="22"/>
          <w:lang w:eastAsia="ar-SA"/>
        </w:rPr>
        <w:t>petent authority goes against the principle that the resolution plan is to be drafted and mai</w:t>
      </w:r>
      <w:r w:rsidRPr="004E063C">
        <w:rPr>
          <w:rFonts w:cs="Arial"/>
          <w:szCs w:val="22"/>
          <w:lang w:eastAsia="ar-SA"/>
        </w:rPr>
        <w:t>n</w:t>
      </w:r>
      <w:r w:rsidRPr="004E063C">
        <w:rPr>
          <w:rFonts w:cs="Arial"/>
          <w:szCs w:val="22"/>
          <w:lang w:eastAsia="ar-SA"/>
        </w:rPr>
        <w:t>tained by the resolution authority, not the CSD.</w:t>
      </w:r>
    </w:p>
    <w:p w:rsidR="00A628B2" w:rsidRPr="009D1DBE" w:rsidRDefault="00A628B2" w:rsidP="009D1DBE">
      <w:pPr>
        <w:pStyle w:val="Akapitzlist"/>
        <w:tabs>
          <w:tab w:val="left" w:pos="567"/>
        </w:tabs>
        <w:jc w:val="both"/>
        <w:rPr>
          <w:rFonts w:cs="Arial"/>
          <w:szCs w:val="22"/>
        </w:rPr>
      </w:pPr>
      <w:r w:rsidRPr="009D1DBE">
        <w:rPr>
          <w:rFonts w:cs="Arial"/>
          <w:szCs w:val="22"/>
        </w:rPr>
        <w:t xml:space="preserve">KDPW thus suggests deleting </w:t>
      </w:r>
      <w:proofErr w:type="gramStart"/>
      <w:r w:rsidRPr="009D1DBE">
        <w:rPr>
          <w:rFonts w:cs="Arial"/>
          <w:szCs w:val="22"/>
        </w:rPr>
        <w:t>art.5(</w:t>
      </w:r>
      <w:proofErr w:type="gramEnd"/>
      <w:r w:rsidRPr="009D1DBE">
        <w:rPr>
          <w:rFonts w:cs="Arial"/>
          <w:szCs w:val="22"/>
        </w:rPr>
        <w:t>5)(b) of the draft RTS:</w:t>
      </w:r>
    </w:p>
    <w:p w:rsidR="00A628B2" w:rsidRPr="009D1DBE" w:rsidRDefault="00A628B2" w:rsidP="009D1DBE">
      <w:pPr>
        <w:pStyle w:val="Akapitzlist"/>
        <w:tabs>
          <w:tab w:val="left" w:pos="567"/>
        </w:tabs>
        <w:jc w:val="both"/>
        <w:rPr>
          <w:rFonts w:cs="Arial"/>
          <w:szCs w:val="22"/>
        </w:rPr>
      </w:pPr>
    </w:p>
    <w:p w:rsidR="00A628B2" w:rsidRPr="009D1DBE" w:rsidRDefault="00A628B2" w:rsidP="009D1DBE">
      <w:pPr>
        <w:pBdr>
          <w:top w:val="dashed" w:sz="4" w:space="1" w:color="auto"/>
          <w:left w:val="dashed" w:sz="4" w:space="4" w:color="auto"/>
          <w:bottom w:val="dashed" w:sz="4" w:space="1" w:color="auto"/>
          <w:right w:val="dashed" w:sz="4" w:space="4" w:color="auto"/>
        </w:pBdr>
        <w:tabs>
          <w:tab w:val="left" w:pos="567"/>
        </w:tabs>
        <w:jc w:val="both"/>
        <w:rPr>
          <w:rFonts w:cs="Arial"/>
          <w:i/>
          <w:szCs w:val="22"/>
        </w:rPr>
      </w:pPr>
      <w:r w:rsidRPr="009D1DBE">
        <w:rPr>
          <w:rFonts w:cs="Arial"/>
          <w:i/>
          <w:szCs w:val="22"/>
        </w:rPr>
        <w:t>Article 5 - Financial reports, business plans, recovery plans and resolution plans</w:t>
      </w:r>
    </w:p>
    <w:p w:rsidR="00A628B2" w:rsidRPr="009D1DBE" w:rsidRDefault="00A628B2" w:rsidP="009D1DBE">
      <w:pPr>
        <w:pBdr>
          <w:top w:val="dashed" w:sz="4" w:space="1" w:color="auto"/>
          <w:left w:val="dashed" w:sz="4" w:space="4" w:color="auto"/>
          <w:bottom w:val="dashed" w:sz="4" w:space="1" w:color="auto"/>
          <w:right w:val="dashed" w:sz="4" w:space="4" w:color="auto"/>
        </w:pBdr>
        <w:tabs>
          <w:tab w:val="left" w:pos="567"/>
        </w:tabs>
        <w:jc w:val="both"/>
        <w:rPr>
          <w:rFonts w:cs="Arial"/>
          <w:i/>
          <w:szCs w:val="22"/>
        </w:rPr>
      </w:pPr>
      <w:r w:rsidRPr="009D1DBE">
        <w:rPr>
          <w:rFonts w:cs="Arial"/>
          <w:i/>
          <w:szCs w:val="22"/>
        </w:rPr>
        <w:t>[…] 5. The application shall also include:</w:t>
      </w:r>
    </w:p>
    <w:p w:rsidR="00A628B2" w:rsidRPr="009D1DBE" w:rsidRDefault="00A628B2" w:rsidP="009D1DBE">
      <w:pPr>
        <w:pBdr>
          <w:top w:val="dashed" w:sz="4" w:space="1" w:color="auto"/>
          <w:left w:val="dashed" w:sz="4" w:space="4" w:color="auto"/>
          <w:bottom w:val="dashed" w:sz="4" w:space="1" w:color="auto"/>
          <w:right w:val="dashed" w:sz="4" w:space="4" w:color="auto"/>
        </w:pBdr>
        <w:tabs>
          <w:tab w:val="left" w:pos="567"/>
        </w:tabs>
        <w:jc w:val="both"/>
        <w:rPr>
          <w:rFonts w:cs="Arial"/>
          <w:i/>
          <w:szCs w:val="22"/>
        </w:rPr>
      </w:pPr>
      <w:r w:rsidRPr="009D1DBE">
        <w:rPr>
          <w:rFonts w:cs="Arial"/>
          <w:i/>
          <w:szCs w:val="22"/>
        </w:rPr>
        <w:t>[No changes to point (a)]</w:t>
      </w:r>
    </w:p>
    <w:p w:rsidR="00A628B2" w:rsidRPr="009D1DBE" w:rsidRDefault="00A628B2" w:rsidP="009D1DBE">
      <w:pPr>
        <w:pBdr>
          <w:top w:val="dashed" w:sz="4" w:space="1" w:color="auto"/>
          <w:left w:val="dashed" w:sz="4" w:space="4" w:color="auto"/>
          <w:bottom w:val="dashed" w:sz="4" w:space="1" w:color="auto"/>
          <w:right w:val="dashed" w:sz="4" w:space="4" w:color="auto"/>
        </w:pBdr>
        <w:tabs>
          <w:tab w:val="left" w:pos="567"/>
        </w:tabs>
        <w:jc w:val="both"/>
        <w:rPr>
          <w:rFonts w:cs="Arial"/>
          <w:b/>
          <w:i/>
          <w:strike/>
          <w:szCs w:val="22"/>
        </w:rPr>
      </w:pPr>
      <w:r w:rsidRPr="009D1DBE">
        <w:rPr>
          <w:rFonts w:cs="Arial"/>
          <w:b/>
          <w:i/>
          <w:strike/>
          <w:szCs w:val="22"/>
        </w:rPr>
        <w:lastRenderedPageBreak/>
        <w:t xml:space="preserve">(b) </w:t>
      </w:r>
      <w:proofErr w:type="gramStart"/>
      <w:r w:rsidRPr="009D1DBE">
        <w:rPr>
          <w:rFonts w:cs="Arial"/>
          <w:b/>
          <w:i/>
          <w:strike/>
          <w:szCs w:val="22"/>
        </w:rPr>
        <w:t>the</w:t>
      </w:r>
      <w:proofErr w:type="gramEnd"/>
      <w:r w:rsidRPr="009D1DBE">
        <w:rPr>
          <w:rFonts w:cs="Arial"/>
          <w:b/>
          <w:i/>
          <w:strike/>
          <w:szCs w:val="22"/>
        </w:rPr>
        <w:t xml:space="preserve"> resolution plan established and maintained for the CSD so as to ensure continuity of at least its core functions, having regard to the size, systemic importance, nature, scale and complexity of the activities of the CSD concerned.</w:t>
      </w:r>
    </w:p>
    <w:p w:rsidR="00A628B2" w:rsidRPr="009D1DBE" w:rsidRDefault="00A628B2" w:rsidP="009D1DBE">
      <w:pPr>
        <w:rPr>
          <w:szCs w:val="22"/>
        </w:rPr>
      </w:pPr>
    </w:p>
    <w:p w:rsidR="00A628B2" w:rsidRDefault="00A628B2" w:rsidP="004E063C">
      <w:pPr>
        <w:ind w:left="360"/>
        <w:rPr>
          <w:szCs w:val="22"/>
        </w:rPr>
      </w:pPr>
      <w:r w:rsidRPr="004E063C">
        <w:rPr>
          <w:szCs w:val="22"/>
        </w:rPr>
        <w:t xml:space="preserve">We are also concerned about the proposed provisions of Art. </w:t>
      </w:r>
      <w:proofErr w:type="gramStart"/>
      <w:r w:rsidRPr="004E063C">
        <w:rPr>
          <w:szCs w:val="22"/>
        </w:rPr>
        <w:t xml:space="preserve">11 </w:t>
      </w:r>
      <w:proofErr w:type="spellStart"/>
      <w:r w:rsidRPr="004E063C">
        <w:rPr>
          <w:szCs w:val="22"/>
        </w:rPr>
        <w:t>subpara</w:t>
      </w:r>
      <w:proofErr w:type="spellEnd"/>
      <w:r w:rsidRPr="004E063C">
        <w:rPr>
          <w:szCs w:val="22"/>
        </w:rPr>
        <w:t>.</w:t>
      </w:r>
      <w:proofErr w:type="gramEnd"/>
      <w:r w:rsidRPr="004E063C">
        <w:rPr>
          <w:szCs w:val="22"/>
        </w:rPr>
        <w:t xml:space="preserve"> 1 d) iii which imply that KDPW should have procedures in place which will be able to exclude individual me</w:t>
      </w:r>
      <w:r w:rsidRPr="004E063C">
        <w:rPr>
          <w:szCs w:val="22"/>
        </w:rPr>
        <w:t>m</w:t>
      </w:r>
      <w:r w:rsidRPr="004E063C">
        <w:rPr>
          <w:szCs w:val="22"/>
        </w:rPr>
        <w:t>bers (from the Management or Supervisory Boards) from receiving information where a pe</w:t>
      </w:r>
      <w:r w:rsidRPr="004E063C">
        <w:rPr>
          <w:szCs w:val="22"/>
        </w:rPr>
        <w:t>r</w:t>
      </w:r>
      <w:r w:rsidRPr="004E063C">
        <w:rPr>
          <w:szCs w:val="22"/>
        </w:rPr>
        <w:t>manent conflict of interest may exist. The idea behind this is understandable – these prov</w:t>
      </w:r>
      <w:r w:rsidRPr="004E063C">
        <w:rPr>
          <w:szCs w:val="22"/>
        </w:rPr>
        <w:t>i</w:t>
      </w:r>
      <w:r w:rsidRPr="004E063C">
        <w:rPr>
          <w:szCs w:val="22"/>
        </w:rPr>
        <w:t>sions already exist in KDPW regulations – however, how is this a priori exclusion supposed to work in practice when (for instance) in the case of Supervisory Board members, it is only until these members have received and familiarised themselves with the information that they will be able to assess any potential conflicts.</w:t>
      </w:r>
    </w:p>
    <w:p w:rsidR="004E063C" w:rsidRPr="004E063C" w:rsidRDefault="004E063C" w:rsidP="004E063C">
      <w:pPr>
        <w:ind w:left="360"/>
        <w:rPr>
          <w:szCs w:val="22"/>
        </w:rPr>
      </w:pPr>
    </w:p>
    <w:p w:rsidR="00A628B2" w:rsidRDefault="00A628B2" w:rsidP="004E063C">
      <w:pPr>
        <w:ind w:left="360"/>
        <w:rPr>
          <w:szCs w:val="22"/>
        </w:rPr>
      </w:pPr>
      <w:proofErr w:type="gramStart"/>
      <w:r w:rsidRPr="004E063C">
        <w:rPr>
          <w:szCs w:val="22"/>
        </w:rPr>
        <w:t>The provisions of Art.</w:t>
      </w:r>
      <w:proofErr w:type="gramEnd"/>
      <w:r w:rsidRPr="004E063C">
        <w:rPr>
          <w:szCs w:val="22"/>
        </w:rPr>
        <w:t xml:space="preserve"> 13 e) seem to imply that the User Committee does not need to be e</w:t>
      </w:r>
      <w:r w:rsidRPr="004E063C">
        <w:rPr>
          <w:szCs w:val="22"/>
        </w:rPr>
        <w:t>s</w:t>
      </w:r>
      <w:r w:rsidRPr="004E063C">
        <w:rPr>
          <w:szCs w:val="22"/>
        </w:rPr>
        <w:t xml:space="preserve">tablished at the authorisation stage, since the provisions refer to a list of </w:t>
      </w:r>
      <w:r w:rsidRPr="004E063C">
        <w:rPr>
          <w:i/>
          <w:szCs w:val="22"/>
        </w:rPr>
        <w:t>proposed</w:t>
      </w:r>
      <w:r w:rsidRPr="004E063C">
        <w:rPr>
          <w:szCs w:val="22"/>
        </w:rPr>
        <w:t xml:space="preserve"> members. If this is a suggestion that the competent authority should approve the list of members of the User Committee, then we believe it is not an acceptable suggestion.</w:t>
      </w:r>
    </w:p>
    <w:p w:rsidR="004E063C" w:rsidRPr="004E063C" w:rsidRDefault="004E063C" w:rsidP="004E063C">
      <w:pPr>
        <w:ind w:left="360"/>
        <w:rPr>
          <w:szCs w:val="22"/>
        </w:rPr>
      </w:pPr>
    </w:p>
    <w:p w:rsidR="0078555A" w:rsidRPr="004E063C" w:rsidRDefault="0078555A" w:rsidP="004E063C">
      <w:pPr>
        <w:autoSpaceDE w:val="0"/>
        <w:autoSpaceDN w:val="0"/>
        <w:adjustRightInd w:val="0"/>
        <w:ind w:left="360"/>
        <w:rPr>
          <w:szCs w:val="22"/>
        </w:rPr>
      </w:pPr>
      <w:proofErr w:type="gramStart"/>
      <w:r w:rsidRPr="004E063C">
        <w:rPr>
          <w:szCs w:val="22"/>
        </w:rPr>
        <w:t>The provisions of Art 21.</w:t>
      </w:r>
      <w:proofErr w:type="gramEnd"/>
      <w:r w:rsidRPr="004E063C">
        <w:rPr>
          <w:szCs w:val="22"/>
        </w:rPr>
        <w:t xml:space="preserve"> (</w:t>
      </w:r>
      <w:proofErr w:type="gramStart"/>
      <w:r w:rsidRPr="004E063C">
        <w:rPr>
          <w:szCs w:val="22"/>
        </w:rPr>
        <w:t>page</w:t>
      </w:r>
      <w:proofErr w:type="gramEnd"/>
      <w:r w:rsidRPr="004E063C">
        <w:rPr>
          <w:szCs w:val="22"/>
        </w:rPr>
        <w:t xml:space="preserve"> 171) should take into account the option of phase-in for the settlement discipline measures. In such case the information on settlement discipline measures would not be required</w:t>
      </w:r>
      <w:r w:rsidR="00F344D7" w:rsidRPr="004E063C">
        <w:rPr>
          <w:szCs w:val="22"/>
        </w:rPr>
        <w:t xml:space="preserve"> in the application for authoris</w:t>
      </w:r>
      <w:r w:rsidRPr="004E063C">
        <w:rPr>
          <w:szCs w:val="22"/>
        </w:rPr>
        <w:t>ation. Moreover, given that many records are related to compliance with the settlement discipline rules of the CSD Regulation, KDPW strongly recommends that the timeline for implemen</w:t>
      </w:r>
      <w:r w:rsidR="00F344D7" w:rsidRPr="004E063C">
        <w:rPr>
          <w:szCs w:val="22"/>
        </w:rPr>
        <w:t>ting art. 21 RTS on CSD authoris</w:t>
      </w:r>
      <w:r w:rsidRPr="004E063C">
        <w:rPr>
          <w:szCs w:val="22"/>
        </w:rPr>
        <w:t>ation be aligned with the timeline for implementing the draft technical standards on settlement discipline. In other words, compliance with both sets of requirements should only be enforced after a transition period of at least 18 months following publication of the relevant technical standards.</w:t>
      </w:r>
    </w:p>
    <w:p w:rsidR="00A628B2" w:rsidRPr="009D1DBE" w:rsidRDefault="00A628B2" w:rsidP="009D1DBE">
      <w:pPr>
        <w:pStyle w:val="Akapitzlist"/>
        <w:rPr>
          <w:szCs w:val="22"/>
          <w:lang w:val="en-US"/>
        </w:rPr>
      </w:pPr>
    </w:p>
    <w:p w:rsidR="00A628B2" w:rsidRPr="004E063C" w:rsidRDefault="00A628B2" w:rsidP="004E063C">
      <w:pPr>
        <w:ind w:left="360"/>
        <w:rPr>
          <w:szCs w:val="22"/>
        </w:rPr>
      </w:pPr>
      <w:r w:rsidRPr="004E063C">
        <w:rPr>
          <w:szCs w:val="22"/>
          <w:lang w:val="en-US"/>
        </w:rPr>
        <w:t>It is worth pointing out that the provisions of Art. 37 go further than the analogous provisions contained in EMIR. The n</w:t>
      </w:r>
      <w:proofErr w:type="spellStart"/>
      <w:r w:rsidRPr="004E063C">
        <w:rPr>
          <w:szCs w:val="22"/>
        </w:rPr>
        <w:t>otification</w:t>
      </w:r>
      <w:proofErr w:type="spellEnd"/>
      <w:r w:rsidRPr="004E063C">
        <w:rPr>
          <w:szCs w:val="22"/>
        </w:rPr>
        <w:t xml:space="preserve"> obligation is clearly </w:t>
      </w:r>
      <w:proofErr w:type="gramStart"/>
      <w:r w:rsidRPr="004E063C">
        <w:rPr>
          <w:szCs w:val="22"/>
        </w:rPr>
        <w:t>understandable,</w:t>
      </w:r>
      <w:proofErr w:type="gramEnd"/>
      <w:r w:rsidRPr="004E063C">
        <w:rPr>
          <w:szCs w:val="22"/>
        </w:rPr>
        <w:t xml:space="preserve"> however, performing a self-assessment as regards compliance with the provisi</w:t>
      </w:r>
      <w:r w:rsidR="00F344D7" w:rsidRPr="004E063C">
        <w:rPr>
          <w:szCs w:val="22"/>
        </w:rPr>
        <w:t>ons of CSDR is rather excessive.</w:t>
      </w:r>
      <w:r w:rsidRPr="004E063C">
        <w:rPr>
          <w:szCs w:val="22"/>
        </w:rPr>
        <w:t xml:space="preserve"> The assessment should be performed by the competent authority (this is the purpose of the notification, after all). </w:t>
      </w:r>
      <w:proofErr w:type="gramStart"/>
      <w:r w:rsidRPr="004E063C">
        <w:rPr>
          <w:szCs w:val="22"/>
        </w:rPr>
        <w:t>Moreover, the provisions of Art.</w:t>
      </w:r>
      <w:proofErr w:type="gramEnd"/>
      <w:r w:rsidRPr="004E063C">
        <w:rPr>
          <w:szCs w:val="22"/>
        </w:rPr>
        <w:t xml:space="preserve"> 37 indicate that all the material chan</w:t>
      </w:r>
      <w:r w:rsidRPr="004E063C">
        <w:rPr>
          <w:szCs w:val="22"/>
        </w:rPr>
        <w:t>g</w:t>
      </w:r>
      <w:r w:rsidRPr="004E063C">
        <w:rPr>
          <w:szCs w:val="22"/>
        </w:rPr>
        <w:t xml:space="preserve">es contained in rules, procedures and other documents will need to </w:t>
      </w:r>
      <w:r w:rsidR="004E063C">
        <w:rPr>
          <w:szCs w:val="22"/>
        </w:rPr>
        <w:t xml:space="preserve">be </w:t>
      </w:r>
      <w:r w:rsidRPr="004E063C">
        <w:rPr>
          <w:szCs w:val="22"/>
        </w:rPr>
        <w:t>notified at the prelim</w:t>
      </w:r>
      <w:r w:rsidRPr="004E063C">
        <w:rPr>
          <w:szCs w:val="22"/>
        </w:rPr>
        <w:t>i</w:t>
      </w:r>
      <w:r w:rsidRPr="004E063C">
        <w:rPr>
          <w:szCs w:val="22"/>
        </w:rPr>
        <w:t>nary draft stage, which may significantly delay their implementation process.</w:t>
      </w:r>
    </w:p>
    <w:permEnd w:id="422261820"/>
    <w:p w:rsidR="00D12AFD" w:rsidRDefault="00D12AFD" w:rsidP="00D12AFD">
      <w:r>
        <w:t>&lt;ESMA_QUESTION_TS_CSDR_15&gt;</w:t>
      </w:r>
    </w:p>
    <w:p w:rsidR="00D12AFD" w:rsidRPr="002C4F00" w:rsidRDefault="00D12AFD" w:rsidP="00965B03">
      <w:pPr>
        <w:pStyle w:val="Nagwek5"/>
        <w:ind w:left="567" w:hanging="567"/>
      </w:pPr>
      <w:r w:rsidRPr="00C8467F">
        <w:t>What are your views on the proposed draft RTS on CSD review and evaluation (Chapter III of Annex II) and draft ITS (Chapter II of Annex VI)?</w:t>
      </w:r>
    </w:p>
    <w:p w:rsidR="00D12AFD" w:rsidRDefault="00D12AFD" w:rsidP="00D12AFD"/>
    <w:p w:rsidR="00D12AFD" w:rsidRDefault="00D12AFD" w:rsidP="00D12AFD">
      <w:r>
        <w:t>&lt;ESMA_QUESTION_TS_CSDR_16&gt;</w:t>
      </w:r>
    </w:p>
    <w:p w:rsidR="000834DD" w:rsidRPr="009D1DBE" w:rsidRDefault="000834DD" w:rsidP="009D1DBE">
      <w:pPr>
        <w:tabs>
          <w:tab w:val="left" w:pos="567"/>
        </w:tabs>
        <w:jc w:val="both"/>
        <w:rPr>
          <w:rFonts w:cs="Arial"/>
          <w:szCs w:val="22"/>
          <w:lang w:val="en-US"/>
        </w:rPr>
      </w:pPr>
      <w:permStart w:id="766587851" w:edGrp="everyone"/>
      <w:r w:rsidRPr="009D1DBE">
        <w:rPr>
          <w:rFonts w:cs="Arial"/>
          <w:szCs w:val="22"/>
          <w:lang w:val="en-US"/>
        </w:rPr>
        <w:t xml:space="preserve">In our opinion the requirement for CSD to present a self-assessment of material changes to the conditions under which the </w:t>
      </w:r>
      <w:proofErr w:type="spellStart"/>
      <w:r w:rsidRPr="009D1DBE">
        <w:rPr>
          <w:rFonts w:cs="Arial"/>
          <w:szCs w:val="22"/>
          <w:lang w:val="en-US"/>
        </w:rPr>
        <w:t>authorisation</w:t>
      </w:r>
      <w:proofErr w:type="spellEnd"/>
      <w:r w:rsidRPr="009D1DBE">
        <w:rPr>
          <w:rFonts w:cs="Arial"/>
          <w:szCs w:val="22"/>
          <w:lang w:val="en-US"/>
        </w:rPr>
        <w:t xml:space="preserve"> has been granted </w:t>
      </w:r>
      <w:r w:rsidR="00FB0054">
        <w:rPr>
          <w:rFonts w:cs="Arial"/>
          <w:szCs w:val="22"/>
          <w:lang w:val="en-US"/>
        </w:rPr>
        <w:t>(</w:t>
      </w:r>
      <w:r w:rsidR="00FB0054" w:rsidRPr="004D75C3">
        <w:rPr>
          <w:rFonts w:cs="Arial"/>
          <w:szCs w:val="22"/>
        </w:rPr>
        <w:t>Review a</w:t>
      </w:r>
      <w:r w:rsidR="00FB0054">
        <w:rPr>
          <w:rFonts w:cs="Arial"/>
          <w:szCs w:val="22"/>
        </w:rPr>
        <w:t>nd evaluation (art. 39(1)</w:t>
      </w:r>
      <w:r w:rsidR="00FB0054" w:rsidRPr="004D75C3">
        <w:rPr>
          <w:rFonts w:cs="Arial"/>
          <w:szCs w:val="22"/>
        </w:rPr>
        <w:t>)</w:t>
      </w:r>
      <w:r w:rsidR="00FB0054">
        <w:rPr>
          <w:rFonts w:cs="Arial"/>
          <w:szCs w:val="22"/>
        </w:rPr>
        <w:t xml:space="preserve"> </w:t>
      </w:r>
      <w:r w:rsidRPr="009D1DBE">
        <w:rPr>
          <w:rFonts w:cs="Arial"/>
          <w:szCs w:val="22"/>
          <w:lang w:val="en-US"/>
        </w:rPr>
        <w:t xml:space="preserve">is excessive, as this kind of assessment should be made by the body who granted the </w:t>
      </w:r>
      <w:proofErr w:type="spellStart"/>
      <w:r w:rsidRPr="009D1DBE">
        <w:rPr>
          <w:rFonts w:cs="Arial"/>
          <w:szCs w:val="22"/>
          <w:lang w:val="en-US"/>
        </w:rPr>
        <w:t>authoris</w:t>
      </w:r>
      <w:r w:rsidRPr="009D1DBE">
        <w:rPr>
          <w:rFonts w:cs="Arial"/>
          <w:szCs w:val="22"/>
          <w:lang w:val="en-US"/>
        </w:rPr>
        <w:t>a</w:t>
      </w:r>
      <w:r w:rsidRPr="009D1DBE">
        <w:rPr>
          <w:rFonts w:cs="Arial"/>
          <w:szCs w:val="22"/>
          <w:lang w:val="en-US"/>
        </w:rPr>
        <w:t>tion</w:t>
      </w:r>
      <w:proofErr w:type="spellEnd"/>
      <w:r w:rsidRPr="009D1DBE">
        <w:rPr>
          <w:rFonts w:cs="Arial"/>
          <w:szCs w:val="22"/>
          <w:lang w:val="en-US"/>
        </w:rPr>
        <w:t>, i.e. the competent authority.</w:t>
      </w:r>
    </w:p>
    <w:p w:rsidR="00FB0054" w:rsidRDefault="00FB0054" w:rsidP="009D1DBE">
      <w:pPr>
        <w:tabs>
          <w:tab w:val="left" w:pos="3402"/>
        </w:tabs>
        <w:suppressAutoHyphens/>
        <w:jc w:val="both"/>
        <w:rPr>
          <w:rFonts w:cs="Arial"/>
          <w:b/>
          <w:i/>
          <w:szCs w:val="22"/>
        </w:rPr>
      </w:pPr>
    </w:p>
    <w:p w:rsidR="000834DD" w:rsidRPr="009D1DBE" w:rsidRDefault="000834DD" w:rsidP="009D1DBE">
      <w:pPr>
        <w:tabs>
          <w:tab w:val="left" w:pos="3402"/>
        </w:tabs>
        <w:suppressAutoHyphens/>
        <w:jc w:val="both"/>
        <w:rPr>
          <w:rFonts w:cs="Arial"/>
          <w:szCs w:val="22"/>
          <w:lang w:val="en-US"/>
        </w:rPr>
      </w:pPr>
      <w:proofErr w:type="gramStart"/>
      <w:r w:rsidRPr="00FB0054">
        <w:rPr>
          <w:rFonts w:cs="Arial"/>
          <w:szCs w:val="22"/>
          <w:lang w:val="en-US"/>
        </w:rPr>
        <w:t>A</w:t>
      </w:r>
      <w:r w:rsidR="00FB0054">
        <w:rPr>
          <w:rFonts w:cs="Arial"/>
          <w:szCs w:val="22"/>
          <w:lang w:val="en-US"/>
        </w:rPr>
        <w:t>rt.41(</w:t>
      </w:r>
      <w:proofErr w:type="gramEnd"/>
      <w:r w:rsidR="00FB0054">
        <w:rPr>
          <w:rFonts w:cs="Arial"/>
          <w:szCs w:val="22"/>
          <w:lang w:val="en-US"/>
        </w:rPr>
        <w:t>1)(u)</w:t>
      </w:r>
      <w:r w:rsidRPr="009D1DBE">
        <w:rPr>
          <w:rFonts w:cs="Arial"/>
          <w:szCs w:val="22"/>
          <w:lang w:val="en-US"/>
        </w:rPr>
        <w:t xml:space="preserve"> requires a CSD to provide </w:t>
      </w:r>
      <w:r w:rsidRPr="009D1DBE">
        <w:rPr>
          <w:rFonts w:cs="Arial"/>
          <w:i/>
          <w:szCs w:val="22"/>
          <w:lang w:val="en-US"/>
        </w:rPr>
        <w:t>"information to any changes to the resolution plan"</w:t>
      </w:r>
      <w:r w:rsidRPr="009D1DBE">
        <w:rPr>
          <w:rFonts w:cs="Arial"/>
          <w:szCs w:val="22"/>
          <w:lang w:val="en-US"/>
        </w:rPr>
        <w:t xml:space="preserve"> to its competent authority as part of the annual review. As mentioned in our answ</w:t>
      </w:r>
      <w:r w:rsidR="00F344D7">
        <w:rPr>
          <w:rFonts w:cs="Arial"/>
          <w:szCs w:val="22"/>
          <w:lang w:val="en-US"/>
        </w:rPr>
        <w:t xml:space="preserve">er to question 15 (comments on </w:t>
      </w:r>
      <w:proofErr w:type="gramStart"/>
      <w:r w:rsidR="00F344D7">
        <w:rPr>
          <w:rFonts w:cs="Arial"/>
          <w:szCs w:val="22"/>
          <w:lang w:val="en-US"/>
        </w:rPr>
        <w:t>A</w:t>
      </w:r>
      <w:r w:rsidRPr="009D1DBE">
        <w:rPr>
          <w:rFonts w:cs="Arial"/>
          <w:szCs w:val="22"/>
          <w:lang w:val="en-US"/>
        </w:rPr>
        <w:t>rt.5(</w:t>
      </w:r>
      <w:proofErr w:type="gramEnd"/>
      <w:r w:rsidRPr="009D1DBE">
        <w:rPr>
          <w:rFonts w:cs="Arial"/>
          <w:szCs w:val="22"/>
          <w:lang w:val="en-US"/>
        </w:rPr>
        <w:t>5) of the draft RTS), we believe that the current formulation in the draft RTS is misleading. Unlike recovery plans, which are drafted and maintained by CSDs, resolution plans are the responsibility of resolution authorities</w:t>
      </w:r>
      <w:r w:rsidRPr="009D1DBE">
        <w:rPr>
          <w:rFonts w:cs="Arial"/>
          <w:i/>
          <w:szCs w:val="22"/>
          <w:lang w:val="en-US"/>
        </w:rPr>
        <w:t>.</w:t>
      </w:r>
      <w:r w:rsidRPr="009D1DBE">
        <w:rPr>
          <w:rFonts w:cs="Arial"/>
          <w:szCs w:val="22"/>
          <w:lang w:val="en-US"/>
        </w:rPr>
        <w:t xml:space="preserve"> If ESMA's intention is to ensure that CSDs </w:t>
      </w:r>
      <w:r w:rsidRPr="009D1DBE">
        <w:rPr>
          <w:rFonts w:cs="Arial"/>
          <w:szCs w:val="22"/>
          <w:lang w:val="en-US"/>
        </w:rPr>
        <w:lastRenderedPageBreak/>
        <w:t>provide all the information necessary for the resolution authority to upd</w:t>
      </w:r>
      <w:r w:rsidR="00F344D7">
        <w:rPr>
          <w:rFonts w:cs="Arial"/>
          <w:szCs w:val="22"/>
          <w:lang w:val="en-US"/>
        </w:rPr>
        <w:t xml:space="preserve">ate the CSD's resolution plan, </w:t>
      </w:r>
      <w:proofErr w:type="gramStart"/>
      <w:r w:rsidR="00F344D7">
        <w:rPr>
          <w:rFonts w:cs="Arial"/>
          <w:szCs w:val="22"/>
          <w:lang w:val="en-US"/>
        </w:rPr>
        <w:t>A</w:t>
      </w:r>
      <w:r w:rsidRPr="009D1DBE">
        <w:rPr>
          <w:rFonts w:cs="Arial"/>
          <w:szCs w:val="22"/>
          <w:lang w:val="en-US"/>
        </w:rPr>
        <w:t>rt.41(</w:t>
      </w:r>
      <w:proofErr w:type="gramEnd"/>
      <w:r w:rsidRPr="009D1DBE">
        <w:rPr>
          <w:rFonts w:cs="Arial"/>
          <w:szCs w:val="22"/>
          <w:lang w:val="en-US"/>
        </w:rPr>
        <w:t>1)(u) should be reformulated accordingly and should include a reference to the resolution authority.</w:t>
      </w:r>
    </w:p>
    <w:p w:rsidR="000834DD" w:rsidRPr="009D1DBE" w:rsidRDefault="000834DD" w:rsidP="009D1DBE">
      <w:pPr>
        <w:pBdr>
          <w:top w:val="dashed" w:sz="4" w:space="1" w:color="auto"/>
          <w:left w:val="dashed" w:sz="4" w:space="4" w:color="auto"/>
          <w:bottom w:val="dashed" w:sz="4" w:space="1" w:color="auto"/>
          <w:right w:val="dashed" w:sz="4" w:space="4" w:color="auto"/>
        </w:pBdr>
        <w:tabs>
          <w:tab w:val="left" w:pos="567"/>
        </w:tabs>
        <w:jc w:val="both"/>
        <w:rPr>
          <w:rFonts w:cs="Arial"/>
          <w:b/>
          <w:i/>
          <w:sz w:val="18"/>
          <w:szCs w:val="18"/>
        </w:rPr>
      </w:pPr>
      <w:r w:rsidRPr="009D1DBE">
        <w:rPr>
          <w:rFonts w:cs="Arial"/>
          <w:b/>
          <w:i/>
          <w:sz w:val="18"/>
          <w:szCs w:val="18"/>
        </w:rPr>
        <w:t>(u) any information deemed necessary to ensure that the resolution plan established and maintained by the resolution authority ensures the continuity of at least the CSD core functions, having regard to the size, systemic importance, nature, scale and complexity of the activities of the CSD concerned, including any relevant resolution plan established in accordance with Directive 2014/59/EU;</w:t>
      </w:r>
    </w:p>
    <w:p w:rsidR="00FB0054" w:rsidRDefault="00FB0054" w:rsidP="009D1DBE">
      <w:pPr>
        <w:tabs>
          <w:tab w:val="left" w:pos="3402"/>
        </w:tabs>
        <w:suppressAutoHyphens/>
        <w:jc w:val="both"/>
        <w:rPr>
          <w:rFonts w:cs="Arial"/>
          <w:b/>
          <w:i/>
          <w:szCs w:val="22"/>
          <w:lang w:val="en-US"/>
        </w:rPr>
      </w:pPr>
    </w:p>
    <w:p w:rsidR="000834DD" w:rsidRPr="009D1DBE" w:rsidRDefault="000834DD" w:rsidP="009D1DBE">
      <w:pPr>
        <w:tabs>
          <w:tab w:val="left" w:pos="3402"/>
        </w:tabs>
        <w:suppressAutoHyphens/>
        <w:jc w:val="both"/>
        <w:rPr>
          <w:rFonts w:cs="Arial"/>
          <w:szCs w:val="22"/>
          <w:lang w:val="en-US"/>
        </w:rPr>
      </w:pPr>
      <w:r w:rsidRPr="009D1DBE">
        <w:rPr>
          <w:rFonts w:cs="Arial"/>
          <w:szCs w:val="22"/>
          <w:lang w:val="en-US"/>
        </w:rPr>
        <w:t>KDPW believe</w:t>
      </w:r>
      <w:r w:rsidR="00A8288C" w:rsidRPr="009D1DBE">
        <w:rPr>
          <w:rFonts w:cs="Arial"/>
          <w:szCs w:val="22"/>
          <w:lang w:val="en-US"/>
        </w:rPr>
        <w:t>s</w:t>
      </w:r>
      <w:r w:rsidRPr="009D1DBE">
        <w:rPr>
          <w:rFonts w:cs="Arial"/>
          <w:szCs w:val="22"/>
          <w:lang w:val="en-US"/>
        </w:rPr>
        <w:t xml:space="preserve"> that ESMA need</w:t>
      </w:r>
      <w:r w:rsidR="00A8288C" w:rsidRPr="009D1DBE">
        <w:rPr>
          <w:rFonts w:cs="Arial"/>
          <w:szCs w:val="22"/>
          <w:lang w:val="en-US"/>
        </w:rPr>
        <w:t>s to clarify the</w:t>
      </w:r>
      <w:r w:rsidRPr="009D1DBE">
        <w:rPr>
          <w:rFonts w:cs="Arial"/>
          <w:szCs w:val="22"/>
          <w:lang w:val="en-US"/>
        </w:rPr>
        <w:t xml:space="preserve"> distinction </w:t>
      </w:r>
      <w:r w:rsidR="00A8288C" w:rsidRPr="009D1DBE">
        <w:rPr>
          <w:rFonts w:cs="Arial"/>
          <w:szCs w:val="22"/>
          <w:lang w:val="en-US"/>
        </w:rPr>
        <w:t>between “maintained” and “centrally maintained”</w:t>
      </w:r>
      <w:r w:rsidR="00FB0054">
        <w:rPr>
          <w:rFonts w:cs="Arial"/>
          <w:szCs w:val="22"/>
          <w:lang w:val="en-US"/>
        </w:rPr>
        <w:t xml:space="preserve"> used in</w:t>
      </w:r>
      <w:r w:rsidRPr="009D1DBE">
        <w:rPr>
          <w:rFonts w:cs="Arial"/>
          <w:szCs w:val="22"/>
          <w:lang w:val="en-US"/>
        </w:rPr>
        <w:t xml:space="preserve"> </w:t>
      </w:r>
      <w:proofErr w:type="gramStart"/>
      <w:r w:rsidR="00FB0054" w:rsidRPr="00FB0054">
        <w:rPr>
          <w:rFonts w:cs="Arial"/>
          <w:szCs w:val="22"/>
          <w:lang w:val="en-US"/>
        </w:rPr>
        <w:t>Art.42(</w:t>
      </w:r>
      <w:proofErr w:type="gramEnd"/>
      <w:r w:rsidR="00FB0054" w:rsidRPr="00FB0054">
        <w:rPr>
          <w:rFonts w:cs="Arial"/>
          <w:szCs w:val="22"/>
          <w:lang w:val="en-US"/>
        </w:rPr>
        <w:t>1)(b)</w:t>
      </w:r>
      <w:r w:rsidRPr="009D1DBE">
        <w:rPr>
          <w:rFonts w:cs="Arial"/>
          <w:szCs w:val="22"/>
          <w:lang w:val="en-US"/>
        </w:rPr>
        <w:t xml:space="preserve">, as </w:t>
      </w:r>
      <w:r w:rsidR="00A8288C" w:rsidRPr="009D1DBE">
        <w:rPr>
          <w:rFonts w:cs="Arial"/>
          <w:szCs w:val="22"/>
          <w:lang w:val="en-US"/>
        </w:rPr>
        <w:t>it is not clear</w:t>
      </w:r>
      <w:r w:rsidRPr="009D1DBE">
        <w:rPr>
          <w:rFonts w:cs="Arial"/>
          <w:szCs w:val="22"/>
          <w:lang w:val="en-US"/>
        </w:rPr>
        <w:t>.</w:t>
      </w:r>
      <w:r w:rsidR="00FB0054">
        <w:rPr>
          <w:rFonts w:cs="Arial"/>
          <w:szCs w:val="22"/>
          <w:lang w:val="en-US"/>
        </w:rPr>
        <w:t xml:space="preserve"> Additionally, i</w:t>
      </w:r>
      <w:r w:rsidRPr="009D1DBE">
        <w:rPr>
          <w:rFonts w:cs="Arial"/>
          <w:szCs w:val="22"/>
          <w:lang w:val="en-US"/>
        </w:rPr>
        <w:t xml:space="preserve">f ESMA’s intention is to obtain a list of ISIN codes under this heading, it should be aware that the list will amount to thousands of ISINs for </w:t>
      </w:r>
      <w:r w:rsidR="00A8288C" w:rsidRPr="009D1DBE">
        <w:rPr>
          <w:rFonts w:cs="Arial"/>
          <w:szCs w:val="22"/>
          <w:lang w:val="en-US"/>
        </w:rPr>
        <w:t>KDPW, and much more for other CSDs</w:t>
      </w:r>
      <w:r w:rsidRPr="009D1DBE">
        <w:rPr>
          <w:rFonts w:cs="Arial"/>
          <w:szCs w:val="22"/>
          <w:lang w:val="en-US"/>
        </w:rPr>
        <w:t>.</w:t>
      </w:r>
    </w:p>
    <w:p w:rsidR="00FB0054" w:rsidRPr="009D1DBE" w:rsidRDefault="00FB0054" w:rsidP="009D1DBE">
      <w:pPr>
        <w:tabs>
          <w:tab w:val="left" w:pos="3402"/>
        </w:tabs>
        <w:suppressAutoHyphens/>
        <w:jc w:val="both"/>
        <w:rPr>
          <w:rFonts w:cs="Arial"/>
          <w:szCs w:val="22"/>
          <w:lang w:val="en-US"/>
        </w:rPr>
      </w:pPr>
    </w:p>
    <w:p w:rsidR="000834DD" w:rsidRPr="009D1DBE" w:rsidRDefault="000834DD" w:rsidP="009D1DBE">
      <w:pPr>
        <w:rPr>
          <w:rFonts w:cs="Arial"/>
          <w:szCs w:val="22"/>
          <w:lang w:val="en-US"/>
        </w:rPr>
      </w:pPr>
      <w:proofErr w:type="gramStart"/>
      <w:r w:rsidRPr="00C5602B">
        <w:rPr>
          <w:rFonts w:cs="Arial"/>
          <w:szCs w:val="22"/>
          <w:lang w:val="en-US"/>
        </w:rPr>
        <w:t>Art.42(</w:t>
      </w:r>
      <w:proofErr w:type="gramEnd"/>
      <w:r w:rsidRPr="00C5602B">
        <w:rPr>
          <w:rFonts w:cs="Arial"/>
          <w:szCs w:val="22"/>
          <w:lang w:val="en-US"/>
        </w:rPr>
        <w:t xml:space="preserve">1)(c), (d) and (e) </w:t>
      </w:r>
      <w:r w:rsidRPr="009D1DBE">
        <w:rPr>
          <w:rFonts w:cs="Arial"/>
          <w:szCs w:val="22"/>
          <w:lang w:val="en-US"/>
        </w:rPr>
        <w:t>As regards issuers, CSDs often do not have information on the place of incorporation of the issuer. The law applicable to the issues admitted for settlement in a CSD</w:t>
      </w:r>
      <w:r w:rsidR="00C5602B">
        <w:rPr>
          <w:rFonts w:cs="Arial"/>
          <w:szCs w:val="22"/>
          <w:lang w:val="en-US"/>
        </w:rPr>
        <w:t xml:space="preserve"> would be, anyway, more relevant</w:t>
      </w:r>
      <w:r w:rsidRPr="009D1DBE">
        <w:rPr>
          <w:rFonts w:cs="Arial"/>
          <w:szCs w:val="22"/>
          <w:lang w:val="en-US"/>
        </w:rPr>
        <w:t xml:space="preserve"> as it determines the rights and obligations of investors, as well as the services to be performed by the CSD</w:t>
      </w:r>
      <w:r w:rsidR="00F344D7">
        <w:rPr>
          <w:rFonts w:cs="Arial"/>
          <w:szCs w:val="22"/>
          <w:lang w:val="en-US"/>
        </w:rPr>
        <w:t>.</w:t>
      </w:r>
    </w:p>
    <w:permEnd w:id="766587851"/>
    <w:p w:rsidR="00D12AFD" w:rsidRDefault="00D12AFD" w:rsidP="00D12AFD">
      <w:r>
        <w:t>&lt;ESMA_QUESTION_TS_CSDR_16&gt;</w:t>
      </w:r>
    </w:p>
    <w:p w:rsidR="00D12AFD" w:rsidRPr="002C4F00" w:rsidRDefault="00D12AFD" w:rsidP="00965B03">
      <w:pPr>
        <w:pStyle w:val="Nagwek5"/>
        <w:ind w:left="567" w:hanging="567"/>
      </w:pPr>
      <w:r w:rsidRPr="002C4F00">
        <w:t xml:space="preserve">What are your views on the proposed draft ITS </w:t>
      </w:r>
      <w:r>
        <w:t xml:space="preserve">on cooperation arrangements </w:t>
      </w:r>
      <w:r w:rsidRPr="002C4F00">
        <w:t>as in</w:t>
      </w:r>
      <w:r>
        <w:t xml:space="preserve">cluded in Chapter III of Annex </w:t>
      </w:r>
      <w:r w:rsidRPr="002C4F00">
        <w:t>VI?</w:t>
      </w:r>
    </w:p>
    <w:p w:rsidR="00D12AFD" w:rsidRDefault="00D12AFD" w:rsidP="00D12AFD"/>
    <w:p w:rsidR="00D12AFD" w:rsidRDefault="00D12AFD" w:rsidP="00D12AFD">
      <w:r>
        <w:t>&lt;ESMA_QUESTION_TS_CSDR_17&gt;</w:t>
      </w:r>
    </w:p>
    <w:p w:rsidR="00124278" w:rsidRDefault="00481947" w:rsidP="00124278">
      <w:permStart w:id="837749274" w:edGrp="everyone"/>
      <w:r>
        <w:t>We agree with the ESMA proposal.</w:t>
      </w:r>
    </w:p>
    <w:permEnd w:id="837749274"/>
    <w:p w:rsidR="00D12AFD" w:rsidRDefault="00D12AFD" w:rsidP="00D12AFD">
      <w:r>
        <w:t>&lt;ESMA_QUESTION_TS_CSDR_17&gt;</w:t>
      </w:r>
    </w:p>
    <w:p w:rsidR="00D12AFD" w:rsidRPr="002C4F00" w:rsidRDefault="00D12AFD" w:rsidP="00965B03">
      <w:pPr>
        <w:pStyle w:val="Nagwek5"/>
        <w:ind w:left="567" w:hanging="567"/>
      </w:pPr>
      <w:r w:rsidRPr="002C4F00">
        <w:t>What are your views on the proposed draft RTS</w:t>
      </w:r>
      <w:r>
        <w:t xml:space="preserve"> on CSD recognition (Chapter IV of Annex II)</w:t>
      </w:r>
      <w:r w:rsidRPr="002C4F00">
        <w:t>?</w:t>
      </w:r>
    </w:p>
    <w:p w:rsidR="00D12AFD" w:rsidRDefault="00D12AFD" w:rsidP="00D12AFD"/>
    <w:p w:rsidR="00D12AFD" w:rsidRDefault="00D12AFD" w:rsidP="00D12AFD">
      <w:r>
        <w:t>&lt;ESMA_QUESTION_TS_CSDR_18&gt;</w:t>
      </w:r>
    </w:p>
    <w:p w:rsidR="00481947" w:rsidRDefault="00481947" w:rsidP="00481947">
      <w:permStart w:id="1382043424" w:edGrp="everyone"/>
      <w:r>
        <w:t>We agree with the ESMA proposal.</w:t>
      </w:r>
    </w:p>
    <w:permEnd w:id="1382043424"/>
    <w:p w:rsidR="00D12AFD" w:rsidRDefault="00D12AFD" w:rsidP="00D12AFD">
      <w:r>
        <w:t>&lt;ESMA_QUESTION_TS_CSDR_18&gt;</w:t>
      </w:r>
    </w:p>
    <w:p w:rsidR="00D12AFD" w:rsidRPr="002C4F00" w:rsidRDefault="00D12AFD" w:rsidP="00965B03">
      <w:pPr>
        <w:pStyle w:val="Nagwek5"/>
        <w:ind w:left="567" w:hanging="567"/>
      </w:pPr>
      <w:r w:rsidRPr="002C4F00">
        <w:t>What are your views on the proposed approach regarding the determination of the most relevant currencies?</w:t>
      </w:r>
    </w:p>
    <w:p w:rsidR="00D12AFD" w:rsidRDefault="00D12AFD" w:rsidP="00D12AFD"/>
    <w:p w:rsidR="00D12AFD" w:rsidRDefault="00D12AFD" w:rsidP="00D12AFD">
      <w:r>
        <w:t>&lt;ESMA_QUESTION_TS_CSDR_19&gt;</w:t>
      </w:r>
    </w:p>
    <w:p w:rsidR="00481947" w:rsidRDefault="00481947" w:rsidP="00481947">
      <w:permStart w:id="1856339532" w:edGrp="everyone"/>
      <w:r>
        <w:t>We agree with the ESMA proposal.</w:t>
      </w:r>
    </w:p>
    <w:permEnd w:id="1856339532"/>
    <w:p w:rsidR="00D12AFD" w:rsidRDefault="00D12AFD" w:rsidP="00D12AFD">
      <w:r>
        <w:t>&lt;ESMA_QUESTION_TS_CSDR_19&gt;</w:t>
      </w:r>
    </w:p>
    <w:p w:rsidR="00D12AFD" w:rsidRPr="002C4F00" w:rsidRDefault="00D12AFD" w:rsidP="00965B03">
      <w:pPr>
        <w:pStyle w:val="Nagwek5"/>
        <w:ind w:left="567" w:hanging="567"/>
      </w:pPr>
      <w:r w:rsidRPr="002C4F00">
        <w:t xml:space="preserve">What are your views on the proposed draft RTS </w:t>
      </w:r>
      <w:r>
        <w:t>on banking type of ancillary se</w:t>
      </w:r>
      <w:r>
        <w:t>r</w:t>
      </w:r>
      <w:r>
        <w:t xml:space="preserve">vices </w:t>
      </w:r>
      <w:r w:rsidRPr="002C4F00">
        <w:t xml:space="preserve">(Chapter VI of Annex II) and draft ITS </w:t>
      </w:r>
      <w:r>
        <w:t xml:space="preserve">on banking type of ancillary services </w:t>
      </w:r>
      <w:r w:rsidRPr="002C4F00">
        <w:t>(Chapter IV of Annex VI)?</w:t>
      </w:r>
    </w:p>
    <w:p w:rsidR="00D12AFD" w:rsidRDefault="00D12AFD" w:rsidP="00D12AFD"/>
    <w:p w:rsidR="00D12AFD" w:rsidRDefault="00D12AFD" w:rsidP="00D12AFD">
      <w:r>
        <w:t>&lt;ESMA_QUESTION_TS_CSDR_20&gt;</w:t>
      </w:r>
    </w:p>
    <w:p w:rsidR="00481947" w:rsidRDefault="00481947" w:rsidP="00481947">
      <w:permStart w:id="652111923" w:edGrp="everyone"/>
      <w:r>
        <w:t>We agree with the ESMA proposal.</w:t>
      </w:r>
    </w:p>
    <w:permEnd w:id="652111923"/>
    <w:p w:rsidR="00D12AFD" w:rsidRDefault="00D12AFD" w:rsidP="00D12AFD">
      <w:r>
        <w:t>&lt;ESMA_QUESTION_TS_CSDR_20&gt;</w:t>
      </w:r>
    </w:p>
    <w:p w:rsidR="00D12AFD" w:rsidRPr="002C4F00" w:rsidRDefault="00D12AFD" w:rsidP="00965B03">
      <w:pPr>
        <w:pStyle w:val="Nagwek5"/>
        <w:ind w:left="567" w:hanging="567"/>
      </w:pPr>
      <w:r w:rsidRPr="002C4F00">
        <w:t>What are your views on the proposed draft RTS</w:t>
      </w:r>
      <w:r>
        <w:t xml:space="preserve"> on CSD participations</w:t>
      </w:r>
      <w:r w:rsidRPr="002C4F00">
        <w:t xml:space="preserve"> (Chapter II of Annex III)?</w:t>
      </w:r>
    </w:p>
    <w:p w:rsidR="00D12AFD" w:rsidRDefault="00D12AFD" w:rsidP="00D12AFD"/>
    <w:p w:rsidR="00D12AFD" w:rsidRDefault="00D12AFD" w:rsidP="00D12AFD">
      <w:r>
        <w:t>&lt;ESMA_QUESTION_TS_CSDR_21&gt;</w:t>
      </w:r>
    </w:p>
    <w:p w:rsidR="000834DD" w:rsidRDefault="002D661B" w:rsidP="009D1DBE">
      <w:pPr>
        <w:tabs>
          <w:tab w:val="left" w:pos="3402"/>
        </w:tabs>
        <w:suppressAutoHyphens/>
        <w:jc w:val="both"/>
        <w:rPr>
          <w:rFonts w:cs="Arial"/>
        </w:rPr>
      </w:pPr>
      <w:permStart w:id="570643668" w:edGrp="everyone"/>
      <w:r>
        <w:rPr>
          <w:rFonts w:cs="Arial"/>
        </w:rPr>
        <w:lastRenderedPageBreak/>
        <w:t xml:space="preserve">As regards </w:t>
      </w:r>
      <w:proofErr w:type="gramStart"/>
      <w:r>
        <w:rPr>
          <w:rFonts w:cs="Arial"/>
        </w:rPr>
        <w:t>A</w:t>
      </w:r>
      <w:r w:rsidR="000834DD" w:rsidRPr="00073699">
        <w:rPr>
          <w:rFonts w:cs="Arial"/>
        </w:rPr>
        <w:t>rt.2</w:t>
      </w:r>
      <w:r w:rsidR="000834DD">
        <w:rPr>
          <w:rFonts w:cs="Arial"/>
        </w:rPr>
        <w:t>(</w:t>
      </w:r>
      <w:proofErr w:type="gramEnd"/>
      <w:r w:rsidR="000834DD">
        <w:rPr>
          <w:rFonts w:cs="Arial"/>
        </w:rPr>
        <w:t>1)(c), we would like to highlight</w:t>
      </w:r>
      <w:r>
        <w:rPr>
          <w:rFonts w:cs="Arial"/>
        </w:rPr>
        <w:t xml:space="preserve"> that according to CSDR A</w:t>
      </w:r>
      <w:r w:rsidR="000834DD" w:rsidRPr="00073699">
        <w:rPr>
          <w:rFonts w:cs="Arial"/>
        </w:rPr>
        <w:t>rt. 18 (4)</w:t>
      </w:r>
      <w:r w:rsidR="000834DD">
        <w:rPr>
          <w:rFonts w:cs="Arial"/>
        </w:rPr>
        <w:t>,</w:t>
      </w:r>
      <w:r w:rsidR="000834DD" w:rsidRPr="00073699">
        <w:rPr>
          <w:rFonts w:cs="Arial"/>
        </w:rPr>
        <w:t xml:space="preserve"> the criteria to be taken into account by the competent authorities to approve the participation of CSDs in legal persons other than those providing the services listed in Sections A and B of the Annex may include whether the </w:t>
      </w:r>
      <w:r w:rsidR="000834DD" w:rsidRPr="00BC6EB7">
        <w:rPr>
          <w:rFonts w:cs="Arial"/>
          <w:i/>
        </w:rPr>
        <w:t>services</w:t>
      </w:r>
      <w:r w:rsidR="000834DD" w:rsidRPr="00073699">
        <w:rPr>
          <w:rFonts w:cs="Arial"/>
        </w:rPr>
        <w:t xml:space="preserve"> provided by that legal person are complementary to the services provided by a CSD. We believe that any attempt to define these criteria on the basis of a list of </w:t>
      </w:r>
      <w:r w:rsidR="000834DD" w:rsidRPr="00BC6EB7">
        <w:rPr>
          <w:rFonts w:cs="Arial"/>
          <w:i/>
        </w:rPr>
        <w:t>entities</w:t>
      </w:r>
      <w:r w:rsidR="000834DD" w:rsidRPr="00073699">
        <w:rPr>
          <w:rFonts w:cs="Arial"/>
        </w:rPr>
        <w:t xml:space="preserve"> performing such services (i.e. central counterparties, regulated markets, MTFs, trade reposit</w:t>
      </w:r>
      <w:r>
        <w:rPr>
          <w:rFonts w:cs="Arial"/>
        </w:rPr>
        <w:t>ories), as proposed by ESMA in A</w:t>
      </w:r>
      <w:r w:rsidR="000834DD" w:rsidRPr="00073699">
        <w:rPr>
          <w:rFonts w:cs="Arial"/>
        </w:rPr>
        <w:t xml:space="preserve">rt. 2(1)(c) of RTS on CSD requirements, is not fully </w:t>
      </w:r>
      <w:r>
        <w:rPr>
          <w:rFonts w:cs="Arial"/>
        </w:rPr>
        <w:t>in line with the provisions of A</w:t>
      </w:r>
      <w:r w:rsidR="000834DD" w:rsidRPr="00073699">
        <w:rPr>
          <w:rFonts w:cs="Arial"/>
        </w:rPr>
        <w:t>rt. 18 (4) CSDR – this is because it does not directly relate to services, which can be understood to be complementary to services provided by a CSD. We therefore propose another approach, providing examples of complementary services and qualifying them in a general sense as services, which contribute to enhancing the safety, efficiency and transparency of the financial markets, and which meet the general criteria defined in the first sentence of part B of the Annex to the CSDR; the extension of the potential scope of services in the financial markets is in principle compliant with the primary aim of CSDR (see: point. 1 of the preamble: “Central securities depositories (CSDs), together with central counterparties (CCPs) contribute to a large degree in maintaining post-trade infrastructures that safeguard financial markets (…)”)</w:t>
      </w:r>
      <w:bookmarkStart w:id="3" w:name="_GoBack"/>
      <w:bookmarkEnd w:id="3"/>
      <w:r w:rsidR="000834DD" w:rsidRPr="00073699">
        <w:rPr>
          <w:rFonts w:cs="Arial"/>
        </w:rPr>
        <w:t>.</w:t>
      </w:r>
    </w:p>
    <w:p w:rsidR="00481947" w:rsidRPr="00481947" w:rsidRDefault="00481947" w:rsidP="009D1DBE">
      <w:pPr>
        <w:tabs>
          <w:tab w:val="left" w:pos="3402"/>
        </w:tabs>
        <w:suppressAutoHyphens/>
        <w:jc w:val="both"/>
        <w:rPr>
          <w:rFonts w:cs="Arial"/>
        </w:rPr>
      </w:pPr>
      <w:r w:rsidRPr="00481947">
        <w:rPr>
          <w:rFonts w:cs="Arial"/>
        </w:rPr>
        <w:t>We also w</w:t>
      </w:r>
      <w:r w:rsidR="00C55586">
        <w:rPr>
          <w:rFonts w:cs="Arial"/>
        </w:rPr>
        <w:t xml:space="preserve">ould </w:t>
      </w:r>
      <w:r w:rsidR="00D459B1">
        <w:rPr>
          <w:rFonts w:cs="Arial"/>
        </w:rPr>
        <w:t>be grateful for</w:t>
      </w:r>
      <w:r w:rsidR="00C55586">
        <w:rPr>
          <w:rFonts w:cs="Arial"/>
        </w:rPr>
        <w:t xml:space="preserve"> confirm</w:t>
      </w:r>
      <w:r w:rsidR="00D459B1">
        <w:rPr>
          <w:rFonts w:cs="Arial"/>
        </w:rPr>
        <w:t>ation</w:t>
      </w:r>
      <w:r w:rsidR="00C55586">
        <w:rPr>
          <w:rFonts w:cs="Arial"/>
        </w:rPr>
        <w:t xml:space="preserve"> </w:t>
      </w:r>
      <w:r w:rsidR="00D459B1">
        <w:rPr>
          <w:rFonts w:cs="Arial"/>
        </w:rPr>
        <w:t>by</w:t>
      </w:r>
      <w:r w:rsidR="00D459B1">
        <w:rPr>
          <w:rFonts w:cs="Arial"/>
        </w:rPr>
        <w:t xml:space="preserve"> ESMA </w:t>
      </w:r>
      <w:r w:rsidR="00C55586">
        <w:rPr>
          <w:rFonts w:cs="Arial"/>
        </w:rPr>
        <w:t>that A</w:t>
      </w:r>
      <w:r w:rsidRPr="00481947">
        <w:rPr>
          <w:rFonts w:cs="Arial"/>
        </w:rPr>
        <w:t xml:space="preserve">rt.2(1)(c) does not prevent a CSD </w:t>
      </w:r>
      <w:r w:rsidR="00C55586">
        <w:rPr>
          <w:rFonts w:cs="Arial"/>
        </w:rPr>
        <w:t xml:space="preserve">from having </w:t>
      </w:r>
      <w:r w:rsidRPr="00481947">
        <w:rPr>
          <w:rFonts w:cs="Arial"/>
        </w:rPr>
        <w:t xml:space="preserve">participation in an entity that serves several CSDs, not only the CSD </w:t>
      </w:r>
      <w:r>
        <w:rPr>
          <w:rFonts w:cs="Arial"/>
        </w:rPr>
        <w:t>in which it</w:t>
      </w:r>
      <w:r w:rsidRPr="00481947">
        <w:rPr>
          <w:rFonts w:cs="Arial"/>
        </w:rPr>
        <w:t xml:space="preserve"> has the participation.  </w:t>
      </w:r>
    </w:p>
    <w:p w:rsidR="000834DD" w:rsidRPr="00073699" w:rsidRDefault="00C55586" w:rsidP="009D1DBE">
      <w:pPr>
        <w:tabs>
          <w:tab w:val="left" w:pos="3402"/>
        </w:tabs>
        <w:suppressAutoHyphens/>
        <w:jc w:val="both"/>
        <w:rPr>
          <w:rFonts w:cs="Arial"/>
        </w:rPr>
      </w:pPr>
      <w:r>
        <w:rPr>
          <w:rFonts w:cs="Arial"/>
        </w:rPr>
        <w:t xml:space="preserve">We recommend that </w:t>
      </w:r>
      <w:proofErr w:type="gramStart"/>
      <w:r>
        <w:rPr>
          <w:rFonts w:cs="Arial"/>
        </w:rPr>
        <w:t>A</w:t>
      </w:r>
      <w:r w:rsidR="000834DD" w:rsidRPr="00073699">
        <w:rPr>
          <w:rFonts w:cs="Arial"/>
        </w:rPr>
        <w:t>rt.2(</w:t>
      </w:r>
      <w:proofErr w:type="gramEnd"/>
      <w:r w:rsidR="000834DD" w:rsidRPr="00073699">
        <w:rPr>
          <w:rFonts w:cs="Arial"/>
        </w:rPr>
        <w:t xml:space="preserve">1) of the draft RTS be amended as </w:t>
      </w:r>
      <w:r w:rsidR="000834DD" w:rsidRPr="00C55586">
        <w:rPr>
          <w:rFonts w:cs="Arial"/>
        </w:rPr>
        <w:t>follows</w:t>
      </w:r>
      <w:r w:rsidR="000834DD" w:rsidRPr="00073699">
        <w:rPr>
          <w:rFonts w:cs="Arial"/>
        </w:rPr>
        <w:t>:</w:t>
      </w:r>
    </w:p>
    <w:p w:rsidR="000834DD" w:rsidRPr="00D77D16" w:rsidRDefault="000834DD" w:rsidP="000834DD">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i/>
          <w:sz w:val="18"/>
          <w:szCs w:val="18"/>
        </w:rPr>
      </w:pPr>
      <w:r w:rsidRPr="00D77D16">
        <w:rPr>
          <w:rFonts w:cs="Arial"/>
          <w:i/>
          <w:sz w:val="18"/>
          <w:szCs w:val="18"/>
        </w:rPr>
        <w:t>Article 2 - Criteria for the participations of a CSD</w:t>
      </w:r>
    </w:p>
    <w:p w:rsidR="000834DD" w:rsidRPr="00D77D16" w:rsidRDefault="000834DD" w:rsidP="000834DD">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i/>
          <w:sz w:val="18"/>
          <w:szCs w:val="18"/>
        </w:rPr>
      </w:pPr>
      <w:r w:rsidRPr="00D77D16">
        <w:rPr>
          <w:rFonts w:cs="Arial"/>
          <w:i/>
          <w:sz w:val="18"/>
          <w:szCs w:val="18"/>
        </w:rPr>
        <w:t>1. A CSD may have a new or keep an existing participation only in a legal person other than those providing the services listed in Sections A and B of the Annex of Regulation (EU) No 909/2014 if each of the following conditions is fulfilled:</w:t>
      </w:r>
    </w:p>
    <w:p w:rsidR="000834DD" w:rsidRPr="00D77D16" w:rsidRDefault="000834DD" w:rsidP="000834DD">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i/>
          <w:sz w:val="18"/>
          <w:szCs w:val="18"/>
        </w:rPr>
      </w:pPr>
      <w:r w:rsidRPr="00D77D16">
        <w:rPr>
          <w:rFonts w:cs="Arial"/>
          <w:i/>
          <w:sz w:val="18"/>
          <w:szCs w:val="18"/>
        </w:rPr>
        <w:t xml:space="preserve">[..] (b) </w:t>
      </w:r>
      <w:proofErr w:type="gramStart"/>
      <w:r w:rsidRPr="00D77D16">
        <w:rPr>
          <w:rFonts w:cs="Arial"/>
          <w:i/>
          <w:sz w:val="18"/>
          <w:szCs w:val="18"/>
        </w:rPr>
        <w:t>the</w:t>
      </w:r>
      <w:proofErr w:type="gramEnd"/>
      <w:r w:rsidRPr="00D77D16">
        <w:rPr>
          <w:rFonts w:cs="Arial"/>
          <w:i/>
          <w:sz w:val="18"/>
          <w:szCs w:val="18"/>
        </w:rPr>
        <w:t xml:space="preserve"> CSD fully capitalises, through financial resources that fulfil the criteria as set under Article 46 of Regulation (EU) No 909/2014, the risks resulting from any:</w:t>
      </w:r>
    </w:p>
    <w:p w:rsidR="000834DD" w:rsidRPr="00D77D16" w:rsidRDefault="000834DD" w:rsidP="000834DD">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i/>
          <w:sz w:val="18"/>
          <w:szCs w:val="18"/>
        </w:rPr>
      </w:pPr>
      <w:r w:rsidRPr="00D77D16">
        <w:rPr>
          <w:rFonts w:cs="Arial"/>
          <w:i/>
          <w:sz w:val="18"/>
          <w:szCs w:val="18"/>
        </w:rPr>
        <w:t xml:space="preserve">[…] (iii) </w:t>
      </w:r>
      <w:proofErr w:type="gramStart"/>
      <w:r w:rsidRPr="00D77D16">
        <w:rPr>
          <w:rFonts w:cs="Arial"/>
          <w:i/>
          <w:sz w:val="18"/>
          <w:szCs w:val="18"/>
        </w:rPr>
        <w:t>loss</w:t>
      </w:r>
      <w:proofErr w:type="gramEnd"/>
      <w:r w:rsidRPr="00D77D16">
        <w:rPr>
          <w:rFonts w:cs="Arial"/>
          <w:i/>
          <w:sz w:val="18"/>
          <w:szCs w:val="18"/>
        </w:rPr>
        <w:t xml:space="preserve"> sharing agreements or recovery or resolution mechanism of the legal person in which a CSD intends to participate </w:t>
      </w:r>
      <w:r w:rsidRPr="00D77D16">
        <w:rPr>
          <w:rFonts w:cs="Arial"/>
          <w:b/>
          <w:i/>
          <w:sz w:val="18"/>
          <w:szCs w:val="18"/>
        </w:rPr>
        <w:t>to the extent known or reasonably foreseeable</w:t>
      </w:r>
      <w:r w:rsidRPr="00D77D16">
        <w:rPr>
          <w:rFonts w:cs="Arial"/>
          <w:i/>
          <w:sz w:val="18"/>
          <w:szCs w:val="18"/>
        </w:rPr>
        <w:t>.</w:t>
      </w:r>
    </w:p>
    <w:p w:rsidR="000834DD" w:rsidRPr="00D77D16" w:rsidRDefault="000834DD" w:rsidP="000834DD">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b/>
          <w:i/>
          <w:sz w:val="18"/>
          <w:szCs w:val="18"/>
        </w:rPr>
      </w:pPr>
      <w:r w:rsidRPr="00D77D16">
        <w:rPr>
          <w:rFonts w:cs="Arial"/>
          <w:i/>
          <w:sz w:val="18"/>
          <w:szCs w:val="18"/>
        </w:rPr>
        <w:t>(c) the entity in which the CSD holds a participation is providing complementary services related to the core or anci</w:t>
      </w:r>
      <w:r w:rsidRPr="00D77D16">
        <w:rPr>
          <w:rFonts w:cs="Arial"/>
          <w:i/>
          <w:sz w:val="18"/>
          <w:szCs w:val="18"/>
        </w:rPr>
        <w:t>l</w:t>
      </w:r>
      <w:r w:rsidRPr="00D77D16">
        <w:rPr>
          <w:rFonts w:cs="Arial"/>
          <w:i/>
          <w:sz w:val="18"/>
          <w:szCs w:val="18"/>
        </w:rPr>
        <w:t xml:space="preserve">lary services offered by </w:t>
      </w:r>
      <w:r w:rsidRPr="00D77D16">
        <w:rPr>
          <w:rFonts w:cs="Arial"/>
          <w:b/>
          <w:i/>
          <w:strike/>
          <w:sz w:val="18"/>
          <w:szCs w:val="18"/>
        </w:rPr>
        <w:t>the</w:t>
      </w:r>
      <w:r w:rsidRPr="00D77D16">
        <w:rPr>
          <w:rFonts w:cs="Arial"/>
          <w:i/>
          <w:sz w:val="18"/>
          <w:szCs w:val="18"/>
        </w:rPr>
        <w:t xml:space="preserve"> </w:t>
      </w:r>
      <w:r w:rsidRPr="00D77D16">
        <w:rPr>
          <w:rFonts w:cs="Arial"/>
          <w:b/>
          <w:i/>
          <w:sz w:val="18"/>
          <w:szCs w:val="18"/>
        </w:rPr>
        <w:t>a</w:t>
      </w:r>
      <w:r w:rsidRPr="00D77D16">
        <w:rPr>
          <w:rFonts w:cs="Arial"/>
          <w:i/>
          <w:sz w:val="18"/>
          <w:szCs w:val="18"/>
        </w:rPr>
        <w:t xml:space="preserve"> CSD, </w:t>
      </w:r>
      <w:r w:rsidRPr="00D77D16">
        <w:rPr>
          <w:rFonts w:cs="Arial"/>
          <w:i/>
          <w:strike/>
          <w:sz w:val="18"/>
          <w:szCs w:val="18"/>
        </w:rPr>
        <w:t xml:space="preserve">including </w:t>
      </w:r>
      <w:r w:rsidRPr="00D77D16">
        <w:rPr>
          <w:rFonts w:cs="Arial"/>
          <w:b/>
          <w:i/>
          <w:strike/>
          <w:sz w:val="18"/>
          <w:szCs w:val="18"/>
        </w:rPr>
        <w:t>for instance,</w:t>
      </w:r>
      <w:r w:rsidRPr="00D77D16">
        <w:rPr>
          <w:rFonts w:cs="Arial"/>
          <w:i/>
          <w:strike/>
          <w:sz w:val="18"/>
          <w:szCs w:val="18"/>
        </w:rPr>
        <w:t xml:space="preserve"> services offered by: </w:t>
      </w:r>
      <w:r w:rsidRPr="00D77D16">
        <w:rPr>
          <w:rFonts w:cs="Arial"/>
          <w:b/>
          <w:i/>
          <w:sz w:val="18"/>
          <w:szCs w:val="18"/>
        </w:rPr>
        <w:t>understood as services that co</w:t>
      </w:r>
      <w:r w:rsidRPr="00D77D16">
        <w:rPr>
          <w:rFonts w:cs="Arial"/>
          <w:b/>
          <w:i/>
          <w:sz w:val="18"/>
          <w:szCs w:val="18"/>
        </w:rPr>
        <w:t>n</w:t>
      </w:r>
      <w:r w:rsidRPr="00D77D16">
        <w:rPr>
          <w:rFonts w:cs="Arial"/>
          <w:b/>
          <w:i/>
          <w:sz w:val="18"/>
          <w:szCs w:val="18"/>
        </w:rPr>
        <w:t>tribute to enhancing the safety, efficiency and transparency of the financial markets, which may include but are not restricted to:</w:t>
      </w:r>
    </w:p>
    <w:p w:rsidR="000834DD" w:rsidRPr="00D77D16" w:rsidRDefault="000834DD" w:rsidP="000834DD">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b/>
          <w:i/>
          <w:sz w:val="18"/>
          <w:szCs w:val="18"/>
        </w:rPr>
      </w:pPr>
      <w:r w:rsidRPr="00D77D16">
        <w:rPr>
          <w:rFonts w:cs="Arial"/>
          <w:b/>
          <w:i/>
          <w:sz w:val="18"/>
          <w:szCs w:val="18"/>
        </w:rPr>
        <w:t>-              Organised execution and arranging of trades,</w:t>
      </w:r>
    </w:p>
    <w:p w:rsidR="000834DD" w:rsidRPr="00D77D16" w:rsidRDefault="000834DD" w:rsidP="000834DD">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b/>
          <w:i/>
          <w:sz w:val="18"/>
          <w:szCs w:val="18"/>
        </w:rPr>
      </w:pPr>
      <w:r w:rsidRPr="00D77D16">
        <w:rPr>
          <w:rFonts w:cs="Arial"/>
          <w:b/>
          <w:i/>
          <w:sz w:val="18"/>
          <w:szCs w:val="18"/>
        </w:rPr>
        <w:t>-              Provision of clearing,</w:t>
      </w:r>
    </w:p>
    <w:p w:rsidR="000834DD" w:rsidRDefault="000834DD" w:rsidP="000834DD">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b/>
          <w:i/>
          <w:sz w:val="18"/>
          <w:szCs w:val="18"/>
        </w:rPr>
      </w:pPr>
      <w:r w:rsidRPr="00D77D16">
        <w:rPr>
          <w:rFonts w:cs="Arial"/>
          <w:b/>
          <w:i/>
          <w:sz w:val="18"/>
          <w:szCs w:val="18"/>
        </w:rPr>
        <w:t>-              Collection and maintenance of data.</w:t>
      </w:r>
    </w:p>
    <w:p w:rsidR="00BC25BC" w:rsidRDefault="00BC25BC" w:rsidP="00BC25BC">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i/>
          <w:sz w:val="18"/>
          <w:szCs w:val="18"/>
        </w:rPr>
      </w:pPr>
      <w:r>
        <w:rPr>
          <w:rFonts w:cs="Arial"/>
          <w:i/>
          <w:sz w:val="18"/>
          <w:szCs w:val="18"/>
        </w:rPr>
        <w:t xml:space="preserve">d) </w:t>
      </w:r>
      <w:r w:rsidRPr="00F03589">
        <w:rPr>
          <w:rFonts w:cs="Arial"/>
          <w:i/>
          <w:sz w:val="18"/>
          <w:szCs w:val="18"/>
        </w:rPr>
        <w:t>[…]</w:t>
      </w:r>
    </w:p>
    <w:p w:rsidR="00BC25BC" w:rsidRDefault="00BC25BC" w:rsidP="00BC25BC">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i/>
          <w:sz w:val="18"/>
          <w:szCs w:val="18"/>
        </w:rPr>
      </w:pPr>
      <w:r>
        <w:rPr>
          <w:rFonts w:cs="Arial"/>
          <w:i/>
          <w:sz w:val="18"/>
          <w:szCs w:val="18"/>
        </w:rPr>
        <w:t>e) […]</w:t>
      </w:r>
    </w:p>
    <w:p w:rsidR="00BC25BC" w:rsidRPr="00D77D16" w:rsidRDefault="00BC25BC" w:rsidP="000834DD">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b/>
          <w:i/>
          <w:sz w:val="18"/>
          <w:szCs w:val="18"/>
        </w:rPr>
      </w:pPr>
      <w:r>
        <w:rPr>
          <w:rFonts w:cs="Arial"/>
          <w:b/>
          <w:i/>
          <w:sz w:val="18"/>
          <w:szCs w:val="18"/>
        </w:rPr>
        <w:t>2. The provision of paragraph 1 (c) of this Article shall not be interpreted in a way which excludes any se</w:t>
      </w:r>
      <w:r>
        <w:rPr>
          <w:rFonts w:cs="Arial"/>
          <w:b/>
          <w:i/>
          <w:sz w:val="18"/>
          <w:szCs w:val="18"/>
        </w:rPr>
        <w:t>r</w:t>
      </w:r>
      <w:r>
        <w:rPr>
          <w:rFonts w:cs="Arial"/>
          <w:b/>
          <w:i/>
          <w:sz w:val="18"/>
          <w:szCs w:val="18"/>
        </w:rPr>
        <w:t xml:space="preserve">vices related to collection and maintenance of data services </w:t>
      </w:r>
      <w:r>
        <w:rPr>
          <w:rFonts w:cs="Arial"/>
          <w:sz w:val="18"/>
          <w:szCs w:val="18"/>
        </w:rPr>
        <w:t xml:space="preserve">(or alternatively </w:t>
      </w:r>
      <w:r>
        <w:rPr>
          <w:rFonts w:cs="Arial"/>
          <w:b/>
          <w:i/>
          <w:sz w:val="18"/>
          <w:szCs w:val="18"/>
        </w:rPr>
        <w:t xml:space="preserve">trade repository </w:t>
      </w:r>
      <w:r w:rsidRPr="00796886">
        <w:rPr>
          <w:rFonts w:cs="Arial"/>
          <w:sz w:val="18"/>
          <w:szCs w:val="18"/>
        </w:rPr>
        <w:t>services</w:t>
      </w:r>
      <w:r>
        <w:rPr>
          <w:rFonts w:cs="Arial"/>
          <w:sz w:val="18"/>
          <w:szCs w:val="18"/>
        </w:rPr>
        <w:t xml:space="preserve">) </w:t>
      </w:r>
      <w:r w:rsidRPr="00796886">
        <w:rPr>
          <w:rFonts w:cs="Arial"/>
          <w:b/>
          <w:i/>
          <w:sz w:val="18"/>
          <w:szCs w:val="18"/>
        </w:rPr>
        <w:t xml:space="preserve">from </w:t>
      </w:r>
      <w:r>
        <w:rPr>
          <w:rFonts w:cs="Arial"/>
          <w:b/>
          <w:i/>
          <w:sz w:val="18"/>
          <w:szCs w:val="18"/>
        </w:rPr>
        <w:t xml:space="preserve">the scope of services listed in Section B point 4 of the </w:t>
      </w:r>
      <w:r w:rsidRPr="00796886">
        <w:rPr>
          <w:rFonts w:cs="Arial"/>
          <w:b/>
          <w:i/>
          <w:sz w:val="18"/>
          <w:szCs w:val="18"/>
        </w:rPr>
        <w:t>Annex of Regulation (EU) No 909/2014</w:t>
      </w:r>
      <w:r>
        <w:rPr>
          <w:rFonts w:cs="Arial"/>
          <w:b/>
          <w:i/>
          <w:sz w:val="18"/>
          <w:szCs w:val="18"/>
        </w:rPr>
        <w:t>.</w:t>
      </w:r>
    </w:p>
    <w:permEnd w:id="570643668"/>
    <w:p w:rsidR="00D12AFD" w:rsidRDefault="00D12AFD" w:rsidP="00D12AFD">
      <w:r>
        <w:t>&lt;ESMA_QUESTION_TS_CSDR_21&gt;</w:t>
      </w:r>
    </w:p>
    <w:p w:rsidR="00D12AFD" w:rsidRDefault="00D12AFD" w:rsidP="00965B03">
      <w:pPr>
        <w:pStyle w:val="Nagwek5"/>
        <w:ind w:left="567" w:hanging="567"/>
      </w:pPr>
      <w:r w:rsidRPr="00C8467F">
        <w:t>What are your views on the proposed draft RTS on CSD risk monitoring tools (Cha</w:t>
      </w:r>
      <w:r w:rsidRPr="00C8467F">
        <w:t>p</w:t>
      </w:r>
      <w:r w:rsidRPr="00C8467F">
        <w:t>ter III of Annex III)?</w:t>
      </w:r>
    </w:p>
    <w:p w:rsidR="00D12AFD" w:rsidRDefault="00D12AFD" w:rsidP="00D12AFD"/>
    <w:p w:rsidR="00D12AFD" w:rsidRDefault="00D12AFD" w:rsidP="00D12AFD">
      <w:r>
        <w:t>&lt;ESMA_QUESTION_TS_CSDR_22&gt;</w:t>
      </w:r>
    </w:p>
    <w:p w:rsidR="000834DD" w:rsidRDefault="000834DD" w:rsidP="009D1DBE">
      <w:permStart w:id="1749384319" w:edGrp="everyone"/>
      <w:r>
        <w:lastRenderedPageBreak/>
        <w:t xml:space="preserve">Art.3 of the RTS introduces restrictions on staff sharing with other group entities. </w:t>
      </w:r>
    </w:p>
    <w:p w:rsidR="000834DD" w:rsidRDefault="000834DD" w:rsidP="009D1DBE">
      <w:proofErr w:type="gramStart"/>
      <w:r>
        <w:t>In general, the principle expressed in Art.</w:t>
      </w:r>
      <w:proofErr w:type="gramEnd"/>
      <w:r>
        <w:t xml:space="preserve"> </w:t>
      </w:r>
      <w:proofErr w:type="gramStart"/>
      <w:r>
        <w:t xml:space="preserve">3 </w:t>
      </w:r>
      <w:proofErr w:type="spellStart"/>
      <w:r>
        <w:t>subpara</w:t>
      </w:r>
      <w:proofErr w:type="spellEnd"/>
      <w:r>
        <w:t>.</w:t>
      </w:r>
      <w:proofErr w:type="gramEnd"/>
      <w:r>
        <w:t xml:space="preserve"> 3 states that a CSD shall not share staff with other group entities unless under the terms of an outsourcing agreement. At the same time, Art. 3 </w:t>
      </w:r>
      <w:proofErr w:type="spellStart"/>
      <w:r>
        <w:t>subparas</w:t>
      </w:r>
      <w:proofErr w:type="spellEnd"/>
      <w:r>
        <w:t>. 4 and 5 introduce exceptions to this rule, whereby it will be possible for certain functions (under certain conditions) of the CRO, CTO, CCO and members of the management board/supervisory board to be shared.</w:t>
      </w:r>
    </w:p>
    <w:p w:rsidR="000834DD" w:rsidRPr="00F115B2" w:rsidRDefault="000834DD" w:rsidP="009D1DBE">
      <w:pPr>
        <w:rPr>
          <w:rFonts w:cs="Arial"/>
        </w:rPr>
      </w:pPr>
      <w:r>
        <w:t xml:space="preserve">With respect to these principles, it should be highlighted that the provisions of Art. 6 </w:t>
      </w:r>
      <w:proofErr w:type="spellStart"/>
      <w:r>
        <w:t>subpara</w:t>
      </w:r>
      <w:proofErr w:type="spellEnd"/>
      <w:r>
        <w:t xml:space="preserve">. 1 may suggest that the exceptions described in Art. 3 </w:t>
      </w:r>
      <w:proofErr w:type="spellStart"/>
      <w:r>
        <w:t>subparas</w:t>
      </w:r>
      <w:proofErr w:type="spellEnd"/>
      <w:r>
        <w:t>. 4 and 5 may also relate to the additionally listed functions of internal control and audit. In our opinion, in order to remove any potential inconsistency and to achieve a uniform approach to the draft RTS provisions, the prov</w:t>
      </w:r>
      <w:r>
        <w:t>i</w:t>
      </w:r>
      <w:r>
        <w:t xml:space="preserve">sions of Art. 3 </w:t>
      </w:r>
      <w:proofErr w:type="spellStart"/>
      <w:r>
        <w:t>subpara</w:t>
      </w:r>
      <w:proofErr w:type="spellEnd"/>
      <w:r>
        <w:t xml:space="preserve">. 4 should be extended to include the functions described a few pages later in Art. 6 </w:t>
      </w:r>
      <w:proofErr w:type="spellStart"/>
      <w:r>
        <w:t>subpara</w:t>
      </w:r>
      <w:proofErr w:type="spellEnd"/>
      <w:r>
        <w:t>. 1.</w:t>
      </w:r>
    </w:p>
    <w:p w:rsidR="000834DD" w:rsidRDefault="000834DD" w:rsidP="009D1DBE">
      <w:pPr>
        <w:rPr>
          <w:rFonts w:cs="Arial"/>
          <w:i/>
          <w:u w:val="single"/>
        </w:rPr>
      </w:pPr>
    </w:p>
    <w:p w:rsidR="000834DD" w:rsidRPr="007436FC" w:rsidRDefault="000834DD" w:rsidP="003E61D5">
      <w:pPr>
        <w:rPr>
          <w:rFonts w:cs="Arial"/>
        </w:rPr>
      </w:pPr>
      <w:r>
        <w:rPr>
          <w:rFonts w:cs="Arial"/>
        </w:rPr>
        <w:t xml:space="preserve">In </w:t>
      </w:r>
      <w:r w:rsidR="003E61D5">
        <w:rPr>
          <w:rFonts w:cs="Arial"/>
        </w:rPr>
        <w:t xml:space="preserve">relation to </w:t>
      </w:r>
      <w:r w:rsidR="003E61D5" w:rsidRPr="003E61D5">
        <w:rPr>
          <w:rFonts w:cs="Arial"/>
        </w:rPr>
        <w:t>Article 4 RTS on CSD requirements - Risk management and internal control mec</w:t>
      </w:r>
      <w:r w:rsidR="003E61D5" w:rsidRPr="003E61D5">
        <w:rPr>
          <w:rFonts w:cs="Arial"/>
        </w:rPr>
        <w:t>h</w:t>
      </w:r>
      <w:r w:rsidR="003E61D5" w:rsidRPr="003E61D5">
        <w:rPr>
          <w:rFonts w:cs="Arial"/>
        </w:rPr>
        <w:t xml:space="preserve">anisms we would like to remark, that in </w:t>
      </w:r>
      <w:r>
        <w:rPr>
          <w:rFonts w:cs="Arial"/>
        </w:rPr>
        <w:t xml:space="preserve">general </w:t>
      </w:r>
      <w:r w:rsidRPr="007436FC">
        <w:rPr>
          <w:rFonts w:cs="Arial"/>
        </w:rPr>
        <w:t>CSDs do not incur risks from clients of their participants and have no way of exercising any control over these clients. We do not think that a legally binding text should impose unreasonable regulatory expectations onto CSDs, especially given that CSDs could be sanctioned for non-compliance with these requirements. We thus recommend removing the phrase “and, where</w:t>
      </w:r>
      <w:r>
        <w:rPr>
          <w:rFonts w:cs="Arial"/>
        </w:rPr>
        <w:t xml:space="preserve"> relevant, their clients" from </w:t>
      </w:r>
      <w:proofErr w:type="gramStart"/>
      <w:r>
        <w:rPr>
          <w:rFonts w:cs="Arial"/>
        </w:rPr>
        <w:t>A</w:t>
      </w:r>
      <w:r w:rsidRPr="007436FC">
        <w:rPr>
          <w:rFonts w:cs="Arial"/>
        </w:rPr>
        <w:t>rt.4(</w:t>
      </w:r>
      <w:proofErr w:type="gramEnd"/>
      <w:r w:rsidRPr="007436FC">
        <w:rPr>
          <w:rFonts w:cs="Arial"/>
        </w:rPr>
        <w:t>1).</w:t>
      </w:r>
    </w:p>
    <w:p w:rsidR="000834DD" w:rsidRDefault="000834DD" w:rsidP="009D1DBE">
      <w:pPr>
        <w:tabs>
          <w:tab w:val="left" w:pos="3402"/>
        </w:tabs>
        <w:suppressAutoHyphens/>
        <w:jc w:val="both"/>
        <w:rPr>
          <w:rFonts w:cs="Arial"/>
        </w:rPr>
      </w:pPr>
      <w:r w:rsidRPr="007436FC">
        <w:rPr>
          <w:rFonts w:cs="Arial"/>
        </w:rPr>
        <w:t>Similarly, we are concern</w:t>
      </w:r>
      <w:r>
        <w:rPr>
          <w:rFonts w:cs="Arial"/>
        </w:rPr>
        <w:t xml:space="preserve">ed that the current wording of </w:t>
      </w:r>
      <w:proofErr w:type="gramStart"/>
      <w:r>
        <w:rPr>
          <w:rFonts w:cs="Arial"/>
        </w:rPr>
        <w:t>A</w:t>
      </w:r>
      <w:r w:rsidRPr="007436FC">
        <w:rPr>
          <w:rFonts w:cs="Arial"/>
        </w:rPr>
        <w:t>rt.4(</w:t>
      </w:r>
      <w:proofErr w:type="gramEnd"/>
      <w:r w:rsidRPr="007436FC">
        <w:rPr>
          <w:rFonts w:cs="Arial"/>
        </w:rPr>
        <w:t>2) would make CSDs legally responsible for assessing the risks they pose to other entities. Introducing such a requirement in Level 2 legislation would impose duties on CSDs without ensuring that they can access the required information to fulfil those duties, and is thus problematic. We thus suggest restricting the legal requirement to those risks to which the CSD itself is exposed.</w:t>
      </w:r>
    </w:p>
    <w:p w:rsidR="000834DD" w:rsidRDefault="000834DD" w:rsidP="009D1DBE">
      <w:pPr>
        <w:tabs>
          <w:tab w:val="left" w:pos="3402"/>
        </w:tabs>
        <w:suppressAutoHyphens/>
        <w:jc w:val="both"/>
        <w:rPr>
          <w:rFonts w:cs="Arial"/>
        </w:rPr>
      </w:pPr>
      <w:r>
        <w:rPr>
          <w:rFonts w:cs="Arial"/>
        </w:rPr>
        <w:t>As for A</w:t>
      </w:r>
      <w:r w:rsidRPr="00F8616C">
        <w:rPr>
          <w:rFonts w:cs="Arial"/>
        </w:rPr>
        <w:t xml:space="preserve">rt.4(9), we believe that the requirement to share </w:t>
      </w:r>
      <w:r w:rsidRPr="00F8616C">
        <w:rPr>
          <w:rFonts w:cs="Arial"/>
          <w:i/>
        </w:rPr>
        <w:t>"rules, procedures and contractual arrangements"</w:t>
      </w:r>
      <w:r w:rsidRPr="00F8616C">
        <w:rPr>
          <w:rFonts w:cs="Arial"/>
        </w:rPr>
        <w:t xml:space="preserve"> with participants and even participants' clients is excessive and will give rise to a whole set of</w:t>
      </w:r>
      <w:r>
        <w:rPr>
          <w:rFonts w:cs="Arial"/>
        </w:rPr>
        <w:t xml:space="preserve"> data protection, business confidentiality and market competition</w:t>
      </w:r>
      <w:r w:rsidRPr="00F8616C">
        <w:rPr>
          <w:rFonts w:cs="Arial"/>
        </w:rPr>
        <w:t xml:space="preserve"> concerns. Participants' contractual documentation should include all the information on the rights and obligation</w:t>
      </w:r>
      <w:r>
        <w:rPr>
          <w:rFonts w:cs="Arial"/>
        </w:rPr>
        <w:t>s</w:t>
      </w:r>
      <w:r w:rsidRPr="00F8616C">
        <w:rPr>
          <w:rFonts w:cs="Arial"/>
        </w:rPr>
        <w:t xml:space="preserve"> of participation in the CSD, and so there is no need for this additional requirement. As for clients of CSD participants, they only have a contractual relationship with a CSD participant. Requiring a CSD to share the details of a contractual arrangem</w:t>
      </w:r>
      <w:r>
        <w:rPr>
          <w:rFonts w:cs="Arial"/>
        </w:rPr>
        <w:t>ent it has with a participant with</w:t>
      </w:r>
      <w:r w:rsidRPr="00F8616C">
        <w:rPr>
          <w:rFonts w:cs="Arial"/>
        </w:rPr>
        <w:t xml:space="preserve"> that participant's client would very likely create competition concerns and violate contractual commitments and data protection rules.</w:t>
      </w:r>
    </w:p>
    <w:p w:rsidR="000834DD" w:rsidRPr="00F8616C" w:rsidRDefault="000834DD" w:rsidP="000834DD">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i/>
          <w:sz w:val="18"/>
          <w:szCs w:val="18"/>
        </w:rPr>
      </w:pPr>
      <w:r w:rsidRPr="00F8616C">
        <w:rPr>
          <w:rFonts w:cs="Arial"/>
          <w:i/>
          <w:sz w:val="18"/>
          <w:szCs w:val="18"/>
        </w:rPr>
        <w:t>Article 4 - Risk management and internal control mechanisms</w:t>
      </w:r>
    </w:p>
    <w:p w:rsidR="000834DD" w:rsidRPr="00F8616C" w:rsidRDefault="000834DD" w:rsidP="000834DD">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i/>
          <w:sz w:val="18"/>
          <w:szCs w:val="18"/>
        </w:rPr>
      </w:pPr>
      <w:r w:rsidRPr="00F8616C">
        <w:rPr>
          <w:rFonts w:cs="Arial"/>
          <w:i/>
          <w:sz w:val="18"/>
          <w:szCs w:val="18"/>
        </w:rPr>
        <w:t xml:space="preserve">1. A CSD shall have a sound framework for the comprehensive management of all relevant risks to which it is or may be exposed. A CSD shall establish documented policies, procedures and systems that identify, measure, monitor and manage such risks. In establishing risk-management policies, procedures and systems, a CSD shall structure them in such a way as to ensure that participants </w:t>
      </w:r>
      <w:r w:rsidRPr="00F8616C">
        <w:rPr>
          <w:rFonts w:cs="Arial"/>
          <w:b/>
          <w:i/>
          <w:strike/>
          <w:sz w:val="18"/>
          <w:szCs w:val="18"/>
        </w:rPr>
        <w:t>and, where relevant, their clients</w:t>
      </w:r>
      <w:r w:rsidRPr="00F8616C">
        <w:rPr>
          <w:rFonts w:cs="Arial"/>
          <w:i/>
          <w:sz w:val="18"/>
          <w:szCs w:val="18"/>
        </w:rPr>
        <w:t xml:space="preserve"> properly manage and contain the risks they pose to the CSD.</w:t>
      </w:r>
    </w:p>
    <w:p w:rsidR="000834DD" w:rsidRPr="00F8616C" w:rsidRDefault="000834DD" w:rsidP="000834DD">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i/>
          <w:sz w:val="18"/>
          <w:szCs w:val="18"/>
        </w:rPr>
      </w:pPr>
      <w:r w:rsidRPr="00F8616C">
        <w:rPr>
          <w:rFonts w:cs="Arial"/>
          <w:i/>
          <w:sz w:val="18"/>
          <w:szCs w:val="18"/>
        </w:rPr>
        <w:t xml:space="preserve">2. A CSD shall take an integrated and comprehensive view of all relevant risks. These shall include the risks it bears from </w:t>
      </w:r>
      <w:r w:rsidRPr="00F8616C">
        <w:rPr>
          <w:rFonts w:cs="Arial"/>
          <w:b/>
          <w:i/>
          <w:strike/>
          <w:sz w:val="18"/>
          <w:szCs w:val="18"/>
        </w:rPr>
        <w:t>and poses</w:t>
      </w:r>
      <w:r w:rsidRPr="00F8616C">
        <w:rPr>
          <w:rFonts w:cs="Arial"/>
          <w:i/>
          <w:sz w:val="18"/>
          <w:szCs w:val="18"/>
        </w:rPr>
        <w:t xml:space="preserve"> to any other entities, including its participants and, to the extent practicable, their clients, as well as linked CSDs and central counterparties, trading venues, payment systems, settlement banks, liquidity providers and investors.</w:t>
      </w:r>
    </w:p>
    <w:p w:rsidR="000834DD" w:rsidRPr="00F8616C" w:rsidRDefault="000834DD" w:rsidP="000834DD">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i/>
          <w:sz w:val="18"/>
          <w:szCs w:val="18"/>
        </w:rPr>
      </w:pPr>
      <w:r w:rsidRPr="00F8616C">
        <w:rPr>
          <w:rFonts w:cs="Arial"/>
          <w:i/>
          <w:sz w:val="18"/>
          <w:szCs w:val="18"/>
        </w:rPr>
        <w:t>[…] 9. The rules, procedures and contractual arrangements of the CSD shall be recorded in writing or on a durable medium. These rules, procedures, and contractual arrangements and any accompanying material shall be accurate, up-to-date and readily available to the competent authority</w:t>
      </w:r>
      <w:r w:rsidRPr="00F8616C">
        <w:rPr>
          <w:rFonts w:cs="Arial"/>
          <w:b/>
          <w:i/>
          <w:strike/>
          <w:sz w:val="18"/>
          <w:szCs w:val="18"/>
        </w:rPr>
        <w:t>, participants, if affecting participants‘ rights and obligations and, where known by the CSD and where affecting clients‘ rights and obligations, their clients</w:t>
      </w:r>
      <w:r w:rsidRPr="00F8616C">
        <w:rPr>
          <w:rFonts w:cs="Arial"/>
          <w:i/>
          <w:sz w:val="18"/>
          <w:szCs w:val="18"/>
        </w:rPr>
        <w:t>.</w:t>
      </w:r>
    </w:p>
    <w:p w:rsidR="000834DD" w:rsidRPr="00EC0B80" w:rsidRDefault="000834DD" w:rsidP="000834DD">
      <w:pPr>
        <w:tabs>
          <w:tab w:val="left" w:pos="3491"/>
        </w:tabs>
        <w:jc w:val="both"/>
        <w:rPr>
          <w:b/>
          <w:color w:val="FF0000"/>
          <w:sz w:val="20"/>
          <w:szCs w:val="20"/>
          <w:u w:val="single"/>
        </w:rPr>
      </w:pPr>
    </w:p>
    <w:p w:rsidR="000834DD" w:rsidRPr="005D1202" w:rsidRDefault="000834DD" w:rsidP="009D1DBE">
      <w:pPr>
        <w:autoSpaceDE w:val="0"/>
        <w:autoSpaceDN w:val="0"/>
        <w:adjustRightInd w:val="0"/>
        <w:jc w:val="both"/>
        <w:rPr>
          <w:rFonts w:cs="Arial"/>
          <w:lang w:val="en-US"/>
        </w:rPr>
      </w:pPr>
      <w:r w:rsidRPr="005D1202">
        <w:rPr>
          <w:rFonts w:cs="Arial"/>
          <w:color w:val="000000"/>
          <w:lang w:val="en-US"/>
        </w:rPr>
        <w:lastRenderedPageBreak/>
        <w:t xml:space="preserve">In addition, we have some doubts about the required composition of the CSD risk committee, as regards </w:t>
      </w:r>
      <w:r w:rsidRPr="005D1202">
        <w:rPr>
          <w:rFonts w:cs="Arial"/>
          <w:lang w:val="en-US"/>
        </w:rPr>
        <w:t>art. </w:t>
      </w:r>
      <w:proofErr w:type="gramStart"/>
      <w:r w:rsidRPr="005D1202">
        <w:rPr>
          <w:rFonts w:cs="Arial"/>
          <w:lang w:val="en-US"/>
        </w:rPr>
        <w:t>5(5) of the draft RTS on CSD requirements.</w:t>
      </w:r>
      <w:proofErr w:type="gramEnd"/>
    </w:p>
    <w:p w:rsidR="000834DD" w:rsidRPr="005D1202" w:rsidRDefault="000834DD" w:rsidP="009D1DBE">
      <w:pPr>
        <w:autoSpaceDE w:val="0"/>
        <w:autoSpaceDN w:val="0"/>
        <w:adjustRightInd w:val="0"/>
        <w:jc w:val="both"/>
        <w:rPr>
          <w:rFonts w:cs="Arial"/>
          <w:lang w:val="en-US"/>
        </w:rPr>
      </w:pPr>
    </w:p>
    <w:p w:rsidR="000834DD" w:rsidRPr="005D1202" w:rsidRDefault="000834DD" w:rsidP="009D1DBE">
      <w:pPr>
        <w:autoSpaceDE w:val="0"/>
        <w:autoSpaceDN w:val="0"/>
        <w:adjustRightInd w:val="0"/>
        <w:jc w:val="both"/>
        <w:rPr>
          <w:rFonts w:cs="Arial"/>
          <w:lang w:val="en-US"/>
        </w:rPr>
      </w:pPr>
      <w:r w:rsidRPr="005D1202">
        <w:rPr>
          <w:rFonts w:cs="Arial"/>
          <w:lang w:val="en-US"/>
        </w:rPr>
        <w:t xml:space="preserve">In particular, it should be clarified whether the phrase </w:t>
      </w:r>
      <w:r w:rsidRPr="005D1202">
        <w:rPr>
          <w:rFonts w:cs="Arial"/>
          <w:i/>
          <w:lang w:val="en-US"/>
        </w:rPr>
        <w:t>“where there are management body me</w:t>
      </w:r>
      <w:r w:rsidRPr="005D1202">
        <w:rPr>
          <w:rFonts w:cs="Arial"/>
          <w:i/>
          <w:lang w:val="en-US"/>
        </w:rPr>
        <w:t>m</w:t>
      </w:r>
      <w:r w:rsidRPr="005D1202">
        <w:rPr>
          <w:rFonts w:cs="Arial"/>
          <w:i/>
          <w:lang w:val="en-US"/>
        </w:rPr>
        <w:t>bers sitting as members of the risk committee”</w:t>
      </w:r>
      <w:r w:rsidRPr="005D1202">
        <w:rPr>
          <w:rFonts w:cs="Arial"/>
          <w:lang w:val="en-US"/>
        </w:rPr>
        <w:t xml:space="preserve"> means that the requirement to have a majority of non-executive members applies </w:t>
      </w:r>
      <w:r w:rsidRPr="005D1202">
        <w:rPr>
          <w:rFonts w:cs="Arial"/>
          <w:b/>
          <w:lang w:val="en-US"/>
        </w:rPr>
        <w:t>only</w:t>
      </w:r>
      <w:r w:rsidRPr="005D1202">
        <w:rPr>
          <w:rFonts w:cs="Arial"/>
          <w:lang w:val="en-US"/>
        </w:rPr>
        <w:t xml:space="preserve"> </w:t>
      </w:r>
      <w:r w:rsidRPr="005D1202">
        <w:rPr>
          <w:rFonts w:cs="Arial"/>
          <w:b/>
          <w:lang w:val="en-US"/>
        </w:rPr>
        <w:t>in case</w:t>
      </w:r>
      <w:r w:rsidRPr="005D1202">
        <w:rPr>
          <w:rFonts w:cs="Arial"/>
          <w:lang w:val="en-US"/>
        </w:rPr>
        <w:t xml:space="preserve"> there are management body members sitting as members of the risk committee. Accordingly, a CSD risk committee would not have to be nece</w:t>
      </w:r>
      <w:r w:rsidRPr="005D1202">
        <w:rPr>
          <w:rFonts w:cs="Arial"/>
          <w:lang w:val="en-US"/>
        </w:rPr>
        <w:t>s</w:t>
      </w:r>
      <w:r w:rsidRPr="005D1202">
        <w:rPr>
          <w:rFonts w:cs="Arial"/>
          <w:lang w:val="en-US"/>
        </w:rPr>
        <w:t>sarily composed of members of the management body.</w:t>
      </w:r>
    </w:p>
    <w:p w:rsidR="000834DD" w:rsidRPr="005D1202" w:rsidRDefault="000834DD" w:rsidP="009D1DBE">
      <w:pPr>
        <w:autoSpaceDE w:val="0"/>
        <w:autoSpaceDN w:val="0"/>
        <w:adjustRightInd w:val="0"/>
        <w:jc w:val="both"/>
        <w:rPr>
          <w:rFonts w:cs="Arial"/>
          <w:lang w:val="en-US"/>
        </w:rPr>
      </w:pPr>
      <w:r w:rsidRPr="005D1202">
        <w:rPr>
          <w:rFonts w:cs="Arial"/>
          <w:lang w:val="en-US"/>
        </w:rPr>
        <w:t xml:space="preserve">Moreover it should be clarified whether </w:t>
      </w:r>
      <w:r w:rsidRPr="005D1202">
        <w:rPr>
          <w:rFonts w:cs="Arial"/>
          <w:i/>
          <w:lang w:val="en-US"/>
        </w:rPr>
        <w:t>“non-executive members”</w:t>
      </w:r>
      <w:r w:rsidRPr="005D1202">
        <w:rPr>
          <w:rFonts w:cs="Arial"/>
          <w:lang w:val="en-US"/>
        </w:rPr>
        <w:t xml:space="preserve">, to have a majority in the risk committee, means members of the management body which are not senior managers at the CSD or whether it also includes </w:t>
      </w:r>
      <w:r w:rsidRPr="005D1202">
        <w:rPr>
          <w:rFonts w:cs="Arial"/>
          <w:b/>
          <w:lang w:val="en-US"/>
        </w:rPr>
        <w:t>CSD employees</w:t>
      </w:r>
      <w:r w:rsidRPr="005D1202">
        <w:rPr>
          <w:rFonts w:cs="Arial"/>
          <w:lang w:val="en-US"/>
        </w:rPr>
        <w:t xml:space="preserve"> which are not senior managers. Assuming that operational risk is the primary risk that a CSD faces (paragraph 237 on page 70 of “Consultation Paper”), the CSD risk committee should first of all focus on operational risk. We believe that the point of view from inside the </w:t>
      </w:r>
      <w:proofErr w:type="spellStart"/>
      <w:r w:rsidRPr="005D1202">
        <w:rPr>
          <w:rFonts w:cs="Arial"/>
          <w:lang w:val="en-US"/>
        </w:rPr>
        <w:t>organisation</w:t>
      </w:r>
      <w:proofErr w:type="spellEnd"/>
      <w:r w:rsidRPr="005D1202">
        <w:rPr>
          <w:rFonts w:cs="Arial"/>
          <w:lang w:val="en-US"/>
        </w:rPr>
        <w:t xml:space="preserve"> is absolutely necessary for the management of this specific </w:t>
      </w:r>
      <w:proofErr w:type="gramStart"/>
      <w:r w:rsidRPr="005D1202">
        <w:rPr>
          <w:rFonts w:cs="Arial"/>
          <w:lang w:val="en-US"/>
        </w:rPr>
        <w:t>risk,</w:t>
      </w:r>
      <w:proofErr w:type="gramEnd"/>
      <w:r w:rsidRPr="005D1202">
        <w:rPr>
          <w:rFonts w:cs="Arial"/>
          <w:lang w:val="en-US"/>
        </w:rPr>
        <w:t xml:space="preserve"> therefore it should be acceptable that the risk committee is composed of a majority of CSD employees.</w:t>
      </w:r>
    </w:p>
    <w:p w:rsidR="00D32786" w:rsidRDefault="00D32786" w:rsidP="009D1DBE">
      <w:pPr>
        <w:tabs>
          <w:tab w:val="left" w:pos="3491"/>
        </w:tabs>
        <w:jc w:val="both"/>
        <w:rPr>
          <w:rFonts w:cs="Arial"/>
          <w:szCs w:val="22"/>
          <w:u w:val="single"/>
        </w:rPr>
      </w:pPr>
    </w:p>
    <w:p w:rsidR="000834DD" w:rsidRPr="009D1DBE" w:rsidRDefault="00D32786" w:rsidP="00D32786">
      <w:pPr>
        <w:tabs>
          <w:tab w:val="left" w:pos="3491"/>
        </w:tabs>
        <w:jc w:val="both"/>
        <w:rPr>
          <w:rFonts w:cs="Arial"/>
          <w:szCs w:val="22"/>
        </w:rPr>
      </w:pPr>
      <w:r w:rsidRPr="00D32786">
        <w:rPr>
          <w:rFonts w:cs="Arial"/>
          <w:szCs w:val="22"/>
        </w:rPr>
        <w:t xml:space="preserve">In relation to </w:t>
      </w:r>
      <w:r w:rsidR="000834DD" w:rsidRPr="00D32786">
        <w:rPr>
          <w:rFonts w:cs="Arial"/>
          <w:szCs w:val="22"/>
        </w:rPr>
        <w:t>Article 7 RTS on CSD requirements – Internal auditing</w:t>
      </w:r>
      <w:r w:rsidRPr="00D32786">
        <w:rPr>
          <w:rFonts w:cs="Arial"/>
          <w:szCs w:val="22"/>
        </w:rPr>
        <w:t xml:space="preserve"> we would like to </w:t>
      </w:r>
      <w:proofErr w:type="spellStart"/>
      <w:r w:rsidRPr="00D32786">
        <w:rPr>
          <w:rFonts w:cs="Arial"/>
          <w:szCs w:val="22"/>
        </w:rPr>
        <w:t>straess</w:t>
      </w:r>
      <w:proofErr w:type="spellEnd"/>
      <w:r w:rsidRPr="00D32786">
        <w:rPr>
          <w:rFonts w:cs="Arial"/>
          <w:szCs w:val="22"/>
        </w:rPr>
        <w:t>,</w:t>
      </w:r>
      <w:r>
        <w:rPr>
          <w:rFonts w:cs="Arial"/>
          <w:szCs w:val="22"/>
          <w:u w:val="single"/>
        </w:rPr>
        <w:t xml:space="preserve"> </w:t>
      </w:r>
      <w:r w:rsidRPr="00D32786">
        <w:rPr>
          <w:rFonts w:cs="Arial"/>
          <w:szCs w:val="22"/>
        </w:rPr>
        <w:t xml:space="preserve">that </w:t>
      </w:r>
      <w:r w:rsidR="000834DD" w:rsidRPr="008F68F3">
        <w:rPr>
          <w:rFonts w:cs="Arial"/>
          <w:szCs w:val="22"/>
        </w:rPr>
        <w:t>KDPW</w:t>
      </w:r>
      <w:r w:rsidR="000834DD" w:rsidRPr="009D1DBE">
        <w:rPr>
          <w:rFonts w:cs="Arial"/>
          <w:szCs w:val="22"/>
        </w:rPr>
        <w:t xml:space="preserve"> should make available the results of the internal audit to the user committee to the extent that these results are related to the mandate of the user committee, with the proviso that members of this committee that are settlement </w:t>
      </w:r>
      <w:proofErr w:type="spellStart"/>
      <w:r w:rsidR="000834DD" w:rsidRPr="009D1DBE">
        <w:rPr>
          <w:rFonts w:cs="Arial"/>
          <w:szCs w:val="22"/>
        </w:rPr>
        <w:t>internalisers</w:t>
      </w:r>
      <w:proofErr w:type="spellEnd"/>
      <w:r w:rsidR="000834DD" w:rsidRPr="009D1DBE">
        <w:rPr>
          <w:rFonts w:cs="Arial"/>
          <w:szCs w:val="22"/>
        </w:rPr>
        <w:t xml:space="preserve"> should not receive this information. The question arises then, how will KDPW be able to identify these members of the user commi</w:t>
      </w:r>
      <w:r w:rsidR="000834DD" w:rsidRPr="009D1DBE">
        <w:rPr>
          <w:rFonts w:cs="Arial"/>
          <w:szCs w:val="22"/>
        </w:rPr>
        <w:t>t</w:t>
      </w:r>
      <w:r w:rsidR="000834DD" w:rsidRPr="009D1DBE">
        <w:rPr>
          <w:rFonts w:cs="Arial"/>
          <w:szCs w:val="22"/>
        </w:rPr>
        <w:t xml:space="preserve">tee, since the CSDR does not give a CSD such authority. Settlement </w:t>
      </w:r>
      <w:proofErr w:type="spellStart"/>
      <w:r w:rsidR="000834DD" w:rsidRPr="009D1DBE">
        <w:rPr>
          <w:rFonts w:cs="Arial"/>
          <w:szCs w:val="22"/>
        </w:rPr>
        <w:t>internalisers</w:t>
      </w:r>
      <w:proofErr w:type="spellEnd"/>
      <w:r w:rsidR="000834DD" w:rsidRPr="009D1DBE">
        <w:rPr>
          <w:rFonts w:cs="Arial"/>
          <w:szCs w:val="22"/>
        </w:rPr>
        <w:t xml:space="preserve"> report each quarter to the competent authority. It will therefore be necessary, working with the Polish Fina</w:t>
      </w:r>
      <w:r w:rsidR="000834DD" w:rsidRPr="009D1DBE">
        <w:rPr>
          <w:rFonts w:cs="Arial"/>
          <w:szCs w:val="22"/>
        </w:rPr>
        <w:t>n</w:t>
      </w:r>
      <w:r w:rsidR="000834DD" w:rsidRPr="009D1DBE">
        <w:rPr>
          <w:rFonts w:cs="Arial"/>
          <w:szCs w:val="22"/>
        </w:rPr>
        <w:t>cial Supervision Authority (</w:t>
      </w:r>
      <w:r>
        <w:rPr>
          <w:rFonts w:cs="Arial"/>
          <w:szCs w:val="22"/>
        </w:rPr>
        <w:t>our</w:t>
      </w:r>
      <w:r w:rsidR="000834DD" w:rsidRPr="009D1DBE">
        <w:rPr>
          <w:rFonts w:cs="Arial"/>
          <w:szCs w:val="22"/>
        </w:rPr>
        <w:t xml:space="preserve"> competent authority) to prepare the means to identify, since, in accordance with the provisions of the RTS it is KDPW that will be responsible for making this information available to the settlement </w:t>
      </w:r>
      <w:proofErr w:type="spellStart"/>
      <w:r w:rsidR="000834DD" w:rsidRPr="009D1DBE">
        <w:rPr>
          <w:rFonts w:cs="Arial"/>
          <w:szCs w:val="22"/>
        </w:rPr>
        <w:t>internalisers</w:t>
      </w:r>
      <w:proofErr w:type="spellEnd"/>
      <w:r w:rsidR="000834DD" w:rsidRPr="009D1DBE">
        <w:rPr>
          <w:rFonts w:cs="Arial"/>
          <w:szCs w:val="22"/>
        </w:rPr>
        <w:t xml:space="preserve">. In such instances, it is enough not to be a settlement </w:t>
      </w:r>
      <w:proofErr w:type="spellStart"/>
      <w:r w:rsidR="000834DD" w:rsidRPr="009D1DBE">
        <w:rPr>
          <w:rFonts w:cs="Arial"/>
          <w:szCs w:val="22"/>
        </w:rPr>
        <w:t>internaliser</w:t>
      </w:r>
      <w:proofErr w:type="spellEnd"/>
      <w:r w:rsidR="000834DD" w:rsidRPr="009D1DBE">
        <w:rPr>
          <w:rFonts w:cs="Arial"/>
          <w:szCs w:val="22"/>
        </w:rPr>
        <w:t xml:space="preserve"> in the calendar quarter, in which KDPW is performing an internal audit to obtain the results of this audit as a member of the user committee not being a settlement </w:t>
      </w:r>
      <w:proofErr w:type="spellStart"/>
      <w:r w:rsidR="000834DD" w:rsidRPr="009D1DBE">
        <w:rPr>
          <w:rFonts w:cs="Arial"/>
          <w:szCs w:val="22"/>
        </w:rPr>
        <w:t>inte</w:t>
      </w:r>
      <w:r w:rsidR="000834DD" w:rsidRPr="009D1DBE">
        <w:rPr>
          <w:rFonts w:cs="Arial"/>
          <w:szCs w:val="22"/>
        </w:rPr>
        <w:t>r</w:t>
      </w:r>
      <w:r w:rsidR="000834DD" w:rsidRPr="009D1DBE">
        <w:rPr>
          <w:rFonts w:cs="Arial"/>
          <w:szCs w:val="22"/>
        </w:rPr>
        <w:t>naliser</w:t>
      </w:r>
      <w:proofErr w:type="spellEnd"/>
      <w:r w:rsidR="000834DD" w:rsidRPr="009D1DBE">
        <w:rPr>
          <w:rFonts w:cs="Arial"/>
          <w:szCs w:val="22"/>
        </w:rPr>
        <w:t>.</w:t>
      </w:r>
    </w:p>
    <w:p w:rsidR="000834DD" w:rsidRPr="009D1DBE" w:rsidRDefault="000834DD" w:rsidP="009D1DBE">
      <w:pPr>
        <w:pStyle w:val="Default"/>
        <w:rPr>
          <w:rFonts w:ascii="Arial" w:hAnsi="Arial" w:cs="Arial"/>
          <w:color w:val="FF0000"/>
          <w:sz w:val="22"/>
          <w:szCs w:val="22"/>
          <w:lang w:val="en-US"/>
        </w:rPr>
      </w:pPr>
    </w:p>
    <w:p w:rsidR="000834DD" w:rsidRPr="009D1DBE" w:rsidRDefault="000834DD" w:rsidP="009D1DBE">
      <w:pPr>
        <w:pStyle w:val="Default"/>
        <w:rPr>
          <w:rFonts w:ascii="Arial" w:hAnsi="Arial" w:cs="Arial"/>
          <w:color w:val="auto"/>
          <w:sz w:val="22"/>
          <w:szCs w:val="22"/>
          <w:lang w:val="en-GB" w:eastAsia="de-DE"/>
        </w:rPr>
      </w:pPr>
      <w:r w:rsidRPr="009D1DBE">
        <w:rPr>
          <w:rFonts w:ascii="Arial" w:hAnsi="Arial" w:cs="Arial"/>
          <w:color w:val="auto"/>
          <w:sz w:val="22"/>
          <w:szCs w:val="22"/>
          <w:lang w:val="en-GB" w:eastAsia="de-DE"/>
        </w:rPr>
        <w:t>We propose deleting direct reporting to the management body of the CSD</w:t>
      </w:r>
      <w:r w:rsidR="00CD2CAF">
        <w:rPr>
          <w:rFonts w:ascii="Arial" w:hAnsi="Arial" w:cs="Arial"/>
          <w:color w:val="auto"/>
          <w:sz w:val="22"/>
          <w:szCs w:val="22"/>
          <w:lang w:val="en-GB" w:eastAsia="de-DE"/>
        </w:rPr>
        <w:t xml:space="preserve"> from</w:t>
      </w:r>
      <w:r w:rsidR="00CD2CAF" w:rsidRPr="00CD2CAF">
        <w:rPr>
          <w:rFonts w:ascii="Arial" w:hAnsi="Arial" w:cs="Arial"/>
          <w:color w:val="auto"/>
          <w:sz w:val="22"/>
          <w:szCs w:val="22"/>
          <w:lang w:val="en-GB"/>
        </w:rPr>
        <w:t xml:space="preserve"> </w:t>
      </w:r>
      <w:r w:rsidR="00CD2CAF" w:rsidRPr="009D1DBE">
        <w:rPr>
          <w:rFonts w:ascii="Arial" w:hAnsi="Arial" w:cs="Arial"/>
          <w:color w:val="auto"/>
          <w:sz w:val="22"/>
          <w:szCs w:val="22"/>
          <w:lang w:val="en-GB"/>
        </w:rPr>
        <w:t>Art. 7.2</w:t>
      </w:r>
      <w:r w:rsidRPr="009D1DBE">
        <w:rPr>
          <w:rFonts w:ascii="Arial" w:hAnsi="Arial" w:cs="Arial"/>
          <w:color w:val="auto"/>
          <w:sz w:val="22"/>
          <w:szCs w:val="22"/>
          <w:lang w:val="en-GB" w:eastAsia="de-DE"/>
        </w:rPr>
        <w:t>. The manner in which the management body is informed about matters relating to internal audits should be governed by internal corporate decisions. Introducing a direct reporting line is very restrictive here and may raise concerns whether it will be possible to report via a</w:t>
      </w:r>
      <w:r w:rsidR="00CD2CAF">
        <w:rPr>
          <w:rFonts w:ascii="Arial" w:hAnsi="Arial" w:cs="Arial"/>
          <w:color w:val="auto"/>
          <w:sz w:val="22"/>
          <w:szCs w:val="22"/>
          <w:lang w:val="en-GB" w:eastAsia="de-DE"/>
        </w:rPr>
        <w:t>n</w:t>
      </w:r>
      <w:r w:rsidRPr="009D1DBE">
        <w:rPr>
          <w:rFonts w:ascii="Arial" w:hAnsi="Arial" w:cs="Arial"/>
          <w:color w:val="auto"/>
          <w:sz w:val="22"/>
          <w:szCs w:val="22"/>
          <w:lang w:val="en-GB" w:eastAsia="de-DE"/>
        </w:rPr>
        <w:t xml:space="preserve"> audit commi</w:t>
      </w:r>
      <w:r w:rsidRPr="009D1DBE">
        <w:rPr>
          <w:rFonts w:ascii="Arial" w:hAnsi="Arial" w:cs="Arial"/>
          <w:color w:val="auto"/>
          <w:sz w:val="22"/>
          <w:szCs w:val="22"/>
          <w:lang w:val="en-GB" w:eastAsia="de-DE"/>
        </w:rPr>
        <w:t>t</w:t>
      </w:r>
      <w:r w:rsidRPr="009D1DBE">
        <w:rPr>
          <w:rFonts w:ascii="Arial" w:hAnsi="Arial" w:cs="Arial"/>
          <w:color w:val="auto"/>
          <w:sz w:val="22"/>
          <w:szCs w:val="22"/>
          <w:lang w:val="en-GB" w:eastAsia="de-DE"/>
        </w:rPr>
        <w:t>tee separate from the management body (as currently takes place in KDPW_CCP), which did not raise con</w:t>
      </w:r>
      <w:r w:rsidR="00DD081F" w:rsidRPr="009D1DBE">
        <w:rPr>
          <w:rFonts w:ascii="Arial" w:hAnsi="Arial" w:cs="Arial"/>
          <w:color w:val="auto"/>
          <w:sz w:val="22"/>
          <w:szCs w:val="22"/>
          <w:lang w:val="en-GB" w:eastAsia="de-DE"/>
        </w:rPr>
        <w:t>c</w:t>
      </w:r>
      <w:r w:rsidRPr="009D1DBE">
        <w:rPr>
          <w:rFonts w:ascii="Arial" w:hAnsi="Arial" w:cs="Arial"/>
          <w:color w:val="auto"/>
          <w:sz w:val="22"/>
          <w:szCs w:val="22"/>
          <w:lang w:val="en-GB" w:eastAsia="de-DE"/>
        </w:rPr>
        <w:t>erns at the level of the implementation of EMIR.</w:t>
      </w:r>
    </w:p>
    <w:p w:rsidR="000834DD" w:rsidRPr="009D1DBE" w:rsidRDefault="000834DD" w:rsidP="009D1DBE">
      <w:pPr>
        <w:pStyle w:val="Default"/>
        <w:rPr>
          <w:rFonts w:ascii="Arial" w:hAnsi="Arial" w:cs="Arial"/>
          <w:color w:val="auto"/>
          <w:sz w:val="22"/>
          <w:szCs w:val="22"/>
          <w:lang w:val="en-US" w:eastAsia="de-DE"/>
        </w:rPr>
      </w:pPr>
    </w:p>
    <w:p w:rsidR="00DD081F" w:rsidRPr="009D1DBE" w:rsidRDefault="00DD081F" w:rsidP="009D1DBE">
      <w:pPr>
        <w:tabs>
          <w:tab w:val="left" w:pos="567"/>
        </w:tabs>
        <w:jc w:val="both"/>
        <w:rPr>
          <w:rFonts w:cs="Arial"/>
          <w:szCs w:val="22"/>
        </w:rPr>
      </w:pPr>
      <w:r w:rsidRPr="009D1DBE">
        <w:rPr>
          <w:rFonts w:cs="Arial"/>
          <w:szCs w:val="22"/>
        </w:rPr>
        <w:t>As regards the frequency of independent audits</w:t>
      </w:r>
      <w:r w:rsidR="00CD2CAF" w:rsidRPr="00CD2CAF">
        <w:rPr>
          <w:rFonts w:cs="Arial"/>
          <w:szCs w:val="22"/>
        </w:rPr>
        <w:t xml:space="preserve"> </w:t>
      </w:r>
      <w:r w:rsidR="00CD2CAF">
        <w:rPr>
          <w:rFonts w:cs="Arial"/>
          <w:szCs w:val="22"/>
        </w:rPr>
        <w:t>(</w:t>
      </w:r>
      <w:r w:rsidR="00CD2CAF" w:rsidRPr="009D1DBE">
        <w:rPr>
          <w:rFonts w:cs="Arial"/>
          <w:szCs w:val="22"/>
        </w:rPr>
        <w:t>Art. 7.7</w:t>
      </w:r>
      <w:r w:rsidR="00CD2CAF">
        <w:rPr>
          <w:rFonts w:cs="Arial"/>
          <w:szCs w:val="22"/>
        </w:rPr>
        <w:t>)</w:t>
      </w:r>
      <w:r w:rsidRPr="009D1DBE">
        <w:rPr>
          <w:rFonts w:cs="Arial"/>
          <w:szCs w:val="22"/>
        </w:rPr>
        <w:t>, KDPW considers that it would be more proportionate to conduct independent audits on a risk based approach rather than ma</w:t>
      </w:r>
      <w:r w:rsidRPr="009D1DBE">
        <w:rPr>
          <w:rFonts w:cs="Arial"/>
          <w:szCs w:val="22"/>
        </w:rPr>
        <w:t>n</w:t>
      </w:r>
      <w:r w:rsidRPr="009D1DBE">
        <w:rPr>
          <w:rFonts w:cs="Arial"/>
          <w:szCs w:val="22"/>
        </w:rPr>
        <w:t>date it every year. In our opinion independent audits should be performed at least every 3 years.</w:t>
      </w:r>
    </w:p>
    <w:permEnd w:id="1749384319"/>
    <w:p w:rsidR="00D12AFD" w:rsidRDefault="00D12AFD" w:rsidP="00D12AFD">
      <w:r>
        <w:t>&lt;ESMA_QUESTION_TS_CSDR_22&gt;</w:t>
      </w:r>
    </w:p>
    <w:p w:rsidR="00D12AFD" w:rsidRDefault="00D12AFD" w:rsidP="00965B03">
      <w:pPr>
        <w:pStyle w:val="Nagwek5"/>
        <w:ind w:left="567" w:hanging="567"/>
      </w:pPr>
      <w:r w:rsidRPr="00C8467F">
        <w:t>What are your views on the proposed draft RTS on CSD record keeping (Chapter IV of Annex III) and draft ITS on CSD record keeping (Annex VII)?</w:t>
      </w:r>
    </w:p>
    <w:p w:rsidR="00D12AFD" w:rsidRDefault="00D12AFD" w:rsidP="00D12AFD"/>
    <w:p w:rsidR="00D12AFD" w:rsidRDefault="00D12AFD" w:rsidP="00D12AFD">
      <w:r>
        <w:t>&lt;ESMA_QUESTION_TS_CSDR_23&gt;</w:t>
      </w:r>
    </w:p>
    <w:p w:rsidR="000A3170" w:rsidRPr="009D1DBE" w:rsidRDefault="000A3170" w:rsidP="000A3170">
      <w:pPr>
        <w:tabs>
          <w:tab w:val="left" w:pos="567"/>
        </w:tabs>
        <w:jc w:val="both"/>
        <w:rPr>
          <w:rFonts w:cs="Arial"/>
        </w:rPr>
      </w:pPr>
      <w:permStart w:id="1295218881" w:edGrp="everyone"/>
      <w:r w:rsidRPr="009D1DBE">
        <w:rPr>
          <w:rFonts w:cs="Arial"/>
        </w:rPr>
        <w:t>As regards Art.8(8), we believe that a direct data feed is not necessary to demonstrate a CSD's compliance with the CSDR – moreover, it entails considerable costs, while potentially raising confidentiality issues in relation to participants' activity in the CSD. Given that the competent authorities can obtain information promptly from the CSD upo</w:t>
      </w:r>
      <w:r>
        <w:rPr>
          <w:rFonts w:cs="Arial"/>
        </w:rPr>
        <w:t xml:space="preserve">n request, we suggest deleting </w:t>
      </w:r>
      <w:proofErr w:type="gramStart"/>
      <w:r>
        <w:rPr>
          <w:rFonts w:cs="Arial"/>
        </w:rPr>
        <w:t>A</w:t>
      </w:r>
      <w:r w:rsidRPr="009D1DBE">
        <w:rPr>
          <w:rFonts w:cs="Arial"/>
        </w:rPr>
        <w:t>rt.8(</w:t>
      </w:r>
      <w:proofErr w:type="gramEnd"/>
      <w:r w:rsidRPr="009D1DBE">
        <w:rPr>
          <w:rFonts w:cs="Arial"/>
        </w:rPr>
        <w:t>8).</w:t>
      </w:r>
    </w:p>
    <w:p w:rsidR="000A3170" w:rsidRPr="000A2949" w:rsidRDefault="000A3170" w:rsidP="000A3170">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i/>
          <w:sz w:val="18"/>
          <w:szCs w:val="18"/>
        </w:rPr>
      </w:pPr>
      <w:r w:rsidRPr="000A2949">
        <w:rPr>
          <w:rFonts w:cs="Arial"/>
          <w:i/>
          <w:sz w:val="18"/>
          <w:szCs w:val="18"/>
        </w:rPr>
        <w:lastRenderedPageBreak/>
        <w:t>Article 8 - General Requirements</w:t>
      </w:r>
    </w:p>
    <w:p w:rsidR="000A3170" w:rsidRPr="000A2949" w:rsidRDefault="000A3170" w:rsidP="000A3170">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b/>
          <w:i/>
          <w:strike/>
          <w:sz w:val="18"/>
          <w:szCs w:val="18"/>
        </w:rPr>
      </w:pPr>
      <w:r w:rsidRPr="000A2949">
        <w:rPr>
          <w:rFonts w:cs="Arial"/>
          <w:i/>
          <w:sz w:val="18"/>
          <w:szCs w:val="18"/>
        </w:rPr>
        <w:t xml:space="preserve">[…] </w:t>
      </w:r>
      <w:r w:rsidRPr="000A2949">
        <w:rPr>
          <w:rFonts w:cs="Arial"/>
          <w:b/>
          <w:i/>
          <w:strike/>
          <w:sz w:val="18"/>
          <w:szCs w:val="18"/>
        </w:rPr>
        <w:t>8. A CSD shall provide the competent authority with a direct data feed to transactions, settlement instru</w:t>
      </w:r>
      <w:r w:rsidRPr="000A2949">
        <w:rPr>
          <w:rFonts w:cs="Arial"/>
          <w:b/>
          <w:i/>
          <w:strike/>
          <w:sz w:val="18"/>
          <w:szCs w:val="18"/>
        </w:rPr>
        <w:t>c</w:t>
      </w:r>
      <w:r w:rsidRPr="000A2949">
        <w:rPr>
          <w:rFonts w:cs="Arial"/>
          <w:b/>
          <w:i/>
          <w:strike/>
          <w:sz w:val="18"/>
          <w:szCs w:val="18"/>
        </w:rPr>
        <w:t>tions, and position records, when requested by the competent authority, provided that the CSD is given sufficient time to implement the necessary facility to respond to such a request.</w:t>
      </w:r>
    </w:p>
    <w:p w:rsidR="000A3170" w:rsidRDefault="000A3170" w:rsidP="0035164A">
      <w:pPr>
        <w:rPr>
          <w:rFonts w:cs="Arial"/>
        </w:rPr>
      </w:pPr>
    </w:p>
    <w:p w:rsidR="005C493F" w:rsidRDefault="000A3170" w:rsidP="0035164A">
      <w:pPr>
        <w:rPr>
          <w:rFonts w:cs="Arial"/>
        </w:rPr>
      </w:pPr>
      <w:r>
        <w:rPr>
          <w:rFonts w:cs="Arial"/>
        </w:rPr>
        <w:t>A</w:t>
      </w:r>
      <w:r w:rsidR="0035164A">
        <w:rPr>
          <w:rFonts w:cs="Arial"/>
        </w:rPr>
        <w:t xml:space="preserve">s regards </w:t>
      </w:r>
      <w:r w:rsidR="005C493F">
        <w:rPr>
          <w:rFonts w:cs="Arial"/>
        </w:rPr>
        <w:t>Art 9 (2)</w:t>
      </w:r>
      <w:r w:rsidR="0035164A">
        <w:rPr>
          <w:rFonts w:cs="Arial"/>
        </w:rPr>
        <w:t>,</w:t>
      </w:r>
      <w:r w:rsidR="005C493F">
        <w:rPr>
          <w:rFonts w:cs="Arial"/>
        </w:rPr>
        <w:t xml:space="preserve"> </w:t>
      </w:r>
      <w:r w:rsidR="0035164A">
        <w:rPr>
          <w:rFonts w:cs="Arial"/>
        </w:rPr>
        <w:t>an a</w:t>
      </w:r>
      <w:r w:rsidR="005C493F">
        <w:rPr>
          <w:rFonts w:cs="Arial"/>
        </w:rPr>
        <w:t>llowance needs to be made for the proposal to delay the entry into force of Settlement Discipline provisions. At the same time though, provisions relating to record keeping with respect to data related to settlement discipline should begin to take effect from the moment of the entry into force of these obligations. A</w:t>
      </w:r>
      <w:r w:rsidR="0035164A">
        <w:rPr>
          <w:rFonts w:cs="Arial"/>
        </w:rPr>
        <w:t>n</w:t>
      </w:r>
      <w:r w:rsidR="005C493F">
        <w:rPr>
          <w:rFonts w:cs="Arial"/>
        </w:rPr>
        <w:t xml:space="preserve"> exemption needs to be made in Art. </w:t>
      </w:r>
      <w:proofErr w:type="gramStart"/>
      <w:r w:rsidR="005C493F">
        <w:rPr>
          <w:rFonts w:cs="Arial"/>
        </w:rPr>
        <w:t>38 (entry into force and application).</w:t>
      </w:r>
      <w:proofErr w:type="gramEnd"/>
    </w:p>
    <w:p w:rsidR="000A3170" w:rsidRDefault="000A3170" w:rsidP="000A3170">
      <w:pPr>
        <w:tabs>
          <w:tab w:val="left" w:pos="567"/>
        </w:tabs>
        <w:jc w:val="both"/>
        <w:rPr>
          <w:rFonts w:cs="Arial"/>
        </w:rPr>
      </w:pPr>
    </w:p>
    <w:p w:rsidR="000A3170" w:rsidRPr="0093276D" w:rsidRDefault="000A3170" w:rsidP="000A3170">
      <w:pPr>
        <w:tabs>
          <w:tab w:val="left" w:pos="567"/>
        </w:tabs>
        <w:jc w:val="both"/>
        <w:rPr>
          <w:rFonts w:cs="Arial"/>
        </w:rPr>
      </w:pPr>
      <w:r w:rsidRPr="0093276D">
        <w:rPr>
          <w:rFonts w:cs="Arial"/>
        </w:rPr>
        <w:t>Furthermore, CSDs should not be required to apply CSDR record keeping requirements retroa</w:t>
      </w:r>
      <w:r w:rsidRPr="0093276D">
        <w:rPr>
          <w:rFonts w:cs="Arial"/>
        </w:rPr>
        <w:t>c</w:t>
      </w:r>
      <w:r w:rsidRPr="0093276D">
        <w:rPr>
          <w:rFonts w:cs="Arial"/>
        </w:rPr>
        <w:t>tively. In other words, CSDs should start keeping records based on the Level 2 standards r</w:t>
      </w:r>
      <w:r w:rsidRPr="0093276D">
        <w:rPr>
          <w:rFonts w:cs="Arial"/>
        </w:rPr>
        <w:t>e</w:t>
      </w:r>
      <w:r w:rsidRPr="0093276D">
        <w:rPr>
          <w:rFonts w:cs="Arial"/>
        </w:rPr>
        <w:t xml:space="preserve">quirements as soon as these </w:t>
      </w:r>
      <w:proofErr w:type="gramStart"/>
      <w:r w:rsidRPr="0093276D">
        <w:rPr>
          <w:rFonts w:cs="Arial"/>
        </w:rPr>
        <w:t>requirement</w:t>
      </w:r>
      <w:proofErr w:type="gramEnd"/>
      <w:r w:rsidRPr="0093276D">
        <w:rPr>
          <w:rFonts w:cs="Arial"/>
        </w:rPr>
        <w:t xml:space="preserve"> come into effect. They should not have to modify the records for the 10 years prior to their authorisation and the entry into force of the record keeping requirement, and should be allowed to keep these records in the format applicable at the time as per the local regulations.</w:t>
      </w:r>
    </w:p>
    <w:p w:rsidR="0035164A" w:rsidRDefault="0035164A" w:rsidP="0035164A">
      <w:pPr>
        <w:rPr>
          <w:rFonts w:cs="Arial"/>
        </w:rPr>
      </w:pPr>
    </w:p>
    <w:p w:rsidR="005C493F" w:rsidRDefault="0035164A" w:rsidP="0035164A">
      <w:pPr>
        <w:rPr>
          <w:rFonts w:cs="Arial"/>
        </w:rPr>
      </w:pPr>
      <w:r>
        <w:rPr>
          <w:rFonts w:cs="Arial"/>
        </w:rPr>
        <w:t>We would like to remark, that t</w:t>
      </w:r>
      <w:r w:rsidR="005C493F">
        <w:rPr>
          <w:rFonts w:cs="Arial"/>
        </w:rPr>
        <w:t>ables</w:t>
      </w:r>
      <w:r>
        <w:rPr>
          <w:rFonts w:cs="Arial"/>
        </w:rPr>
        <w:t xml:space="preserve"> 1-4 presented in</w:t>
      </w:r>
      <w:r w:rsidR="005C493F">
        <w:rPr>
          <w:rFonts w:cs="Arial"/>
        </w:rPr>
        <w:t xml:space="preserve"> </w:t>
      </w:r>
      <w:r>
        <w:rPr>
          <w:rFonts w:cs="Arial"/>
        </w:rPr>
        <w:t xml:space="preserve">Annex VII </w:t>
      </w:r>
      <w:r w:rsidR="005C493F">
        <w:rPr>
          <w:rFonts w:cs="Arial"/>
        </w:rPr>
        <w:t xml:space="preserve">describe the contents of the data and not their format. Additionally, the tables contain mixed </w:t>
      </w:r>
      <w:proofErr w:type="gramStart"/>
      <w:r w:rsidR="005C493F">
        <w:rPr>
          <w:rFonts w:cs="Arial"/>
        </w:rPr>
        <w:t>information,</w:t>
      </w:r>
      <w:proofErr w:type="gramEnd"/>
      <w:r w:rsidR="005C493F">
        <w:rPr>
          <w:rFonts w:cs="Arial"/>
        </w:rPr>
        <w:t xml:space="preserve"> some of the tables co</w:t>
      </w:r>
      <w:r w:rsidR="005C493F">
        <w:rPr>
          <w:rFonts w:cs="Arial"/>
        </w:rPr>
        <w:t>n</w:t>
      </w:r>
      <w:r w:rsidR="005C493F">
        <w:rPr>
          <w:rFonts w:cs="Arial"/>
        </w:rPr>
        <w:t>tain guidelines such as what data needs to be stored, while others indicate documents/files so that trying to identify actual obli</w:t>
      </w:r>
      <w:r>
        <w:rPr>
          <w:rFonts w:cs="Arial"/>
        </w:rPr>
        <w:t>gations becomes very difficult.</w:t>
      </w:r>
    </w:p>
    <w:p w:rsidR="0035164A" w:rsidRDefault="0035164A" w:rsidP="0035164A">
      <w:pPr>
        <w:rPr>
          <w:rFonts w:cs="Arial"/>
        </w:rPr>
      </w:pPr>
    </w:p>
    <w:p w:rsidR="005C493F" w:rsidRDefault="005C493F" w:rsidP="0035164A">
      <w:pPr>
        <w:rPr>
          <w:rFonts w:cs="Arial"/>
        </w:rPr>
      </w:pPr>
      <w:proofErr w:type="gramStart"/>
      <w:r>
        <w:rPr>
          <w:rFonts w:cs="Arial"/>
        </w:rPr>
        <w:t>The description in Art.</w:t>
      </w:r>
      <w:proofErr w:type="gramEnd"/>
      <w:r>
        <w:rPr>
          <w:rFonts w:cs="Arial"/>
        </w:rPr>
        <w:t xml:space="preserve"> 1 (5</w:t>
      </w:r>
      <w:r w:rsidR="0035164A">
        <w:rPr>
          <w:rFonts w:cs="Arial"/>
        </w:rPr>
        <w:t>)</w:t>
      </w:r>
      <w:r>
        <w:rPr>
          <w:rFonts w:cs="Arial"/>
        </w:rPr>
        <w:t xml:space="preserve"> relating to “open format” is unclear. </w:t>
      </w:r>
      <w:r w:rsidR="0035164A">
        <w:rPr>
          <w:rFonts w:cs="Arial"/>
        </w:rPr>
        <w:t xml:space="preserve">We </w:t>
      </w:r>
      <w:proofErr w:type="gramStart"/>
      <w:r w:rsidR="0035164A">
        <w:rPr>
          <w:rFonts w:cs="Arial"/>
        </w:rPr>
        <w:t>assume,</w:t>
      </w:r>
      <w:proofErr w:type="gramEnd"/>
      <w:r w:rsidR="0035164A">
        <w:rPr>
          <w:rFonts w:cs="Arial"/>
        </w:rPr>
        <w:t xml:space="preserve"> that the actual format is to be determined between a CSD and its competent authority.</w:t>
      </w:r>
    </w:p>
    <w:p w:rsidR="0035164A" w:rsidRDefault="0035164A" w:rsidP="0035164A">
      <w:pPr>
        <w:rPr>
          <w:rFonts w:cs="Arial"/>
        </w:rPr>
      </w:pPr>
    </w:p>
    <w:p w:rsidR="005C493F" w:rsidRDefault="005C493F" w:rsidP="0035164A">
      <w:pPr>
        <w:rPr>
          <w:rFonts w:cs="Arial"/>
        </w:rPr>
      </w:pPr>
      <w:r>
        <w:rPr>
          <w:rFonts w:cs="Arial"/>
        </w:rPr>
        <w:t xml:space="preserve">It is not clear whether the identifiers described in </w:t>
      </w:r>
      <w:r w:rsidR="0035164A">
        <w:rPr>
          <w:rFonts w:cs="Arial"/>
        </w:rPr>
        <w:t>fields 13 and 14</w:t>
      </w:r>
      <w:r>
        <w:rPr>
          <w:rFonts w:cs="Arial"/>
        </w:rPr>
        <w:t xml:space="preserve"> </w:t>
      </w:r>
      <w:r w:rsidR="00D95D21">
        <w:rPr>
          <w:rFonts w:cs="Arial"/>
        </w:rPr>
        <w:t xml:space="preserve">of Table 2 </w:t>
      </w:r>
      <w:r w:rsidR="00D95D21">
        <w:rPr>
          <w:rFonts w:cs="Arial"/>
          <w:i/>
          <w:iCs/>
        </w:rPr>
        <w:t>Transa</w:t>
      </w:r>
      <w:r w:rsidR="00D95D21">
        <w:rPr>
          <w:rFonts w:cs="Arial"/>
          <w:i/>
          <w:iCs/>
        </w:rPr>
        <w:t>c</w:t>
      </w:r>
      <w:r w:rsidR="00D95D21">
        <w:rPr>
          <w:rFonts w:cs="Arial"/>
          <w:i/>
          <w:iCs/>
        </w:rPr>
        <w:t xml:space="preserve">tion/Settlement </w:t>
      </w:r>
      <w:r w:rsidR="00D95D21">
        <w:rPr>
          <w:rFonts w:cs="Arial"/>
        </w:rPr>
        <w:t xml:space="preserve">Instruction (Annex VII) </w:t>
      </w:r>
      <w:r>
        <w:rPr>
          <w:rFonts w:cs="Arial"/>
        </w:rPr>
        <w:t>relate to CSD participants which are debited and credited via instructions, or to</w:t>
      </w:r>
      <w:r w:rsidR="00D95D21">
        <w:rPr>
          <w:rFonts w:cs="Arial"/>
        </w:rPr>
        <w:t xml:space="preserve"> those sending the instructions.</w:t>
      </w:r>
    </w:p>
    <w:p w:rsidR="00D95D21" w:rsidRDefault="00D95D21" w:rsidP="0035164A">
      <w:pPr>
        <w:rPr>
          <w:rFonts w:cs="Arial"/>
        </w:rPr>
      </w:pPr>
    </w:p>
    <w:p w:rsidR="005C493F" w:rsidRDefault="005C493F" w:rsidP="00D95D21">
      <w:pPr>
        <w:rPr>
          <w:rFonts w:cs="Arial"/>
        </w:rPr>
      </w:pPr>
      <w:r>
        <w:rPr>
          <w:rFonts w:cs="Arial"/>
        </w:rPr>
        <w:t xml:space="preserve">The wording </w:t>
      </w:r>
      <w:r w:rsidR="00D95D21">
        <w:rPr>
          <w:rFonts w:cs="Arial"/>
        </w:rPr>
        <w:t>used in field 17</w:t>
      </w:r>
      <w:r w:rsidR="00D95D21" w:rsidRPr="00D95D21">
        <w:rPr>
          <w:rFonts w:cs="Arial"/>
        </w:rPr>
        <w:t xml:space="preserve"> </w:t>
      </w:r>
      <w:r w:rsidR="00D95D21">
        <w:rPr>
          <w:rFonts w:cs="Arial"/>
        </w:rPr>
        <w:t>of Table 2 Positions (Stock) Records (Annex VII)</w:t>
      </w:r>
      <w:r>
        <w:rPr>
          <w:rFonts w:cs="Arial"/>
        </w:rPr>
        <w:t xml:space="preserve"> is unclear. Does this mean that this field needs to contain 2 identifiers, of the CSD participant and its client? The field format only contains room for one indicator, not 2</w:t>
      </w:r>
      <w:r w:rsidR="00D95D21">
        <w:rPr>
          <w:rFonts w:cs="Arial"/>
        </w:rPr>
        <w:t xml:space="preserve"> as</w:t>
      </w:r>
      <w:r>
        <w:rPr>
          <w:rFonts w:cs="Arial"/>
        </w:rPr>
        <w:t xml:space="preserve"> proposed. We propose therefore to replace “and” with “or” in “Identifiers of participants </w:t>
      </w:r>
      <w:r>
        <w:rPr>
          <w:rFonts w:cs="Arial"/>
          <w:b/>
          <w:bCs/>
        </w:rPr>
        <w:t>and</w:t>
      </w:r>
      <w:r>
        <w:rPr>
          <w:rFonts w:cs="Arial"/>
        </w:rPr>
        <w:t xml:space="preserve"> of other securities account holders</w:t>
      </w:r>
      <w:r w:rsidR="00D95D21">
        <w:rPr>
          <w:rFonts w:cs="Arial"/>
        </w:rPr>
        <w:t>”</w:t>
      </w:r>
      <w:r>
        <w:rPr>
          <w:rFonts w:cs="Arial"/>
        </w:rPr>
        <w:t xml:space="preserve">. </w:t>
      </w:r>
    </w:p>
    <w:p w:rsidR="00D95D21" w:rsidRDefault="00D95D21" w:rsidP="00D95D21">
      <w:pPr>
        <w:rPr>
          <w:rFonts w:cs="Arial"/>
        </w:rPr>
      </w:pPr>
    </w:p>
    <w:p w:rsidR="005C493F" w:rsidRDefault="005C493F" w:rsidP="00D95D21">
      <w:pPr>
        <w:rPr>
          <w:rFonts w:cs="Arial"/>
        </w:rPr>
      </w:pPr>
      <w:r>
        <w:rPr>
          <w:rFonts w:cs="Arial"/>
        </w:rPr>
        <w:t>It is unclear whether the category “omnibus”</w:t>
      </w:r>
      <w:r w:rsidR="00D95D21">
        <w:rPr>
          <w:rFonts w:cs="Arial"/>
        </w:rPr>
        <w:t xml:space="preserve"> in field</w:t>
      </w:r>
      <w:r>
        <w:rPr>
          <w:rFonts w:cs="Arial"/>
        </w:rPr>
        <w:t xml:space="preserve"> </w:t>
      </w:r>
      <w:r w:rsidR="00D95D21">
        <w:rPr>
          <w:rFonts w:cs="Arial"/>
        </w:rPr>
        <w:t xml:space="preserve">18 of Table 2 Positions (Stock) Records (Annex VII) </w:t>
      </w:r>
      <w:r>
        <w:rPr>
          <w:rFonts w:cs="Arial"/>
        </w:rPr>
        <w:t>contains all the different types of global accounts.</w:t>
      </w:r>
    </w:p>
    <w:p w:rsidR="00D95D21" w:rsidRDefault="00D95D21" w:rsidP="00D95D21">
      <w:pPr>
        <w:rPr>
          <w:rFonts w:cs="Arial"/>
        </w:rPr>
      </w:pPr>
    </w:p>
    <w:p w:rsidR="000834DD" w:rsidRPr="000A3170" w:rsidRDefault="00D95D21" w:rsidP="000A3170">
      <w:pPr>
        <w:rPr>
          <w:rFonts w:cs="Arial"/>
        </w:rPr>
      </w:pPr>
      <w:r>
        <w:rPr>
          <w:rFonts w:cs="Arial"/>
        </w:rPr>
        <w:t xml:space="preserve">Please expand on what “type of restriction” </w:t>
      </w:r>
      <w:proofErr w:type="gramStart"/>
      <w:r>
        <w:rPr>
          <w:rFonts w:cs="Arial"/>
        </w:rPr>
        <w:t>need</w:t>
      </w:r>
      <w:proofErr w:type="gramEnd"/>
      <w:r>
        <w:rPr>
          <w:rFonts w:cs="Arial"/>
        </w:rPr>
        <w:t xml:space="preserve"> to be reported in</w:t>
      </w:r>
      <w:r w:rsidRPr="00D95D21">
        <w:rPr>
          <w:rFonts w:cs="Arial"/>
        </w:rPr>
        <w:t xml:space="preserve"> </w:t>
      </w:r>
      <w:r>
        <w:rPr>
          <w:rFonts w:cs="Arial"/>
        </w:rPr>
        <w:t xml:space="preserve">field 19 of </w:t>
      </w:r>
      <w:r w:rsidR="005C493F">
        <w:rPr>
          <w:rFonts w:cs="Arial"/>
        </w:rPr>
        <w:t xml:space="preserve">Table 2 </w:t>
      </w:r>
      <w:r w:rsidR="005C493F">
        <w:rPr>
          <w:rFonts w:cs="Arial"/>
          <w:i/>
          <w:iCs/>
        </w:rPr>
        <w:t>Transa</w:t>
      </w:r>
      <w:r w:rsidR="005C493F">
        <w:rPr>
          <w:rFonts w:cs="Arial"/>
          <w:i/>
          <w:iCs/>
        </w:rPr>
        <w:t>c</w:t>
      </w:r>
      <w:r w:rsidR="005C493F">
        <w:rPr>
          <w:rFonts w:cs="Arial"/>
          <w:i/>
          <w:iCs/>
        </w:rPr>
        <w:t xml:space="preserve">tion/Settlement </w:t>
      </w:r>
      <w:r>
        <w:rPr>
          <w:rFonts w:cs="Arial"/>
        </w:rPr>
        <w:t>Instruction (Annex VII)</w:t>
      </w:r>
      <w:r w:rsidR="000A3170">
        <w:rPr>
          <w:rFonts w:cs="Arial"/>
        </w:rPr>
        <w:t>.</w:t>
      </w:r>
    </w:p>
    <w:permEnd w:id="1295218881"/>
    <w:p w:rsidR="00D12AFD" w:rsidRDefault="00D12AFD" w:rsidP="00D12AFD">
      <w:r>
        <w:t>&lt;ESMA_QUESTION_TS_CSDR_23&gt;</w:t>
      </w:r>
    </w:p>
    <w:p w:rsidR="00D12AFD" w:rsidRPr="002C4F00" w:rsidRDefault="00D12AFD" w:rsidP="00965B03">
      <w:pPr>
        <w:pStyle w:val="Nagwek5"/>
        <w:ind w:left="567" w:hanging="567"/>
      </w:pPr>
      <w:r w:rsidRPr="002C4F00">
        <w:t>What are your views on the types of records to be retained by CSDs in relation to ancillary services as included in the Annex to the draft RTS on CSD Requirements (Annex III)? Please provide examples regarding the formats of the records to be r</w:t>
      </w:r>
      <w:r w:rsidRPr="002C4F00">
        <w:t>e</w:t>
      </w:r>
      <w:r w:rsidRPr="002C4F00">
        <w:t>tained by CSDs in relation to ancillary services.</w:t>
      </w:r>
    </w:p>
    <w:p w:rsidR="00D12AFD" w:rsidRDefault="00D12AFD" w:rsidP="00D12AFD"/>
    <w:p w:rsidR="00D12AFD" w:rsidRDefault="00D12AFD" w:rsidP="00D12AFD">
      <w:r>
        <w:t>&lt;ESMA_QUESTION_TS_CSDR_25&gt;</w:t>
      </w:r>
    </w:p>
    <w:p w:rsidR="007816A2" w:rsidRPr="007816A2" w:rsidRDefault="007816A2" w:rsidP="007816A2">
      <w:pPr>
        <w:rPr>
          <w:rFonts w:eastAsia="Calibri" w:cs="Arial"/>
          <w:color w:val="1F497D"/>
          <w:szCs w:val="22"/>
          <w:lang w:val="en-US" w:eastAsia="en-US"/>
        </w:rPr>
      </w:pPr>
      <w:permStart w:id="997479344" w:edGrp="everyone"/>
      <w:r w:rsidRPr="008F68F3">
        <w:rPr>
          <w:rFonts w:eastAsia="Calibri" w:cs="Arial"/>
          <w:szCs w:val="22"/>
          <w:highlight w:val="yellow"/>
          <w:lang w:eastAsia="en-US"/>
        </w:rPr>
        <w:t>With</w:t>
      </w:r>
      <w:r w:rsidRPr="007816A2">
        <w:rPr>
          <w:rFonts w:eastAsia="Calibri" w:cs="Arial"/>
          <w:szCs w:val="22"/>
          <w:lang w:eastAsia="en-US"/>
        </w:rPr>
        <w:t xml:space="preserve"> respect to our comment above relating to Annex VII table 1-4 (mixed format with info</w:t>
      </w:r>
      <w:r w:rsidRPr="007816A2">
        <w:rPr>
          <w:rFonts w:eastAsia="Calibri" w:cs="Arial"/>
          <w:szCs w:val="22"/>
          <w:lang w:eastAsia="en-US"/>
        </w:rPr>
        <w:t>r</w:t>
      </w:r>
      <w:r w:rsidRPr="007816A2">
        <w:rPr>
          <w:rFonts w:eastAsia="Calibri" w:cs="Arial"/>
          <w:szCs w:val="22"/>
          <w:lang w:eastAsia="en-US"/>
        </w:rPr>
        <w:t>mation), we are unclear as to the requirement defined in this point. Is the aim to transfer dat</w:t>
      </w:r>
      <w:r w:rsidRPr="007816A2">
        <w:rPr>
          <w:rFonts w:eastAsia="Calibri" w:cs="Arial"/>
          <w:szCs w:val="22"/>
          <w:lang w:eastAsia="en-US"/>
        </w:rPr>
        <w:t>a</w:t>
      </w:r>
      <w:r w:rsidRPr="007816A2">
        <w:rPr>
          <w:rFonts w:eastAsia="Calibri" w:cs="Arial"/>
          <w:szCs w:val="22"/>
          <w:lang w:eastAsia="en-US"/>
        </w:rPr>
        <w:t xml:space="preserve">base structures? It would also be worth clarifying what is meant by “examples of the formats of </w:t>
      </w:r>
      <w:r w:rsidRPr="007816A2">
        <w:rPr>
          <w:rFonts w:eastAsia="Calibri" w:cs="Arial"/>
          <w:szCs w:val="22"/>
          <w:lang w:eastAsia="en-US"/>
        </w:rPr>
        <w:lastRenderedPageBreak/>
        <w:t>the records”? There is also the question of how to approach correlation between databases and how to process changes to the databases.</w:t>
      </w:r>
    </w:p>
    <w:permEnd w:id="997479344"/>
    <w:p w:rsidR="00D12AFD" w:rsidRDefault="00D12AFD" w:rsidP="00D12AFD">
      <w:r>
        <w:t>&lt;ESMA_QUESTION_TS_CSDR_25&gt;</w:t>
      </w:r>
    </w:p>
    <w:p w:rsidR="00D12AFD" w:rsidRPr="002C4F00" w:rsidRDefault="00D12AFD" w:rsidP="00965B03">
      <w:pPr>
        <w:pStyle w:val="Nagwek5"/>
        <w:ind w:left="567" w:hanging="567"/>
      </w:pPr>
      <w:r w:rsidRPr="002C4F00">
        <w:t>What are your views on the proposed draft RTS</w:t>
      </w:r>
      <w:r>
        <w:t xml:space="preserve"> on reconciliation measures</w:t>
      </w:r>
      <w:r w:rsidRPr="002C4F00">
        <w:t xml:space="preserve"> included in Chapter V of Annex III?</w:t>
      </w:r>
    </w:p>
    <w:p w:rsidR="00D12AFD" w:rsidRDefault="00D12AFD" w:rsidP="00D12AFD"/>
    <w:p w:rsidR="00D12AFD" w:rsidRDefault="00D12AFD" w:rsidP="00D12AFD">
      <w:r>
        <w:t>&lt;ESMA_QUESTION_TS_CSDR_25&gt;</w:t>
      </w:r>
    </w:p>
    <w:p w:rsidR="000834DD" w:rsidRDefault="000834DD" w:rsidP="009D1DBE">
      <w:pPr>
        <w:rPr>
          <w:szCs w:val="22"/>
        </w:rPr>
      </w:pPr>
      <w:permStart w:id="160437462" w:edGrp="everyone"/>
      <w:r w:rsidRPr="009D1DBE">
        <w:rPr>
          <w:szCs w:val="22"/>
        </w:rPr>
        <w:t>It is unclear what the purpose of the requirement described in Art. 16 (c) is – it seems that the requirement of a weekly reconciliation is adequately met through the performance of the reco</w:t>
      </w:r>
      <w:r w:rsidRPr="009D1DBE">
        <w:rPr>
          <w:szCs w:val="22"/>
        </w:rPr>
        <w:t>n</w:t>
      </w:r>
      <w:r w:rsidRPr="009D1DBE">
        <w:rPr>
          <w:szCs w:val="22"/>
        </w:rPr>
        <w:t>ciliation method described in (a) – i.e. daily. We propose deleting this provision.</w:t>
      </w:r>
    </w:p>
    <w:p w:rsidR="008664B5" w:rsidRPr="009D1DBE" w:rsidRDefault="008664B5" w:rsidP="009D1DBE">
      <w:pPr>
        <w:rPr>
          <w:szCs w:val="22"/>
        </w:rPr>
      </w:pPr>
    </w:p>
    <w:p w:rsidR="0093276D" w:rsidRPr="009D1DBE" w:rsidRDefault="008664B5" w:rsidP="009D1DBE">
      <w:pPr>
        <w:rPr>
          <w:szCs w:val="22"/>
          <w:lang w:val="en-US"/>
        </w:rPr>
      </w:pPr>
      <w:proofErr w:type="gramStart"/>
      <w:r>
        <w:rPr>
          <w:rFonts w:cs="Arial"/>
          <w:bCs/>
          <w:color w:val="000000"/>
          <w:szCs w:val="22"/>
        </w:rPr>
        <w:t xml:space="preserve">As regards </w:t>
      </w:r>
      <w:r w:rsidR="00F74ED6" w:rsidRPr="009D1DBE">
        <w:rPr>
          <w:rFonts w:cs="Arial"/>
          <w:bCs/>
          <w:color w:val="000000"/>
          <w:szCs w:val="22"/>
          <w:lang w:val="en-US"/>
        </w:rPr>
        <w:t>Art.</w:t>
      </w:r>
      <w:proofErr w:type="gramEnd"/>
      <w:r w:rsidR="00F74ED6" w:rsidRPr="009D1DBE">
        <w:rPr>
          <w:rFonts w:cs="Arial"/>
          <w:bCs/>
          <w:color w:val="000000"/>
          <w:szCs w:val="22"/>
          <w:lang w:val="en-US"/>
        </w:rPr>
        <w:t xml:space="preserve"> 17 (2)</w:t>
      </w:r>
      <w:r>
        <w:rPr>
          <w:rFonts w:cs="Arial"/>
          <w:bCs/>
          <w:color w:val="000000"/>
          <w:szCs w:val="22"/>
          <w:lang w:val="en-US"/>
        </w:rPr>
        <w:t xml:space="preserve"> </w:t>
      </w:r>
      <w:r w:rsidR="00F74ED6" w:rsidRPr="009D1DBE">
        <w:rPr>
          <w:rFonts w:cs="Arial"/>
          <w:bCs/>
          <w:color w:val="000000"/>
          <w:szCs w:val="22"/>
          <w:lang w:val="en-US"/>
        </w:rPr>
        <w:t>KDPW recommends that CSD should be obliged to provide information only to a competent authority, and the competent authority</w:t>
      </w:r>
      <w:r>
        <w:rPr>
          <w:rFonts w:cs="Arial"/>
          <w:bCs/>
          <w:color w:val="000000"/>
          <w:szCs w:val="22"/>
          <w:lang w:val="en-US"/>
        </w:rPr>
        <w:t xml:space="preserve"> should pass it on</w:t>
      </w:r>
      <w:r w:rsidR="00F74ED6" w:rsidRPr="009D1DBE">
        <w:rPr>
          <w:rFonts w:cs="Arial"/>
          <w:bCs/>
          <w:color w:val="000000"/>
          <w:szCs w:val="22"/>
          <w:lang w:val="en-US"/>
        </w:rPr>
        <w:t xml:space="preserve"> to the correspon</w:t>
      </w:r>
      <w:r w:rsidR="00F74ED6" w:rsidRPr="009D1DBE">
        <w:rPr>
          <w:rFonts w:cs="Arial"/>
          <w:bCs/>
          <w:color w:val="000000"/>
          <w:szCs w:val="22"/>
          <w:lang w:val="en-US"/>
        </w:rPr>
        <w:t>d</w:t>
      </w:r>
      <w:r w:rsidR="00F74ED6" w:rsidRPr="009D1DBE">
        <w:rPr>
          <w:rFonts w:cs="Arial"/>
          <w:bCs/>
          <w:color w:val="000000"/>
          <w:szCs w:val="22"/>
          <w:lang w:val="en-US"/>
        </w:rPr>
        <w:t>ing relevant authority.</w:t>
      </w:r>
    </w:p>
    <w:permEnd w:id="160437462"/>
    <w:p w:rsidR="00D12AFD" w:rsidRDefault="00D12AFD" w:rsidP="00D12AFD">
      <w:r>
        <w:t>&lt;ESMA_QUESTION_TS_CSDR_25&gt;</w:t>
      </w:r>
    </w:p>
    <w:p w:rsidR="00D12AFD" w:rsidRPr="002C4F00" w:rsidRDefault="00D12AFD" w:rsidP="00965B03">
      <w:pPr>
        <w:pStyle w:val="Nagwek5"/>
        <w:ind w:left="567" w:hanging="567"/>
      </w:pPr>
      <w:r w:rsidRPr="002C4F00">
        <w:t>Do you believe that the proposed reconciliation measures where other entities are involved in the reconciliation process for a certain securities issue within the mea</w:t>
      </w:r>
      <w:r w:rsidRPr="002C4F00">
        <w:t>n</w:t>
      </w:r>
      <w:r w:rsidRPr="002C4F00">
        <w:t>ing of Article 37(2) of CSDR are adequate? Please explain if you think that any of the proposed measures would not be applicable in the case of a specific entity. Please provide examples of any additional measures that would be relevant in the case of specific entities.</w:t>
      </w:r>
    </w:p>
    <w:p w:rsidR="00D12AFD" w:rsidRDefault="00D12AFD" w:rsidP="00D12AFD"/>
    <w:p w:rsidR="00D12AFD" w:rsidRDefault="00D12AFD" w:rsidP="00D12AFD">
      <w:r>
        <w:t>&lt;ESMA_QUESTION_TS_CSDR_26&gt;</w:t>
      </w:r>
    </w:p>
    <w:p w:rsidR="000834DD" w:rsidRPr="005D1202" w:rsidRDefault="000834DD" w:rsidP="009D1DBE">
      <w:pPr>
        <w:jc w:val="both"/>
        <w:rPr>
          <w:rFonts w:cs="Arial"/>
          <w:lang w:val="en-US"/>
        </w:rPr>
      </w:pPr>
      <w:permStart w:id="1740078748" w:edGrp="everyone"/>
      <w:r w:rsidRPr="005D1202">
        <w:rPr>
          <w:rFonts w:cs="Arial"/>
          <w:lang w:val="en-US"/>
        </w:rPr>
        <w:t>In our opinion, for reasons of consistency, the reconciliation measures to be applied in links between CSDs should be dealt with in the RTS defining the requirements applicable to access and links (article 6). Art. 16 should apply to entities other than CSDs, such as registrars. If the proposed article were to be applied to a relation</w:t>
      </w:r>
      <w:r w:rsidRPr="005D1202">
        <w:rPr>
          <w:rFonts w:cs="Arial"/>
          <w:lang w:val="cs-CZ"/>
        </w:rPr>
        <w:t>ship</w:t>
      </w:r>
      <w:r w:rsidRPr="005D1202">
        <w:rPr>
          <w:rFonts w:cs="Arial"/>
          <w:lang w:val="en-US"/>
        </w:rPr>
        <w:t xml:space="preserve"> between CSDs, we can see potential pro</w:t>
      </w:r>
      <w:r w:rsidRPr="005D1202">
        <w:rPr>
          <w:rFonts w:cs="Arial"/>
          <w:lang w:val="en-US"/>
        </w:rPr>
        <w:t>b</w:t>
      </w:r>
      <w:r w:rsidRPr="005D1202">
        <w:rPr>
          <w:rFonts w:cs="Arial"/>
          <w:lang w:val="en-US"/>
        </w:rPr>
        <w:t>lems with the applicability of Art. 16 p. 2, as the change to the cooperation and information e</w:t>
      </w:r>
      <w:r w:rsidRPr="005D1202">
        <w:rPr>
          <w:rFonts w:cs="Arial"/>
          <w:lang w:val="en-US"/>
        </w:rPr>
        <w:t>x</w:t>
      </w:r>
      <w:r w:rsidRPr="005D1202">
        <w:rPr>
          <w:rFonts w:cs="Arial"/>
          <w:lang w:val="en-US"/>
        </w:rPr>
        <w:t xml:space="preserve">change measures may be enforced by a modification in the system of the linked CSD. In case of a standard link, an investor CSD has no influence on the shape of modifications and is obliged to conform to them. An obligation to wait for approval of such change by the competent authority of the investor CSD would be counterproductive. </w:t>
      </w:r>
    </w:p>
    <w:p w:rsidR="000834DD" w:rsidRPr="005D1202" w:rsidRDefault="000834DD" w:rsidP="009D1DBE">
      <w:pPr>
        <w:jc w:val="both"/>
        <w:rPr>
          <w:rFonts w:cs="Arial"/>
          <w:lang w:val="en-US"/>
        </w:rPr>
      </w:pPr>
      <w:r w:rsidRPr="005D1202">
        <w:rPr>
          <w:rFonts w:cs="Arial"/>
          <w:lang w:val="en-US"/>
        </w:rPr>
        <w:t>Thus, we propose the following amendment:</w:t>
      </w:r>
    </w:p>
    <w:p w:rsidR="00F74ED6" w:rsidRPr="00F74ED6" w:rsidRDefault="000834DD" w:rsidP="009D1DBE">
      <w:pPr>
        <w:jc w:val="both"/>
        <w:rPr>
          <w:rFonts w:cs="Arial"/>
          <w:lang w:val="en-US"/>
        </w:rPr>
      </w:pPr>
      <w:r w:rsidRPr="005D1202">
        <w:rPr>
          <w:rFonts w:cs="Arial"/>
          <w:lang w:val="en-US"/>
        </w:rPr>
        <w:t xml:space="preserve">“Any material change to the cooperation and information exchange measures shall be </w:t>
      </w:r>
      <w:r w:rsidRPr="005D1202">
        <w:rPr>
          <w:rFonts w:cs="Arial"/>
          <w:b/>
          <w:lang w:val="en-US"/>
        </w:rPr>
        <w:t xml:space="preserve">notified to </w:t>
      </w:r>
      <w:r w:rsidRPr="005D1202">
        <w:rPr>
          <w:rFonts w:cs="Arial"/>
          <w:b/>
          <w:strike/>
          <w:lang w:val="en-US"/>
        </w:rPr>
        <w:t>approved by</w:t>
      </w:r>
      <w:r w:rsidRPr="005D1202">
        <w:rPr>
          <w:rFonts w:cs="Arial"/>
          <w:b/>
          <w:lang w:val="en-US"/>
        </w:rPr>
        <w:t xml:space="preserve"> </w:t>
      </w:r>
      <w:r w:rsidRPr="005D1202">
        <w:rPr>
          <w:rFonts w:cs="Arial"/>
          <w:lang w:val="en-US"/>
        </w:rPr>
        <w:t>the competent authority prior to its implementation.”</w:t>
      </w:r>
    </w:p>
    <w:permEnd w:id="1740078748"/>
    <w:p w:rsidR="00D12AFD" w:rsidRDefault="00D12AFD" w:rsidP="00D12AFD">
      <w:r>
        <w:t>&lt;ESMA_QUESTION_TS_CSDR_26&gt;</w:t>
      </w:r>
    </w:p>
    <w:p w:rsidR="00F1314C" w:rsidRDefault="00F1314C" w:rsidP="00F1314C">
      <w:pPr>
        <w:pStyle w:val="Nagwek5"/>
      </w:pPr>
      <w:r w:rsidRPr="00F1314C">
        <w:t>What are your views on the proposed reconciliation measures for corporate a</w:t>
      </w:r>
      <w:r w:rsidRPr="00F1314C">
        <w:t>c</w:t>
      </w:r>
      <w:r w:rsidRPr="00F1314C">
        <w:t>tions under Article 15 of the draft RTS included in Chapter V of Annex III?</w:t>
      </w:r>
    </w:p>
    <w:p w:rsidR="00F1314C" w:rsidRDefault="00F1314C" w:rsidP="00F1314C"/>
    <w:p w:rsidR="00252063" w:rsidRDefault="00252063" w:rsidP="00252063">
      <w:r>
        <w:t>&lt;ESMA_QUESTION_TS_CSDR_27&gt;</w:t>
      </w:r>
    </w:p>
    <w:p w:rsidR="002834CE" w:rsidRDefault="002834CE" w:rsidP="002834CE">
      <w:permStart w:id="1471552872" w:edGrp="everyone"/>
      <w:r>
        <w:t>We agree with the ESMA proposal.</w:t>
      </w:r>
    </w:p>
    <w:permEnd w:id="1471552872"/>
    <w:p w:rsidR="00252063" w:rsidRDefault="00252063" w:rsidP="00252063">
      <w:r>
        <w:t>&lt;ESMA_QUESTION_TS_CSDR_27&gt;</w:t>
      </w:r>
    </w:p>
    <w:p w:rsidR="00F1314C" w:rsidRPr="00F1314C" w:rsidRDefault="00F1314C" w:rsidP="00F1314C"/>
    <w:p w:rsidR="00D12AFD" w:rsidRPr="002C4F00" w:rsidRDefault="00D12AFD" w:rsidP="00965B03">
      <w:pPr>
        <w:pStyle w:val="Nagwek5"/>
        <w:ind w:left="567" w:hanging="567"/>
      </w:pPr>
      <w:r w:rsidRPr="00C8467F">
        <w:t>What are your views on the proposed draft RTS on CSD operational risks included in Chapter VI of Annex III?</w:t>
      </w:r>
    </w:p>
    <w:p w:rsidR="00D12AFD" w:rsidRDefault="00D12AFD" w:rsidP="00D12AFD"/>
    <w:p w:rsidR="00D12AFD" w:rsidRDefault="00D12AFD" w:rsidP="00D12AFD">
      <w:r>
        <w:t>&lt;ESMA_QUESTION_TS_CSDR_2</w:t>
      </w:r>
      <w:r w:rsidR="00252063">
        <w:t>8</w:t>
      </w:r>
      <w:r>
        <w:t>&gt;</w:t>
      </w:r>
    </w:p>
    <w:p w:rsidR="000834DD" w:rsidRPr="005D1202" w:rsidRDefault="000834DD" w:rsidP="009D1DBE">
      <w:pPr>
        <w:autoSpaceDE w:val="0"/>
        <w:autoSpaceDN w:val="0"/>
        <w:adjustRightInd w:val="0"/>
        <w:jc w:val="both"/>
        <w:rPr>
          <w:rFonts w:cs="Arial"/>
          <w:color w:val="000000"/>
          <w:lang w:val="en-US"/>
        </w:rPr>
      </w:pPr>
      <w:permStart w:id="1807423668" w:edGrp="everyone"/>
      <w:r w:rsidRPr="005D1202">
        <w:rPr>
          <w:rFonts w:cs="Arial"/>
          <w:color w:val="000000"/>
          <w:lang w:val="en-US"/>
        </w:rPr>
        <w:lastRenderedPageBreak/>
        <w:t>We appreciate that, as regards Art. 30(2)</w:t>
      </w:r>
      <w:r w:rsidRPr="005D1202">
        <w:rPr>
          <w:rFonts w:cs="Arial"/>
          <w:lang w:val="en-US"/>
        </w:rPr>
        <w:t xml:space="preserve"> of the draft RTS on CSD requirements</w:t>
      </w:r>
      <w:r w:rsidRPr="005D1202">
        <w:rPr>
          <w:rFonts w:cs="Arial"/>
          <w:color w:val="000000"/>
          <w:lang w:val="en-US"/>
        </w:rPr>
        <w:t xml:space="preserve">, cyber-attacks are treated as a specific kind of disaster scenario, which may need a longer timeframe than the standard two hours to resume critical functions. But in our opinion such scenarios as </w:t>
      </w:r>
      <w:r w:rsidRPr="005D1202">
        <w:rPr>
          <w:rFonts w:cs="Arial"/>
          <w:b/>
          <w:color w:val="000000"/>
          <w:lang w:val="en-US"/>
        </w:rPr>
        <w:t>pandemic situations</w:t>
      </w:r>
      <w:r w:rsidRPr="005D1202">
        <w:rPr>
          <w:rFonts w:cs="Arial"/>
          <w:color w:val="000000"/>
          <w:lang w:val="en-US"/>
        </w:rPr>
        <w:t xml:space="preserve"> (listed in Art. 30 </w:t>
      </w:r>
      <w:proofErr w:type="spellStart"/>
      <w:r w:rsidRPr="005D1202">
        <w:rPr>
          <w:rFonts w:cs="Arial"/>
          <w:color w:val="000000"/>
          <w:lang w:val="en-US"/>
        </w:rPr>
        <w:t>subpara</w:t>
      </w:r>
      <w:proofErr w:type="spellEnd"/>
      <w:r w:rsidRPr="005D1202">
        <w:rPr>
          <w:rFonts w:cs="Arial"/>
          <w:color w:val="000000"/>
          <w:lang w:val="en-US"/>
        </w:rPr>
        <w:t>. 1) should be all the more addressed with different max</w:t>
      </w:r>
      <w:r w:rsidRPr="005D1202">
        <w:rPr>
          <w:rFonts w:cs="Arial"/>
          <w:color w:val="000000"/>
          <w:lang w:val="en-US"/>
        </w:rPr>
        <w:t>i</w:t>
      </w:r>
      <w:r w:rsidRPr="005D1202">
        <w:rPr>
          <w:rFonts w:cs="Arial"/>
          <w:color w:val="000000"/>
          <w:lang w:val="en-US"/>
        </w:rPr>
        <w:t>mum recovery time requirements.</w:t>
      </w:r>
    </w:p>
    <w:p w:rsidR="000834DD" w:rsidRPr="005D1202" w:rsidRDefault="000834DD" w:rsidP="009D1DBE">
      <w:pPr>
        <w:autoSpaceDE w:val="0"/>
        <w:autoSpaceDN w:val="0"/>
        <w:adjustRightInd w:val="0"/>
        <w:jc w:val="both"/>
        <w:rPr>
          <w:rFonts w:cs="Arial"/>
          <w:lang w:val="en-US"/>
        </w:rPr>
      </w:pPr>
      <w:r w:rsidRPr="005D1202">
        <w:rPr>
          <w:rFonts w:cs="Arial"/>
          <w:color w:val="000000"/>
          <w:lang w:val="en-US"/>
        </w:rPr>
        <w:t>In case of large scale disasters, a CSD may have very limited control over the situation, despite its secondary site, with sufficient resources, capabilities, functionalities and staffing arrang</w:t>
      </w:r>
      <w:r w:rsidRPr="005D1202">
        <w:rPr>
          <w:rFonts w:cs="Arial"/>
          <w:color w:val="000000"/>
          <w:lang w:val="en-US"/>
        </w:rPr>
        <w:t>e</w:t>
      </w:r>
      <w:r w:rsidRPr="005D1202">
        <w:rPr>
          <w:rFonts w:cs="Arial"/>
          <w:color w:val="000000"/>
          <w:lang w:val="en-US"/>
        </w:rPr>
        <w:t xml:space="preserve">ments being always fully operational and ready to use. </w:t>
      </w:r>
      <w:r w:rsidRPr="005D1202">
        <w:rPr>
          <w:rFonts w:cs="Arial"/>
          <w:lang w:val="en-US"/>
        </w:rPr>
        <w:t>For instance, because of a pandemic situation the government or local authorities could issue special regulations or declare a state of emergency and hence a CSD would not be able to take the necessary actions because of the conflict with the necessity to conform to those special regulations. Two hours recovery time is a good benchmark for most “typical” disasters, but we should accept that in case of an exceptional crisis, this benchmark could hardly be met by any CSD.</w:t>
      </w:r>
    </w:p>
    <w:p w:rsidR="000834DD" w:rsidRPr="005D1202" w:rsidRDefault="000834DD" w:rsidP="009D1DBE">
      <w:pPr>
        <w:autoSpaceDE w:val="0"/>
        <w:autoSpaceDN w:val="0"/>
        <w:adjustRightInd w:val="0"/>
        <w:jc w:val="both"/>
        <w:rPr>
          <w:rFonts w:cs="Arial"/>
          <w:color w:val="000000"/>
          <w:lang w:val="en-US"/>
        </w:rPr>
      </w:pPr>
    </w:p>
    <w:p w:rsidR="000834DD" w:rsidRPr="005D1202" w:rsidRDefault="000834DD" w:rsidP="009D1DBE">
      <w:pPr>
        <w:autoSpaceDE w:val="0"/>
        <w:autoSpaceDN w:val="0"/>
        <w:adjustRightInd w:val="0"/>
        <w:jc w:val="both"/>
        <w:rPr>
          <w:rFonts w:cs="Arial"/>
          <w:lang w:val="en-US"/>
        </w:rPr>
      </w:pPr>
      <w:r w:rsidRPr="005D1202">
        <w:rPr>
          <w:rFonts w:cs="Arial"/>
          <w:color w:val="000000"/>
          <w:lang w:val="en-US"/>
        </w:rPr>
        <w:t xml:space="preserve">Moreover we would like to suggest that in Art. 33 </w:t>
      </w:r>
      <w:r w:rsidRPr="005D1202">
        <w:rPr>
          <w:rFonts w:cs="Arial"/>
          <w:lang w:val="en-US"/>
        </w:rPr>
        <w:t xml:space="preserve">of the draft RTS on CSD requirements, the word </w:t>
      </w:r>
      <w:r w:rsidRPr="005D1202">
        <w:rPr>
          <w:rFonts w:cs="Arial"/>
          <w:i/>
          <w:lang w:val="en-US"/>
        </w:rPr>
        <w:t>“chapter”</w:t>
      </w:r>
      <w:r w:rsidRPr="005D1202">
        <w:rPr>
          <w:rFonts w:cs="Arial"/>
          <w:lang w:val="en-US"/>
        </w:rPr>
        <w:t xml:space="preserve"> should be replaced with the word </w:t>
      </w:r>
      <w:r w:rsidRPr="005D1202">
        <w:rPr>
          <w:rFonts w:cs="Arial"/>
          <w:i/>
          <w:lang w:val="en-US"/>
        </w:rPr>
        <w:t>“section”</w:t>
      </w:r>
      <w:r w:rsidRPr="005D1202">
        <w:rPr>
          <w:rFonts w:cs="Arial"/>
          <w:lang w:val="en-US"/>
        </w:rPr>
        <w:t>, as this article seems to refer only to Section 4 (“Business Continuity”) and not to the whole Chapter VI (“Operational Risk”).</w:t>
      </w:r>
    </w:p>
    <w:permEnd w:id="1807423668"/>
    <w:p w:rsidR="00D12AFD" w:rsidRDefault="00D12AFD" w:rsidP="00D12AFD">
      <w:r>
        <w:t>&lt;ESMA_QUESTION_TS_CSDR_2</w:t>
      </w:r>
      <w:r w:rsidR="00252063">
        <w:t>8</w:t>
      </w:r>
      <w:r>
        <w:t>&gt;</w:t>
      </w:r>
    </w:p>
    <w:p w:rsidR="00D12AFD" w:rsidRPr="002C4F00" w:rsidRDefault="00D12AFD" w:rsidP="00965B03">
      <w:pPr>
        <w:pStyle w:val="Nagwek5"/>
        <w:ind w:left="567" w:hanging="567"/>
      </w:pPr>
      <w:r w:rsidRPr="00C8467F">
        <w:t>What are your views on the proposed draft RTS on CSD investment policy (Chapter VII of Annex III)?</w:t>
      </w:r>
    </w:p>
    <w:p w:rsidR="00D12AFD" w:rsidRDefault="00D12AFD" w:rsidP="00D12AFD"/>
    <w:p w:rsidR="00D12AFD" w:rsidRDefault="00D12AFD" w:rsidP="00D12AFD">
      <w:r>
        <w:t>&lt;ESMA_QUESTION_TS_CSDR_2</w:t>
      </w:r>
      <w:r w:rsidR="00252063">
        <w:t>9</w:t>
      </w:r>
      <w:r>
        <w:t>&gt;</w:t>
      </w:r>
    </w:p>
    <w:p w:rsidR="000834DD" w:rsidRPr="005D1202" w:rsidRDefault="000834DD" w:rsidP="009D1DBE">
      <w:pPr>
        <w:rPr>
          <w:rFonts w:cs="Arial"/>
          <w:b/>
        </w:rPr>
      </w:pPr>
      <w:permStart w:id="520305611" w:edGrp="everyone"/>
      <w:proofErr w:type="gramStart"/>
      <w:r w:rsidRPr="00480345">
        <w:rPr>
          <w:rFonts w:cs="Arial"/>
          <w:b/>
        </w:rPr>
        <w:t>Art</w:t>
      </w:r>
      <w:r w:rsidRPr="005D1202">
        <w:rPr>
          <w:rFonts w:cs="Arial"/>
          <w:b/>
        </w:rPr>
        <w:t>.34  1</w:t>
      </w:r>
      <w:proofErr w:type="gramEnd"/>
      <w:r w:rsidRPr="005D1202">
        <w:rPr>
          <w:rFonts w:cs="Arial"/>
          <w:b/>
        </w:rPr>
        <w:t xml:space="preserve"> (c)</w:t>
      </w:r>
      <w:r w:rsidRPr="005D1202">
        <w:rPr>
          <w:rFonts w:cs="Arial"/>
          <w:b/>
        </w:rPr>
        <w:tab/>
      </w:r>
      <w:r w:rsidRPr="005D1202">
        <w:rPr>
          <w:rFonts w:cs="Arial"/>
          <w:b/>
        </w:rPr>
        <w:tab/>
      </w:r>
    </w:p>
    <w:p w:rsidR="000834DD" w:rsidRPr="005D1202" w:rsidRDefault="000834DD" w:rsidP="009D1DBE">
      <w:pPr>
        <w:jc w:val="both"/>
        <w:rPr>
          <w:rFonts w:cs="Arial"/>
        </w:rPr>
      </w:pPr>
      <w:r w:rsidRPr="005D1202">
        <w:rPr>
          <w:rFonts w:cs="Arial"/>
        </w:rPr>
        <w:t>We maintain our opposition regarding the average maximum of two years maturity imposed on CSD investments. We think it is too restrictive, especially when remaining requirements referred to in Article 34 paragraph 1, in relation to highl</w:t>
      </w:r>
      <w:r w:rsidR="00480345">
        <w:rPr>
          <w:rFonts w:cs="Arial"/>
        </w:rPr>
        <w:t>y liquid financial instruments,</w:t>
      </w:r>
      <w:r w:rsidRPr="005D1202">
        <w:rPr>
          <w:rFonts w:cs="Arial"/>
        </w:rPr>
        <w:t xml:space="preserve"> are met (in particular  issuers, limits, institutions, types of securities).  </w:t>
      </w:r>
    </w:p>
    <w:p w:rsidR="000834DD" w:rsidRPr="005D1202" w:rsidRDefault="000834DD" w:rsidP="009D1DBE">
      <w:pPr>
        <w:pStyle w:val="Akapitzlist"/>
        <w:ind w:left="0"/>
        <w:jc w:val="both"/>
        <w:rPr>
          <w:rFonts w:cs="Arial"/>
        </w:rPr>
      </w:pPr>
      <w:r w:rsidRPr="005D1202">
        <w:rPr>
          <w:rFonts w:cs="Arial"/>
        </w:rPr>
        <w:t xml:space="preserve">We suggest resigning from the maximum average portfolio maturity or extending it up to 5 years for securities issued or </w:t>
      </w:r>
      <w:r w:rsidRPr="005D1202">
        <w:rPr>
          <w:rFonts w:cs="Arial"/>
          <w:lang w:val="en-US"/>
        </w:rPr>
        <w:t>guaranteed by an EU Member State or the central bank</w:t>
      </w:r>
      <w:r w:rsidRPr="005D1202">
        <w:rPr>
          <w:rFonts w:cs="Arial"/>
        </w:rPr>
        <w:t>, with the stipul</w:t>
      </w:r>
      <w:r w:rsidRPr="005D1202">
        <w:rPr>
          <w:rFonts w:cs="Arial"/>
        </w:rPr>
        <w:t>a</w:t>
      </w:r>
      <w:r w:rsidRPr="005D1202">
        <w:rPr>
          <w:rFonts w:cs="Arial"/>
        </w:rPr>
        <w:t>tion that for a single financial instrument it is not greater than 11 years.</w:t>
      </w:r>
    </w:p>
    <w:p w:rsidR="000834DD" w:rsidRPr="005D1202" w:rsidRDefault="000834DD" w:rsidP="009D1DBE">
      <w:pPr>
        <w:jc w:val="both"/>
        <w:rPr>
          <w:rFonts w:cs="Arial"/>
        </w:rPr>
      </w:pPr>
      <w:r w:rsidRPr="005D1202">
        <w:rPr>
          <w:rFonts w:cs="Arial"/>
        </w:rPr>
        <w:t>Arguments in favour of this standpoint include:</w:t>
      </w:r>
    </w:p>
    <w:p w:rsidR="000834DD" w:rsidRPr="005D1202" w:rsidRDefault="000834DD" w:rsidP="009D1DBE">
      <w:pPr>
        <w:pStyle w:val="Akapitzlist"/>
        <w:numPr>
          <w:ilvl w:val="0"/>
          <w:numId w:val="36"/>
        </w:numPr>
        <w:spacing w:after="200"/>
        <w:jc w:val="both"/>
        <w:rPr>
          <w:rFonts w:cs="Arial"/>
          <w:lang w:val="en-US"/>
        </w:rPr>
      </w:pPr>
      <w:r w:rsidRPr="005D1202">
        <w:rPr>
          <w:rFonts w:cs="Arial"/>
          <w:lang w:val="en-US"/>
        </w:rPr>
        <w:t>In our market there is no visible correlation between maturity and liquidity of securities co</w:t>
      </w:r>
      <w:r w:rsidRPr="005D1202">
        <w:rPr>
          <w:rFonts w:cs="Arial"/>
          <w:lang w:val="en-US"/>
        </w:rPr>
        <w:t>n</w:t>
      </w:r>
      <w:r w:rsidRPr="005D1202">
        <w:rPr>
          <w:rFonts w:cs="Arial"/>
          <w:lang w:val="en-US"/>
        </w:rPr>
        <w:t>sidered to be safe. Securities issued or guaranteed by the government or the central bank, are highly liquid, regardless of maturity of 1, 2, 5 or 10 years.</w:t>
      </w:r>
    </w:p>
    <w:p w:rsidR="000834DD" w:rsidRPr="005D1202" w:rsidRDefault="000834DD" w:rsidP="009D1DBE">
      <w:pPr>
        <w:pStyle w:val="Akapitzlist"/>
        <w:numPr>
          <w:ilvl w:val="0"/>
          <w:numId w:val="36"/>
        </w:numPr>
        <w:spacing w:after="200"/>
        <w:jc w:val="both"/>
        <w:rPr>
          <w:rFonts w:cs="Arial"/>
          <w:lang w:val="en-US"/>
        </w:rPr>
      </w:pPr>
      <w:r w:rsidRPr="005D1202">
        <w:rPr>
          <w:rFonts w:cs="Arial"/>
          <w:lang w:val="en-US"/>
        </w:rPr>
        <w:t>Securities of 10 year maturity are a common and widespread instrument of public debt ma</w:t>
      </w:r>
      <w:r w:rsidRPr="005D1202">
        <w:rPr>
          <w:rFonts w:cs="Arial"/>
          <w:lang w:val="en-US"/>
        </w:rPr>
        <w:t>n</w:t>
      </w:r>
      <w:r w:rsidRPr="005D1202">
        <w:rPr>
          <w:rFonts w:cs="Arial"/>
          <w:lang w:val="en-US"/>
        </w:rPr>
        <w:t>agement policy (governments tend to lengthen the debt maturity horizon, which is why debt securities with short maturities are systematically limited). Accordingly, the liquidity of secur</w:t>
      </w:r>
      <w:r w:rsidRPr="005D1202">
        <w:rPr>
          <w:rFonts w:cs="Arial"/>
          <w:lang w:val="en-US"/>
        </w:rPr>
        <w:t>i</w:t>
      </w:r>
      <w:r w:rsidRPr="005D1202">
        <w:rPr>
          <w:rFonts w:cs="Arial"/>
          <w:lang w:val="en-US"/>
        </w:rPr>
        <w:t>ties with a ten year maturity is high and is analyzed in terms of risk. In our opinion a current estimation and a risk analysis over a 10 year horizon, are possible and enable to manage the risk, contrary to a forecast over a 20 or 30 year horizon, which seem to be impossible to be performed. Therefore the diversification of the portfolio, which also includes securities with a longer maturity, is more favorable for a CSD than the concentration of positions only in sec</w:t>
      </w:r>
      <w:r w:rsidRPr="005D1202">
        <w:rPr>
          <w:rFonts w:cs="Arial"/>
          <w:lang w:val="en-US"/>
        </w:rPr>
        <w:t>u</w:t>
      </w:r>
      <w:r w:rsidRPr="005D1202">
        <w:rPr>
          <w:rFonts w:cs="Arial"/>
          <w:lang w:val="en-US"/>
        </w:rPr>
        <w:t xml:space="preserve">rities with a short maturity. </w:t>
      </w:r>
    </w:p>
    <w:p w:rsidR="000834DD" w:rsidRPr="005D1202" w:rsidRDefault="000834DD" w:rsidP="009D1DBE">
      <w:pPr>
        <w:pStyle w:val="Akapitzlist"/>
        <w:numPr>
          <w:ilvl w:val="0"/>
          <w:numId w:val="36"/>
        </w:numPr>
        <w:spacing w:after="200"/>
        <w:jc w:val="both"/>
        <w:rPr>
          <w:rFonts w:cs="Arial"/>
        </w:rPr>
      </w:pPr>
      <w:r w:rsidRPr="005D1202">
        <w:rPr>
          <w:rFonts w:cs="Arial"/>
        </w:rPr>
        <w:t>Banks currently foresee a fall in interest rates and as a consequence securities price quotes will rise. The majority of Treasury instruments being traded on the Polish market are fixed i</w:t>
      </w:r>
      <w:r w:rsidRPr="005D1202">
        <w:rPr>
          <w:rFonts w:cs="Arial"/>
        </w:rPr>
        <w:t>n</w:t>
      </w:r>
      <w:r w:rsidRPr="005D1202">
        <w:rPr>
          <w:rFonts w:cs="Arial"/>
        </w:rPr>
        <w:t>terest securities. With returns between 1% and 2 % there is inherent risk with any rise in i</w:t>
      </w:r>
      <w:r w:rsidRPr="005D1202">
        <w:rPr>
          <w:rFonts w:cs="Arial"/>
        </w:rPr>
        <w:t>n</w:t>
      </w:r>
      <w:r w:rsidRPr="005D1202">
        <w:rPr>
          <w:rFonts w:cs="Arial"/>
        </w:rPr>
        <w:t xml:space="preserve">terest rates (and at the same time a lack of </w:t>
      </w:r>
      <w:proofErr w:type="spellStart"/>
      <w:r w:rsidRPr="005D1202">
        <w:rPr>
          <w:rFonts w:cs="Arial"/>
        </w:rPr>
        <w:t>speculat</w:t>
      </w:r>
      <w:r>
        <w:rPr>
          <w:rFonts w:cs="Arial"/>
        </w:rPr>
        <w:t>ory</w:t>
      </w:r>
      <w:proofErr w:type="spellEnd"/>
      <w:r w:rsidRPr="005D1202">
        <w:rPr>
          <w:rFonts w:cs="Arial"/>
        </w:rPr>
        <w:t xml:space="preserve"> aims, while the securities are pu</w:t>
      </w:r>
      <w:r w:rsidRPr="005D1202">
        <w:rPr>
          <w:rFonts w:cs="Arial"/>
        </w:rPr>
        <w:t>r</w:t>
      </w:r>
      <w:r w:rsidRPr="005D1202">
        <w:rPr>
          <w:rFonts w:cs="Arial"/>
        </w:rPr>
        <w:t xml:space="preserve">chased on portfolio) of </w:t>
      </w:r>
      <w:r w:rsidR="00BE7FF8">
        <w:rPr>
          <w:rFonts w:cs="Arial"/>
        </w:rPr>
        <w:t>suffering</w:t>
      </w:r>
      <w:r w:rsidRPr="005D1202">
        <w:rPr>
          <w:rFonts w:cs="Arial"/>
        </w:rPr>
        <w:t xml:space="preserve"> a loss. Currently in Poland, there is only one bond being traded with a variable interest rate, which meets the less-than-2-year-maturity requirement. The “forced” purchase of bonds with a very low interest and short maturity is an unfavourable investment decision. Opening a position in only one security is also unprofitable and risky. In </w:t>
      </w:r>
      <w:r w:rsidRPr="005D1202">
        <w:rPr>
          <w:rFonts w:cs="Arial"/>
        </w:rPr>
        <w:lastRenderedPageBreak/>
        <w:t>fact, portfolio diversification including instruments with longer time-to-maturity can be more beneficial for CSDs than a concentration of positions exclusively on short-term instruments. This is especially true in the current low rate environment for the euro currency, where a 2-year time-to-maturity restriction would force some CSDs to invest in instruments with a neg</w:t>
      </w:r>
      <w:r w:rsidRPr="005D1202">
        <w:rPr>
          <w:rFonts w:cs="Arial"/>
        </w:rPr>
        <w:t>a</w:t>
      </w:r>
      <w:r w:rsidRPr="005D1202">
        <w:rPr>
          <w:rFonts w:cs="Arial"/>
        </w:rPr>
        <w:t>tive yield, thereby eroding their capital.</w:t>
      </w:r>
    </w:p>
    <w:p w:rsidR="000834DD" w:rsidRPr="00F039FF" w:rsidRDefault="000834DD" w:rsidP="009D1DBE">
      <w:pPr>
        <w:pStyle w:val="Akapitzlist"/>
        <w:numPr>
          <w:ilvl w:val="0"/>
          <w:numId w:val="36"/>
        </w:numPr>
        <w:spacing w:after="200"/>
        <w:jc w:val="both"/>
        <w:rPr>
          <w:rFonts w:cs="Arial"/>
        </w:rPr>
      </w:pPr>
      <w:r w:rsidRPr="00F039FF">
        <w:rPr>
          <w:rFonts w:cs="Arial"/>
        </w:rPr>
        <w:t xml:space="preserve">True-life case study: </w:t>
      </w:r>
      <w:r>
        <w:rPr>
          <w:rFonts w:cs="Arial"/>
        </w:rPr>
        <w:t>KDPW currently also performs treasury management services for KDPW_CCP. The KDPW_CCP portfolio looks as follows</w:t>
      </w:r>
      <w:r w:rsidRPr="00F039FF">
        <w:rPr>
          <w:rFonts w:cs="Arial"/>
        </w:rPr>
        <w:t>:</w:t>
      </w:r>
    </w:p>
    <w:p w:rsidR="000834DD" w:rsidRPr="00F039FF" w:rsidRDefault="000834DD" w:rsidP="009D1DBE">
      <w:pPr>
        <w:pStyle w:val="Akapitzlist"/>
        <w:numPr>
          <w:ilvl w:val="1"/>
          <w:numId w:val="36"/>
        </w:numPr>
        <w:spacing w:after="200"/>
        <w:jc w:val="both"/>
        <w:rPr>
          <w:rFonts w:cs="Arial"/>
        </w:rPr>
      </w:pPr>
      <w:r>
        <w:rPr>
          <w:rFonts w:cs="Arial"/>
        </w:rPr>
        <w:t>The portfolio meets</w:t>
      </w:r>
      <w:r w:rsidRPr="00F039FF">
        <w:rPr>
          <w:rFonts w:cs="Arial"/>
        </w:rPr>
        <w:t xml:space="preserve"> EMIR</w:t>
      </w:r>
      <w:r>
        <w:rPr>
          <w:rFonts w:cs="Arial"/>
        </w:rPr>
        <w:t xml:space="preserve"> requirements</w:t>
      </w:r>
      <w:r w:rsidRPr="00F039FF">
        <w:rPr>
          <w:rFonts w:cs="Arial"/>
        </w:rPr>
        <w:t xml:space="preserve"> – </w:t>
      </w:r>
      <w:r>
        <w:rPr>
          <w:rFonts w:cs="Arial"/>
        </w:rPr>
        <w:t>and the average maturity does not exceed the 2-year horizon</w:t>
      </w:r>
      <w:r w:rsidRPr="00F039FF">
        <w:rPr>
          <w:rFonts w:cs="Arial"/>
        </w:rPr>
        <w:t>,</w:t>
      </w:r>
    </w:p>
    <w:p w:rsidR="000834DD" w:rsidRPr="00F039FF" w:rsidRDefault="000834DD" w:rsidP="009D1DBE">
      <w:pPr>
        <w:pStyle w:val="Akapitzlist"/>
        <w:numPr>
          <w:ilvl w:val="1"/>
          <w:numId w:val="36"/>
        </w:numPr>
        <w:spacing w:after="200"/>
        <w:jc w:val="both"/>
        <w:rPr>
          <w:rFonts w:cs="Arial"/>
        </w:rPr>
      </w:pPr>
      <w:r>
        <w:rPr>
          <w:rFonts w:cs="Arial"/>
        </w:rPr>
        <w:t>In July</w:t>
      </w:r>
      <w:r w:rsidRPr="00F039FF">
        <w:rPr>
          <w:rFonts w:cs="Arial"/>
        </w:rPr>
        <w:t xml:space="preserve"> 2015</w:t>
      </w:r>
      <w:r>
        <w:rPr>
          <w:rFonts w:cs="Arial"/>
        </w:rPr>
        <w:t>, securities with a nominal value of</w:t>
      </w:r>
      <w:r w:rsidRPr="00F039FF">
        <w:rPr>
          <w:rFonts w:cs="Arial"/>
        </w:rPr>
        <w:t xml:space="preserve"> </w:t>
      </w:r>
      <w:r w:rsidR="00BE7FF8">
        <w:rPr>
          <w:rFonts w:cs="Arial"/>
        </w:rPr>
        <w:t>several</w:t>
      </w:r>
      <w:r w:rsidRPr="00F039FF">
        <w:rPr>
          <w:rFonts w:cs="Arial"/>
        </w:rPr>
        <w:t xml:space="preserve"> </w:t>
      </w:r>
      <w:r>
        <w:rPr>
          <w:rFonts w:cs="Arial"/>
        </w:rPr>
        <w:t>million</w:t>
      </w:r>
      <w:r w:rsidRPr="00F039FF">
        <w:rPr>
          <w:rFonts w:cs="Arial"/>
        </w:rPr>
        <w:t xml:space="preserve"> </w:t>
      </w:r>
      <w:r w:rsidR="00BE7FF8">
        <w:rPr>
          <w:rFonts w:cs="Arial"/>
        </w:rPr>
        <w:t>PLN will be redeemed</w:t>
      </w:r>
      <w:r w:rsidRPr="00F039FF">
        <w:rPr>
          <w:rFonts w:cs="Arial"/>
        </w:rPr>
        <w:t xml:space="preserve">, </w:t>
      </w:r>
      <w:r>
        <w:rPr>
          <w:rFonts w:cs="Arial"/>
        </w:rPr>
        <w:t>which will mean at the same time that following redemption, the average maturity date of the portfolio will increase,</w:t>
      </w:r>
    </w:p>
    <w:p w:rsidR="000834DD" w:rsidRPr="00F039FF" w:rsidRDefault="000834DD" w:rsidP="009D1DBE">
      <w:pPr>
        <w:pStyle w:val="Akapitzlist"/>
        <w:numPr>
          <w:ilvl w:val="1"/>
          <w:numId w:val="36"/>
        </w:numPr>
        <w:spacing w:after="200"/>
        <w:jc w:val="both"/>
        <w:rPr>
          <w:rFonts w:cs="Arial"/>
        </w:rPr>
      </w:pPr>
      <w:r>
        <w:rPr>
          <w:rFonts w:cs="Arial"/>
        </w:rPr>
        <w:t>This means that we will need to purchase securities with a comparable value which will shorten (maintain) the average maturity of the portfolio</w:t>
      </w:r>
      <w:r w:rsidRPr="00F039FF">
        <w:rPr>
          <w:rFonts w:cs="Arial"/>
        </w:rPr>
        <w:t>,</w:t>
      </w:r>
    </w:p>
    <w:p w:rsidR="000834DD" w:rsidRPr="00F039FF" w:rsidRDefault="000834DD" w:rsidP="009D1DBE">
      <w:pPr>
        <w:pStyle w:val="Akapitzlist"/>
        <w:numPr>
          <w:ilvl w:val="1"/>
          <w:numId w:val="36"/>
        </w:numPr>
        <w:spacing w:after="200"/>
        <w:jc w:val="both"/>
        <w:rPr>
          <w:rFonts w:cs="Arial"/>
        </w:rPr>
      </w:pPr>
      <w:r>
        <w:rPr>
          <w:rFonts w:cs="Arial"/>
        </w:rPr>
        <w:t>These need to be short-term securities</w:t>
      </w:r>
      <w:r w:rsidRPr="00F039FF">
        <w:rPr>
          <w:rFonts w:cs="Arial"/>
        </w:rPr>
        <w:t xml:space="preserve"> – </w:t>
      </w:r>
      <w:r>
        <w:rPr>
          <w:rFonts w:cs="Arial"/>
        </w:rPr>
        <w:t>which means that of the variable income securities we have one security available whose issuer is the Polish State Treasury and several with a fixed interest</w:t>
      </w:r>
      <w:r w:rsidRPr="00F039FF">
        <w:rPr>
          <w:rFonts w:cs="Arial"/>
        </w:rPr>
        <w:t xml:space="preserve"> (</w:t>
      </w:r>
      <w:r>
        <w:rPr>
          <w:rFonts w:cs="Arial"/>
        </w:rPr>
        <w:t>however, interest rates are very low and there is the risk of incurring losses in the event that interest rates rise</w:t>
      </w:r>
      <w:r w:rsidRPr="00F039FF">
        <w:rPr>
          <w:rFonts w:cs="Arial"/>
        </w:rPr>
        <w:t>).</w:t>
      </w:r>
    </w:p>
    <w:p w:rsidR="000834DD" w:rsidRPr="00F039FF" w:rsidRDefault="000834DD" w:rsidP="009D1DBE">
      <w:pPr>
        <w:spacing w:after="200"/>
        <w:ind w:left="360"/>
        <w:jc w:val="both"/>
        <w:rPr>
          <w:rFonts w:cs="Arial"/>
        </w:rPr>
      </w:pPr>
      <w:r w:rsidRPr="00F039FF">
        <w:rPr>
          <w:rFonts w:cs="Arial"/>
        </w:rPr>
        <w:t xml:space="preserve">KDPW </w:t>
      </w:r>
      <w:r>
        <w:rPr>
          <w:rFonts w:cs="Arial"/>
        </w:rPr>
        <w:t>does not need to have such high levels of liquidity as KDPW_CCP and at the same time should operate in such a manner as to ensure the safety of remaining services.</w:t>
      </w:r>
      <w:r w:rsidRPr="00F039FF">
        <w:rPr>
          <w:rFonts w:cs="Arial"/>
        </w:rPr>
        <w:t xml:space="preserve"> </w:t>
      </w:r>
      <w:r>
        <w:rPr>
          <w:rFonts w:cs="Arial"/>
        </w:rPr>
        <w:t>It will not be possible to ensure this safety if the CSD maintains a high concentration of positions in one security</w:t>
      </w:r>
      <w:r w:rsidRPr="00F039FF">
        <w:rPr>
          <w:rFonts w:cs="Arial"/>
        </w:rPr>
        <w:t xml:space="preserve"> </w:t>
      </w:r>
      <w:r>
        <w:rPr>
          <w:rFonts w:cs="Arial"/>
        </w:rPr>
        <w:t>or will purchase fixed-interest securities</w:t>
      </w:r>
      <w:r w:rsidRPr="00F039FF">
        <w:rPr>
          <w:rFonts w:cs="Arial"/>
        </w:rPr>
        <w:t xml:space="preserve">, </w:t>
      </w:r>
      <w:r>
        <w:rPr>
          <w:rFonts w:cs="Arial"/>
        </w:rPr>
        <w:t>at a low level of return</w:t>
      </w:r>
      <w:r w:rsidRPr="00F039FF">
        <w:rPr>
          <w:rFonts w:cs="Arial"/>
        </w:rPr>
        <w:t xml:space="preserve">, </w:t>
      </w:r>
      <w:r>
        <w:rPr>
          <w:rFonts w:cs="Arial"/>
        </w:rPr>
        <w:t>and then profi</w:t>
      </w:r>
      <w:r>
        <w:rPr>
          <w:rFonts w:cs="Arial"/>
        </w:rPr>
        <w:t>t</w:t>
      </w:r>
      <w:r>
        <w:rPr>
          <w:rFonts w:cs="Arial"/>
        </w:rPr>
        <w:t>ability will increase</w:t>
      </w:r>
      <w:r w:rsidRPr="00F039FF">
        <w:rPr>
          <w:rFonts w:cs="Arial"/>
        </w:rPr>
        <w:t xml:space="preserve"> (a</w:t>
      </w:r>
      <w:r>
        <w:rPr>
          <w:rFonts w:cs="Arial"/>
        </w:rPr>
        <w:t>nd the</w:t>
      </w:r>
      <w:r w:rsidRPr="00F039FF">
        <w:rPr>
          <w:rFonts w:cs="Arial"/>
        </w:rPr>
        <w:t xml:space="preserve"> CSD </w:t>
      </w:r>
      <w:r>
        <w:rPr>
          <w:rFonts w:cs="Arial"/>
        </w:rPr>
        <w:t>will need to sell the securities</w:t>
      </w:r>
      <w:r w:rsidRPr="00F039FF">
        <w:rPr>
          <w:rFonts w:cs="Arial"/>
        </w:rPr>
        <w:t>).</w:t>
      </w:r>
    </w:p>
    <w:p w:rsidR="000834DD" w:rsidRPr="00F039FF" w:rsidRDefault="000834DD" w:rsidP="009D1DBE">
      <w:pPr>
        <w:spacing w:after="200"/>
        <w:ind w:left="360"/>
        <w:jc w:val="both"/>
        <w:rPr>
          <w:rFonts w:ascii="Meta Offc Pro Book" w:hAnsi="Meta Offc Pro Book"/>
          <w:color w:val="FF0000"/>
        </w:rPr>
      </w:pPr>
      <w:r>
        <w:rPr>
          <w:rFonts w:cs="Arial"/>
        </w:rPr>
        <w:t xml:space="preserve">It would be far more advantageous to be able to purchase among groups of “safe” </w:t>
      </w:r>
      <w:r w:rsidR="00BE7FF8">
        <w:rPr>
          <w:rFonts w:cs="Arial"/>
        </w:rPr>
        <w:t xml:space="preserve">securities </w:t>
      </w:r>
      <w:r w:rsidRPr="00F039FF">
        <w:rPr>
          <w:rFonts w:cs="Arial"/>
        </w:rPr>
        <w:t>(</w:t>
      </w:r>
      <w:r>
        <w:rPr>
          <w:rFonts w:cs="Arial"/>
        </w:rPr>
        <w:t>in terms of issuer and access to a liquid market</w:t>
      </w:r>
      <w:r w:rsidRPr="00F039FF">
        <w:rPr>
          <w:rFonts w:cs="Arial"/>
        </w:rPr>
        <w:t xml:space="preserve">) </w:t>
      </w:r>
      <w:r>
        <w:rPr>
          <w:rFonts w:cs="Arial"/>
        </w:rPr>
        <w:t>instead of limiting purchases with a maturity horizon.</w:t>
      </w:r>
    </w:p>
    <w:p w:rsidR="000834DD" w:rsidRPr="005D1202" w:rsidRDefault="000834DD" w:rsidP="009D1DBE">
      <w:pPr>
        <w:pStyle w:val="CM3"/>
        <w:numPr>
          <w:ilvl w:val="0"/>
          <w:numId w:val="36"/>
        </w:numPr>
        <w:spacing w:before="60" w:after="60"/>
        <w:jc w:val="both"/>
        <w:rPr>
          <w:rFonts w:ascii="Arial" w:hAnsi="Arial" w:cs="Arial"/>
          <w:sz w:val="22"/>
          <w:szCs w:val="22"/>
          <w:lang w:val="en-GB"/>
        </w:rPr>
      </w:pPr>
      <w:r w:rsidRPr="005D1202">
        <w:rPr>
          <w:rFonts w:ascii="Arial" w:hAnsi="Arial" w:cs="Arial"/>
          <w:sz w:val="22"/>
          <w:szCs w:val="22"/>
          <w:lang w:val="en-GB"/>
        </w:rPr>
        <w:t>There is also no justification for CSDs for maintaining liquidity on a higher level than that required from banks and shortening the horizon of portfolio maturity. For example, Regul</w:t>
      </w:r>
      <w:r w:rsidRPr="005D1202">
        <w:rPr>
          <w:rFonts w:ascii="Arial" w:hAnsi="Arial" w:cs="Arial"/>
          <w:sz w:val="22"/>
          <w:szCs w:val="22"/>
          <w:lang w:val="en-GB"/>
        </w:rPr>
        <w:t>a</w:t>
      </w:r>
      <w:r w:rsidRPr="005D1202">
        <w:rPr>
          <w:rFonts w:ascii="Arial" w:hAnsi="Arial" w:cs="Arial"/>
          <w:sz w:val="22"/>
          <w:szCs w:val="22"/>
          <w:lang w:val="en-GB"/>
        </w:rPr>
        <w:t>tion (EU) No 575/2013 of the European Parliament and of the Council of 26 June 2013 on prudential requirements for credit institutions and investment firms (Art. 114) defines risk weights assigned to exposures to central governments or central banks. The securities i</w:t>
      </w:r>
      <w:r w:rsidRPr="005D1202">
        <w:rPr>
          <w:rFonts w:ascii="Arial" w:hAnsi="Arial" w:cs="Arial"/>
          <w:sz w:val="22"/>
          <w:szCs w:val="22"/>
          <w:lang w:val="en-GB"/>
        </w:rPr>
        <w:t>s</w:t>
      </w:r>
      <w:r w:rsidRPr="005D1202">
        <w:rPr>
          <w:rFonts w:ascii="Arial" w:hAnsi="Arial" w:cs="Arial"/>
          <w:sz w:val="22"/>
          <w:szCs w:val="22"/>
          <w:lang w:val="en-GB"/>
        </w:rPr>
        <w:t>sued by these entities have a risk weight of 0% regardless of maturity, provided that they have granted a credit assessment on a required level by a nominated ECAI.</w:t>
      </w:r>
    </w:p>
    <w:p w:rsidR="000834DD" w:rsidRDefault="000834DD" w:rsidP="009D1DBE">
      <w:pPr>
        <w:pStyle w:val="Akapitzlist"/>
        <w:numPr>
          <w:ilvl w:val="0"/>
          <w:numId w:val="36"/>
        </w:numPr>
        <w:spacing w:after="200"/>
        <w:jc w:val="both"/>
        <w:rPr>
          <w:rFonts w:cs="Arial"/>
        </w:rPr>
      </w:pPr>
      <w:r w:rsidRPr="005D1202">
        <w:rPr>
          <w:rFonts w:cs="Arial"/>
        </w:rPr>
        <w:t xml:space="preserve">Furthermore, Art. 416, paragraph 1 and 3, and 417 </w:t>
      </w:r>
      <w:proofErr w:type="gramStart"/>
      <w:r w:rsidRPr="005D1202">
        <w:rPr>
          <w:rFonts w:cs="Arial"/>
        </w:rPr>
        <w:t>letter</w:t>
      </w:r>
      <w:proofErr w:type="gramEnd"/>
      <w:r w:rsidRPr="005D1202">
        <w:rPr>
          <w:rFonts w:cs="Arial"/>
        </w:rPr>
        <w:t xml:space="preserve"> (a) of the abovementioned Regul</w:t>
      </w:r>
      <w:r w:rsidRPr="005D1202">
        <w:rPr>
          <w:rFonts w:cs="Arial"/>
        </w:rPr>
        <w:t>a</w:t>
      </w:r>
      <w:r w:rsidRPr="005D1202">
        <w:rPr>
          <w:rFonts w:cs="Arial"/>
        </w:rPr>
        <w:t>tion define, under reporting obligations, requirements for liquid assets without the need for diversification of liquid assets representing claims on governments or guaranteed by go</w:t>
      </w:r>
      <w:r w:rsidRPr="005D1202">
        <w:rPr>
          <w:rFonts w:cs="Arial"/>
        </w:rPr>
        <w:t>v</w:t>
      </w:r>
      <w:r w:rsidRPr="005D1202">
        <w:rPr>
          <w:rFonts w:cs="Arial"/>
        </w:rPr>
        <w:t>ernments or central banks.</w:t>
      </w:r>
    </w:p>
    <w:p w:rsidR="000834DD" w:rsidRPr="00BE7FF8" w:rsidRDefault="000834DD" w:rsidP="00BE7FF8">
      <w:pPr>
        <w:tabs>
          <w:tab w:val="left" w:pos="3402"/>
        </w:tabs>
        <w:suppressAutoHyphens/>
        <w:jc w:val="both"/>
        <w:rPr>
          <w:rFonts w:cs="Arial"/>
        </w:rPr>
      </w:pPr>
      <w:r w:rsidRPr="00BE7FF8">
        <w:rPr>
          <w:rFonts w:cs="Arial"/>
        </w:rPr>
        <w:t>We thus recommend the following amendments to art.34 of the draft RTS:</w:t>
      </w:r>
    </w:p>
    <w:p w:rsidR="000834DD" w:rsidRPr="006E26E7" w:rsidRDefault="000834DD" w:rsidP="000834DD">
      <w:pPr>
        <w:pStyle w:val="Akapitzlist"/>
        <w:numPr>
          <w:ilvl w:val="0"/>
          <w:numId w:val="36"/>
        </w:num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i/>
          <w:sz w:val="18"/>
          <w:szCs w:val="18"/>
        </w:rPr>
      </w:pPr>
      <w:r w:rsidRPr="006E26E7">
        <w:rPr>
          <w:rFonts w:cs="Arial"/>
          <w:i/>
          <w:sz w:val="18"/>
          <w:szCs w:val="18"/>
        </w:rPr>
        <w:t xml:space="preserve">Article 34 - Highly liquid instruments with minimal market and credit risk </w:t>
      </w:r>
    </w:p>
    <w:p w:rsidR="000834DD" w:rsidRPr="006E26E7" w:rsidRDefault="000834DD" w:rsidP="000834DD">
      <w:pPr>
        <w:pStyle w:val="Akapitzlist"/>
        <w:numPr>
          <w:ilvl w:val="0"/>
          <w:numId w:val="36"/>
        </w:num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i/>
          <w:sz w:val="18"/>
          <w:szCs w:val="18"/>
        </w:rPr>
      </w:pPr>
      <w:r w:rsidRPr="006E26E7">
        <w:rPr>
          <w:rFonts w:cs="Arial"/>
          <w:i/>
          <w:sz w:val="18"/>
          <w:szCs w:val="18"/>
        </w:rPr>
        <w:t xml:space="preserve">1. Financial instruments can be considered highly liquid financial instruments, bearing minimal credit and market risk under Article 46 of Regulation (EU) No 909/2014 if they are debt instruments meeting each of the following conditions: </w:t>
      </w:r>
    </w:p>
    <w:p w:rsidR="000834DD" w:rsidRPr="006E26E7" w:rsidRDefault="000834DD" w:rsidP="000834DD">
      <w:pPr>
        <w:pStyle w:val="Akapitzlist"/>
        <w:numPr>
          <w:ilvl w:val="0"/>
          <w:numId w:val="36"/>
        </w:num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i/>
          <w:sz w:val="18"/>
          <w:szCs w:val="18"/>
        </w:rPr>
      </w:pPr>
      <w:r w:rsidRPr="006E26E7">
        <w:rPr>
          <w:rFonts w:cs="Arial"/>
          <w:i/>
          <w:sz w:val="18"/>
          <w:szCs w:val="18"/>
        </w:rPr>
        <w:t xml:space="preserve"> […]  (c) the average time-to-maturity of the CSD’s portfolio does not exceed </w:t>
      </w:r>
      <w:r w:rsidRPr="006E26E7">
        <w:rPr>
          <w:rFonts w:cs="Arial"/>
          <w:b/>
          <w:i/>
          <w:strike/>
          <w:sz w:val="18"/>
          <w:szCs w:val="18"/>
        </w:rPr>
        <w:t>two</w:t>
      </w:r>
      <w:r w:rsidRPr="006E26E7">
        <w:rPr>
          <w:rFonts w:cs="Arial"/>
          <w:i/>
          <w:sz w:val="18"/>
          <w:szCs w:val="18"/>
        </w:rPr>
        <w:t xml:space="preserve"> </w:t>
      </w:r>
      <w:r w:rsidRPr="006E26E7">
        <w:rPr>
          <w:rFonts w:cs="Arial"/>
          <w:b/>
          <w:i/>
          <w:sz w:val="18"/>
          <w:szCs w:val="18"/>
        </w:rPr>
        <w:t xml:space="preserve">five </w:t>
      </w:r>
      <w:r w:rsidRPr="006E26E7">
        <w:rPr>
          <w:rFonts w:cs="Arial"/>
          <w:i/>
          <w:sz w:val="18"/>
          <w:szCs w:val="18"/>
        </w:rPr>
        <w:t>years,</w:t>
      </w:r>
      <w:r w:rsidRPr="006E26E7">
        <w:rPr>
          <w:rFonts w:cs="Arial"/>
          <w:b/>
          <w:i/>
          <w:sz w:val="18"/>
          <w:szCs w:val="18"/>
        </w:rPr>
        <w:t xml:space="preserve"> and no single investment has a time-to-maturity superior to eleven years</w:t>
      </w:r>
      <w:r w:rsidRPr="006E26E7">
        <w:rPr>
          <w:rFonts w:cs="Arial"/>
          <w:i/>
          <w:sz w:val="18"/>
          <w:szCs w:val="18"/>
        </w:rPr>
        <w:t>;</w:t>
      </w:r>
    </w:p>
    <w:p w:rsidR="000834DD" w:rsidRPr="003001B1" w:rsidRDefault="000834DD" w:rsidP="000834DD">
      <w:pPr>
        <w:ind w:firstLine="360"/>
        <w:jc w:val="both"/>
        <w:rPr>
          <w:rFonts w:ascii="Meta Offc Pro Book" w:hAnsi="Meta Offc Pro Book"/>
          <w:b/>
        </w:rPr>
      </w:pPr>
    </w:p>
    <w:p w:rsidR="000834DD" w:rsidRPr="005D1202" w:rsidRDefault="000834DD" w:rsidP="00BE7FF8">
      <w:pPr>
        <w:jc w:val="both"/>
        <w:rPr>
          <w:rFonts w:cs="Arial"/>
          <w:szCs w:val="22"/>
        </w:rPr>
      </w:pPr>
      <w:r w:rsidRPr="005D1202">
        <w:rPr>
          <w:rFonts w:cs="Arial"/>
          <w:szCs w:val="22"/>
        </w:rPr>
        <w:lastRenderedPageBreak/>
        <w:t>We propose to remove the requirement of immediate and unconditional access to CSD cash assets, referred to in Article 35 paragraph 3, and replace it by the CSD’s obligation to ensure access to its cash assets within 3 business days, although in our opinion the period of 7 days is sufficient.</w:t>
      </w:r>
    </w:p>
    <w:p w:rsidR="000834DD" w:rsidRPr="005D1202" w:rsidRDefault="000834DD" w:rsidP="00BE7FF8">
      <w:pPr>
        <w:jc w:val="both"/>
        <w:rPr>
          <w:rFonts w:cs="Arial"/>
          <w:szCs w:val="22"/>
        </w:rPr>
      </w:pPr>
      <w:r w:rsidRPr="005D1202">
        <w:rPr>
          <w:rFonts w:cs="Arial"/>
          <w:szCs w:val="22"/>
        </w:rPr>
        <w:t>There are no valid reasons for which a CSD is obliged to ensure that it must exchange its assets into cash within one day or the same day. (Annex III point (14) of introduction and Art. 35 par</w:t>
      </w:r>
      <w:r w:rsidRPr="005D1202">
        <w:rPr>
          <w:rFonts w:cs="Arial"/>
          <w:szCs w:val="22"/>
        </w:rPr>
        <w:t>a</w:t>
      </w:r>
      <w:r w:rsidRPr="005D1202">
        <w:rPr>
          <w:rFonts w:cs="Arial"/>
          <w:szCs w:val="22"/>
        </w:rPr>
        <w:t>graphs 3 and 5). A CSD is planning its liquidity needs by taking into account current and future obligations. It is difficult to envisage what factors, beyond the standard (regular) activities, would under normal conditions cause the necessity to liquidate assets and place them at the disposal of CSD on the banking account.</w:t>
      </w:r>
    </w:p>
    <w:p w:rsidR="000834DD" w:rsidRPr="005D1202" w:rsidRDefault="000834DD" w:rsidP="009D1DBE">
      <w:pPr>
        <w:ind w:left="360"/>
        <w:jc w:val="both"/>
        <w:rPr>
          <w:rFonts w:cs="Arial"/>
          <w:szCs w:val="22"/>
        </w:rPr>
      </w:pPr>
    </w:p>
    <w:p w:rsidR="000834DD" w:rsidRPr="005D1202" w:rsidRDefault="000834DD" w:rsidP="009D1DBE">
      <w:pPr>
        <w:tabs>
          <w:tab w:val="left" w:pos="3402"/>
        </w:tabs>
        <w:suppressAutoHyphens/>
        <w:jc w:val="both"/>
        <w:rPr>
          <w:rFonts w:cs="Arial"/>
          <w:szCs w:val="22"/>
          <w:lang w:eastAsia="ar-SA"/>
        </w:rPr>
      </w:pPr>
      <w:r w:rsidRPr="005D1202">
        <w:rPr>
          <w:rFonts w:cs="Arial"/>
          <w:szCs w:val="22"/>
          <w:lang w:eastAsia="ar-SA"/>
        </w:rPr>
        <w:t>We thus recommend amending Art.35 of the draft RTS as follows:</w:t>
      </w:r>
    </w:p>
    <w:p w:rsidR="000834DD" w:rsidRPr="00EC268D" w:rsidRDefault="000834DD" w:rsidP="000834DD">
      <w:pPr>
        <w:tabs>
          <w:tab w:val="left" w:pos="3402"/>
        </w:tabs>
        <w:suppressAutoHyphens/>
        <w:spacing w:line="360" w:lineRule="auto"/>
        <w:jc w:val="both"/>
        <w:rPr>
          <w:rFonts w:cs="Arial"/>
          <w:sz w:val="20"/>
          <w:szCs w:val="20"/>
          <w:highlight w:val="yellow"/>
          <w:lang w:eastAsia="ar-SA"/>
        </w:rPr>
      </w:pPr>
    </w:p>
    <w:p w:rsidR="000834DD" w:rsidRPr="00EC268D" w:rsidRDefault="000834DD" w:rsidP="000834DD">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i/>
          <w:sz w:val="18"/>
          <w:szCs w:val="18"/>
          <w:lang w:eastAsia="ar-SA"/>
        </w:rPr>
      </w:pPr>
      <w:r w:rsidRPr="00EC268D">
        <w:rPr>
          <w:rFonts w:cs="Arial"/>
          <w:i/>
          <w:sz w:val="18"/>
          <w:szCs w:val="18"/>
          <w:lang w:eastAsia="ar-SA"/>
        </w:rPr>
        <w:t>Article 35 - Appropriate timeframe for access to assets</w:t>
      </w:r>
    </w:p>
    <w:p w:rsidR="000834DD" w:rsidRPr="00EC268D" w:rsidRDefault="000834DD" w:rsidP="000834DD">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i/>
          <w:sz w:val="18"/>
          <w:szCs w:val="18"/>
          <w:lang w:eastAsia="ar-SA"/>
        </w:rPr>
      </w:pPr>
      <w:r w:rsidRPr="00EC268D">
        <w:rPr>
          <w:rFonts w:cs="Arial"/>
          <w:i/>
          <w:sz w:val="18"/>
          <w:szCs w:val="18"/>
          <w:lang w:eastAsia="ar-SA"/>
        </w:rPr>
        <w:t xml:space="preserve">[…] 3. A CSD that holds cash assets shall be able to have </w:t>
      </w:r>
      <w:proofErr w:type="spellStart"/>
      <w:r w:rsidRPr="00EC268D">
        <w:rPr>
          <w:rFonts w:cs="Arial"/>
          <w:b/>
          <w:i/>
          <w:strike/>
          <w:sz w:val="18"/>
          <w:szCs w:val="18"/>
          <w:lang w:eastAsia="ar-SA"/>
        </w:rPr>
        <w:t>immediate</w:t>
      </w:r>
      <w:r w:rsidRPr="00EC268D">
        <w:rPr>
          <w:rFonts w:cs="Arial"/>
          <w:b/>
          <w:i/>
          <w:sz w:val="18"/>
          <w:szCs w:val="18"/>
          <w:lang w:eastAsia="ar-SA"/>
        </w:rPr>
        <w:t>swift</w:t>
      </w:r>
      <w:proofErr w:type="spellEnd"/>
      <w:r w:rsidRPr="00EC268D">
        <w:rPr>
          <w:rFonts w:cs="Arial"/>
          <w:i/>
          <w:sz w:val="18"/>
          <w:szCs w:val="18"/>
          <w:lang w:eastAsia="ar-SA"/>
        </w:rPr>
        <w:t xml:space="preserve"> and unconditional access to those cash assets and take all appropriate measures for that purpose.</w:t>
      </w:r>
    </w:p>
    <w:p w:rsidR="000834DD" w:rsidRPr="00EC268D" w:rsidRDefault="000834DD" w:rsidP="000834DD">
      <w:pPr>
        <w:pBdr>
          <w:top w:val="dashed" w:sz="4" w:space="1" w:color="auto"/>
          <w:left w:val="dashed" w:sz="4" w:space="4" w:color="auto"/>
          <w:bottom w:val="dashed" w:sz="4" w:space="1" w:color="auto"/>
          <w:right w:val="dashed" w:sz="4" w:space="4" w:color="auto"/>
        </w:pBdr>
        <w:tabs>
          <w:tab w:val="left" w:pos="567"/>
        </w:tabs>
        <w:spacing w:line="360" w:lineRule="auto"/>
        <w:jc w:val="both"/>
        <w:rPr>
          <w:rFonts w:cs="Arial"/>
          <w:i/>
          <w:sz w:val="18"/>
          <w:szCs w:val="18"/>
          <w:lang w:eastAsia="ar-SA"/>
        </w:rPr>
      </w:pPr>
      <w:r w:rsidRPr="00EC268D">
        <w:rPr>
          <w:rFonts w:cs="Arial"/>
          <w:i/>
          <w:sz w:val="18"/>
          <w:szCs w:val="18"/>
          <w:lang w:eastAsia="ar-SA"/>
        </w:rPr>
        <w:t xml:space="preserve">[…] 5. Where a CSD holds the securities with an authorised credit institution, it shall hold them in an individually segregated account in the books of a CSD and be capable of accessing and liquidating them </w:t>
      </w:r>
      <w:r w:rsidRPr="00EC268D">
        <w:rPr>
          <w:rFonts w:cs="Arial"/>
          <w:b/>
          <w:i/>
          <w:sz w:val="18"/>
          <w:szCs w:val="18"/>
          <w:lang w:eastAsia="ar-SA"/>
        </w:rPr>
        <w:t xml:space="preserve">within three </w:t>
      </w:r>
      <w:r w:rsidRPr="00EC268D">
        <w:rPr>
          <w:rFonts w:cs="Arial"/>
          <w:b/>
          <w:i/>
          <w:strike/>
          <w:sz w:val="18"/>
          <w:szCs w:val="18"/>
          <w:lang w:eastAsia="ar-SA"/>
        </w:rPr>
        <w:t>on the</w:t>
      </w:r>
      <w:r w:rsidRPr="00EC268D">
        <w:rPr>
          <w:rFonts w:cs="Arial"/>
          <w:i/>
          <w:sz w:val="18"/>
          <w:szCs w:val="18"/>
          <w:lang w:eastAsia="ar-SA"/>
        </w:rPr>
        <w:t xml:space="preserve"> business day</w:t>
      </w:r>
      <w:r w:rsidRPr="00EC268D">
        <w:rPr>
          <w:rFonts w:cs="Arial"/>
          <w:b/>
          <w:i/>
          <w:sz w:val="18"/>
          <w:szCs w:val="18"/>
          <w:lang w:eastAsia="ar-SA"/>
        </w:rPr>
        <w:t>s</w:t>
      </w:r>
      <w:r w:rsidRPr="00EC268D">
        <w:rPr>
          <w:rFonts w:cs="Arial"/>
          <w:i/>
          <w:sz w:val="18"/>
          <w:szCs w:val="18"/>
          <w:lang w:eastAsia="ar-SA"/>
        </w:rPr>
        <w:t xml:space="preserve"> </w:t>
      </w:r>
      <w:r w:rsidRPr="00EC268D">
        <w:rPr>
          <w:rFonts w:cs="Arial"/>
          <w:b/>
          <w:i/>
          <w:sz w:val="18"/>
          <w:szCs w:val="18"/>
          <w:lang w:eastAsia="ar-SA"/>
        </w:rPr>
        <w:t>from</w:t>
      </w:r>
      <w:r w:rsidRPr="00EC268D">
        <w:rPr>
          <w:rFonts w:cs="Arial"/>
          <w:i/>
          <w:sz w:val="18"/>
          <w:szCs w:val="18"/>
          <w:lang w:eastAsia="ar-SA"/>
        </w:rPr>
        <w:t xml:space="preserve"> </w:t>
      </w:r>
      <w:r w:rsidRPr="00EC268D">
        <w:rPr>
          <w:rFonts w:cs="Arial"/>
          <w:b/>
          <w:i/>
          <w:strike/>
          <w:sz w:val="18"/>
          <w:szCs w:val="18"/>
          <w:lang w:eastAsia="ar-SA"/>
        </w:rPr>
        <w:t>following</w:t>
      </w:r>
      <w:r w:rsidRPr="00EC268D">
        <w:rPr>
          <w:rFonts w:cs="Arial"/>
          <w:i/>
          <w:sz w:val="18"/>
          <w:szCs w:val="18"/>
          <w:lang w:eastAsia="ar-SA"/>
        </w:rPr>
        <w:t xml:space="preserve"> the day </w:t>
      </w:r>
      <w:proofErr w:type="spellStart"/>
      <w:r w:rsidRPr="00EC268D">
        <w:rPr>
          <w:rFonts w:cs="Arial"/>
          <w:i/>
          <w:sz w:val="18"/>
          <w:szCs w:val="18"/>
          <w:lang w:eastAsia="ar-SA"/>
        </w:rPr>
        <w:t>whe</w:t>
      </w:r>
      <w:r w:rsidRPr="00EC268D">
        <w:rPr>
          <w:rFonts w:cs="Arial"/>
          <w:b/>
          <w:i/>
          <w:sz w:val="18"/>
          <w:szCs w:val="18"/>
          <w:lang w:eastAsia="ar-SA"/>
        </w:rPr>
        <w:t>n</w:t>
      </w:r>
      <w:r w:rsidRPr="00EC268D">
        <w:rPr>
          <w:rFonts w:cs="Arial"/>
          <w:b/>
          <w:i/>
          <w:strike/>
          <w:sz w:val="18"/>
          <w:szCs w:val="18"/>
          <w:lang w:eastAsia="ar-SA"/>
        </w:rPr>
        <w:t>re</w:t>
      </w:r>
      <w:proofErr w:type="spellEnd"/>
      <w:r w:rsidRPr="00EC268D">
        <w:rPr>
          <w:rFonts w:cs="Arial"/>
          <w:i/>
          <w:sz w:val="18"/>
          <w:szCs w:val="18"/>
          <w:lang w:eastAsia="ar-SA"/>
        </w:rPr>
        <w:t xml:space="preserve"> a decision to liquidate the assets is taken.</w:t>
      </w:r>
    </w:p>
    <w:permEnd w:id="520305611"/>
    <w:p w:rsidR="00D12AFD" w:rsidRDefault="00D12AFD" w:rsidP="00D12AFD">
      <w:r>
        <w:t>&lt;ESMA_QUESTION_TS_CSDR_2</w:t>
      </w:r>
      <w:r w:rsidR="00252063">
        <w:t>9</w:t>
      </w:r>
      <w:r>
        <w:t>&gt;</w:t>
      </w:r>
    </w:p>
    <w:p w:rsidR="00D12AFD" w:rsidRPr="002C4F00" w:rsidRDefault="00D12AFD" w:rsidP="00965B03">
      <w:pPr>
        <w:pStyle w:val="Nagwek5"/>
        <w:ind w:left="567" w:hanging="567"/>
      </w:pPr>
      <w:r w:rsidRPr="002C4F00">
        <w:t>What are your views on the proposed draft RTS on access (Chapters I-III of Annex IV) and draft ITS on access (Annex VIII)?</w:t>
      </w:r>
    </w:p>
    <w:p w:rsidR="00D12AFD" w:rsidRDefault="00D12AFD" w:rsidP="00D12AFD"/>
    <w:p w:rsidR="00D12AFD" w:rsidRDefault="00D12AFD" w:rsidP="00D12AFD">
      <w:r>
        <w:t>&lt;ESMA_QUESTION_TS_CSDR_</w:t>
      </w:r>
      <w:r w:rsidR="00252063">
        <w:t>30</w:t>
      </w:r>
      <w:r>
        <w:t>&gt;</w:t>
      </w:r>
    </w:p>
    <w:p w:rsidR="000834DD" w:rsidRPr="00315AED" w:rsidRDefault="000834DD" w:rsidP="009D1DBE">
      <w:pPr>
        <w:rPr>
          <w:rFonts w:cs="Arial"/>
          <w:lang w:val="en-US"/>
        </w:rPr>
      </w:pPr>
      <w:permStart w:id="1347380742" w:edGrp="everyone"/>
      <w:r w:rsidRPr="00315AED">
        <w:rPr>
          <w:rFonts w:cs="Arial"/>
          <w:lang w:val="en-US"/>
        </w:rPr>
        <w:t xml:space="preserve">We would like to </w:t>
      </w:r>
      <w:r>
        <w:rPr>
          <w:rFonts w:cs="Arial"/>
          <w:lang w:val="en-US"/>
        </w:rPr>
        <w:t>note</w:t>
      </w:r>
      <w:r w:rsidRPr="00315AED">
        <w:rPr>
          <w:rFonts w:cs="Arial"/>
          <w:lang w:val="en-US"/>
        </w:rPr>
        <w:t xml:space="preserve"> that by covering CSD participants and linked financial market infrastru</w:t>
      </w:r>
      <w:r w:rsidRPr="00315AED">
        <w:rPr>
          <w:rFonts w:cs="Arial"/>
          <w:lang w:val="en-US"/>
        </w:rPr>
        <w:t>c</w:t>
      </w:r>
      <w:r w:rsidRPr="00315AED">
        <w:rPr>
          <w:rFonts w:cs="Arial"/>
          <w:lang w:val="en-US"/>
        </w:rPr>
        <w:t>tures at the same time, the article creates some apparent inconsistencies. Fo</w:t>
      </w:r>
      <w:r>
        <w:rPr>
          <w:rFonts w:cs="Arial"/>
          <w:lang w:val="en-US"/>
        </w:rPr>
        <w:t xml:space="preserve">r instance, </w:t>
      </w:r>
      <w:proofErr w:type="gramStart"/>
      <w:r>
        <w:rPr>
          <w:rFonts w:cs="Arial"/>
          <w:lang w:val="en-US"/>
        </w:rPr>
        <w:t>Art</w:t>
      </w:r>
      <w:r w:rsidRPr="00315AED">
        <w:rPr>
          <w:rFonts w:cs="Arial"/>
          <w:lang w:val="en-US"/>
        </w:rPr>
        <w:t>.2(</w:t>
      </w:r>
      <w:proofErr w:type="gramEnd"/>
      <w:r w:rsidRPr="00315AED">
        <w:rPr>
          <w:rFonts w:cs="Arial"/>
          <w:lang w:val="en-US"/>
        </w:rPr>
        <w:t xml:space="preserve">6) seems to have been drafted mostly with CSD participants in mind, and it is difficult to imagine how the requirement can be applied to a trading venue with which a CSD has a link (trade feed), since the trading venue will not be a CSD participant and thus might not have any financial obligations towards the CSD. </w:t>
      </w:r>
    </w:p>
    <w:p w:rsidR="000834DD" w:rsidRPr="00315AED" w:rsidRDefault="000834DD" w:rsidP="009D1DBE">
      <w:pPr>
        <w:rPr>
          <w:rFonts w:cs="Arial"/>
          <w:lang w:val="en-US"/>
        </w:rPr>
      </w:pPr>
    </w:p>
    <w:p w:rsidR="000834DD" w:rsidRPr="00315AED" w:rsidRDefault="000834DD" w:rsidP="009D1DBE">
      <w:pPr>
        <w:rPr>
          <w:rFonts w:cs="Arial"/>
          <w:lang w:val="en-US"/>
        </w:rPr>
      </w:pPr>
      <w:r w:rsidRPr="00315AED">
        <w:rPr>
          <w:rFonts w:cs="Arial"/>
          <w:lang w:val="en-US"/>
        </w:rPr>
        <w:t>Some confusion is also i</w:t>
      </w:r>
      <w:r w:rsidR="00480345">
        <w:rPr>
          <w:rFonts w:cs="Arial"/>
          <w:lang w:val="en-US"/>
        </w:rPr>
        <w:t>ntroduced by the fact that this A</w:t>
      </w:r>
      <w:r w:rsidRPr="00315AED">
        <w:rPr>
          <w:rFonts w:cs="Arial"/>
          <w:lang w:val="en-US"/>
        </w:rPr>
        <w:t>rticle covers at the same time the CSD’s risk assessment and the subsequent analysis by the competent authority in case the CSD has refused access to a participant, issuer, CSD or other financial market infrastructure and the requesting party has complained about this refusal. In order to avoid confusion regarding this sequence, ESMA should consider separating the</w:t>
      </w:r>
      <w:r>
        <w:rPr>
          <w:rFonts w:cs="Arial"/>
          <w:lang w:val="en-US"/>
        </w:rPr>
        <w:t xml:space="preserve"> different responsibilities in A</w:t>
      </w:r>
      <w:r w:rsidRPr="00315AED">
        <w:rPr>
          <w:rFonts w:cs="Arial"/>
          <w:lang w:val="en-US"/>
        </w:rPr>
        <w:t>rt.2 of the draft RTS more clearly.</w:t>
      </w:r>
    </w:p>
    <w:p w:rsidR="000834DD" w:rsidRDefault="000834DD" w:rsidP="009D1DBE">
      <w:pPr>
        <w:rPr>
          <w:rFonts w:cs="Arial"/>
        </w:rPr>
      </w:pPr>
    </w:p>
    <w:p w:rsidR="000834DD" w:rsidRDefault="000834DD" w:rsidP="009D1DBE">
      <w:pPr>
        <w:rPr>
          <w:rFonts w:cs="Arial"/>
        </w:rPr>
      </w:pPr>
      <w:r w:rsidRPr="00E73757">
        <w:rPr>
          <w:rFonts w:cs="Arial"/>
        </w:rPr>
        <w:t xml:space="preserve">We agree with the proposals as regards the </w:t>
      </w:r>
      <w:r>
        <w:rPr>
          <w:rFonts w:cs="Arial"/>
        </w:rPr>
        <w:t>legal, financial and operational</w:t>
      </w:r>
      <w:r w:rsidRPr="00E73757">
        <w:rPr>
          <w:rFonts w:cs="Arial"/>
        </w:rPr>
        <w:t xml:space="preserve"> risks that should be taken into </w:t>
      </w:r>
      <w:r>
        <w:rPr>
          <w:rFonts w:cs="Arial"/>
        </w:rPr>
        <w:t>account by CSDs following a request for access by a requesting participant</w:t>
      </w:r>
      <w:r w:rsidRPr="00E73757">
        <w:rPr>
          <w:rFonts w:cs="Arial"/>
        </w:rPr>
        <w:t>.</w:t>
      </w:r>
    </w:p>
    <w:p w:rsidR="00B360C4" w:rsidRDefault="00B360C4" w:rsidP="009D1DBE">
      <w:pPr>
        <w:spacing w:after="200"/>
        <w:rPr>
          <w:lang w:val="en-US"/>
        </w:rPr>
      </w:pPr>
    </w:p>
    <w:p w:rsidR="002834CE" w:rsidRPr="002834CE" w:rsidRDefault="002834CE" w:rsidP="009D1DBE">
      <w:pPr>
        <w:spacing w:after="200"/>
        <w:rPr>
          <w:lang w:val="en-US"/>
        </w:rPr>
      </w:pPr>
      <w:proofErr w:type="gramStart"/>
      <w:r w:rsidRPr="002834CE">
        <w:rPr>
          <w:lang w:val="en-US"/>
        </w:rPr>
        <w:t>As regards Art</w:t>
      </w:r>
      <w:r w:rsidR="00480345">
        <w:rPr>
          <w:lang w:val="en-US"/>
        </w:rPr>
        <w:t>.</w:t>
      </w:r>
      <w:proofErr w:type="gramEnd"/>
      <w:r w:rsidR="00480345">
        <w:rPr>
          <w:lang w:val="en-US"/>
        </w:rPr>
        <w:t xml:space="preserve"> 2 (7) we would like to remark</w:t>
      </w:r>
      <w:r w:rsidRPr="002834CE">
        <w:rPr>
          <w:lang w:val="en-US"/>
        </w:rPr>
        <w:t xml:space="preserve"> that financial assessment of issuers is in practice very difficult. It is possible to make such an assessment in the process of admitting an issuer to a CSD, but the continuous assessments </w:t>
      </w:r>
      <w:r>
        <w:rPr>
          <w:lang w:val="en-US"/>
        </w:rPr>
        <w:t xml:space="preserve">of all the issuers </w:t>
      </w:r>
      <w:r w:rsidRPr="002834CE">
        <w:rPr>
          <w:lang w:val="en-US"/>
        </w:rPr>
        <w:t>after</w:t>
      </w:r>
      <w:r w:rsidR="00480345">
        <w:rPr>
          <w:lang w:val="en-US"/>
        </w:rPr>
        <w:t xml:space="preserve"> this period</w:t>
      </w:r>
      <w:r w:rsidRPr="002834CE">
        <w:rPr>
          <w:lang w:val="en-US"/>
        </w:rPr>
        <w:t xml:space="preserve"> would be costly and burdensome,</w:t>
      </w:r>
      <w:r>
        <w:rPr>
          <w:lang w:val="en-US"/>
        </w:rPr>
        <w:t xml:space="preserve"> and we have doubts as to the consequences of</w:t>
      </w:r>
      <w:r w:rsidRPr="002834CE">
        <w:rPr>
          <w:lang w:val="en-US"/>
        </w:rPr>
        <w:t xml:space="preserve"> a </w:t>
      </w:r>
      <w:r>
        <w:rPr>
          <w:lang w:val="en-US"/>
        </w:rPr>
        <w:t>potential infringement of financial requirements by an issuer</w:t>
      </w:r>
      <w:r w:rsidRPr="002834CE">
        <w:rPr>
          <w:lang w:val="en-US"/>
        </w:rPr>
        <w:t>.</w:t>
      </w:r>
    </w:p>
    <w:p w:rsidR="000834DD" w:rsidRPr="000879D3" w:rsidRDefault="000834DD" w:rsidP="009D1DBE">
      <w:pPr>
        <w:rPr>
          <w:color w:val="FF0000"/>
        </w:rPr>
      </w:pPr>
      <w:proofErr w:type="gramStart"/>
      <w:r w:rsidRPr="005A63BB">
        <w:lastRenderedPageBreak/>
        <w:t>In Art.</w:t>
      </w:r>
      <w:proofErr w:type="gramEnd"/>
      <w:r w:rsidRPr="005A63BB">
        <w:t xml:space="preserve"> 2.12 </w:t>
      </w:r>
      <w:proofErr w:type="gramStart"/>
      <w:r w:rsidRPr="005A63BB">
        <w:t>it</w:t>
      </w:r>
      <w:proofErr w:type="gramEnd"/>
      <w:r w:rsidRPr="000879D3">
        <w:t xml:space="preserve"> is unclear </w:t>
      </w:r>
      <w:r>
        <w:t>why a CSD or</w:t>
      </w:r>
      <w:r w:rsidRPr="000879D3">
        <w:t xml:space="preserve"> CCP, </w:t>
      </w:r>
      <w:r>
        <w:t>applying for access to a</w:t>
      </w:r>
      <w:r w:rsidRPr="000879D3">
        <w:t xml:space="preserve"> CSD, </w:t>
      </w:r>
      <w:r>
        <w:t>should be excluded from meeting the criteria of paragraph 10</w:t>
      </w:r>
      <w:r w:rsidRPr="000879D3">
        <w:t xml:space="preserve"> </w:t>
      </w:r>
      <w:r>
        <w:t>(</w:t>
      </w:r>
      <w:r w:rsidRPr="000879D3">
        <w:t>a</w:t>
      </w:r>
      <w:r>
        <w:t>).</w:t>
      </w:r>
    </w:p>
    <w:p w:rsidR="000834DD" w:rsidRPr="000834DD" w:rsidRDefault="000834DD" w:rsidP="009D1DBE">
      <w:pPr>
        <w:rPr>
          <w:rFonts w:cs="Arial"/>
          <w:color w:val="FF0000"/>
          <w:lang w:val="en-US"/>
        </w:rPr>
      </w:pPr>
    </w:p>
    <w:p w:rsidR="002834CE" w:rsidRPr="009D1DBE" w:rsidRDefault="000834DD" w:rsidP="009D1DBE">
      <w:pPr>
        <w:spacing w:after="200"/>
      </w:pPr>
      <w:r>
        <w:t xml:space="preserve">As regards access criteria in the context of operational risks </w:t>
      </w:r>
      <w:r w:rsidRPr="005A63BB">
        <w:t>(Art. 2. 10(e))</w:t>
      </w:r>
      <w:r>
        <w:t xml:space="preserve"> it is suggested that access by a requesting participant “shall not create additional operational risks for the CSD, in particular access does not require the CSD to implement ongoing manual processing, increasing the risk of human error”. While KDPW is broadly in agreement with this proposal, please bear in mind that those CSDs that process corporate actions (such as KDPW) perform much of the processing manually owing to the lack of standardisation in this area. </w:t>
      </w:r>
      <w:r w:rsidR="0054457E">
        <w:t xml:space="preserve">The same applies to the tax </w:t>
      </w:r>
      <w:proofErr w:type="spellStart"/>
      <w:r w:rsidR="0054457E">
        <w:t>processing.</w:t>
      </w:r>
      <w:r>
        <w:t>This</w:t>
      </w:r>
      <w:proofErr w:type="spellEnd"/>
      <w:r>
        <w:t xml:space="preserve"> restriction may be particularly onerous for issuers seeking access to a CSD under Art. 2. 11(a).</w:t>
      </w:r>
    </w:p>
    <w:permEnd w:id="1347380742"/>
    <w:p w:rsidR="00D12AFD" w:rsidRDefault="00D12AFD" w:rsidP="00D12AFD">
      <w:r>
        <w:t>&lt;ESMA_QUESTION_TS_CSDR_</w:t>
      </w:r>
      <w:r w:rsidR="00252063">
        <w:t>30</w:t>
      </w:r>
      <w:r>
        <w:t>&gt;</w:t>
      </w:r>
    </w:p>
    <w:p w:rsidR="00D12AFD" w:rsidRPr="002C4F00" w:rsidRDefault="00D12AFD" w:rsidP="00965B03">
      <w:pPr>
        <w:pStyle w:val="Nagwek5"/>
        <w:ind w:left="567" w:hanging="567"/>
      </w:pPr>
      <w:r w:rsidRPr="002C4F00">
        <w:t>What are your views on the proposed draft RTS on CSD links as included in Chapter IV of Annex IV?</w:t>
      </w:r>
    </w:p>
    <w:p w:rsidR="00D12AFD" w:rsidRDefault="00D12AFD" w:rsidP="00D12AFD"/>
    <w:p w:rsidR="00D12AFD" w:rsidRDefault="00D12AFD" w:rsidP="00D12AFD">
      <w:r>
        <w:t>&lt;ESMA_QUESTION_TS_CSDR_3</w:t>
      </w:r>
      <w:r w:rsidR="00252063">
        <w:t>1</w:t>
      </w:r>
      <w:r>
        <w:t>&gt;</w:t>
      </w:r>
    </w:p>
    <w:p w:rsidR="000834DD" w:rsidRPr="00C65FC0" w:rsidRDefault="000834DD" w:rsidP="005A63BB">
      <w:pPr>
        <w:spacing w:after="200"/>
      </w:pPr>
      <w:permStart w:id="1221930351" w:edGrp="everyone"/>
      <w:proofErr w:type="gramStart"/>
      <w:r w:rsidRPr="00C65FC0">
        <w:t xml:space="preserve">With reference to </w:t>
      </w:r>
      <w:r w:rsidRPr="005A63BB">
        <w:t>Art.</w:t>
      </w:r>
      <w:proofErr w:type="gramEnd"/>
      <w:r w:rsidRPr="005A63BB">
        <w:t xml:space="preserve"> 4. 1(b), we</w:t>
      </w:r>
      <w:r w:rsidRPr="00C65FC0">
        <w:t xml:space="preserve"> believe that once a receiving CSD has been authorised under CSDR, it should already meet the </w:t>
      </w:r>
      <w:r>
        <w:t xml:space="preserve">stringent </w:t>
      </w:r>
      <w:r w:rsidRPr="00C65FC0">
        <w:t xml:space="preserve">requirements of financial soundness, governance arrangements, processing capacity and operational reliability, and any reliance on a critical service provider will also be subject to oversight. In view of this, the requesting CSD should base its analysis on this </w:t>
      </w:r>
      <w:r>
        <w:t>principle</w:t>
      </w:r>
      <w:r w:rsidRPr="00C65FC0">
        <w:t xml:space="preserve">, rather than being obliged to duplicate an analysis on an </w:t>
      </w:r>
      <w:r>
        <w:t xml:space="preserve">already </w:t>
      </w:r>
      <w:r w:rsidRPr="00C65FC0">
        <w:t>authorised receiving CSD. We propose therefore to remove this requirement from links with already authorised CSDs. However, these requirements should remain for non-authorised CSDs and third country CSDs.</w:t>
      </w:r>
    </w:p>
    <w:p w:rsidR="000834DD" w:rsidRPr="00D002CF" w:rsidRDefault="000834DD" w:rsidP="009D1DBE">
      <w:pPr>
        <w:jc w:val="both"/>
      </w:pPr>
      <w:r w:rsidRPr="00D002CF">
        <w:rPr>
          <w:b/>
        </w:rPr>
        <w:t>KDPW Proposal</w:t>
      </w:r>
      <w:r w:rsidRPr="00D002CF">
        <w:t>: Make the provisions only</w:t>
      </w:r>
      <w:r>
        <w:t xml:space="preserve"> applicable to non-authorised and third country CSDs:</w:t>
      </w:r>
      <w:r w:rsidRPr="00D002CF">
        <w:t xml:space="preserve">  </w:t>
      </w:r>
    </w:p>
    <w:p w:rsidR="005A63BB" w:rsidRDefault="000834DD" w:rsidP="005A63BB">
      <w:pPr>
        <w:jc w:val="both"/>
        <w:rPr>
          <w:i/>
          <w:sz w:val="24"/>
        </w:rPr>
      </w:pPr>
      <w:r>
        <w:rPr>
          <w:sz w:val="24"/>
        </w:rPr>
        <w:t xml:space="preserve">(b) </w:t>
      </w:r>
      <w:r w:rsidRPr="00D002CF">
        <w:rPr>
          <w:i/>
          <w:sz w:val="24"/>
        </w:rPr>
        <w:t>Where a receiving CSD has not been authorised, or is a third country CSD</w:t>
      </w:r>
      <w:r>
        <w:rPr>
          <w:sz w:val="24"/>
        </w:rPr>
        <w:t xml:space="preserve">, </w:t>
      </w:r>
      <w:r>
        <w:rPr>
          <w:i/>
          <w:sz w:val="24"/>
        </w:rPr>
        <w:t>t</w:t>
      </w:r>
      <w:r w:rsidRPr="00D002CF">
        <w:rPr>
          <w:sz w:val="24"/>
        </w:rPr>
        <w:t>he r</w:t>
      </w:r>
      <w:r w:rsidRPr="00D002CF">
        <w:rPr>
          <w:sz w:val="24"/>
        </w:rPr>
        <w:t>e</w:t>
      </w:r>
      <w:r w:rsidRPr="00D002CF">
        <w:rPr>
          <w:sz w:val="24"/>
        </w:rPr>
        <w:t xml:space="preserve">questing CSD shall conduct an analysis of </w:t>
      </w:r>
      <w:r w:rsidRPr="00D002CF">
        <w:rPr>
          <w:strike/>
          <w:sz w:val="24"/>
        </w:rPr>
        <w:t>the</w:t>
      </w:r>
      <w:r w:rsidRPr="00D002CF">
        <w:rPr>
          <w:sz w:val="24"/>
        </w:rPr>
        <w:t xml:space="preserve"> </w:t>
      </w:r>
      <w:r>
        <w:rPr>
          <w:i/>
          <w:sz w:val="24"/>
        </w:rPr>
        <w:t xml:space="preserve">that </w:t>
      </w:r>
      <w:r w:rsidRPr="00D002CF">
        <w:rPr>
          <w:sz w:val="24"/>
        </w:rPr>
        <w:t>receiving CSD’s financial soundness, governance arrangements, processing capacity, operational reliability and any reliance on a critical service provider.</w:t>
      </w:r>
      <w:r>
        <w:rPr>
          <w:sz w:val="24"/>
        </w:rPr>
        <w:t xml:space="preserve"> </w:t>
      </w:r>
      <w:r w:rsidRPr="00D002CF">
        <w:rPr>
          <w:i/>
          <w:sz w:val="24"/>
        </w:rPr>
        <w:t xml:space="preserve">Such an analysis </w:t>
      </w:r>
      <w:r>
        <w:rPr>
          <w:i/>
          <w:sz w:val="24"/>
        </w:rPr>
        <w:t xml:space="preserve">by a requesting CSD </w:t>
      </w:r>
      <w:r w:rsidRPr="00D002CF">
        <w:rPr>
          <w:i/>
          <w:sz w:val="24"/>
        </w:rPr>
        <w:t>shall not be deemed necessary for</w:t>
      </w:r>
      <w:r>
        <w:rPr>
          <w:i/>
          <w:sz w:val="24"/>
        </w:rPr>
        <w:t xml:space="preserve"> authorised receiving CSDs.</w:t>
      </w:r>
      <w:r>
        <w:rPr>
          <w:sz w:val="24"/>
        </w:rPr>
        <w:t xml:space="preserve"> </w:t>
      </w:r>
    </w:p>
    <w:p w:rsidR="005A63BB" w:rsidRPr="005A63BB" w:rsidRDefault="005A63BB" w:rsidP="005A63BB">
      <w:pPr>
        <w:jc w:val="both"/>
        <w:rPr>
          <w:i/>
          <w:sz w:val="24"/>
        </w:rPr>
      </w:pPr>
    </w:p>
    <w:p w:rsidR="000834DD" w:rsidRDefault="000834DD" w:rsidP="005A63BB">
      <w:pPr>
        <w:spacing w:after="200"/>
      </w:pPr>
      <w:r w:rsidRPr="00C65FC0">
        <w:t xml:space="preserve">We also recommend </w:t>
      </w:r>
      <w:r w:rsidRPr="005A63BB">
        <w:t>amending Art.4 1(d) to</w:t>
      </w:r>
      <w:r w:rsidRPr="00C65FC0">
        <w:t xml:space="preserve"> exclude those elements of the link arrangement that are commercial (e.g. prices and fees) from the "terms and conditions"</w:t>
      </w:r>
      <w:r>
        <w:t>, and include only the operational elements</w:t>
      </w:r>
      <w:r w:rsidRPr="00C65FC0">
        <w:t xml:space="preserve"> to be communicated to CSD participants.</w:t>
      </w:r>
    </w:p>
    <w:p w:rsidR="005A63BB" w:rsidRDefault="000834DD" w:rsidP="009D1DBE">
      <w:pPr>
        <w:jc w:val="both"/>
      </w:pPr>
      <w:r w:rsidRPr="00D002CF">
        <w:rPr>
          <w:b/>
        </w:rPr>
        <w:t>KDPW Proposal</w:t>
      </w:r>
      <w:r w:rsidRPr="00D002CF">
        <w:t xml:space="preserve">: </w:t>
      </w:r>
      <w:r>
        <w:t xml:space="preserve">Amend the </w:t>
      </w:r>
      <w:r w:rsidRPr="00D002CF">
        <w:t>provisions</w:t>
      </w:r>
      <w:r w:rsidR="005A63BB">
        <w:t xml:space="preserve"> accordingly:</w:t>
      </w:r>
    </w:p>
    <w:p w:rsidR="000834DD" w:rsidRDefault="000834DD" w:rsidP="009D1DBE">
      <w:pPr>
        <w:jc w:val="both"/>
        <w:rPr>
          <w:sz w:val="24"/>
        </w:rPr>
      </w:pPr>
      <w:r w:rsidRPr="00C65FC0">
        <w:rPr>
          <w:sz w:val="24"/>
        </w:rPr>
        <w:t xml:space="preserve">(d) The requesting CSD shall make the </w:t>
      </w:r>
      <w:r w:rsidRPr="005A63BB">
        <w:rPr>
          <w:b/>
          <w:i/>
          <w:sz w:val="24"/>
        </w:rPr>
        <w:t>operational</w:t>
      </w:r>
      <w:r>
        <w:rPr>
          <w:i/>
          <w:sz w:val="24"/>
        </w:rPr>
        <w:t xml:space="preserve"> </w:t>
      </w:r>
      <w:r w:rsidRPr="00C65FC0">
        <w:rPr>
          <w:sz w:val="24"/>
        </w:rPr>
        <w:t>terms and conditions of the link arrangement available to its participants to enable the participants to assess and ma</w:t>
      </w:r>
      <w:r w:rsidRPr="00C65FC0">
        <w:rPr>
          <w:sz w:val="24"/>
        </w:rPr>
        <w:t>n</w:t>
      </w:r>
      <w:r w:rsidRPr="00C65FC0">
        <w:rPr>
          <w:sz w:val="24"/>
        </w:rPr>
        <w:t>age the risks involved.</w:t>
      </w:r>
    </w:p>
    <w:p w:rsidR="000834DD" w:rsidRPr="00C65FC0" w:rsidRDefault="000834DD" w:rsidP="009D1DBE">
      <w:pPr>
        <w:jc w:val="both"/>
        <w:rPr>
          <w:sz w:val="24"/>
        </w:rPr>
      </w:pPr>
    </w:p>
    <w:p w:rsidR="000834DD" w:rsidRDefault="000834DD" w:rsidP="005A63BB">
      <w:pPr>
        <w:spacing w:after="200"/>
      </w:pPr>
      <w:r>
        <w:t xml:space="preserve">It is worth highlighting that the provisions </w:t>
      </w:r>
      <w:r w:rsidRPr="005A63BB">
        <w:t>of Art.4 1(h)</w:t>
      </w:r>
      <w:r>
        <w:t xml:space="preserve"> on end-to-end testing before the link b</w:t>
      </w:r>
      <w:r>
        <w:t>e</w:t>
      </w:r>
      <w:r>
        <w:t>comes operational cannot apply to links already existing at the time of authorisation. We propose only maintaining this requirement of end-to-end tests for links created after authorisation. Mor</w:t>
      </w:r>
      <w:r>
        <w:t>e</w:t>
      </w:r>
      <w:r>
        <w:t>over, t</w:t>
      </w:r>
      <w:r w:rsidRPr="0011782A">
        <w:t>he “emergency plan” for links mentioned should not be a standalone document and should form an integral part of the business continuity policies of the respective CSDs.</w:t>
      </w:r>
    </w:p>
    <w:p w:rsidR="000834DD" w:rsidRDefault="000834DD" w:rsidP="005A63BB">
      <w:pPr>
        <w:jc w:val="both"/>
      </w:pPr>
      <w:r w:rsidRPr="00D002CF">
        <w:rPr>
          <w:b/>
        </w:rPr>
        <w:t>KDPW Proposal</w:t>
      </w:r>
      <w:r w:rsidRPr="00D002CF">
        <w:t xml:space="preserve">: </w:t>
      </w:r>
      <w:r>
        <w:t xml:space="preserve">Amend the </w:t>
      </w:r>
      <w:r w:rsidRPr="00D002CF">
        <w:t>provisions</w:t>
      </w:r>
      <w:r w:rsidR="005A63BB">
        <w:t xml:space="preserve"> accordingly:</w:t>
      </w:r>
    </w:p>
    <w:p w:rsidR="000834DD" w:rsidRDefault="000834DD" w:rsidP="005A63BB">
      <w:pPr>
        <w:jc w:val="both"/>
        <w:rPr>
          <w:sz w:val="24"/>
        </w:rPr>
      </w:pPr>
      <w:r w:rsidRPr="00717A4A">
        <w:rPr>
          <w:sz w:val="24"/>
        </w:rPr>
        <w:lastRenderedPageBreak/>
        <w:t xml:space="preserve">(h) </w:t>
      </w:r>
      <w:r w:rsidRPr="00717A4A">
        <w:rPr>
          <w:i/>
          <w:sz w:val="24"/>
        </w:rPr>
        <w:t xml:space="preserve">For a link established after </w:t>
      </w:r>
      <w:r>
        <w:rPr>
          <w:i/>
          <w:sz w:val="24"/>
        </w:rPr>
        <w:t>the authorisation of the requesting and receiving CSDs</w:t>
      </w:r>
      <w:r w:rsidRPr="00717A4A">
        <w:rPr>
          <w:i/>
          <w:sz w:val="24"/>
        </w:rPr>
        <w:t>, t</w:t>
      </w:r>
      <w:r w:rsidRPr="00717A4A">
        <w:rPr>
          <w:sz w:val="24"/>
        </w:rPr>
        <w:t>he requesting CSD shall be responsible for having conducted end-to-end tests with the receiving CSD before the link becomes operational.</w:t>
      </w:r>
      <w:r>
        <w:rPr>
          <w:sz w:val="24"/>
        </w:rPr>
        <w:t xml:space="preserve"> </w:t>
      </w:r>
    </w:p>
    <w:p w:rsidR="000834DD" w:rsidRDefault="000834DD" w:rsidP="005A63BB">
      <w:pPr>
        <w:rPr>
          <w:sz w:val="24"/>
        </w:rPr>
      </w:pPr>
      <w:r>
        <w:rPr>
          <w:sz w:val="24"/>
        </w:rPr>
        <w:t>(</w:t>
      </w:r>
      <w:proofErr w:type="gramStart"/>
      <w:r>
        <w:rPr>
          <w:sz w:val="24"/>
        </w:rPr>
        <w:t>h/2</w:t>
      </w:r>
      <w:proofErr w:type="gramEnd"/>
      <w:r>
        <w:rPr>
          <w:sz w:val="24"/>
        </w:rPr>
        <w:t xml:space="preserve">) </w:t>
      </w:r>
      <w:r w:rsidRPr="00717A4A">
        <w:rPr>
          <w:i/>
          <w:sz w:val="24"/>
        </w:rPr>
        <w:t>An</w:t>
      </w:r>
      <w:r w:rsidRPr="00717A4A">
        <w:rPr>
          <w:sz w:val="24"/>
        </w:rPr>
        <w:t xml:space="preserve"> emergency plan shall be established </w:t>
      </w:r>
      <w:r w:rsidRPr="00717A4A">
        <w:rPr>
          <w:i/>
          <w:sz w:val="24"/>
        </w:rPr>
        <w:t>as part of the business continuity plans of the respective CSDs</w:t>
      </w:r>
      <w:r w:rsidRPr="00717A4A">
        <w:rPr>
          <w:sz w:val="24"/>
        </w:rPr>
        <w:t xml:space="preserve"> </w:t>
      </w:r>
      <w:r w:rsidRPr="00717A4A">
        <w:rPr>
          <w:strike/>
          <w:sz w:val="24"/>
        </w:rPr>
        <w:t>before the link becomes operational</w:t>
      </w:r>
      <w:r w:rsidRPr="00717A4A">
        <w:rPr>
          <w:sz w:val="24"/>
        </w:rPr>
        <w:t>, covering at least the situation where the securities settlement systems of the linked CSDs malfunction or break down and the remedial actions in such events.</w:t>
      </w:r>
    </w:p>
    <w:p w:rsidR="000834DD" w:rsidRDefault="000834DD" w:rsidP="009D1DBE">
      <w:pPr>
        <w:ind w:left="360"/>
      </w:pPr>
    </w:p>
    <w:p w:rsidR="000834DD" w:rsidRDefault="000834DD" w:rsidP="005A63BB">
      <w:pPr>
        <w:spacing w:after="200"/>
      </w:pPr>
      <w:proofErr w:type="gramStart"/>
      <w:r>
        <w:t xml:space="preserve">If DvP links are to be encouraged, the restriction in </w:t>
      </w:r>
      <w:r w:rsidRPr="005A63BB">
        <w:t>Art 4.</w:t>
      </w:r>
      <w:proofErr w:type="gramEnd"/>
      <w:r w:rsidRPr="005A63BB">
        <w:t xml:space="preserve"> 1(f)</w:t>
      </w:r>
      <w:r>
        <w:t xml:space="preserve"> on using banking-type ancillary services from receiving (I</w:t>
      </w:r>
      <w:proofErr w:type="gramStart"/>
      <w:r>
        <w:t>)CSDs</w:t>
      </w:r>
      <w:proofErr w:type="gramEnd"/>
      <w:r>
        <w:t xml:space="preserve"> (or their corporate affiliates) which offer these services is in complete contradiction here. Since the banking operations of (I</w:t>
      </w:r>
      <w:proofErr w:type="gramStart"/>
      <w:r>
        <w:t>)CSDs</w:t>
      </w:r>
      <w:proofErr w:type="gramEnd"/>
      <w:r>
        <w:t xml:space="preserve"> are also subject to stri</w:t>
      </w:r>
      <w:r>
        <w:t>n</w:t>
      </w:r>
      <w:r>
        <w:t>gent regulation, it seems illogical that requesting CSDs should be forced to seek cash account services elsewhere. A (I</w:t>
      </w:r>
      <w:proofErr w:type="gramStart"/>
      <w:r>
        <w:t>)CSD</w:t>
      </w:r>
      <w:proofErr w:type="gramEnd"/>
      <w:r>
        <w:t xml:space="preserve"> with a banking licence will be able to perform settlement in a more efficient manner using cash in accounts within its system. Please note that a cash account opened for a requesting CSD in an (I)CSD offering banking-type ancillary services is not only used for the processing of the cash leg of settlement, but also for (incoming) fee payments and (outgoing) corporate actions (e.g. dividend) payments – so requesting CSDs will have such accounts opened already. Using a separate commercial bank then for the settlement of the cash leg will increase inefficiencies, prolong processing times and in some cases raise costs.</w:t>
      </w:r>
    </w:p>
    <w:p w:rsidR="000834DD" w:rsidRDefault="000834DD" w:rsidP="009D1DBE">
      <w:pPr>
        <w:ind w:left="360"/>
      </w:pPr>
      <w:r w:rsidRPr="00495AE4">
        <w:rPr>
          <w:b/>
        </w:rPr>
        <w:t>KDPW proposal</w:t>
      </w:r>
      <w:r>
        <w:t xml:space="preserve">: Delete Art 4. </w:t>
      </w:r>
      <w:proofErr w:type="gramStart"/>
      <w:r>
        <w:t>1(f).</w:t>
      </w:r>
      <w:proofErr w:type="gramEnd"/>
      <w:r w:rsidRPr="00495AE4">
        <w:t xml:space="preserve"> </w:t>
      </w:r>
    </w:p>
    <w:p w:rsidR="005A63BB" w:rsidRDefault="005A63BB" w:rsidP="005A63BB">
      <w:pPr>
        <w:spacing w:after="200"/>
        <w:rPr>
          <w:b/>
        </w:rPr>
      </w:pPr>
    </w:p>
    <w:p w:rsidR="000834DD" w:rsidRPr="00866D64" w:rsidRDefault="000834DD" w:rsidP="005A63BB">
      <w:pPr>
        <w:spacing w:after="200"/>
      </w:pPr>
      <w:r w:rsidRPr="005A63BB">
        <w:t>Art 4. 1(j)</w:t>
      </w:r>
      <w:r w:rsidRPr="005A63BB">
        <w:rPr>
          <w:b/>
        </w:rPr>
        <w:t xml:space="preserve"> </w:t>
      </w:r>
      <w:r>
        <w:t xml:space="preserve">contains provisions on the assessment of any development that might result in the possibility to settle on a DvP basis, provisions which are not aligned with Article 7 a few pages later on (DVP Settlement through CSD links). It would be helpful to suggest in </w:t>
      </w:r>
      <w:r w:rsidRPr="00100BAB">
        <w:t>Art 4. 1(j)</w:t>
      </w:r>
      <w:r>
        <w:t xml:space="preserve"> what criteria should be used in the assessment – will it only be the criteria of the existence of cond</w:t>
      </w:r>
      <w:r>
        <w:t>i</w:t>
      </w:r>
      <w:r>
        <w:t xml:space="preserve">tions that enable a “… </w:t>
      </w:r>
      <w:r w:rsidRPr="001D5C57">
        <w:t>safe and efficient access to cash in the currencies used for settlement by the receiving CSD for the requesting CSD and for its participants.</w:t>
      </w:r>
      <w:r>
        <w:t>” (</w:t>
      </w:r>
      <w:proofErr w:type="gramStart"/>
      <w:r>
        <w:t>as</w:t>
      </w:r>
      <w:proofErr w:type="gramEnd"/>
      <w:r>
        <w:t xml:space="preserve"> listed in Article 7)? If so, it would be helpful to mention this in </w:t>
      </w:r>
      <w:r w:rsidRPr="00100BAB">
        <w:t xml:space="preserve">Art 4. </w:t>
      </w:r>
      <w:proofErr w:type="gramStart"/>
      <w:r w:rsidRPr="00100BAB">
        <w:t>1(j)</w:t>
      </w:r>
      <w:r>
        <w:t>.</w:t>
      </w:r>
      <w:proofErr w:type="gramEnd"/>
      <w:r>
        <w:t xml:space="preserve"> </w:t>
      </w:r>
      <w:proofErr w:type="gramStart"/>
      <w:r>
        <w:t xml:space="preserve">If more criteria need to be assessed as part of </w:t>
      </w:r>
      <w:r w:rsidRPr="00100BAB">
        <w:t>Art 4.</w:t>
      </w:r>
      <w:proofErr w:type="gramEnd"/>
      <w:r w:rsidRPr="00100BAB">
        <w:t xml:space="preserve"> 1(j)</w:t>
      </w:r>
      <w:r>
        <w:t>, these should be added to the list of circumstances in Article 7.</w:t>
      </w:r>
    </w:p>
    <w:p w:rsidR="000834DD" w:rsidRDefault="000834DD" w:rsidP="005A63BB">
      <w:pPr>
        <w:spacing w:after="200"/>
      </w:pPr>
      <w:r w:rsidRPr="006D76B1">
        <w:t xml:space="preserve">A distinction needs to be made between an </w:t>
      </w:r>
      <w:r w:rsidRPr="005A63BB">
        <w:rPr>
          <w:i/>
        </w:rPr>
        <w:t>indirect</w:t>
      </w:r>
      <w:r w:rsidRPr="006D76B1">
        <w:t xml:space="preserve"> link – where an investor CSD holds an a</w:t>
      </w:r>
      <w:r w:rsidRPr="006D76B1">
        <w:t>c</w:t>
      </w:r>
      <w:r w:rsidRPr="006D76B1">
        <w:t xml:space="preserve">count with a third party (usually a bank) and this third party in turn holds an account in the issuer CSD – and an </w:t>
      </w:r>
      <w:r w:rsidRPr="005A63BB">
        <w:rPr>
          <w:i/>
        </w:rPr>
        <w:t xml:space="preserve">operated </w:t>
      </w:r>
      <w:r w:rsidRPr="006D76B1">
        <w:t xml:space="preserve">link – where the investor CSD holds an account directly with the </w:t>
      </w:r>
      <w:r>
        <w:t>issuer</w:t>
      </w:r>
      <w:r w:rsidRPr="006D76B1">
        <w:t xml:space="preserve"> CSD, however the account is operated by a participant of the </w:t>
      </w:r>
      <w:r>
        <w:t>issuer</w:t>
      </w:r>
      <w:r w:rsidRPr="006D76B1">
        <w:t xml:space="preserve"> CSD. In terms of risk, an operated link</w:t>
      </w:r>
      <w:r>
        <w:t xml:space="preserve">, which is simply a variation of a direct link, </w:t>
      </w:r>
      <w:r w:rsidRPr="006D76B1">
        <w:t xml:space="preserve">has a much lower risk profile than an indirect link, simply because of where the </w:t>
      </w:r>
      <w:r>
        <w:t>investor</w:t>
      </w:r>
      <w:r w:rsidRPr="006D76B1">
        <w:t xml:space="preserve"> CSD has its account(s) located</w:t>
      </w:r>
      <w:r>
        <w:t xml:space="preserve"> and for this reason it is important that these two types of link should be treated differently</w:t>
      </w:r>
      <w:r w:rsidRPr="006D76B1">
        <w:t xml:space="preserve">. </w:t>
      </w:r>
      <w:r>
        <w:t xml:space="preserve">This distinction is not made in the preamble to Annex IV of the Draft RTS on Access and Links (see </w:t>
      </w:r>
      <w:r w:rsidRPr="005A63BB">
        <w:t>(25) of the Recitals p. 241), nor in the provisions of Art. 5.1. As reg</w:t>
      </w:r>
      <w:r>
        <w:t xml:space="preserve">ards the provisions of Art. 5.1, there is no reason why an account operator needs to meet the same stringent criteria of credit institutions that act as intermediary in a third-party link. </w:t>
      </w:r>
    </w:p>
    <w:p w:rsidR="000834DD" w:rsidRDefault="000834DD" w:rsidP="009D1DBE">
      <w:pPr>
        <w:ind w:left="360"/>
      </w:pPr>
      <w:r w:rsidRPr="00715E6F">
        <w:rPr>
          <w:b/>
        </w:rPr>
        <w:t>KDPW proposal</w:t>
      </w:r>
      <w:r>
        <w:t xml:space="preserve">: Keep Art. 5. 1 for intermediaries in indirect links (as they are currently), however, oblige intermediaries that operate accounts in the issuer CSD </w:t>
      </w:r>
      <w:r w:rsidRPr="00715E6F">
        <w:rPr>
          <w:i/>
        </w:rPr>
        <w:t>only</w:t>
      </w:r>
      <w:r>
        <w:t xml:space="preserve"> to meet the r</w:t>
      </w:r>
      <w:r>
        <w:t>e</w:t>
      </w:r>
      <w:r>
        <w:t>quirements of 5.1. (b), (c), (d), (e), (f), (g), (j) and (k).</w:t>
      </w:r>
    </w:p>
    <w:p w:rsidR="000834DD" w:rsidRDefault="000834DD" w:rsidP="009D1DBE">
      <w:pPr>
        <w:ind w:left="360"/>
      </w:pPr>
    </w:p>
    <w:p w:rsidR="000834DD" w:rsidRDefault="000834DD" w:rsidP="005A63BB">
      <w:pPr>
        <w:spacing w:after="200"/>
      </w:pPr>
      <w:r>
        <w:t xml:space="preserve">It is important to amend the requirement </w:t>
      </w:r>
      <w:r w:rsidRPr="005A63BB">
        <w:t>of Art. 5. 1 (h), for</w:t>
      </w:r>
      <w:r>
        <w:t xml:space="preserve"> intermediaries that are used by a requesting CSD in an indirect link to a receiving CSD, to manage an individually segregated account at the receiving CSD. The requirement for a CSD to offer individual segregation derives from Art 38 (4) of CSDR, where the requirement is dependent on whether this is an option pr</w:t>
      </w:r>
      <w:r>
        <w:t>e</w:t>
      </w:r>
      <w:r>
        <w:lastRenderedPageBreak/>
        <w:t>ferred by the participant. These provisions of CSDR correctly recognise that in certain cases, the participant may not wish to segregate at individual level. This principle should continue to be maintained as an option available to participants holding accounts in receiving CSDs as part of an indirect link. This principle becomes even more significant for indirect links into non-EU juri</w:t>
      </w:r>
      <w:r>
        <w:t>s</w:t>
      </w:r>
      <w:r>
        <w:t>dictions, where individually segregated accounts in CSDs are not always the norm, either b</w:t>
      </w:r>
      <w:r>
        <w:t>e</w:t>
      </w:r>
      <w:r>
        <w:t>cause of local legal restrictions or market practice. Nevertheless, the right for a requesting CSD to access its clients’ securities in the receiving CSD should be maintained.</w:t>
      </w:r>
    </w:p>
    <w:p w:rsidR="000834DD" w:rsidRDefault="000834DD" w:rsidP="009D1DBE">
      <w:pPr>
        <w:ind w:left="360"/>
      </w:pPr>
      <w:r w:rsidRPr="00715E6F">
        <w:rPr>
          <w:b/>
        </w:rPr>
        <w:t>KDPW proposal</w:t>
      </w:r>
      <w:r>
        <w:t xml:space="preserve">: Delete the reference to individually segregated accounts: </w:t>
      </w:r>
    </w:p>
    <w:p w:rsidR="000834DD" w:rsidRDefault="000834DD" w:rsidP="009D1DBE">
      <w:pPr>
        <w:ind w:left="360"/>
        <w:rPr>
          <w:sz w:val="24"/>
        </w:rPr>
      </w:pPr>
      <w:r w:rsidRPr="00213A35">
        <w:rPr>
          <w:sz w:val="24"/>
        </w:rPr>
        <w:t xml:space="preserve">(h) </w:t>
      </w:r>
      <w:r w:rsidRPr="00213A35">
        <w:rPr>
          <w:strike/>
          <w:sz w:val="24"/>
        </w:rPr>
        <w:t>At least an individually segregated account at the receiving CSD is used for the operations of the link.</w:t>
      </w:r>
      <w:r w:rsidRPr="00213A35">
        <w:rPr>
          <w:sz w:val="24"/>
        </w:rPr>
        <w:t xml:space="preserve"> The requesting CSD shall ensure that it can access the secur</w:t>
      </w:r>
      <w:r w:rsidRPr="00213A35">
        <w:rPr>
          <w:sz w:val="24"/>
        </w:rPr>
        <w:t>i</w:t>
      </w:r>
      <w:r w:rsidRPr="00213A35">
        <w:rPr>
          <w:sz w:val="24"/>
        </w:rPr>
        <w:t xml:space="preserve">ties </w:t>
      </w:r>
      <w:r w:rsidRPr="00213A35">
        <w:rPr>
          <w:i/>
          <w:sz w:val="24"/>
        </w:rPr>
        <w:t xml:space="preserve">of its clients </w:t>
      </w:r>
      <w:r w:rsidRPr="00213A35">
        <w:rPr>
          <w:sz w:val="24"/>
        </w:rPr>
        <w:t xml:space="preserve">held in the </w:t>
      </w:r>
      <w:r w:rsidRPr="00213A35">
        <w:rPr>
          <w:strike/>
          <w:sz w:val="24"/>
        </w:rPr>
        <w:t>individually segregated</w:t>
      </w:r>
      <w:r w:rsidRPr="00213A35">
        <w:rPr>
          <w:sz w:val="24"/>
        </w:rPr>
        <w:t xml:space="preserve"> </w:t>
      </w:r>
      <w:r w:rsidRPr="00213A35">
        <w:rPr>
          <w:strike/>
          <w:sz w:val="24"/>
        </w:rPr>
        <w:t>account</w:t>
      </w:r>
      <w:r w:rsidRPr="00213A35">
        <w:rPr>
          <w:sz w:val="24"/>
        </w:rPr>
        <w:t xml:space="preserve"> </w:t>
      </w:r>
      <w:r w:rsidRPr="00213A35">
        <w:rPr>
          <w:i/>
          <w:sz w:val="24"/>
        </w:rPr>
        <w:t xml:space="preserve">receiving CSD </w:t>
      </w:r>
      <w:r w:rsidRPr="00213A35">
        <w:rPr>
          <w:sz w:val="24"/>
        </w:rPr>
        <w:t>at any point in time, including in the event of a change or insolvency of the intermediary.</w:t>
      </w:r>
    </w:p>
    <w:p w:rsidR="000834DD" w:rsidRPr="00213A35" w:rsidRDefault="000834DD" w:rsidP="009D1DBE">
      <w:pPr>
        <w:ind w:left="360"/>
        <w:rPr>
          <w:sz w:val="24"/>
        </w:rPr>
      </w:pPr>
    </w:p>
    <w:p w:rsidR="000834DD" w:rsidRDefault="000834DD" w:rsidP="005A63BB">
      <w:pPr>
        <w:spacing w:after="200"/>
      </w:pPr>
      <w:r>
        <w:t>As regards reconciliation methods for linked CSDs (</w:t>
      </w:r>
      <w:r w:rsidRPr="005A63BB">
        <w:t>Art. 6</w:t>
      </w:r>
      <w:r>
        <w:t>), not all receiving CSDs (in particular non-EU CSDs) are able to transmit daily statements of information. In many cases, (again, from our experience, this relates to KDPW’s non-EU links) an end-of-day statement is only provided when there has been a movement on the account, otherwise not. For interoperable links, daily reconciliation is acceptable.</w:t>
      </w:r>
    </w:p>
    <w:p w:rsidR="000834DD" w:rsidRDefault="000834DD" w:rsidP="009D1DBE">
      <w:pPr>
        <w:ind w:left="360"/>
      </w:pPr>
      <w:r w:rsidRPr="00715E6F">
        <w:rPr>
          <w:b/>
        </w:rPr>
        <w:t>KDPW proposal</w:t>
      </w:r>
      <w:r>
        <w:t>: Amend the reference to daily statements:</w:t>
      </w:r>
    </w:p>
    <w:p w:rsidR="000834DD" w:rsidRDefault="000834DD" w:rsidP="009D1DBE">
      <w:pPr>
        <w:pStyle w:val="Akapitzlist"/>
        <w:numPr>
          <w:ilvl w:val="0"/>
          <w:numId w:val="35"/>
        </w:numPr>
        <w:spacing w:after="200"/>
        <w:rPr>
          <w:sz w:val="24"/>
        </w:rPr>
      </w:pPr>
      <w:r w:rsidRPr="0082126B">
        <w:rPr>
          <w:sz w:val="24"/>
        </w:rPr>
        <w:t xml:space="preserve">The receiving CSD shall transmit to the requesting CSD </w:t>
      </w:r>
      <w:r w:rsidRPr="0082126B">
        <w:rPr>
          <w:strike/>
          <w:sz w:val="24"/>
        </w:rPr>
        <w:t>daily</w:t>
      </w:r>
      <w:r w:rsidRPr="0082126B">
        <w:rPr>
          <w:sz w:val="24"/>
        </w:rPr>
        <w:t xml:space="preserve"> statements of i</w:t>
      </w:r>
      <w:r w:rsidRPr="0082126B">
        <w:rPr>
          <w:sz w:val="24"/>
        </w:rPr>
        <w:t>n</w:t>
      </w:r>
      <w:r w:rsidRPr="0082126B">
        <w:rPr>
          <w:sz w:val="24"/>
        </w:rPr>
        <w:t xml:space="preserve">formation </w:t>
      </w:r>
      <w:r>
        <w:rPr>
          <w:i/>
          <w:sz w:val="24"/>
        </w:rPr>
        <w:t>on each day</w:t>
      </w:r>
      <w:r w:rsidRPr="0082126B">
        <w:rPr>
          <w:i/>
          <w:sz w:val="24"/>
        </w:rPr>
        <w:t xml:space="preserve"> of a</w:t>
      </w:r>
      <w:r>
        <w:rPr>
          <w:i/>
          <w:sz w:val="24"/>
        </w:rPr>
        <w:t>ny</w:t>
      </w:r>
      <w:r w:rsidRPr="0082126B">
        <w:rPr>
          <w:i/>
          <w:sz w:val="24"/>
        </w:rPr>
        <w:t xml:space="preserve"> change in the balance on an account </w:t>
      </w:r>
      <w:r w:rsidRPr="0082126B">
        <w:rPr>
          <w:sz w:val="24"/>
        </w:rPr>
        <w:t>specifying the following, per account number and per securities issue:</w:t>
      </w:r>
    </w:p>
    <w:p w:rsidR="000834DD" w:rsidRPr="0082126B" w:rsidRDefault="000834DD" w:rsidP="009D1DBE">
      <w:pPr>
        <w:pStyle w:val="Akapitzlist"/>
        <w:rPr>
          <w:sz w:val="24"/>
        </w:rPr>
      </w:pPr>
    </w:p>
    <w:p w:rsidR="000834DD" w:rsidRPr="0082126B" w:rsidRDefault="000834DD" w:rsidP="009D1DBE">
      <w:pPr>
        <w:pStyle w:val="Akapitzlist"/>
        <w:ind w:left="1416"/>
        <w:rPr>
          <w:sz w:val="24"/>
        </w:rPr>
      </w:pPr>
      <w:r w:rsidRPr="0082126B">
        <w:rPr>
          <w:sz w:val="24"/>
        </w:rPr>
        <w:t>(</w:t>
      </w:r>
      <w:proofErr w:type="spellStart"/>
      <w:r w:rsidRPr="0082126B">
        <w:rPr>
          <w:sz w:val="24"/>
        </w:rPr>
        <w:t>i</w:t>
      </w:r>
      <w:proofErr w:type="spellEnd"/>
      <w:r w:rsidRPr="0082126B">
        <w:rPr>
          <w:sz w:val="24"/>
        </w:rPr>
        <w:t>) The aggregated opening balance;</w:t>
      </w:r>
    </w:p>
    <w:p w:rsidR="000834DD" w:rsidRPr="0082126B" w:rsidRDefault="000834DD" w:rsidP="009D1DBE">
      <w:pPr>
        <w:pStyle w:val="Akapitzlist"/>
        <w:ind w:left="1416"/>
        <w:rPr>
          <w:sz w:val="24"/>
        </w:rPr>
      </w:pPr>
      <w:r w:rsidRPr="0082126B">
        <w:rPr>
          <w:sz w:val="24"/>
        </w:rPr>
        <w:t>(ii) The individual movements during the day;</w:t>
      </w:r>
    </w:p>
    <w:p w:rsidR="000834DD" w:rsidRDefault="000834DD" w:rsidP="009D1DBE">
      <w:pPr>
        <w:pStyle w:val="Akapitzlist"/>
        <w:ind w:left="1416"/>
        <w:rPr>
          <w:sz w:val="24"/>
        </w:rPr>
      </w:pPr>
      <w:r w:rsidRPr="0082126B">
        <w:rPr>
          <w:sz w:val="24"/>
        </w:rPr>
        <w:t>(iii)</w:t>
      </w:r>
      <w:proofErr w:type="gramStart"/>
      <w:r w:rsidRPr="0082126B">
        <w:rPr>
          <w:sz w:val="24"/>
        </w:rPr>
        <w:t>The aggregated closing balance.</w:t>
      </w:r>
      <w:proofErr w:type="gramEnd"/>
    </w:p>
    <w:p w:rsidR="000834DD" w:rsidRPr="0082126B" w:rsidRDefault="000834DD" w:rsidP="009D1DBE">
      <w:pPr>
        <w:pStyle w:val="Akapitzlist"/>
        <w:ind w:left="1416"/>
        <w:rPr>
          <w:sz w:val="24"/>
        </w:rPr>
      </w:pPr>
    </w:p>
    <w:p w:rsidR="000834DD" w:rsidRDefault="000834DD" w:rsidP="009D1DBE">
      <w:pPr>
        <w:pStyle w:val="Akapitzlist"/>
        <w:numPr>
          <w:ilvl w:val="0"/>
          <w:numId w:val="35"/>
        </w:numPr>
        <w:spacing w:after="200"/>
        <w:rPr>
          <w:sz w:val="24"/>
        </w:rPr>
      </w:pPr>
      <w:r w:rsidRPr="0082126B">
        <w:rPr>
          <w:sz w:val="24"/>
        </w:rPr>
        <w:t xml:space="preserve">The requesting CSD shall conduct a </w:t>
      </w:r>
      <w:r w:rsidRPr="0082126B">
        <w:rPr>
          <w:strike/>
          <w:sz w:val="24"/>
        </w:rPr>
        <w:t xml:space="preserve">daily </w:t>
      </w:r>
      <w:r w:rsidRPr="0082126B">
        <w:rPr>
          <w:sz w:val="24"/>
        </w:rPr>
        <w:t xml:space="preserve">comparison of the opening balance and the closing balance </w:t>
      </w:r>
      <w:r w:rsidRPr="00834F97">
        <w:rPr>
          <w:i/>
          <w:sz w:val="24"/>
        </w:rPr>
        <w:t>on</w:t>
      </w:r>
      <w:r>
        <w:rPr>
          <w:sz w:val="24"/>
        </w:rPr>
        <w:t xml:space="preserve"> </w:t>
      </w:r>
      <w:r>
        <w:rPr>
          <w:i/>
          <w:sz w:val="24"/>
        </w:rPr>
        <w:t xml:space="preserve">each day this information is </w:t>
      </w:r>
      <w:r w:rsidRPr="0082126B">
        <w:rPr>
          <w:sz w:val="24"/>
        </w:rPr>
        <w:t>communicated to it by the r</w:t>
      </w:r>
      <w:r w:rsidRPr="0082126B">
        <w:rPr>
          <w:sz w:val="24"/>
        </w:rPr>
        <w:t>e</w:t>
      </w:r>
      <w:r w:rsidRPr="0082126B">
        <w:rPr>
          <w:sz w:val="24"/>
        </w:rPr>
        <w:t>ceiving CSD or by the intermediary with the records maintained by the requesting CSD itself.</w:t>
      </w:r>
    </w:p>
    <w:p w:rsidR="000834DD" w:rsidRPr="00BA5111" w:rsidRDefault="000834DD" w:rsidP="009D1DBE">
      <w:pPr>
        <w:pStyle w:val="Akapitzlist"/>
      </w:pPr>
    </w:p>
    <w:p w:rsidR="000834DD" w:rsidRDefault="000834DD" w:rsidP="005A63BB">
      <w:pPr>
        <w:spacing w:after="200"/>
      </w:pPr>
      <w:r>
        <w:t xml:space="preserve">Since many CSD participants are banks which manage their own cross-border DvP settlement links, there may be potential conflict of interests if it were to </w:t>
      </w:r>
      <w:proofErr w:type="gramStart"/>
      <w:r>
        <w:t>exist</w:t>
      </w:r>
      <w:proofErr w:type="gramEnd"/>
      <w:r>
        <w:t xml:space="preserve"> a requirement for a User Committee made up of such banks to request its CSD to build such a DvP link (</w:t>
      </w:r>
      <w:r w:rsidRPr="005A63BB">
        <w:t>Art 7 (a)</w:t>
      </w:r>
      <w:r>
        <w:t>). Such a request may never be made to prevent competition from the CSD. In order to show market demand, it may be sufficient for a CSD participant to request such a link.</w:t>
      </w:r>
    </w:p>
    <w:p w:rsidR="000834DD" w:rsidRDefault="000834DD" w:rsidP="009D1DBE">
      <w:pPr>
        <w:ind w:left="360"/>
      </w:pPr>
      <w:r w:rsidRPr="00715E6F">
        <w:rPr>
          <w:b/>
        </w:rPr>
        <w:t>KDPW proposal</w:t>
      </w:r>
      <w:r>
        <w:t xml:space="preserve">: Amend the reference to User Committees in </w:t>
      </w:r>
      <w:r w:rsidRPr="00291588">
        <w:t>Art 7 (a)</w:t>
      </w:r>
      <w:r>
        <w:t>:</w:t>
      </w:r>
    </w:p>
    <w:p w:rsidR="000834DD" w:rsidRDefault="000834DD" w:rsidP="009D1DBE">
      <w:pPr>
        <w:ind w:left="360"/>
        <w:rPr>
          <w:sz w:val="24"/>
        </w:rPr>
      </w:pPr>
      <w:r w:rsidRPr="00291588">
        <w:rPr>
          <w:sz w:val="24"/>
        </w:rPr>
        <w:t xml:space="preserve">(a) There is a market demand for DVP settlement evidenced through a request from any </w:t>
      </w:r>
      <w:r w:rsidRPr="00291588">
        <w:rPr>
          <w:strike/>
          <w:sz w:val="24"/>
        </w:rPr>
        <w:t>of the User Committees</w:t>
      </w:r>
      <w:r w:rsidRPr="00291588">
        <w:rPr>
          <w:sz w:val="24"/>
        </w:rPr>
        <w:t xml:space="preserve"> </w:t>
      </w:r>
      <w:r>
        <w:rPr>
          <w:i/>
          <w:sz w:val="24"/>
        </w:rPr>
        <w:t xml:space="preserve">participant </w:t>
      </w:r>
      <w:r w:rsidRPr="00291588">
        <w:rPr>
          <w:sz w:val="24"/>
        </w:rPr>
        <w:t>of the linked CSDs.</w:t>
      </w:r>
    </w:p>
    <w:p w:rsidR="000834DD" w:rsidRDefault="000834DD" w:rsidP="009D1DBE">
      <w:r w:rsidRPr="00260AD2">
        <w:t xml:space="preserve">As </w:t>
      </w:r>
      <w:r>
        <w:t xml:space="preserve">discussed in our comment to </w:t>
      </w:r>
      <w:r w:rsidRPr="00100BAB">
        <w:t>Art 4. 1(j)</w:t>
      </w:r>
      <w:r>
        <w:t xml:space="preserve">, the conditions listed in Article 7 under which a DvP link will be considered practical and feasible should be potentially expanded to correlate with the assessment suggested in </w:t>
      </w:r>
      <w:r w:rsidRPr="00100BAB">
        <w:t xml:space="preserve">Art 4. </w:t>
      </w:r>
      <w:proofErr w:type="gramStart"/>
      <w:r w:rsidRPr="00100BAB">
        <w:t>1(j)</w:t>
      </w:r>
      <w:r>
        <w:t>.</w:t>
      </w:r>
      <w:proofErr w:type="gramEnd"/>
    </w:p>
    <w:permEnd w:id="1221930351"/>
    <w:p w:rsidR="00D12AFD" w:rsidRPr="002C4F00" w:rsidRDefault="00D12AFD" w:rsidP="00D12AFD">
      <w:r>
        <w:t>&lt;ESMA_QUESTION_TS_CSDR_3</w:t>
      </w:r>
      <w:r w:rsidR="00252063">
        <w:t>1</w:t>
      </w:r>
      <w:r>
        <w:t>&gt;</w:t>
      </w:r>
    </w:p>
    <w:p w:rsidR="00D12AFD" w:rsidRPr="002C4F00" w:rsidRDefault="00D12AFD" w:rsidP="00965B03">
      <w:pPr>
        <w:pStyle w:val="Nagwek5"/>
        <w:ind w:left="567" w:hanging="567"/>
      </w:pPr>
      <w:r w:rsidRPr="00C8467F">
        <w:t>What are your views on the proposed draft RTS on internalised settlement (Annex V) and draft ITS on internalised settlement (Annex IX)?</w:t>
      </w:r>
    </w:p>
    <w:p w:rsidR="00D12AFD" w:rsidRDefault="00D12AFD" w:rsidP="00D12AFD"/>
    <w:p w:rsidR="00D12AFD" w:rsidRDefault="00D12AFD" w:rsidP="00D12AFD">
      <w:r>
        <w:lastRenderedPageBreak/>
        <w:t>&lt;ESMA_QUESTION_TS_CSDR_3</w:t>
      </w:r>
      <w:r w:rsidR="00252063">
        <w:t>2</w:t>
      </w:r>
      <w:r>
        <w:t>&gt;</w:t>
      </w:r>
    </w:p>
    <w:p w:rsidR="000834DD" w:rsidRPr="00CF44B8" w:rsidRDefault="000834DD" w:rsidP="009D1DBE">
      <w:pPr>
        <w:pStyle w:val="Zwykytekst"/>
        <w:widowControl w:val="0"/>
        <w:jc w:val="both"/>
        <w:rPr>
          <w:rFonts w:ascii="Arial" w:hAnsi="Arial" w:cs="Arial"/>
          <w:sz w:val="22"/>
          <w:szCs w:val="22"/>
        </w:rPr>
      </w:pPr>
      <w:permStart w:id="192041322" w:edGrp="everyone"/>
      <w:r w:rsidRPr="00CF44B8">
        <w:rPr>
          <w:rFonts w:ascii="Arial" w:hAnsi="Arial" w:cs="Arial"/>
          <w:sz w:val="22"/>
          <w:szCs w:val="22"/>
        </w:rPr>
        <w:t>From our point of view</w:t>
      </w:r>
      <w:r w:rsidRPr="00CF44B8">
        <w:rPr>
          <w:rFonts w:ascii="Arial" w:hAnsi="Arial" w:cs="Arial"/>
          <w:sz w:val="22"/>
          <w:szCs w:val="22"/>
          <w:lang w:val="cs-CZ"/>
        </w:rPr>
        <w:t>,</w:t>
      </w:r>
      <w:r w:rsidRPr="00CF44B8">
        <w:rPr>
          <w:rFonts w:ascii="Arial" w:hAnsi="Arial" w:cs="Arial"/>
          <w:sz w:val="22"/>
          <w:szCs w:val="22"/>
        </w:rPr>
        <w:t xml:space="preserve"> CSDs are not directly in the scope of the standards on internalised set</w:t>
      </w:r>
      <w:r w:rsidRPr="00CF44B8">
        <w:rPr>
          <w:rFonts w:ascii="Arial" w:hAnsi="Arial" w:cs="Arial"/>
          <w:sz w:val="22"/>
          <w:szCs w:val="22"/>
        </w:rPr>
        <w:t>t</w:t>
      </w:r>
      <w:r w:rsidRPr="00CF44B8">
        <w:rPr>
          <w:rFonts w:ascii="Arial" w:hAnsi="Arial" w:cs="Arial"/>
          <w:sz w:val="22"/>
          <w:szCs w:val="22"/>
        </w:rPr>
        <w:t>lement.</w:t>
      </w:r>
    </w:p>
    <w:permEnd w:id="192041322"/>
    <w:p w:rsidR="00F05A8C" w:rsidRDefault="00D12AFD" w:rsidP="00CE149D">
      <w:r>
        <w:t>&lt;ESMA_QUESTION_TS_CSDR_3</w:t>
      </w:r>
      <w:r w:rsidR="00252063">
        <w:t>2</w:t>
      </w:r>
      <w:r>
        <w:t>&gt;</w:t>
      </w:r>
    </w:p>
    <w:sectPr w:rsidR="00F05A8C" w:rsidSect="000D17AA">
      <w:headerReference w:type="even" r:id="rId15"/>
      <w:headerReference w:type="first" r:id="rId16"/>
      <w:footerReference w:type="first" r:id="rId17"/>
      <w:pgSz w:w="11906" w:h="16838" w:code="9"/>
      <w:pgMar w:top="2552" w:right="1247" w:bottom="1135" w:left="124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5164A" w:rsidRDefault="0035164A">
      <w:r>
        <w:separator/>
      </w:r>
    </w:p>
    <w:p w:rsidR="0035164A" w:rsidRDefault="0035164A"/>
  </w:endnote>
  <w:endnote w:type="continuationSeparator" w:id="0">
    <w:p w:rsidR="0035164A" w:rsidRDefault="0035164A">
      <w:r>
        <w:continuationSeparator/>
      </w:r>
    </w:p>
    <w:p w:rsidR="0035164A" w:rsidRDefault="0035164A"/>
  </w:endnote>
  <w:endnote w:type="continuationNotice" w:id="1">
    <w:p w:rsidR="0035164A" w:rsidRDefault="0035164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Georgia">
    <w:panose1 w:val="02040502050405020303"/>
    <w:charset w:val="EE"/>
    <w:family w:val="roman"/>
    <w:pitch w:val="variable"/>
    <w:sig w:usb0="00000287" w:usb1="00000000" w:usb2="00000000" w:usb3="00000000" w:csb0="0000009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Lucida Grande">
    <w:charset w:val="00"/>
    <w:family w:val="auto"/>
    <w:pitch w:val="variable"/>
    <w:sig w:usb0="00000003" w:usb1="00000000" w:usb2="00000000" w:usb3="00000000" w:csb0="00000001" w:csb1="00000000"/>
  </w:font>
  <w:font w:name="EUAlbertina">
    <w:altName w:val="Times New Roman"/>
    <w:panose1 w:val="00000000000000000000"/>
    <w:charset w:val="00"/>
    <w:family w:val="roman"/>
    <w:notTrueType/>
    <w:pitch w:val="default"/>
    <w:sig w:usb0="00000001" w:usb1="00000000" w:usb2="00000000" w:usb3="00000000" w:csb0="00000003" w:csb1="00000000"/>
  </w:font>
  <w:font w:name="Consolas">
    <w:panose1 w:val="020B0609020204030204"/>
    <w:charset w:val="EE"/>
    <w:family w:val="modern"/>
    <w:pitch w:val="fixed"/>
    <w:sig w:usb0="E10002FF" w:usb1="4000FCFF" w:usb2="00000009" w:usb3="00000000" w:csb0="0000019F" w:csb1="00000000"/>
  </w:font>
  <w:font w:name="Verdana">
    <w:panose1 w:val="020B0604030504040204"/>
    <w:charset w:val="EE"/>
    <w:family w:val="swiss"/>
    <w:pitch w:val="variable"/>
    <w:sig w:usb0="A10006FF" w:usb1="4000205B" w:usb2="00000010" w:usb3="00000000" w:csb0="0000019F" w:csb1="00000000"/>
  </w:font>
  <w:font w:name="Celeste">
    <w:altName w:val="Times New Roman"/>
    <w:panose1 w:val="00000000000000000000"/>
    <w:charset w:val="00"/>
    <w:family w:val="swiss"/>
    <w:notTrueType/>
    <w:pitch w:val="variable"/>
    <w:sig w:usb0="00000003" w:usb1="00000000" w:usb2="00000000" w:usb3="00000000" w:csb0="00000001" w:csb1="00000000"/>
  </w:font>
  <w:font w:name="Century Schoolbook">
    <w:panose1 w:val="02040604050505020304"/>
    <w:charset w:val="EE"/>
    <w:family w:val="roman"/>
    <w:pitch w:val="variable"/>
    <w:sig w:usb0="00000287" w:usb1="00000000" w:usb2="00000000" w:usb3="00000000" w:csb0="0000009F" w:csb1="00000000"/>
  </w:font>
  <w:font w:name="Garamond">
    <w:panose1 w:val="02020404030301010803"/>
    <w:charset w:val="EE"/>
    <w:family w:val="roman"/>
    <w:pitch w:val="variable"/>
    <w:sig w:usb0="00000287" w:usb1="00000000" w:usb2="00000000" w:usb3="00000000" w:csb0="0000009F" w:csb1="00000000"/>
  </w:font>
  <w:font w:name="Liberation Serif">
    <w:altName w:val="Times New Roman"/>
    <w:charset w:val="00"/>
    <w:family w:val="roman"/>
    <w:pitch w:val="variable"/>
  </w:font>
  <w:font w:name="Myriad Pro Light">
    <w:altName w:val="Corbel"/>
    <w:panose1 w:val="00000000000000000000"/>
    <w:charset w:val="00"/>
    <w:family w:val="roman"/>
    <w:notTrueType/>
    <w:pitch w:val="default"/>
    <w:sig w:usb0="00000003" w:usb1="00000000" w:usb2="00000000" w:usb3="00000000" w:csb0="00000001" w:csb1="00000000"/>
  </w:font>
  <w:font w:name="Meta Offc Pro Book">
    <w:panose1 w:val="020B0604030101020102"/>
    <w:charset w:val="EE"/>
    <w:family w:val="swiss"/>
    <w:pitch w:val="variable"/>
    <w:sig w:usb0="A00002BF" w:usb1="4000207B"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42" w:rightFromText="142" w:vertAnchor="page" w:horzAnchor="page" w:tblpX="1248" w:tblpY="15820"/>
      <w:tblOverlap w:val="never"/>
      <w:tblW w:w="9412" w:type="dxa"/>
      <w:tblCellMar>
        <w:left w:w="0" w:type="dxa"/>
        <w:right w:w="0" w:type="dxa"/>
      </w:tblCellMar>
      <w:tblLook w:val="01E0" w:firstRow="1" w:lastRow="1" w:firstColumn="1" w:lastColumn="1" w:noHBand="0" w:noVBand="0"/>
    </w:tblPr>
    <w:tblGrid>
      <w:gridCol w:w="8460"/>
      <w:gridCol w:w="952"/>
    </w:tblGrid>
    <w:tr w:rsidR="0035164A" w:rsidRPr="00315E96">
      <w:trPr>
        <w:trHeight w:val="284"/>
      </w:trPr>
      <w:tc>
        <w:tcPr>
          <w:tcW w:w="8460" w:type="dxa"/>
        </w:tcPr>
        <w:p w:rsidR="0035164A" w:rsidRPr="00315E96" w:rsidRDefault="0035164A" w:rsidP="00315E96">
          <w:pPr>
            <w:pStyle w:val="00Footer"/>
            <w:rPr>
              <w:lang w:val="fr-FR"/>
            </w:rPr>
          </w:pPr>
        </w:p>
      </w:tc>
      <w:tc>
        <w:tcPr>
          <w:tcW w:w="952" w:type="dxa"/>
        </w:tcPr>
        <w:p w:rsidR="0035164A" w:rsidRPr="002C5B2D" w:rsidRDefault="0035164A" w:rsidP="002C5B2D">
          <w:pPr>
            <w:pStyle w:val="00aPagenumber"/>
          </w:pPr>
          <w:r>
            <w:fldChar w:fldCharType="begin"/>
          </w:r>
          <w:r>
            <w:instrText xml:space="preserve"> PAGE </w:instrText>
          </w:r>
          <w:r>
            <w:fldChar w:fldCharType="separate"/>
          </w:r>
          <w:r w:rsidR="00D459B1">
            <w:rPr>
              <w:noProof/>
            </w:rPr>
            <w:t>16</w:t>
          </w:r>
          <w:r>
            <w:rPr>
              <w:noProof/>
            </w:rPr>
            <w:fldChar w:fldCharType="end"/>
          </w:r>
        </w:p>
      </w:tc>
    </w:tr>
  </w:tbl>
  <w:p w:rsidR="0035164A" w:rsidRDefault="0035164A">
    <w:pPr>
      <w:pStyle w:val="Stopk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164A" w:rsidRDefault="0035164A">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5164A" w:rsidRDefault="0035164A">
      <w:r>
        <w:separator/>
      </w:r>
    </w:p>
    <w:p w:rsidR="0035164A" w:rsidRDefault="0035164A"/>
  </w:footnote>
  <w:footnote w:type="continuationSeparator" w:id="0">
    <w:p w:rsidR="0035164A" w:rsidRDefault="0035164A">
      <w:r>
        <w:continuationSeparator/>
      </w:r>
    </w:p>
    <w:p w:rsidR="0035164A" w:rsidRDefault="0035164A"/>
  </w:footnote>
  <w:footnote w:type="continuationNotice" w:id="1">
    <w:p w:rsidR="0035164A" w:rsidRDefault="0035164A"/>
  </w:footnote>
  <w:footnote w:id="2">
    <w:p w:rsidR="0035164A" w:rsidRPr="00D4560E" w:rsidRDefault="0035164A" w:rsidP="00A628B2">
      <w:pPr>
        <w:pStyle w:val="Tekstprzypisudolnego"/>
        <w:rPr>
          <w:rFonts w:cs="Arial"/>
          <w:sz w:val="18"/>
          <w:szCs w:val="18"/>
          <w:lang w:val="en-US"/>
        </w:rPr>
      </w:pPr>
      <w:r w:rsidRPr="00D4560E">
        <w:rPr>
          <w:rStyle w:val="Odwoanieprzypisudolnego"/>
          <w:rFonts w:cs="Arial"/>
          <w:sz w:val="18"/>
          <w:szCs w:val="18"/>
        </w:rPr>
        <w:footnoteRef/>
      </w:r>
      <w:r w:rsidRPr="00D4560E">
        <w:rPr>
          <w:rFonts w:cs="Arial"/>
          <w:sz w:val="18"/>
          <w:szCs w:val="18"/>
        </w:rPr>
        <w:t xml:space="preserve"> CPSS (now CPMI) and IOSCO, Principles for financial market infrastructures, April 2012: </w:t>
      </w:r>
      <w:hyperlink r:id="rId1" w:history="1">
        <w:r w:rsidRPr="00D4560E">
          <w:rPr>
            <w:rStyle w:val="Hipercze"/>
            <w:rFonts w:cs="Arial"/>
            <w:sz w:val="18"/>
            <w:szCs w:val="18"/>
          </w:rPr>
          <w:t>http://www.bis.org/cpmi/publ/d101.htm</w:t>
        </w:r>
      </w:hyperlink>
      <w:r w:rsidRPr="00D4560E">
        <w:rPr>
          <w:rFonts w:cs="Arial"/>
          <w:sz w:val="18"/>
          <w:szCs w:val="18"/>
        </w:rPr>
        <w:t xml:space="preserve"> </w:t>
      </w:r>
    </w:p>
  </w:footnote>
  <w:footnote w:id="3">
    <w:p w:rsidR="0035164A" w:rsidRPr="00D4560E" w:rsidRDefault="0035164A" w:rsidP="00A628B2">
      <w:pPr>
        <w:pStyle w:val="Tekstprzypisudolnego"/>
        <w:rPr>
          <w:rFonts w:cs="Arial"/>
          <w:sz w:val="18"/>
          <w:szCs w:val="18"/>
          <w:lang w:val="en-US"/>
        </w:rPr>
      </w:pPr>
      <w:r w:rsidRPr="00D4560E">
        <w:rPr>
          <w:rStyle w:val="Odwoanieprzypisudolnego"/>
          <w:rFonts w:cs="Arial"/>
          <w:sz w:val="18"/>
          <w:szCs w:val="18"/>
        </w:rPr>
        <w:footnoteRef/>
      </w:r>
      <w:r w:rsidRPr="00D4560E">
        <w:rPr>
          <w:rFonts w:cs="Arial"/>
          <w:sz w:val="18"/>
          <w:szCs w:val="18"/>
        </w:rPr>
        <w:t xml:space="preserve"> FSB, Key Attributes of Effective Resolution Regimes for Financial Institutions, 15 October 2014: </w:t>
      </w:r>
      <w:hyperlink r:id="rId2" w:history="1">
        <w:r w:rsidRPr="00D4560E">
          <w:rPr>
            <w:rStyle w:val="Hipercze"/>
            <w:rFonts w:cs="Arial"/>
            <w:sz w:val="18"/>
            <w:szCs w:val="18"/>
          </w:rPr>
          <w:t>http://www.financialstabilityboard.org/2014/10/r_141015/</w:t>
        </w:r>
      </w:hyperlink>
      <w:r w:rsidRPr="00D4560E">
        <w:rPr>
          <w:rFonts w:cs="Arial"/>
          <w:sz w:val="18"/>
          <w:szCs w:val="18"/>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164A" w:rsidRDefault="0035164A">
    <w:pPr>
      <w:pStyle w:val="Nagwek"/>
    </w:pPr>
    <w:r>
      <w:rPr>
        <w:noProof/>
        <w:lang w:val="pl-PL" w:eastAsia="pl-PL"/>
      </w:rPr>
      <w:drawing>
        <wp:anchor distT="0" distB="0" distL="114300" distR="114300" simplePos="0" relativeHeight="251658240" behindDoc="0" locked="0" layoutInCell="1" allowOverlap="1">
          <wp:simplePos x="0" y="0"/>
          <wp:positionH relativeFrom="page">
            <wp:posOffset>791845</wp:posOffset>
          </wp:positionH>
          <wp:positionV relativeFrom="page">
            <wp:posOffset>612140</wp:posOffset>
          </wp:positionV>
          <wp:extent cx="561975" cy="561975"/>
          <wp:effectExtent l="0" t="0" r="9525" b="9525"/>
          <wp:wrapNone/>
          <wp:docPr id="6" name="Picture 23" descr="esma_8_V3_no_cla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esma_8_V3_no_clai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975" cy="561975"/>
                  </a:xfrm>
                  <a:prstGeom prst="rect">
                    <a:avLst/>
                  </a:prstGeom>
                  <a:noFill/>
                  <a:ln>
                    <a:noFill/>
                  </a:ln>
                </pic:spPr>
              </pic:pic>
            </a:graphicData>
          </a:graphic>
        </wp:anchor>
      </w:drawing>
    </w:r>
    <w:r>
      <w:rPr>
        <w:noProof/>
        <w:lang w:val="pl-PL" w:eastAsia="pl-PL"/>
      </w:rPr>
      <mc:AlternateContent>
        <mc:Choice Requires="wps">
          <w:drawing>
            <wp:anchor distT="0" distB="0" distL="114293" distR="114293" simplePos="0" relativeHeight="251656192" behindDoc="0" locked="0" layoutInCell="1" allowOverlap="1">
              <wp:simplePos x="0" y="0"/>
              <wp:positionH relativeFrom="page">
                <wp:posOffset>1548129</wp:posOffset>
              </wp:positionH>
              <wp:positionV relativeFrom="page">
                <wp:posOffset>612140</wp:posOffset>
              </wp:positionV>
              <wp:extent cx="0" cy="558165"/>
              <wp:effectExtent l="0" t="0" r="19050" b="13335"/>
              <wp:wrapNone/>
              <wp:docPr id="2"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58165"/>
                      </a:xfrm>
                      <a:prstGeom prst="line">
                        <a:avLst/>
                      </a:prstGeom>
                      <a:noFill/>
                      <a:ln w="12700">
                        <a:solidFill>
                          <a:srgbClr val="28358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6" o:spid="_x0000_s1026" style="position:absolute;z-index:251656192;visibility:visible;mso-wrap-style:square;mso-width-percent:0;mso-height-percent:0;mso-wrap-distance-left:3.17481mm;mso-wrap-distance-top:0;mso-wrap-distance-right:3.17481mm;mso-wrap-distance-bottom:0;mso-position-horizontal:absolute;mso-position-horizontal-relative:page;mso-position-vertical:absolute;mso-position-vertical-relative:page;mso-width-percent:0;mso-height-percent:0;mso-width-relative:page;mso-height-relative:page" from="121.9pt,48.2pt" to="121.9pt,9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" strokecolor="#283583" strokeweight="1pt">
              <w10:wrap anchorx="page" anchory="page"/>
            </v:lin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164A" w:rsidRDefault="0035164A" w:rsidP="00013CCE">
    <w:pPr>
      <w:pStyle w:val="Nagwek"/>
      <w:jc w:val="right"/>
    </w:pPr>
    <w:r>
      <w:rPr>
        <w:noProof/>
        <w:lang w:val="pl-PL" w:eastAsia="pl-PL"/>
      </w:rPr>
      <w:drawing>
        <wp:anchor distT="0" distB="0" distL="114300" distR="114300" simplePos="0" relativeHeight="251657216" behindDoc="0" locked="0" layoutInCell="1" allowOverlap="1">
          <wp:simplePos x="0" y="0"/>
          <wp:positionH relativeFrom="page">
            <wp:posOffset>377825</wp:posOffset>
          </wp:positionH>
          <wp:positionV relativeFrom="page">
            <wp:posOffset>377825</wp:posOffset>
          </wp:positionV>
          <wp:extent cx="2209800" cy="904875"/>
          <wp:effectExtent l="0" t="0" r="0" b="9525"/>
          <wp:wrapNone/>
          <wp:docPr id="4" name="Picture 22" descr="esma_8_V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esma_8_V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9800" cy="904875"/>
                  </a:xfrm>
                  <a:prstGeom prst="rect">
                    <a:avLst/>
                  </a:prstGeom>
                  <a:noFill/>
                  <a:ln>
                    <a:noFill/>
                  </a:ln>
                </pic:spPr>
              </pic:pic>
            </a:graphicData>
          </a:graphic>
        </wp:anchor>
      </w:drawing>
    </w:r>
    <w:r>
      <w:rPr>
        <w:noProof/>
        <w:lang w:val="pl-PL" w:eastAsia="pl-PL"/>
      </w:rPr>
      <w:drawing>
        <wp:anchor distT="0" distB="0" distL="114300" distR="114300" simplePos="0" relativeHeight="251655168" behindDoc="1" locked="0" layoutInCell="1" allowOverlap="1">
          <wp:simplePos x="0" y="0"/>
          <wp:positionH relativeFrom="page">
            <wp:posOffset>0</wp:posOffset>
          </wp:positionH>
          <wp:positionV relativeFrom="page">
            <wp:posOffset>3895725</wp:posOffset>
          </wp:positionV>
          <wp:extent cx="7560310" cy="6800850"/>
          <wp:effectExtent l="0" t="0" r="2540" b="0"/>
          <wp:wrapNone/>
          <wp:docPr id="3" name="Picture 21" descr="report_d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report_db"/>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60310" cy="6800850"/>
                  </a:xfrm>
                  <a:prstGeom prst="rect">
                    <a:avLst/>
                  </a:prstGeom>
                  <a:noFill/>
                  <a:ln>
                    <a:noFill/>
                  </a:ln>
                </pic:spPr>
              </pic:pic>
            </a:graphicData>
          </a:graphic>
        </wp:anchor>
      </w:drawing>
    </w:r>
    <w: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164A" w:rsidRDefault="0035164A"/>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42" w:rightFromText="142" w:vertAnchor="page" w:horzAnchor="page" w:tblpX="1248" w:tblpY="15820"/>
      <w:tblOverlap w:val="never"/>
      <w:tblW w:w="9412" w:type="dxa"/>
      <w:tblCellMar>
        <w:left w:w="0" w:type="dxa"/>
        <w:right w:w="0" w:type="dxa"/>
      </w:tblCellMar>
      <w:tblLook w:val="01E0" w:firstRow="1" w:lastRow="1" w:firstColumn="1" w:lastColumn="1" w:noHBand="0" w:noVBand="0"/>
    </w:tblPr>
    <w:tblGrid>
      <w:gridCol w:w="8460"/>
      <w:gridCol w:w="952"/>
    </w:tblGrid>
    <w:tr w:rsidR="0035164A" w:rsidRPr="002F4496">
      <w:trPr>
        <w:trHeight w:val="284"/>
      </w:trPr>
      <w:tc>
        <w:tcPr>
          <w:tcW w:w="8460" w:type="dxa"/>
        </w:tcPr>
        <w:p w:rsidR="0035164A" w:rsidRPr="000C3B6D" w:rsidRDefault="0035164A" w:rsidP="000C06C9">
          <w:pPr>
            <w:pStyle w:val="00Footer"/>
            <w:rPr>
              <w:lang w:val="fr-FR"/>
            </w:rPr>
          </w:pPr>
        </w:p>
      </w:tc>
      <w:tc>
        <w:tcPr>
          <w:tcW w:w="952" w:type="dxa"/>
        </w:tcPr>
        <w:p w:rsidR="0035164A" w:rsidRPr="00146B34" w:rsidRDefault="0035164A" w:rsidP="000C06C9">
          <w:pPr>
            <w:pStyle w:val="00aPagenumber"/>
            <w:rPr>
              <w:lang w:val="fr-FR"/>
            </w:rPr>
          </w:pPr>
        </w:p>
      </w:tc>
    </w:tr>
  </w:tbl>
  <w:p w:rsidR="0035164A" w:rsidRPr="00DB46C3" w:rsidRDefault="0035164A">
    <w:pPr>
      <w:rPr>
        <w:lang w:val="fr-FR"/>
      </w:rPr>
    </w:pPr>
  </w:p>
  <w:p w:rsidR="0035164A" w:rsidRPr="002F4496" w:rsidRDefault="0035164A">
    <w:pPr>
      <w:pStyle w:val="Nagwek"/>
      <w:rPr>
        <w:lang w:val="fr-FR"/>
      </w:rPr>
    </w:pPr>
  </w:p>
  <w:p w:rsidR="0035164A" w:rsidRPr="002F4496" w:rsidRDefault="0035164A" w:rsidP="000C06C9">
    <w:pPr>
      <w:pStyle w:val="Nagwek"/>
      <w:tabs>
        <w:tab w:val="clear" w:pos="4536"/>
        <w:tab w:val="clear" w:pos="9072"/>
        <w:tab w:val="left" w:pos="8227"/>
      </w:tabs>
      <w:rPr>
        <w:lang w:val="fr-FR"/>
      </w:rPr>
    </w:pPr>
  </w:p>
  <w:p w:rsidR="0035164A" w:rsidRPr="002F4496" w:rsidRDefault="0035164A" w:rsidP="000C06C9">
    <w:pPr>
      <w:pStyle w:val="Nagwek"/>
      <w:tabs>
        <w:tab w:val="clear" w:pos="4536"/>
        <w:tab w:val="clear" w:pos="9072"/>
        <w:tab w:val="left" w:pos="8227"/>
      </w:tabs>
      <w:rPr>
        <w:lang w:val="fr-FR"/>
      </w:rPr>
    </w:pPr>
  </w:p>
  <w:p w:rsidR="0035164A" w:rsidRPr="002F4496" w:rsidRDefault="0035164A">
    <w:pPr>
      <w:pStyle w:val="Nagwek"/>
      <w:rPr>
        <w:lang w:val="fr-FR"/>
      </w:rPr>
    </w:pPr>
  </w:p>
  <w:p w:rsidR="0035164A" w:rsidRPr="002F4496" w:rsidRDefault="0035164A">
    <w:pPr>
      <w:pStyle w:val="Nagwek"/>
      <w:rPr>
        <w:lang w:val="fr-FR"/>
      </w:rPr>
    </w:pPr>
  </w:p>
  <w:p w:rsidR="0035164A" w:rsidRPr="002F4496" w:rsidRDefault="0035164A">
    <w:pPr>
      <w:pStyle w:val="Nagwek"/>
      <w:rPr>
        <w:lang w:val="fr-FR"/>
      </w:rPr>
    </w:pPr>
  </w:p>
  <w:p w:rsidR="0035164A" w:rsidRPr="002F4496" w:rsidRDefault="0035164A">
    <w:pPr>
      <w:pStyle w:val="Nagwek"/>
      <w:rPr>
        <w:lang w:val="fr-FR"/>
      </w:rPr>
    </w:pPr>
  </w:p>
  <w:p w:rsidR="0035164A" w:rsidRPr="002F4496" w:rsidRDefault="0035164A">
    <w:pPr>
      <w:pStyle w:val="Nagwek"/>
      <w:rPr>
        <w:highlight w:val="yellow"/>
        <w:lang w:val="fr-FR"/>
      </w:rPr>
    </w:pPr>
  </w:p>
  <w:p w:rsidR="0035164A" w:rsidRDefault="0035164A">
    <w:pPr>
      <w:pStyle w:val="Nagwek"/>
    </w:pPr>
    <w:r>
      <w:rPr>
        <w:noProof/>
        <w:lang w:val="pl-PL" w:eastAsia="pl-PL"/>
      </w:rPr>
      <mc:AlternateContent>
        <mc:Choice Requires="wps">
          <w:drawing>
            <wp:anchor distT="0" distB="0" distL="114297" distR="114297" simplePos="0" relativeHeight="251660288" behindDoc="0" locked="0" layoutInCell="1" allowOverlap="1">
              <wp:simplePos x="0" y="0"/>
              <wp:positionH relativeFrom="page">
                <wp:posOffset>5040629</wp:posOffset>
              </wp:positionH>
              <wp:positionV relativeFrom="page">
                <wp:posOffset>612140</wp:posOffset>
              </wp:positionV>
              <wp:extent cx="0" cy="899795"/>
              <wp:effectExtent l="0" t="0" r="19050" b="14605"/>
              <wp:wrapNone/>
              <wp:docPr id="138" name="Straight Connector 1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99795"/>
                      </a:xfrm>
                      <a:prstGeom prst="line">
                        <a:avLst/>
                      </a:prstGeom>
                      <a:noFill/>
                      <a:ln w="12700">
                        <a:solidFill>
                          <a:srgbClr val="28358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38" o:spid="_x0000_s1026" style="position:absolute;z-index:251660288;visibility:visible;mso-wrap-style:square;mso-width-percent:0;mso-height-percent:0;mso-wrap-distance-left:3.17492mm;mso-wrap-distance-top:0;mso-wrap-distance-right:3.17492mm;mso-wrap-distance-bottom:0;mso-position-horizontal:absolute;mso-position-horizontal-relative:page;mso-position-vertical:absolute;mso-position-vertical-relative:page;mso-width-percent:0;mso-height-percent:0;mso-width-relative:page;mso-height-relative:page" from="396.9pt,48.2pt" to="396.9pt,11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" strokecolor="#283583" strokeweight="1pt">
              <w10:wrap anchorx="page" anchory="page"/>
            </v:line>
          </w:pict>
        </mc:Fallback>
      </mc:AlternateContent>
    </w:r>
    <w:r>
      <w:rPr>
        <w:noProof/>
        <w:lang w:val="pl-PL" w:eastAsia="pl-PL"/>
      </w:rPr>
      <w:drawing>
        <wp:anchor distT="0" distB="0" distL="114300" distR="114300" simplePos="0" relativeHeight="251659264" behindDoc="0" locked="0" layoutInCell="1" allowOverlap="1">
          <wp:simplePos x="0" y="0"/>
          <wp:positionH relativeFrom="page">
            <wp:posOffset>791845</wp:posOffset>
          </wp:positionH>
          <wp:positionV relativeFrom="page">
            <wp:posOffset>612140</wp:posOffset>
          </wp:positionV>
          <wp:extent cx="2209800" cy="904875"/>
          <wp:effectExtent l="0" t="0" r="0" b="9525"/>
          <wp:wrapNone/>
          <wp:docPr id="1" name="Picture 140" descr="esma_8_V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descr="esma_8_V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9800" cy="90487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C56CD"/>
    <w:multiLevelType w:val="hybridMultilevel"/>
    <w:tmpl w:val="E5847DAC"/>
    <w:lvl w:ilvl="0" w:tplc="C016A2D6">
      <w:start w:val="1"/>
      <w:numFmt w:val="decimal"/>
      <w:pStyle w:val="DPpara"/>
      <w:lvlText w:val="%1."/>
      <w:lvlJc w:val="left"/>
      <w:pPr>
        <w:ind w:left="473" w:hanging="360"/>
      </w:pPr>
      <w:rPr>
        <w:rFonts w:cs="Times New Roman" w:hint="default"/>
        <w:b w:val="0"/>
      </w:rPr>
    </w:lvl>
    <w:lvl w:ilvl="1" w:tplc="BF0CD940">
      <w:start w:val="1"/>
      <w:numFmt w:val="lowerLetter"/>
      <w:lvlText w:val="%2."/>
      <w:lvlJc w:val="left"/>
      <w:pPr>
        <w:ind w:left="1193" w:hanging="360"/>
      </w:pPr>
      <w:rPr>
        <w:rFonts w:cs="Times New Roman"/>
        <w:b w:val="0"/>
      </w:rPr>
    </w:lvl>
    <w:lvl w:ilvl="2" w:tplc="040C001B">
      <w:start w:val="1"/>
      <w:numFmt w:val="lowerRoman"/>
      <w:lvlText w:val="%3."/>
      <w:lvlJc w:val="right"/>
      <w:pPr>
        <w:ind w:left="1913" w:hanging="180"/>
      </w:pPr>
      <w:rPr>
        <w:rFonts w:cs="Times New Roman"/>
      </w:rPr>
    </w:lvl>
    <w:lvl w:ilvl="3" w:tplc="040C000F">
      <w:start w:val="1"/>
      <w:numFmt w:val="decimal"/>
      <w:lvlText w:val="%4."/>
      <w:lvlJc w:val="left"/>
      <w:pPr>
        <w:ind w:left="2633" w:hanging="360"/>
      </w:pPr>
      <w:rPr>
        <w:rFonts w:cs="Times New Roman"/>
      </w:rPr>
    </w:lvl>
    <w:lvl w:ilvl="4" w:tplc="040C0019" w:tentative="1">
      <w:start w:val="1"/>
      <w:numFmt w:val="lowerLetter"/>
      <w:lvlText w:val="%5."/>
      <w:lvlJc w:val="left"/>
      <w:pPr>
        <w:ind w:left="3353" w:hanging="360"/>
      </w:pPr>
      <w:rPr>
        <w:rFonts w:cs="Times New Roman"/>
      </w:rPr>
    </w:lvl>
    <w:lvl w:ilvl="5" w:tplc="040C001B" w:tentative="1">
      <w:start w:val="1"/>
      <w:numFmt w:val="lowerRoman"/>
      <w:lvlText w:val="%6."/>
      <w:lvlJc w:val="right"/>
      <w:pPr>
        <w:ind w:left="4073" w:hanging="180"/>
      </w:pPr>
      <w:rPr>
        <w:rFonts w:cs="Times New Roman"/>
      </w:rPr>
    </w:lvl>
    <w:lvl w:ilvl="6" w:tplc="040C000F" w:tentative="1">
      <w:start w:val="1"/>
      <w:numFmt w:val="decimal"/>
      <w:lvlText w:val="%7."/>
      <w:lvlJc w:val="left"/>
      <w:pPr>
        <w:ind w:left="4793" w:hanging="360"/>
      </w:pPr>
      <w:rPr>
        <w:rFonts w:cs="Times New Roman"/>
      </w:rPr>
    </w:lvl>
    <w:lvl w:ilvl="7" w:tplc="040C0019" w:tentative="1">
      <w:start w:val="1"/>
      <w:numFmt w:val="lowerLetter"/>
      <w:lvlText w:val="%8."/>
      <w:lvlJc w:val="left"/>
      <w:pPr>
        <w:ind w:left="5513" w:hanging="360"/>
      </w:pPr>
      <w:rPr>
        <w:rFonts w:cs="Times New Roman"/>
      </w:rPr>
    </w:lvl>
    <w:lvl w:ilvl="8" w:tplc="040C001B" w:tentative="1">
      <w:start w:val="1"/>
      <w:numFmt w:val="lowerRoman"/>
      <w:lvlText w:val="%9."/>
      <w:lvlJc w:val="right"/>
      <w:pPr>
        <w:ind w:left="6233" w:hanging="180"/>
      </w:pPr>
      <w:rPr>
        <w:rFonts w:cs="Times New Roman"/>
      </w:rPr>
    </w:lvl>
  </w:abstractNum>
  <w:abstractNum w:abstractNumId="1">
    <w:nsid w:val="01A82893"/>
    <w:multiLevelType w:val="hybridMultilevel"/>
    <w:tmpl w:val="75CC92B6"/>
    <w:lvl w:ilvl="0" w:tplc="080C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27D1BC5"/>
    <w:multiLevelType w:val="hybridMultilevel"/>
    <w:tmpl w:val="00D89C44"/>
    <w:lvl w:ilvl="0" w:tplc="08090001">
      <w:start w:val="1"/>
      <w:numFmt w:val="bullet"/>
      <w:pStyle w:val="Listapunktowana3"/>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nsid w:val="03017BBD"/>
    <w:multiLevelType w:val="hybridMultilevel"/>
    <w:tmpl w:val="83EA1CC8"/>
    <w:lvl w:ilvl="0" w:tplc="00DA126C">
      <w:start w:val="1"/>
      <w:numFmt w:val="lowerRoman"/>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Symbo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Symbol"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75E4601"/>
    <w:multiLevelType w:val="hybridMultilevel"/>
    <w:tmpl w:val="639EFA82"/>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
    <w:nsid w:val="0DA34FE7"/>
    <w:multiLevelType w:val="hybridMultilevel"/>
    <w:tmpl w:val="83EA1CC8"/>
    <w:lvl w:ilvl="0" w:tplc="00DA126C">
      <w:start w:val="1"/>
      <w:numFmt w:val="lowerRoman"/>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Symbol"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Symbol" w:hint="default"/>
      </w:rPr>
    </w:lvl>
    <w:lvl w:ilvl="8" w:tplc="04090005" w:tentative="1">
      <w:start w:val="1"/>
      <w:numFmt w:val="bullet"/>
      <w:lvlText w:val=""/>
      <w:lvlJc w:val="left"/>
      <w:pPr>
        <w:ind w:left="6120" w:hanging="360"/>
      </w:pPr>
      <w:rPr>
        <w:rFonts w:ascii="Wingdings" w:hAnsi="Wingdings" w:hint="default"/>
      </w:rPr>
    </w:lvl>
  </w:abstractNum>
  <w:abstractNum w:abstractNumId="6">
    <w:nsid w:val="0DE70739"/>
    <w:multiLevelType w:val="hybridMultilevel"/>
    <w:tmpl w:val="E3C21B34"/>
    <w:lvl w:ilvl="0" w:tplc="15884282">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nsid w:val="14D2686B"/>
    <w:multiLevelType w:val="hybridMultilevel"/>
    <w:tmpl w:val="1A28B58E"/>
    <w:lvl w:ilvl="0" w:tplc="8176F956">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nsid w:val="15447AC8"/>
    <w:multiLevelType w:val="multilevel"/>
    <w:tmpl w:val="053ABE1A"/>
    <w:lvl w:ilvl="0">
      <w:start w:val="1"/>
      <w:numFmt w:val="decimal"/>
      <w:pStyle w:val="NEW-Level0"/>
      <w:lvlText w:val="%1."/>
      <w:lvlJc w:val="left"/>
      <w:pPr>
        <w:ind w:left="360" w:hanging="360"/>
      </w:pPr>
      <w:rPr>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pStyle w:val="NEW-Level1"/>
      <w:lvlText w:val="%1.%2."/>
      <w:lvlJc w:val="left"/>
      <w:pPr>
        <w:ind w:left="792" w:hanging="432"/>
      </w:pPr>
      <w:rPr>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192564D6"/>
    <w:multiLevelType w:val="hybridMultilevel"/>
    <w:tmpl w:val="832CD706"/>
    <w:lvl w:ilvl="0" w:tplc="AA9C9B5C">
      <w:start w:val="2"/>
      <w:numFmt w:val="bullet"/>
      <w:lvlText w:val="-"/>
      <w:lvlJc w:val="left"/>
      <w:pPr>
        <w:ind w:left="720" w:hanging="360"/>
      </w:pPr>
      <w:rPr>
        <w:rFonts w:ascii="Arial" w:eastAsia="Calibri" w:hAnsi="Arial" w:cs="Aria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0">
    <w:nsid w:val="1B8E5258"/>
    <w:multiLevelType w:val="hybridMultilevel"/>
    <w:tmpl w:val="BDCA68A2"/>
    <w:lvl w:ilvl="0" w:tplc="E0140FB4">
      <w:start w:val="1"/>
      <w:numFmt w:val="lowerRoman"/>
      <w:pStyle w:val="aNEW-Questions"/>
      <w:lvlText w:val="%1."/>
      <w:lvlJc w:val="left"/>
      <w:pPr>
        <w:tabs>
          <w:tab w:val="num" w:pos="851"/>
        </w:tabs>
        <w:ind w:left="851" w:hanging="341"/>
      </w:pPr>
      <w:rPr>
        <w:rFonts w:hint="default"/>
        <w:lang w:val="en-GB"/>
      </w:rPr>
    </w:lvl>
    <w:lvl w:ilvl="1" w:tplc="6D76C376">
      <w:numFmt w:val="bullet"/>
      <w:lvlText w:val="-"/>
      <w:lvlJc w:val="left"/>
      <w:pPr>
        <w:ind w:left="1791" w:hanging="360"/>
      </w:pPr>
      <w:rPr>
        <w:rFonts w:ascii="Georgia" w:eastAsia="Times New Roman" w:hAnsi="Georgia" w:hint="default"/>
      </w:rPr>
    </w:lvl>
    <w:lvl w:ilvl="2" w:tplc="08090005">
      <w:start w:val="1"/>
      <w:numFmt w:val="bullet"/>
      <w:lvlText w:val=""/>
      <w:lvlJc w:val="left"/>
      <w:pPr>
        <w:ind w:left="2511" w:hanging="360"/>
      </w:pPr>
      <w:rPr>
        <w:rFonts w:ascii="Wingdings" w:hAnsi="Wingdings" w:hint="default"/>
      </w:rPr>
    </w:lvl>
    <w:lvl w:ilvl="3" w:tplc="08090001" w:tentative="1">
      <w:start w:val="1"/>
      <w:numFmt w:val="bullet"/>
      <w:lvlText w:val=""/>
      <w:lvlJc w:val="left"/>
      <w:pPr>
        <w:ind w:left="3231" w:hanging="360"/>
      </w:pPr>
      <w:rPr>
        <w:rFonts w:ascii="Symbol" w:hAnsi="Symbol" w:hint="default"/>
      </w:rPr>
    </w:lvl>
    <w:lvl w:ilvl="4" w:tplc="08090003" w:tentative="1">
      <w:start w:val="1"/>
      <w:numFmt w:val="bullet"/>
      <w:lvlText w:val="o"/>
      <w:lvlJc w:val="left"/>
      <w:pPr>
        <w:ind w:left="3951" w:hanging="360"/>
      </w:pPr>
      <w:rPr>
        <w:rFonts w:ascii="Courier New" w:hAnsi="Courier New" w:hint="default"/>
      </w:rPr>
    </w:lvl>
    <w:lvl w:ilvl="5" w:tplc="08090005" w:tentative="1">
      <w:start w:val="1"/>
      <w:numFmt w:val="bullet"/>
      <w:lvlText w:val=""/>
      <w:lvlJc w:val="left"/>
      <w:pPr>
        <w:ind w:left="4671" w:hanging="360"/>
      </w:pPr>
      <w:rPr>
        <w:rFonts w:ascii="Wingdings" w:hAnsi="Wingdings" w:hint="default"/>
      </w:rPr>
    </w:lvl>
    <w:lvl w:ilvl="6" w:tplc="08090001" w:tentative="1">
      <w:start w:val="1"/>
      <w:numFmt w:val="bullet"/>
      <w:lvlText w:val=""/>
      <w:lvlJc w:val="left"/>
      <w:pPr>
        <w:ind w:left="5391" w:hanging="360"/>
      </w:pPr>
      <w:rPr>
        <w:rFonts w:ascii="Symbol" w:hAnsi="Symbol" w:hint="default"/>
      </w:rPr>
    </w:lvl>
    <w:lvl w:ilvl="7" w:tplc="08090003" w:tentative="1">
      <w:start w:val="1"/>
      <w:numFmt w:val="bullet"/>
      <w:lvlText w:val="o"/>
      <w:lvlJc w:val="left"/>
      <w:pPr>
        <w:ind w:left="6111" w:hanging="360"/>
      </w:pPr>
      <w:rPr>
        <w:rFonts w:ascii="Courier New" w:hAnsi="Courier New" w:hint="default"/>
      </w:rPr>
    </w:lvl>
    <w:lvl w:ilvl="8" w:tplc="08090005" w:tentative="1">
      <w:start w:val="1"/>
      <w:numFmt w:val="bullet"/>
      <w:lvlText w:val=""/>
      <w:lvlJc w:val="left"/>
      <w:pPr>
        <w:ind w:left="6831" w:hanging="360"/>
      </w:pPr>
      <w:rPr>
        <w:rFonts w:ascii="Wingdings" w:hAnsi="Wingdings" w:hint="default"/>
      </w:rPr>
    </w:lvl>
  </w:abstractNum>
  <w:abstractNum w:abstractNumId="11">
    <w:nsid w:val="1DAE53C8"/>
    <w:multiLevelType w:val="multilevel"/>
    <w:tmpl w:val="ACFA87A8"/>
    <w:lvl w:ilvl="0">
      <w:start w:val="1"/>
      <w:numFmt w:val="decimal"/>
      <w:pStyle w:val="Tekstpodstawowy"/>
      <w:lvlText w:val="%1."/>
      <w:lvlJc w:val="left"/>
      <w:pPr>
        <w:tabs>
          <w:tab w:val="num" w:pos="720"/>
        </w:tabs>
        <w:ind w:left="720" w:hanging="72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25B267EC"/>
    <w:multiLevelType w:val="hybridMultilevel"/>
    <w:tmpl w:val="7562AA54"/>
    <w:lvl w:ilvl="0" w:tplc="E24E6B0C">
      <w:start w:val="1"/>
      <w:numFmt w:val="lowerLetter"/>
      <w:pStyle w:val="aStyle1"/>
      <w:lvlText w:val="%1."/>
      <w:lvlJc w:val="left"/>
      <w:pPr>
        <w:ind w:left="1778" w:hanging="360"/>
      </w:pPr>
    </w:lvl>
    <w:lvl w:ilvl="1" w:tplc="08090019" w:tentative="1">
      <w:start w:val="1"/>
      <w:numFmt w:val="lowerLetter"/>
      <w:lvlText w:val="%2."/>
      <w:lvlJc w:val="left"/>
      <w:pPr>
        <w:ind w:left="2498" w:hanging="360"/>
      </w:pPr>
    </w:lvl>
    <w:lvl w:ilvl="2" w:tplc="0809001B" w:tentative="1">
      <w:start w:val="1"/>
      <w:numFmt w:val="lowerRoman"/>
      <w:lvlText w:val="%3."/>
      <w:lvlJc w:val="right"/>
      <w:pPr>
        <w:ind w:left="3218" w:hanging="180"/>
      </w:pPr>
    </w:lvl>
    <w:lvl w:ilvl="3" w:tplc="0809000F" w:tentative="1">
      <w:start w:val="1"/>
      <w:numFmt w:val="decimal"/>
      <w:lvlText w:val="%4."/>
      <w:lvlJc w:val="left"/>
      <w:pPr>
        <w:ind w:left="3938" w:hanging="360"/>
      </w:pPr>
    </w:lvl>
    <w:lvl w:ilvl="4" w:tplc="08090019" w:tentative="1">
      <w:start w:val="1"/>
      <w:numFmt w:val="lowerLetter"/>
      <w:lvlText w:val="%5."/>
      <w:lvlJc w:val="left"/>
      <w:pPr>
        <w:ind w:left="4658" w:hanging="360"/>
      </w:pPr>
    </w:lvl>
    <w:lvl w:ilvl="5" w:tplc="0809001B" w:tentative="1">
      <w:start w:val="1"/>
      <w:numFmt w:val="lowerRoman"/>
      <w:lvlText w:val="%6."/>
      <w:lvlJc w:val="right"/>
      <w:pPr>
        <w:ind w:left="5378" w:hanging="180"/>
      </w:pPr>
    </w:lvl>
    <w:lvl w:ilvl="6" w:tplc="0809000F" w:tentative="1">
      <w:start w:val="1"/>
      <w:numFmt w:val="decimal"/>
      <w:lvlText w:val="%7."/>
      <w:lvlJc w:val="left"/>
      <w:pPr>
        <w:ind w:left="6098" w:hanging="360"/>
      </w:pPr>
    </w:lvl>
    <w:lvl w:ilvl="7" w:tplc="08090019" w:tentative="1">
      <w:start w:val="1"/>
      <w:numFmt w:val="lowerLetter"/>
      <w:lvlText w:val="%8."/>
      <w:lvlJc w:val="left"/>
      <w:pPr>
        <w:ind w:left="6818" w:hanging="360"/>
      </w:pPr>
    </w:lvl>
    <w:lvl w:ilvl="8" w:tplc="0809001B" w:tentative="1">
      <w:start w:val="1"/>
      <w:numFmt w:val="lowerRoman"/>
      <w:lvlText w:val="%9."/>
      <w:lvlJc w:val="right"/>
      <w:pPr>
        <w:ind w:left="7538" w:hanging="180"/>
      </w:pPr>
    </w:lvl>
  </w:abstractNum>
  <w:abstractNum w:abstractNumId="13">
    <w:nsid w:val="25B95E1B"/>
    <w:multiLevelType w:val="hybridMultilevel"/>
    <w:tmpl w:val="085619C2"/>
    <w:lvl w:ilvl="0" w:tplc="A09C2658">
      <w:start w:val="1"/>
      <w:numFmt w:val="lowerLetter"/>
      <w:pStyle w:val="Bullet"/>
      <w:lvlText w:val="%1."/>
      <w:lvlJc w:val="left"/>
      <w:pPr>
        <w:ind w:left="1193" w:hanging="360"/>
      </w:pPr>
      <w:rPr>
        <w:b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4">
    <w:nsid w:val="295E2EBF"/>
    <w:multiLevelType w:val="hybridMultilevel"/>
    <w:tmpl w:val="507E8C16"/>
    <w:lvl w:ilvl="0" w:tplc="AD5646AA">
      <w:numFmt w:val="bullet"/>
      <w:lvlText w:val=""/>
      <w:lvlJc w:val="left"/>
      <w:pPr>
        <w:ind w:left="720" w:hanging="360"/>
      </w:pPr>
      <w:rPr>
        <w:rFonts w:ascii="Symbol" w:eastAsia="Calibri" w:hAnsi="Symbol" w:cs="Times New Roman"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5">
    <w:nsid w:val="2AF76E7A"/>
    <w:multiLevelType w:val="singleLevel"/>
    <w:tmpl w:val="C74C5A32"/>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6">
    <w:nsid w:val="2B2B3A92"/>
    <w:multiLevelType w:val="multilevel"/>
    <w:tmpl w:val="5B8C61E0"/>
    <w:lvl w:ilvl="0">
      <w:start w:val="1"/>
      <w:numFmt w:val="decimal"/>
      <w:lvlRestart w:val="0"/>
      <w:pStyle w:val="Considrant"/>
      <w:lvlText w:val="(%1)"/>
      <w:lvlJc w:val="left"/>
      <w:pPr>
        <w:tabs>
          <w:tab w:val="num" w:pos="851"/>
        </w:tabs>
        <w:ind w:left="851" w:hanging="709"/>
      </w:pPr>
      <w:rPr>
        <w:rFonts w:cs="Times New Roman"/>
        <w:i w:val="0"/>
      </w:rPr>
    </w:lvl>
    <w:lvl w:ilvl="1" w:tentative="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17">
    <w:nsid w:val="385C6A9A"/>
    <w:multiLevelType w:val="hybridMultilevel"/>
    <w:tmpl w:val="A8704D4A"/>
    <w:lvl w:ilvl="0" w:tplc="5CB870D2">
      <w:start w:val="1"/>
      <w:numFmt w:val="bullet"/>
      <w:pStyle w:val="04bList"/>
      <w:lvlText w:val="─"/>
      <w:lvlJc w:val="left"/>
      <w:pPr>
        <w:tabs>
          <w:tab w:val="num" w:pos="568"/>
        </w:tabs>
        <w:ind w:left="568" w:hanging="284"/>
      </w:pPr>
      <w:rPr>
        <w:rFonts w:ascii="Georgia" w:hAnsi="Georgia" w:hint="default"/>
        <w:color w:val="000000"/>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8">
    <w:nsid w:val="3A5459E8"/>
    <w:multiLevelType w:val="singleLevel"/>
    <w:tmpl w:val="2188C922"/>
    <w:name w:val="Tiret 1"/>
    <w:lvl w:ilvl="0">
      <w:start w:val="1"/>
      <w:numFmt w:val="bullet"/>
      <w:lvlRestart w:val="0"/>
      <w:lvlText w:val="–"/>
      <w:lvlJc w:val="left"/>
      <w:pPr>
        <w:tabs>
          <w:tab w:val="num" w:pos="1417"/>
        </w:tabs>
        <w:ind w:left="1417" w:hanging="567"/>
      </w:pPr>
    </w:lvl>
  </w:abstractNum>
  <w:abstractNum w:abstractNumId="19">
    <w:nsid w:val="3A841364"/>
    <w:multiLevelType w:val="hybridMultilevel"/>
    <w:tmpl w:val="21CCF614"/>
    <w:lvl w:ilvl="0" w:tplc="08090017">
      <w:start w:val="1"/>
      <w:numFmt w:val="lowerLetter"/>
      <w:pStyle w:val="Listapunktowana4"/>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3BA736C9"/>
    <w:multiLevelType w:val="singleLevel"/>
    <w:tmpl w:val="F00A6C0C"/>
    <w:lvl w:ilvl="0">
      <w:start w:val="1"/>
      <w:numFmt w:val="bullet"/>
      <w:lvlRestart w:val="0"/>
      <w:pStyle w:val="Tiret0"/>
      <w:lvlText w:val="–"/>
      <w:lvlJc w:val="left"/>
      <w:pPr>
        <w:tabs>
          <w:tab w:val="num" w:pos="850"/>
        </w:tabs>
        <w:ind w:left="850" w:hanging="850"/>
      </w:pPr>
    </w:lvl>
  </w:abstractNum>
  <w:abstractNum w:abstractNumId="21">
    <w:nsid w:val="3C890EB4"/>
    <w:multiLevelType w:val="hybridMultilevel"/>
    <w:tmpl w:val="D00E6092"/>
    <w:lvl w:ilvl="0" w:tplc="565C7802">
      <w:start w:val="1"/>
      <w:numFmt w:val="upperRoman"/>
      <w:pStyle w:val="05dHeadline1blue"/>
      <w:lvlText w:val="%1."/>
      <w:lvlJc w:val="left"/>
      <w:pPr>
        <w:tabs>
          <w:tab w:val="num" w:pos="284"/>
        </w:tabs>
        <w:ind w:left="284" w:hanging="284"/>
      </w:pPr>
      <w:rPr>
        <w:rFonts w:ascii="Georgia" w:hAnsi="Georgia" w:hint="default"/>
        <w:b/>
        <w:i w:val="0"/>
        <w:sz w:val="2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2">
    <w:nsid w:val="3C90278F"/>
    <w:multiLevelType w:val="singleLevel"/>
    <w:tmpl w:val="0FE08974"/>
    <w:name w:val="Tiret 0"/>
    <w:lvl w:ilvl="0">
      <w:start w:val="1"/>
      <w:numFmt w:val="bullet"/>
      <w:lvlRestart w:val="0"/>
      <w:pStyle w:val="Tiret3"/>
      <w:lvlText w:val="–"/>
      <w:lvlJc w:val="left"/>
      <w:pPr>
        <w:tabs>
          <w:tab w:val="num" w:pos="2551"/>
        </w:tabs>
        <w:ind w:left="2551" w:hanging="567"/>
      </w:pPr>
    </w:lvl>
  </w:abstractNum>
  <w:abstractNum w:abstractNumId="23">
    <w:nsid w:val="44261A85"/>
    <w:multiLevelType w:val="hybridMultilevel"/>
    <w:tmpl w:val="475889F8"/>
    <w:lvl w:ilvl="0" w:tplc="B8A4E8DA">
      <w:start w:val="1"/>
      <w:numFmt w:val="decimal"/>
      <w:pStyle w:val="aNEW-Paragraph"/>
      <w:lvlText w:val="%1."/>
      <w:lvlJc w:val="left"/>
      <w:pPr>
        <w:tabs>
          <w:tab w:val="num" w:pos="851"/>
        </w:tabs>
        <w:ind w:left="851" w:hanging="284"/>
      </w:pPr>
      <w:rPr>
        <w:rFonts w:ascii="Georgia" w:hAnsi="Georgia" w:hint="default"/>
        <w:b w:val="0"/>
        <w:sz w:val="20"/>
        <w:lang w:val="en-GB"/>
      </w:rPr>
    </w:lvl>
    <w:lvl w:ilvl="1" w:tplc="76C853DA">
      <w:start w:val="1"/>
      <w:numFmt w:val="lowerRoman"/>
      <w:pStyle w:val="NEW-Paragraph-level2"/>
      <w:lvlText w:val="%2."/>
      <w:lvlJc w:val="left"/>
      <w:pPr>
        <w:tabs>
          <w:tab w:val="num" w:pos="1361"/>
        </w:tabs>
        <w:ind w:left="1361" w:hanging="45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tplc="A71A21D6">
      <w:start w:val="1"/>
      <w:numFmt w:val="lowerRoman"/>
      <w:lvlText w:val="%3."/>
      <w:lvlJc w:val="left"/>
      <w:pPr>
        <w:tabs>
          <w:tab w:val="num" w:pos="2727"/>
        </w:tabs>
        <w:ind w:left="2835" w:hanging="288"/>
      </w:pPr>
      <w:rPr>
        <w:rFonts w:hint="default"/>
      </w:rPr>
    </w:lvl>
    <w:lvl w:ilvl="3" w:tplc="0407000F">
      <w:start w:val="1"/>
      <w:numFmt w:val="decimal"/>
      <w:lvlText w:val="%4."/>
      <w:lvlJc w:val="left"/>
      <w:pPr>
        <w:tabs>
          <w:tab w:val="num" w:pos="3447"/>
        </w:tabs>
        <w:ind w:left="3447" w:hanging="360"/>
      </w:pPr>
    </w:lvl>
    <w:lvl w:ilvl="4" w:tplc="04070019" w:tentative="1">
      <w:start w:val="1"/>
      <w:numFmt w:val="lowerLetter"/>
      <w:lvlText w:val="%5."/>
      <w:lvlJc w:val="left"/>
      <w:pPr>
        <w:tabs>
          <w:tab w:val="num" w:pos="4167"/>
        </w:tabs>
        <w:ind w:left="4167" w:hanging="360"/>
      </w:pPr>
    </w:lvl>
    <w:lvl w:ilvl="5" w:tplc="0407001B" w:tentative="1">
      <w:start w:val="1"/>
      <w:numFmt w:val="lowerRoman"/>
      <w:lvlText w:val="%6."/>
      <w:lvlJc w:val="right"/>
      <w:pPr>
        <w:tabs>
          <w:tab w:val="num" w:pos="4887"/>
        </w:tabs>
        <w:ind w:left="4887" w:hanging="180"/>
      </w:pPr>
    </w:lvl>
    <w:lvl w:ilvl="6" w:tplc="0407000F" w:tentative="1">
      <w:start w:val="1"/>
      <w:numFmt w:val="decimal"/>
      <w:lvlText w:val="%7."/>
      <w:lvlJc w:val="left"/>
      <w:pPr>
        <w:tabs>
          <w:tab w:val="num" w:pos="5607"/>
        </w:tabs>
        <w:ind w:left="5607" w:hanging="360"/>
      </w:pPr>
    </w:lvl>
    <w:lvl w:ilvl="7" w:tplc="04070019" w:tentative="1">
      <w:start w:val="1"/>
      <w:numFmt w:val="lowerLetter"/>
      <w:lvlText w:val="%8."/>
      <w:lvlJc w:val="left"/>
      <w:pPr>
        <w:tabs>
          <w:tab w:val="num" w:pos="6327"/>
        </w:tabs>
        <w:ind w:left="6327" w:hanging="360"/>
      </w:pPr>
    </w:lvl>
    <w:lvl w:ilvl="8" w:tplc="0407001B" w:tentative="1">
      <w:start w:val="1"/>
      <w:numFmt w:val="lowerRoman"/>
      <w:lvlText w:val="%9."/>
      <w:lvlJc w:val="right"/>
      <w:pPr>
        <w:tabs>
          <w:tab w:val="num" w:pos="7047"/>
        </w:tabs>
        <w:ind w:left="7047" w:hanging="180"/>
      </w:pPr>
    </w:lvl>
  </w:abstractNum>
  <w:abstractNum w:abstractNumId="24">
    <w:nsid w:val="47F13B58"/>
    <w:multiLevelType w:val="hybridMultilevel"/>
    <w:tmpl w:val="9E56EA0C"/>
    <w:lvl w:ilvl="0" w:tplc="A7BA1890">
      <w:start w:val="3"/>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48842C30"/>
    <w:multiLevelType w:val="singleLevel"/>
    <w:tmpl w:val="4FA60B90"/>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6">
    <w:nsid w:val="4BAE2256"/>
    <w:multiLevelType w:val="hybridMultilevel"/>
    <w:tmpl w:val="13D402CA"/>
    <w:lvl w:ilvl="0" w:tplc="BEB48E84">
      <w:start w:val="1"/>
      <w:numFmt w:val="decimal"/>
      <w:lvlText w:val="%1."/>
      <w:lvlJc w:val="left"/>
      <w:pPr>
        <w:tabs>
          <w:tab w:val="num" w:pos="284"/>
        </w:tabs>
        <w:ind w:left="284" w:hanging="284"/>
      </w:pPr>
      <w:rPr>
        <w:rFonts w:ascii="Georgia" w:hAnsi="Georgia" w:hint="default"/>
        <w:b w:val="0"/>
        <w:i w:val="0"/>
        <w:sz w:val="20"/>
        <w:lang w:val="en-GB"/>
      </w:rPr>
    </w:lvl>
    <w:lvl w:ilvl="1" w:tplc="6726A2CE">
      <w:start w:val="1"/>
      <w:numFmt w:val="lowerRoman"/>
      <w:lvlText w:val="%2."/>
      <w:lvlJc w:val="left"/>
      <w:pPr>
        <w:tabs>
          <w:tab w:val="num" w:pos="1440"/>
        </w:tabs>
        <w:ind w:left="1440" w:hanging="360"/>
      </w:pPr>
      <w:rPr>
        <w:rFonts w:hint="default"/>
        <w:b w:val="0"/>
        <w:lang w:val="en-GB"/>
      </w:rPr>
    </w:lvl>
    <w:lvl w:ilvl="2" w:tplc="4C12BD96">
      <w:start w:val="1"/>
      <w:numFmt w:val="lowerLetter"/>
      <w:pStyle w:val="NEW-Paragraph-level3"/>
      <w:lvlText w:val="%3."/>
      <w:lvlJc w:val="left"/>
      <w:pPr>
        <w:tabs>
          <w:tab w:val="num" w:pos="1031"/>
        </w:tabs>
        <w:ind w:left="1139" w:hanging="288"/>
      </w:pPr>
    </w:lvl>
    <w:lvl w:ilvl="3" w:tplc="0407000F">
      <w:start w:val="1"/>
      <w:numFmt w:val="decimal"/>
      <w:lvlText w:val="%4."/>
      <w:lvlJc w:val="left"/>
      <w:pPr>
        <w:tabs>
          <w:tab w:val="num" w:pos="2880"/>
        </w:tabs>
        <w:ind w:left="2880" w:hanging="360"/>
      </w:pPr>
    </w:lvl>
    <w:lvl w:ilvl="4" w:tplc="F4C2529A">
      <w:start w:val="1"/>
      <w:numFmt w:val="lowerLetter"/>
      <w:lvlText w:val="%5)"/>
      <w:lvlJc w:val="left"/>
      <w:pPr>
        <w:ind w:left="3600" w:hanging="360"/>
      </w:pPr>
    </w:lvl>
    <w:lvl w:ilvl="5" w:tplc="FD041300">
      <w:start w:val="8"/>
      <w:numFmt w:val="bullet"/>
      <w:lvlText w:val="-"/>
      <w:lvlJc w:val="left"/>
      <w:pPr>
        <w:ind w:left="4500" w:hanging="360"/>
      </w:pPr>
      <w:rPr>
        <w:rFonts w:ascii="Georgia" w:eastAsia="Times New Roman" w:hAnsi="Georgia" w:cs="Times New Roman" w:hint="default"/>
      </w:rPr>
    </w:lvl>
    <w:lvl w:ilvl="6" w:tplc="30B61B3A">
      <w:start w:val="1"/>
      <w:numFmt w:val="lowerRoman"/>
      <w:lvlText w:val="(%7)"/>
      <w:lvlJc w:val="left"/>
      <w:pPr>
        <w:ind w:left="1004" w:hanging="720"/>
      </w:pPr>
    </w:lvl>
    <w:lvl w:ilvl="7" w:tplc="04070019">
      <w:start w:val="1"/>
      <w:numFmt w:val="lowerLetter"/>
      <w:lvlText w:val="%8."/>
      <w:lvlJc w:val="left"/>
      <w:pPr>
        <w:tabs>
          <w:tab w:val="num" w:pos="5760"/>
        </w:tabs>
        <w:ind w:left="5760" w:hanging="360"/>
      </w:pPr>
    </w:lvl>
    <w:lvl w:ilvl="8" w:tplc="0407001B">
      <w:start w:val="1"/>
      <w:numFmt w:val="lowerRoman"/>
      <w:lvlText w:val="%9."/>
      <w:lvlJc w:val="right"/>
      <w:pPr>
        <w:tabs>
          <w:tab w:val="num" w:pos="6480"/>
        </w:tabs>
        <w:ind w:left="6480" w:hanging="180"/>
      </w:pPr>
    </w:lvl>
  </w:abstractNum>
  <w:abstractNum w:abstractNumId="27">
    <w:nsid w:val="4C7151D2"/>
    <w:multiLevelType w:val="hybridMultilevel"/>
    <w:tmpl w:val="DE90C632"/>
    <w:lvl w:ilvl="0" w:tplc="08090001">
      <w:start w:val="1"/>
      <w:numFmt w:val="bullet"/>
      <w:pStyle w:val="Listapunktowana"/>
      <w:lvlText w:val=""/>
      <w:lvlJc w:val="left"/>
      <w:pPr>
        <w:tabs>
          <w:tab w:val="num" w:pos="735"/>
        </w:tabs>
        <w:ind w:left="735" w:hanging="375"/>
      </w:pPr>
      <w:rPr>
        <w:rFonts w:ascii="Symbol" w:hAnsi="Symbol" w:hint="default"/>
      </w:rPr>
    </w:lvl>
    <w:lvl w:ilvl="1" w:tplc="99749D40">
      <w:start w:val="1"/>
      <w:numFmt w:val="bullet"/>
      <w:lvlText w:val=""/>
      <w:lvlJc w:val="left"/>
      <w:pPr>
        <w:tabs>
          <w:tab w:val="num" w:pos="1515"/>
        </w:tabs>
        <w:ind w:left="1515" w:hanging="435"/>
      </w:pPr>
      <w:rPr>
        <w:rFonts w:ascii="Symbol" w:hAnsi="Symbol" w:hint="default"/>
      </w:rPr>
    </w:lvl>
    <w:lvl w:ilvl="2" w:tplc="D6283A10">
      <w:numFmt w:val="bullet"/>
      <w:lvlText w:val="-"/>
      <w:lvlJc w:val="left"/>
      <w:pPr>
        <w:ind w:left="2340" w:hanging="360"/>
      </w:pPr>
      <w:rPr>
        <w:rFonts w:ascii="Georgia" w:eastAsia="Times New Roman" w:hAnsi="Georgia" w:cs="Times New Roman" w:hint="default"/>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28">
    <w:nsid w:val="53260F13"/>
    <w:multiLevelType w:val="multilevel"/>
    <w:tmpl w:val="CCD817B6"/>
    <w:lvl w:ilvl="0">
      <w:start w:val="1"/>
      <w:numFmt w:val="upperRoman"/>
      <w:pStyle w:val="05cHeadline1"/>
      <w:lvlText w:val="%1."/>
      <w:lvlJc w:val="left"/>
      <w:pPr>
        <w:tabs>
          <w:tab w:val="num" w:pos="567"/>
        </w:tabs>
        <w:ind w:left="567" w:hanging="567"/>
      </w:pPr>
      <w:rPr>
        <w:rFonts w:ascii="Georgia" w:hAnsi="Georgia" w:hint="default"/>
        <w:b/>
        <w:i w:val="0"/>
        <w:sz w:val="20"/>
      </w:rPr>
    </w:lvl>
    <w:lvl w:ilvl="1">
      <w:start w:val="1"/>
      <w:numFmt w:val="upperRoman"/>
      <w:pStyle w:val="05eHeadline2"/>
      <w:lvlText w:val="%1.%2."/>
      <w:lvlJc w:val="left"/>
      <w:pPr>
        <w:tabs>
          <w:tab w:val="num" w:pos="567"/>
        </w:tabs>
        <w:ind w:left="567" w:hanging="283"/>
      </w:pPr>
      <w:rPr>
        <w:rFonts w:ascii="Georgia" w:hAnsi="Georgia" w:hint="default"/>
        <w:b w:val="0"/>
        <w:i w:val="0"/>
        <w:sz w:val="20"/>
      </w:rPr>
    </w:lvl>
    <w:lvl w:ilvl="2">
      <w:start w:val="2"/>
      <w:numFmt w:val="upperRoman"/>
      <w:lvlText w:val="%3.%2"/>
      <w:lvlJc w:val="left"/>
      <w:pPr>
        <w:tabs>
          <w:tab w:val="num" w:pos="567"/>
        </w:tabs>
        <w:ind w:left="567" w:hanging="283"/>
      </w:pPr>
      <w:rPr>
        <w:rFonts w:ascii="Georgia" w:hAnsi="Georgia" w:hint="default"/>
        <w:sz w:val="20"/>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pStyle w:val="Nagwek6"/>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pStyle w:val="Nagwek8"/>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9">
    <w:nsid w:val="54593082"/>
    <w:multiLevelType w:val="singleLevel"/>
    <w:tmpl w:val="EDE069AC"/>
    <w:name w:val="Default"/>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30">
    <w:nsid w:val="55DE60E9"/>
    <w:multiLevelType w:val="hybridMultilevel"/>
    <w:tmpl w:val="1084069A"/>
    <w:lvl w:ilvl="0" w:tplc="B532C018">
      <w:start w:val="2"/>
      <w:numFmt w:val="upperRoman"/>
      <w:pStyle w:val="Nagwek1"/>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1">
    <w:nsid w:val="568864DC"/>
    <w:multiLevelType w:val="singleLevel"/>
    <w:tmpl w:val="485EBDAC"/>
    <w:lvl w:ilvl="0">
      <w:start w:val="1"/>
      <w:numFmt w:val="bullet"/>
      <w:lvlRestart w:val="0"/>
      <w:pStyle w:val="Tiret4"/>
      <w:lvlText w:val="–"/>
      <w:lvlJc w:val="left"/>
      <w:pPr>
        <w:tabs>
          <w:tab w:val="num" w:pos="3118"/>
        </w:tabs>
        <w:ind w:left="3118" w:hanging="567"/>
      </w:pPr>
    </w:lvl>
  </w:abstractNum>
  <w:abstractNum w:abstractNumId="32">
    <w:nsid w:val="59F0103B"/>
    <w:multiLevelType w:val="hybridMultilevel"/>
    <w:tmpl w:val="9E10363A"/>
    <w:lvl w:ilvl="0" w:tplc="1C5E9BF6">
      <w:start w:val="1"/>
      <w:numFmt w:val="decimal"/>
      <w:lvlText w:val="%1."/>
      <w:lvlJc w:val="left"/>
      <w:pPr>
        <w:tabs>
          <w:tab w:val="num" w:pos="284"/>
        </w:tabs>
        <w:ind w:left="284" w:hanging="284"/>
      </w:pPr>
      <w:rPr>
        <w:rFonts w:ascii="Georgia" w:hAnsi="Georgia" w:hint="default"/>
        <w:sz w:val="20"/>
      </w:rPr>
    </w:lvl>
    <w:lvl w:ilvl="1" w:tplc="D85CD5A2">
      <w:start w:val="1"/>
      <w:numFmt w:val="lowerLetter"/>
      <w:pStyle w:val="aStyle"/>
      <w:lvlText w:val="%2)"/>
      <w:lvlJc w:val="left"/>
      <w:pPr>
        <w:tabs>
          <w:tab w:val="num" w:pos="1440"/>
        </w:tabs>
        <w:ind w:left="1440" w:hanging="360"/>
      </w:pPr>
      <w:rPr>
        <w:rFonts w:hint="default"/>
        <w:color w:val="auto"/>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33">
    <w:nsid w:val="5F342530"/>
    <w:multiLevelType w:val="singleLevel"/>
    <w:tmpl w:val="D5444702"/>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34">
    <w:nsid w:val="5F9C40AA"/>
    <w:multiLevelType w:val="singleLevel"/>
    <w:tmpl w:val="B89CB5A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35">
    <w:nsid w:val="605735B9"/>
    <w:multiLevelType w:val="hybridMultilevel"/>
    <w:tmpl w:val="FE2226F2"/>
    <w:lvl w:ilvl="0" w:tplc="659EE572">
      <w:start w:val="1"/>
      <w:numFmt w:val="decimal"/>
      <w:pStyle w:val="Nagwek5"/>
      <w:lvlText w:val="Q%1:"/>
      <w:lvlJc w:val="left"/>
      <w:pPr>
        <w:ind w:left="502" w:hanging="360"/>
      </w:pPr>
      <w:rPr>
        <w:rFonts w:ascii="Arial" w:hAnsi="Arial" w:hint="default"/>
        <w:b/>
        <w:i w:val="0"/>
        <w:color w:val="auto"/>
        <w:sz w:val="22"/>
        <w:szCs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62970F71"/>
    <w:multiLevelType w:val="singleLevel"/>
    <w:tmpl w:val="A8CADBFA"/>
    <w:name w:val="Bullet 0"/>
    <w:lvl w:ilvl="0">
      <w:start w:val="1"/>
      <w:numFmt w:val="bullet"/>
      <w:pStyle w:val="Listanumerowana"/>
      <w:lvlText w:val="–"/>
      <w:lvlJc w:val="left"/>
      <w:pPr>
        <w:tabs>
          <w:tab w:val="num" w:pos="1417"/>
        </w:tabs>
        <w:ind w:left="1417" w:hanging="567"/>
      </w:pPr>
    </w:lvl>
  </w:abstractNum>
  <w:abstractNum w:abstractNumId="37">
    <w:nsid w:val="63882A0E"/>
    <w:multiLevelType w:val="hybridMultilevel"/>
    <w:tmpl w:val="24FC31E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8">
    <w:nsid w:val="692F0EC0"/>
    <w:multiLevelType w:val="multilevel"/>
    <w:tmpl w:val="51EEA844"/>
    <w:styleLink w:val="Formatvorlage1"/>
    <w:lvl w:ilvl="0">
      <w:start w:val="1"/>
      <w:numFmt w:val="bullet"/>
      <w:lvlText w:val=""/>
      <w:lvlJc w:val="left"/>
      <w:pPr>
        <w:tabs>
          <w:tab w:val="num" w:pos="360"/>
        </w:tabs>
        <w:ind w:left="360" w:hanging="360"/>
      </w:pPr>
      <w:rPr>
        <w:rFonts w:ascii="Symbol" w:hAnsi="Symbol" w:hint="default"/>
        <w:sz w:val="28"/>
        <w:szCs w:val="28"/>
      </w:rPr>
    </w:lvl>
    <w:lvl w:ilvl="1">
      <w:start w:val="1"/>
      <w:numFmt w:val="bullet"/>
      <w:lvlText w:val=""/>
      <w:lvlJc w:val="left"/>
      <w:pPr>
        <w:tabs>
          <w:tab w:val="num" w:pos="720"/>
        </w:tabs>
        <w:ind w:left="720" w:hanging="360"/>
      </w:pPr>
      <w:rPr>
        <w:rFonts w:ascii="Symbol" w:hAnsi="Symbol" w:hint="default"/>
        <w:sz w:val="28"/>
        <w:szCs w:val="24"/>
      </w:rPr>
    </w:lvl>
    <w:lvl w:ilvl="2">
      <w:start w:val="1"/>
      <w:numFmt w:val="bullet"/>
      <w:lvlText w:val=""/>
      <w:lvlJc w:val="left"/>
      <w:pPr>
        <w:tabs>
          <w:tab w:val="num" w:pos="1072"/>
        </w:tabs>
        <w:ind w:left="1072" w:hanging="358"/>
      </w:pPr>
      <w:rPr>
        <w:rFonts w:ascii="Symbol" w:hAnsi="Symbol" w:hint="default"/>
        <w:sz w:val="28"/>
        <w:szCs w:val="22"/>
      </w:rPr>
    </w:lvl>
    <w:lvl w:ilvl="3">
      <w:start w:val="1"/>
      <w:numFmt w:val="bullet"/>
      <w:lvlText w:val=""/>
      <w:lvlJc w:val="left"/>
      <w:pPr>
        <w:tabs>
          <w:tab w:val="num" w:pos="1429"/>
        </w:tabs>
        <w:ind w:left="1429" w:hanging="357"/>
      </w:pPr>
      <w:rPr>
        <w:rFonts w:ascii="Symbol" w:hAnsi="Symbol" w:hint="default"/>
        <w:sz w:val="28"/>
      </w:rPr>
    </w:lvl>
    <w:lvl w:ilvl="4">
      <w:start w:val="1"/>
      <w:numFmt w:val="bullet"/>
      <w:lvlText w:val=""/>
      <w:lvlJc w:val="left"/>
      <w:pPr>
        <w:tabs>
          <w:tab w:val="num" w:pos="1786"/>
        </w:tabs>
        <w:ind w:left="1786" w:hanging="357"/>
      </w:pPr>
      <w:rPr>
        <w:rFonts w:ascii="Symbol" w:hAnsi="Symbol" w:hint="default"/>
        <w:sz w:val="28"/>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9">
    <w:nsid w:val="711167E2"/>
    <w:multiLevelType w:val="multilevel"/>
    <w:tmpl w:val="C3843A7A"/>
    <w:lvl w:ilvl="0">
      <w:start w:val="1"/>
      <w:numFmt w:val="decimal"/>
      <w:lvlRestart w:val="0"/>
      <w:pStyle w:val="NumPar1"/>
      <w:lvlText w:val="%1."/>
      <w:lvlJc w:val="left"/>
      <w:pPr>
        <w:tabs>
          <w:tab w:val="num" w:pos="850"/>
        </w:tabs>
        <w:ind w:left="850" w:hanging="850"/>
      </w:pPr>
      <w:rPr>
        <w:rFonts w:cs="Times New Roman"/>
      </w:rPr>
    </w:lvl>
    <w:lvl w:ilvl="1">
      <w:start w:val="1"/>
      <w:numFmt w:val="decimal"/>
      <w:pStyle w:val="NumPar2"/>
      <w:lvlText w:val="%1.%2."/>
      <w:lvlJc w:val="left"/>
      <w:pPr>
        <w:tabs>
          <w:tab w:val="num" w:pos="850"/>
        </w:tabs>
        <w:ind w:left="85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0">
    <w:nsid w:val="78D24FE2"/>
    <w:multiLevelType w:val="hybridMultilevel"/>
    <w:tmpl w:val="8DCC5F14"/>
    <w:lvl w:ilvl="0" w:tplc="0C0A000F">
      <w:start w:val="1"/>
      <w:numFmt w:val="decimal"/>
      <w:pStyle w:val="Tiret1"/>
      <w:lvlText w:val="%1."/>
      <w:lvlJc w:val="left"/>
      <w:pPr>
        <w:ind w:left="1776" w:hanging="360"/>
      </w:pPr>
    </w:lvl>
    <w:lvl w:ilvl="1" w:tplc="0C0A0019">
      <w:start w:val="1"/>
      <w:numFmt w:val="lowerLetter"/>
      <w:lvlText w:val="%2."/>
      <w:lvlJc w:val="left"/>
      <w:pPr>
        <w:ind w:left="2496" w:hanging="360"/>
      </w:pPr>
    </w:lvl>
    <w:lvl w:ilvl="2" w:tplc="0C0A001B">
      <w:start w:val="1"/>
      <w:numFmt w:val="lowerRoman"/>
      <w:lvlText w:val="%3."/>
      <w:lvlJc w:val="right"/>
      <w:pPr>
        <w:ind w:left="3216" w:hanging="180"/>
      </w:pPr>
    </w:lvl>
    <w:lvl w:ilvl="3" w:tplc="0C0A000F">
      <w:start w:val="1"/>
      <w:numFmt w:val="decimal"/>
      <w:lvlText w:val="%4."/>
      <w:lvlJc w:val="left"/>
      <w:pPr>
        <w:ind w:left="3936" w:hanging="360"/>
      </w:pPr>
    </w:lvl>
    <w:lvl w:ilvl="4" w:tplc="0C0A0019">
      <w:start w:val="1"/>
      <w:numFmt w:val="lowerLetter"/>
      <w:lvlText w:val="%5."/>
      <w:lvlJc w:val="left"/>
      <w:pPr>
        <w:ind w:left="4656" w:hanging="360"/>
      </w:pPr>
    </w:lvl>
    <w:lvl w:ilvl="5" w:tplc="0C0A001B">
      <w:start w:val="1"/>
      <w:numFmt w:val="lowerRoman"/>
      <w:lvlText w:val="%6."/>
      <w:lvlJc w:val="right"/>
      <w:pPr>
        <w:ind w:left="5376" w:hanging="180"/>
      </w:pPr>
    </w:lvl>
    <w:lvl w:ilvl="6" w:tplc="0C0A000F">
      <w:start w:val="1"/>
      <w:numFmt w:val="decimal"/>
      <w:lvlText w:val="%7."/>
      <w:lvlJc w:val="left"/>
      <w:pPr>
        <w:ind w:left="6096" w:hanging="360"/>
      </w:pPr>
    </w:lvl>
    <w:lvl w:ilvl="7" w:tplc="0C0A0019">
      <w:start w:val="1"/>
      <w:numFmt w:val="lowerLetter"/>
      <w:lvlText w:val="%8."/>
      <w:lvlJc w:val="left"/>
      <w:pPr>
        <w:ind w:left="6816" w:hanging="360"/>
      </w:pPr>
    </w:lvl>
    <w:lvl w:ilvl="8" w:tplc="0C0A001B">
      <w:start w:val="1"/>
      <w:numFmt w:val="lowerRoman"/>
      <w:lvlText w:val="%9."/>
      <w:lvlJc w:val="right"/>
      <w:pPr>
        <w:ind w:left="7536" w:hanging="180"/>
      </w:pPr>
    </w:lvl>
  </w:abstractNum>
  <w:abstractNum w:abstractNumId="41">
    <w:nsid w:val="7BE95D7F"/>
    <w:multiLevelType w:val="multilevel"/>
    <w:tmpl w:val="F126F780"/>
    <w:lvl w:ilvl="0">
      <w:start w:val="1"/>
      <w:numFmt w:val="decimal"/>
      <w:lvlRestart w:val="0"/>
      <w:pStyle w:val="Point0number"/>
      <w:lvlText w:val="(%1)"/>
      <w:lvlJc w:val="left"/>
      <w:pPr>
        <w:tabs>
          <w:tab w:val="num" w:pos="850"/>
        </w:tabs>
        <w:ind w:left="850" w:hanging="850"/>
      </w:pPr>
      <w:rPr>
        <w:rFonts w:cs="Times New Roman"/>
      </w:rPr>
    </w:lvl>
    <w:lvl w:ilvl="1">
      <w:start w:val="1"/>
      <w:numFmt w:val="lowerLetter"/>
      <w:pStyle w:val="Point0letter"/>
      <w:lvlText w:val="(%2)"/>
      <w:lvlJc w:val="left"/>
      <w:pPr>
        <w:tabs>
          <w:tab w:val="num" w:pos="850"/>
        </w:tabs>
        <w:ind w:left="850" w:hanging="850"/>
      </w:pPr>
      <w:rPr>
        <w:rFonts w:cs="Times New Roman"/>
      </w:rPr>
    </w:lvl>
    <w:lvl w:ilvl="2">
      <w:start w:val="1"/>
      <w:numFmt w:val="decimal"/>
      <w:pStyle w:val="Point1number"/>
      <w:lvlText w:val="(%3)"/>
      <w:lvlJc w:val="left"/>
      <w:pPr>
        <w:tabs>
          <w:tab w:val="num" w:pos="1417"/>
        </w:tabs>
        <w:ind w:left="1417" w:hanging="567"/>
      </w:pPr>
      <w:rPr>
        <w:rFonts w:cs="Times New Roman"/>
      </w:rPr>
    </w:lvl>
    <w:lvl w:ilvl="3">
      <w:start w:val="1"/>
      <w:numFmt w:val="lowerLetter"/>
      <w:pStyle w:val="Point1letter"/>
      <w:lvlText w:val="(%4)"/>
      <w:lvlJc w:val="left"/>
      <w:pPr>
        <w:tabs>
          <w:tab w:val="num" w:pos="1417"/>
        </w:tabs>
        <w:ind w:left="1417" w:hanging="567"/>
      </w:pPr>
      <w:rPr>
        <w:rFonts w:cs="Times New Roman"/>
      </w:rPr>
    </w:lvl>
    <w:lvl w:ilvl="4">
      <w:start w:val="1"/>
      <w:numFmt w:val="decimal"/>
      <w:pStyle w:val="Point2number"/>
      <w:lvlText w:val="(%5)"/>
      <w:lvlJc w:val="left"/>
      <w:pPr>
        <w:tabs>
          <w:tab w:val="num" w:pos="1984"/>
        </w:tabs>
        <w:ind w:left="1984" w:hanging="567"/>
      </w:pPr>
      <w:rPr>
        <w:rFonts w:cs="Times New Roman"/>
      </w:rPr>
    </w:lvl>
    <w:lvl w:ilvl="5">
      <w:start w:val="1"/>
      <w:numFmt w:val="lowerLetter"/>
      <w:pStyle w:val="Point2letter"/>
      <w:lvlText w:val="(%6)"/>
      <w:lvlJc w:val="left"/>
      <w:pPr>
        <w:tabs>
          <w:tab w:val="num" w:pos="1984"/>
        </w:tabs>
        <w:ind w:left="1984" w:hanging="567"/>
      </w:pPr>
      <w:rPr>
        <w:rFonts w:cs="Times New Roman"/>
      </w:rPr>
    </w:lvl>
    <w:lvl w:ilvl="6">
      <w:start w:val="1"/>
      <w:numFmt w:val="decimal"/>
      <w:pStyle w:val="Point3number"/>
      <w:lvlText w:val="(%7)"/>
      <w:lvlJc w:val="left"/>
      <w:pPr>
        <w:tabs>
          <w:tab w:val="num" w:pos="2551"/>
        </w:tabs>
        <w:ind w:left="2551" w:hanging="567"/>
      </w:pPr>
      <w:rPr>
        <w:rFonts w:cs="Times New Roman"/>
      </w:rPr>
    </w:lvl>
    <w:lvl w:ilvl="7">
      <w:start w:val="1"/>
      <w:numFmt w:val="lowerLetter"/>
      <w:pStyle w:val="Point3letter"/>
      <w:lvlText w:val="(%8)"/>
      <w:lvlJc w:val="left"/>
      <w:pPr>
        <w:tabs>
          <w:tab w:val="num" w:pos="2551"/>
        </w:tabs>
        <w:ind w:left="2551" w:hanging="567"/>
      </w:pPr>
      <w:rPr>
        <w:rFonts w:cs="Times New Roman"/>
      </w:rPr>
    </w:lvl>
    <w:lvl w:ilvl="8">
      <w:start w:val="1"/>
      <w:numFmt w:val="lowerLetter"/>
      <w:pStyle w:val="Point4letter"/>
      <w:lvlText w:val="(%9)"/>
      <w:lvlJc w:val="left"/>
      <w:pPr>
        <w:tabs>
          <w:tab w:val="num" w:pos="3118"/>
        </w:tabs>
        <w:ind w:left="3118" w:hanging="567"/>
      </w:pPr>
      <w:rPr>
        <w:rFonts w:cs="Times New Roman"/>
      </w:rPr>
    </w:lvl>
  </w:abstractNum>
  <w:num w:numId="1">
    <w:abstractNumId w:val="21"/>
  </w:num>
  <w:num w:numId="2">
    <w:abstractNumId w:val="23"/>
  </w:num>
  <w:num w:numId="3">
    <w:abstractNumId w:val="17"/>
  </w:num>
  <w:num w:numId="4">
    <w:abstractNumId w:val="28"/>
  </w:num>
  <w:num w:numId="5">
    <w:abstractNumId w:val="5"/>
  </w:num>
  <w:num w:numId="6">
    <w:abstractNumId w:val="30"/>
  </w:num>
  <w:num w:numId="7">
    <w:abstractNumId w:val="0"/>
  </w:num>
  <w:num w:numId="8">
    <w:abstractNumId w:val="10"/>
  </w:num>
  <w:num w:numId="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6"/>
  </w:num>
  <w:num w:numId="11">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2"/>
  </w:num>
  <w:num w:numId="14">
    <w:abstractNumId w:val="35"/>
  </w:num>
  <w:num w:numId="15">
    <w:abstractNumId w:val="27"/>
  </w:num>
  <w:num w:numId="16">
    <w:abstractNumId w:val="16"/>
  </w:num>
  <w:num w:numId="17">
    <w:abstractNumId w:val="2"/>
  </w:num>
  <w:num w:numId="18">
    <w:abstractNumId w:val="19"/>
  </w:num>
  <w:num w:numId="19">
    <w:abstractNumId w:val="20"/>
  </w:num>
  <w:num w:numId="20">
    <w:abstractNumId w:val="22"/>
  </w:num>
  <w:num w:numId="21">
    <w:abstractNumId w:val="31"/>
  </w:num>
  <w:num w:numId="22">
    <w:abstractNumId w:val="39"/>
  </w:num>
  <w:num w:numId="23">
    <w:abstractNumId w:val="29"/>
  </w:num>
  <w:num w:numId="24">
    <w:abstractNumId w:val="15"/>
  </w:num>
  <w:num w:numId="25">
    <w:abstractNumId w:val="34"/>
  </w:num>
  <w:num w:numId="26">
    <w:abstractNumId w:val="33"/>
  </w:num>
  <w:num w:numId="27">
    <w:abstractNumId w:val="25"/>
  </w:num>
  <w:num w:numId="28">
    <w:abstractNumId w:val="38"/>
  </w:num>
  <w:num w:numId="29">
    <w:abstractNumId w:val="41"/>
  </w:num>
  <w:num w:numId="30">
    <w:abstractNumId w:val="12"/>
  </w:num>
  <w:num w:numId="31">
    <w:abstractNumId w:val="8"/>
  </w:num>
  <w:num w:numId="32">
    <w:abstractNumId w:val="26"/>
  </w:num>
  <w:num w:numId="33">
    <w:abstractNumId w:val="3"/>
  </w:num>
  <w:num w:numId="34">
    <w:abstractNumId w:val="37"/>
  </w:num>
  <w:num w:numId="35">
    <w:abstractNumId w:val="6"/>
  </w:num>
  <w:num w:numId="36">
    <w:abstractNumId w:val="7"/>
  </w:num>
  <w:num w:numId="37">
    <w:abstractNumId w:val="4"/>
  </w:num>
  <w:num w:numId="38">
    <w:abstractNumId w:val="24"/>
  </w:num>
  <w:num w:numId="39">
    <w:abstractNumId w:val="14"/>
  </w:num>
  <w:num w:numId="40">
    <w:abstractNumId w:val="1"/>
  </w:num>
  <w:num w:numId="41">
    <w:abstractNumId w:val="9"/>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stylePaneFormatFilter w:val="1701" w:allStyles="1" w:customStyles="0" w:latentStyles="0" w:stylesInUse="0" w:headingStyles="0" w:numberingStyles="0" w:tableStyles="0" w:directFormattingOnRuns="1" w:directFormattingOnParagraphs="1" w:directFormattingOnNumbering="1" w:directFormattingOnTables="0" w:clearFormatting="1" w:top3HeadingStyles="0" w:visibleStyles="0" w:alternateStyleNames="0"/>
  <w:documentProtection w:edit="readOnly" w:enforcement="1" w:cryptProviderType="rsaFull" w:cryptAlgorithmClass="hash" w:cryptAlgorithmType="typeAny" w:cryptAlgorithmSid="4" w:cryptSpinCount="100000" w:hash="68IPXscLkNoz6f8cSWrvcDQ2IE8=" w:salt="vJSWgQEkbBNy9ANyilTFkg=="/>
  <w:defaultTabStop w:val="709"/>
  <w:autoHyphenation/>
  <w:hyphenationZone w:val="567"/>
  <w:characterSpacingControl w:val="doNotCompress"/>
  <w:hdrShapeDefaults>
    <o:shapedefaults v:ext="edit" spidmax="26625">
      <o:colormru v:ext="edit" colors="#2d4491,#283583"/>
    </o:shapedefaults>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2370"/>
    <w:rsid w:val="000006AD"/>
    <w:rsid w:val="00001490"/>
    <w:rsid w:val="00002232"/>
    <w:rsid w:val="00002491"/>
    <w:rsid w:val="0000378E"/>
    <w:rsid w:val="00003AEB"/>
    <w:rsid w:val="00005BBA"/>
    <w:rsid w:val="00005D8C"/>
    <w:rsid w:val="00006C2B"/>
    <w:rsid w:val="00007014"/>
    <w:rsid w:val="00007968"/>
    <w:rsid w:val="0001067A"/>
    <w:rsid w:val="00013CCE"/>
    <w:rsid w:val="000140D5"/>
    <w:rsid w:val="0001410B"/>
    <w:rsid w:val="000141D6"/>
    <w:rsid w:val="00014A95"/>
    <w:rsid w:val="00015B5E"/>
    <w:rsid w:val="00015F1D"/>
    <w:rsid w:val="0001774B"/>
    <w:rsid w:val="00017D63"/>
    <w:rsid w:val="00020D0F"/>
    <w:rsid w:val="000215EB"/>
    <w:rsid w:val="00023713"/>
    <w:rsid w:val="00023C4D"/>
    <w:rsid w:val="00025E71"/>
    <w:rsid w:val="00026269"/>
    <w:rsid w:val="00027154"/>
    <w:rsid w:val="00027ECF"/>
    <w:rsid w:val="000303BE"/>
    <w:rsid w:val="000344D6"/>
    <w:rsid w:val="00034960"/>
    <w:rsid w:val="00036FAE"/>
    <w:rsid w:val="00041858"/>
    <w:rsid w:val="0004389E"/>
    <w:rsid w:val="000463A6"/>
    <w:rsid w:val="00046CC9"/>
    <w:rsid w:val="00046E91"/>
    <w:rsid w:val="000502FE"/>
    <w:rsid w:val="0005126D"/>
    <w:rsid w:val="00051992"/>
    <w:rsid w:val="00051E9A"/>
    <w:rsid w:val="000521A7"/>
    <w:rsid w:val="00052F47"/>
    <w:rsid w:val="0005399B"/>
    <w:rsid w:val="00054DE6"/>
    <w:rsid w:val="000569D7"/>
    <w:rsid w:val="000576D7"/>
    <w:rsid w:val="00060F72"/>
    <w:rsid w:val="00062592"/>
    <w:rsid w:val="000636A1"/>
    <w:rsid w:val="000649D9"/>
    <w:rsid w:val="000652BE"/>
    <w:rsid w:val="000656D2"/>
    <w:rsid w:val="00066479"/>
    <w:rsid w:val="0006723C"/>
    <w:rsid w:val="00070376"/>
    <w:rsid w:val="00070974"/>
    <w:rsid w:val="00071EAD"/>
    <w:rsid w:val="00071F4E"/>
    <w:rsid w:val="00072271"/>
    <w:rsid w:val="00072B54"/>
    <w:rsid w:val="0007463D"/>
    <w:rsid w:val="000749F0"/>
    <w:rsid w:val="0007609D"/>
    <w:rsid w:val="00077C67"/>
    <w:rsid w:val="00080976"/>
    <w:rsid w:val="00081CEB"/>
    <w:rsid w:val="00081E60"/>
    <w:rsid w:val="00082D8E"/>
    <w:rsid w:val="00082E31"/>
    <w:rsid w:val="000834DD"/>
    <w:rsid w:val="00083AA3"/>
    <w:rsid w:val="00085947"/>
    <w:rsid w:val="000868FE"/>
    <w:rsid w:val="000878D1"/>
    <w:rsid w:val="000921AE"/>
    <w:rsid w:val="000921D7"/>
    <w:rsid w:val="000925FF"/>
    <w:rsid w:val="000932E0"/>
    <w:rsid w:val="00094C4C"/>
    <w:rsid w:val="00096762"/>
    <w:rsid w:val="000969C8"/>
    <w:rsid w:val="0009752D"/>
    <w:rsid w:val="00097AEE"/>
    <w:rsid w:val="000A014A"/>
    <w:rsid w:val="000A04B6"/>
    <w:rsid w:val="000A0E36"/>
    <w:rsid w:val="000A1BD2"/>
    <w:rsid w:val="000A2127"/>
    <w:rsid w:val="000A3170"/>
    <w:rsid w:val="000A358F"/>
    <w:rsid w:val="000A43CC"/>
    <w:rsid w:val="000A7314"/>
    <w:rsid w:val="000A7B53"/>
    <w:rsid w:val="000A7B64"/>
    <w:rsid w:val="000B275C"/>
    <w:rsid w:val="000B2C3D"/>
    <w:rsid w:val="000B5DF2"/>
    <w:rsid w:val="000C06C9"/>
    <w:rsid w:val="000C1DCC"/>
    <w:rsid w:val="000C1FBC"/>
    <w:rsid w:val="000C2B6A"/>
    <w:rsid w:val="000C2F88"/>
    <w:rsid w:val="000C55C8"/>
    <w:rsid w:val="000C57C4"/>
    <w:rsid w:val="000C5FD3"/>
    <w:rsid w:val="000C701D"/>
    <w:rsid w:val="000C7C4A"/>
    <w:rsid w:val="000D1553"/>
    <w:rsid w:val="000D17AA"/>
    <w:rsid w:val="000D2D0B"/>
    <w:rsid w:val="000D4660"/>
    <w:rsid w:val="000D705D"/>
    <w:rsid w:val="000D7EB9"/>
    <w:rsid w:val="000E0223"/>
    <w:rsid w:val="000E0CF3"/>
    <w:rsid w:val="000E18A8"/>
    <w:rsid w:val="000E1AEC"/>
    <w:rsid w:val="000E3937"/>
    <w:rsid w:val="000E3C3E"/>
    <w:rsid w:val="000E4926"/>
    <w:rsid w:val="000E5F7F"/>
    <w:rsid w:val="000E7086"/>
    <w:rsid w:val="000E7C65"/>
    <w:rsid w:val="000F04D2"/>
    <w:rsid w:val="000F4C4E"/>
    <w:rsid w:val="000F55B7"/>
    <w:rsid w:val="000F604F"/>
    <w:rsid w:val="000F7399"/>
    <w:rsid w:val="001027F1"/>
    <w:rsid w:val="00104F2E"/>
    <w:rsid w:val="001072DD"/>
    <w:rsid w:val="00110D7A"/>
    <w:rsid w:val="00111464"/>
    <w:rsid w:val="0011167D"/>
    <w:rsid w:val="00111C0E"/>
    <w:rsid w:val="00112892"/>
    <w:rsid w:val="00112E48"/>
    <w:rsid w:val="001130EA"/>
    <w:rsid w:val="00114259"/>
    <w:rsid w:val="001168B2"/>
    <w:rsid w:val="00117C20"/>
    <w:rsid w:val="00120F0E"/>
    <w:rsid w:val="00121BED"/>
    <w:rsid w:val="00123110"/>
    <w:rsid w:val="00123D39"/>
    <w:rsid w:val="00124278"/>
    <w:rsid w:val="001244CD"/>
    <w:rsid w:val="0012566F"/>
    <w:rsid w:val="001260DB"/>
    <w:rsid w:val="001262B1"/>
    <w:rsid w:val="00130F41"/>
    <w:rsid w:val="00130FAF"/>
    <w:rsid w:val="00131CED"/>
    <w:rsid w:val="00131FE9"/>
    <w:rsid w:val="00135F2B"/>
    <w:rsid w:val="001372DD"/>
    <w:rsid w:val="001405BA"/>
    <w:rsid w:val="00141497"/>
    <w:rsid w:val="0014253A"/>
    <w:rsid w:val="001425C8"/>
    <w:rsid w:val="00142D02"/>
    <w:rsid w:val="001431AE"/>
    <w:rsid w:val="00143B87"/>
    <w:rsid w:val="001459E3"/>
    <w:rsid w:val="00146A0B"/>
    <w:rsid w:val="0014761E"/>
    <w:rsid w:val="001503F5"/>
    <w:rsid w:val="00151907"/>
    <w:rsid w:val="001544C8"/>
    <w:rsid w:val="00155FAB"/>
    <w:rsid w:val="001567A1"/>
    <w:rsid w:val="00156857"/>
    <w:rsid w:val="00157E79"/>
    <w:rsid w:val="00157EED"/>
    <w:rsid w:val="0016087A"/>
    <w:rsid w:val="00160A5C"/>
    <w:rsid w:val="001613EC"/>
    <w:rsid w:val="0016358A"/>
    <w:rsid w:val="0016385C"/>
    <w:rsid w:val="001638D4"/>
    <w:rsid w:val="00164664"/>
    <w:rsid w:val="00164F15"/>
    <w:rsid w:val="001651A4"/>
    <w:rsid w:val="0016552B"/>
    <w:rsid w:val="00166B04"/>
    <w:rsid w:val="001670A6"/>
    <w:rsid w:val="001701FA"/>
    <w:rsid w:val="00171183"/>
    <w:rsid w:val="001725A5"/>
    <w:rsid w:val="00172681"/>
    <w:rsid w:val="00173AC7"/>
    <w:rsid w:val="001745D7"/>
    <w:rsid w:val="00175754"/>
    <w:rsid w:val="00176982"/>
    <w:rsid w:val="0017701C"/>
    <w:rsid w:val="00181264"/>
    <w:rsid w:val="00181BD1"/>
    <w:rsid w:val="0018204A"/>
    <w:rsid w:val="00182F7C"/>
    <w:rsid w:val="001843B5"/>
    <w:rsid w:val="00186829"/>
    <w:rsid w:val="001868CA"/>
    <w:rsid w:val="00187304"/>
    <w:rsid w:val="001875BE"/>
    <w:rsid w:val="0019017A"/>
    <w:rsid w:val="00190946"/>
    <w:rsid w:val="00190B8C"/>
    <w:rsid w:val="00190FF8"/>
    <w:rsid w:val="0019311A"/>
    <w:rsid w:val="0019508A"/>
    <w:rsid w:val="001960D8"/>
    <w:rsid w:val="001A1642"/>
    <w:rsid w:val="001A371B"/>
    <w:rsid w:val="001A4766"/>
    <w:rsid w:val="001A6A0D"/>
    <w:rsid w:val="001A6C51"/>
    <w:rsid w:val="001A6FAA"/>
    <w:rsid w:val="001A7D73"/>
    <w:rsid w:val="001B0363"/>
    <w:rsid w:val="001B1355"/>
    <w:rsid w:val="001B3138"/>
    <w:rsid w:val="001B4E4B"/>
    <w:rsid w:val="001B50AC"/>
    <w:rsid w:val="001B5E05"/>
    <w:rsid w:val="001B6D68"/>
    <w:rsid w:val="001B6F2E"/>
    <w:rsid w:val="001C0344"/>
    <w:rsid w:val="001C0F2A"/>
    <w:rsid w:val="001C1A59"/>
    <w:rsid w:val="001C270F"/>
    <w:rsid w:val="001C4679"/>
    <w:rsid w:val="001C5770"/>
    <w:rsid w:val="001C6195"/>
    <w:rsid w:val="001D0883"/>
    <w:rsid w:val="001D2205"/>
    <w:rsid w:val="001D3A1F"/>
    <w:rsid w:val="001D3FB6"/>
    <w:rsid w:val="001D4550"/>
    <w:rsid w:val="001D5498"/>
    <w:rsid w:val="001D5BAF"/>
    <w:rsid w:val="001D6401"/>
    <w:rsid w:val="001D66C9"/>
    <w:rsid w:val="001D722A"/>
    <w:rsid w:val="001E04FC"/>
    <w:rsid w:val="001E407D"/>
    <w:rsid w:val="001E40FB"/>
    <w:rsid w:val="001E66EC"/>
    <w:rsid w:val="001E68C5"/>
    <w:rsid w:val="001F0F63"/>
    <w:rsid w:val="001F3996"/>
    <w:rsid w:val="001F44A4"/>
    <w:rsid w:val="001F579D"/>
    <w:rsid w:val="001F697B"/>
    <w:rsid w:val="002005A6"/>
    <w:rsid w:val="00201A87"/>
    <w:rsid w:val="00204CBC"/>
    <w:rsid w:val="002051F1"/>
    <w:rsid w:val="002067BA"/>
    <w:rsid w:val="0021058D"/>
    <w:rsid w:val="00211E2F"/>
    <w:rsid w:val="00211E9E"/>
    <w:rsid w:val="00214FB4"/>
    <w:rsid w:val="00215940"/>
    <w:rsid w:val="002164F6"/>
    <w:rsid w:val="00217C23"/>
    <w:rsid w:val="00220561"/>
    <w:rsid w:val="00220CE4"/>
    <w:rsid w:val="00222D9B"/>
    <w:rsid w:val="00223788"/>
    <w:rsid w:val="00223D11"/>
    <w:rsid w:val="002242D3"/>
    <w:rsid w:val="002301E6"/>
    <w:rsid w:val="00232F90"/>
    <w:rsid w:val="00233B08"/>
    <w:rsid w:val="00233C3B"/>
    <w:rsid w:val="0023499C"/>
    <w:rsid w:val="00235CE3"/>
    <w:rsid w:val="0023636A"/>
    <w:rsid w:val="00236F34"/>
    <w:rsid w:val="002372F7"/>
    <w:rsid w:val="00240632"/>
    <w:rsid w:val="00240651"/>
    <w:rsid w:val="00240803"/>
    <w:rsid w:val="0024426D"/>
    <w:rsid w:val="00244F1D"/>
    <w:rsid w:val="00245004"/>
    <w:rsid w:val="00245FB4"/>
    <w:rsid w:val="00250898"/>
    <w:rsid w:val="00251EA9"/>
    <w:rsid w:val="00252063"/>
    <w:rsid w:val="00252843"/>
    <w:rsid w:val="002543F8"/>
    <w:rsid w:val="002551A4"/>
    <w:rsid w:val="002559F3"/>
    <w:rsid w:val="00256DFE"/>
    <w:rsid w:val="00261D56"/>
    <w:rsid w:val="00261FD3"/>
    <w:rsid w:val="00264077"/>
    <w:rsid w:val="00266B9A"/>
    <w:rsid w:val="00270E54"/>
    <w:rsid w:val="00273681"/>
    <w:rsid w:val="002754B5"/>
    <w:rsid w:val="002764C5"/>
    <w:rsid w:val="002772AE"/>
    <w:rsid w:val="00280613"/>
    <w:rsid w:val="0028274D"/>
    <w:rsid w:val="00282B96"/>
    <w:rsid w:val="002833D6"/>
    <w:rsid w:val="002834CE"/>
    <w:rsid w:val="00283F51"/>
    <w:rsid w:val="00284E9B"/>
    <w:rsid w:val="00286064"/>
    <w:rsid w:val="00286089"/>
    <w:rsid w:val="002867B1"/>
    <w:rsid w:val="00287BBB"/>
    <w:rsid w:val="00287E3B"/>
    <w:rsid w:val="00290638"/>
    <w:rsid w:val="00291763"/>
    <w:rsid w:val="00291D80"/>
    <w:rsid w:val="00293156"/>
    <w:rsid w:val="00293BE7"/>
    <w:rsid w:val="002946DC"/>
    <w:rsid w:val="00295156"/>
    <w:rsid w:val="002A0C82"/>
    <w:rsid w:val="002A0CD8"/>
    <w:rsid w:val="002A13EB"/>
    <w:rsid w:val="002A35EF"/>
    <w:rsid w:val="002A3DE0"/>
    <w:rsid w:val="002A40EA"/>
    <w:rsid w:val="002A46E8"/>
    <w:rsid w:val="002A491C"/>
    <w:rsid w:val="002B1FEF"/>
    <w:rsid w:val="002B2DF8"/>
    <w:rsid w:val="002B354F"/>
    <w:rsid w:val="002B3614"/>
    <w:rsid w:val="002B45D1"/>
    <w:rsid w:val="002B4ED8"/>
    <w:rsid w:val="002B4FAA"/>
    <w:rsid w:val="002B52C2"/>
    <w:rsid w:val="002B7656"/>
    <w:rsid w:val="002C1492"/>
    <w:rsid w:val="002C1E8B"/>
    <w:rsid w:val="002C2EFE"/>
    <w:rsid w:val="002C53AA"/>
    <w:rsid w:val="002C5B2D"/>
    <w:rsid w:val="002C6AF9"/>
    <w:rsid w:val="002C7DFC"/>
    <w:rsid w:val="002D14F3"/>
    <w:rsid w:val="002D16E4"/>
    <w:rsid w:val="002D2FEF"/>
    <w:rsid w:val="002D36C2"/>
    <w:rsid w:val="002D3D1A"/>
    <w:rsid w:val="002D3FCB"/>
    <w:rsid w:val="002D4FEF"/>
    <w:rsid w:val="002D502D"/>
    <w:rsid w:val="002D63F5"/>
    <w:rsid w:val="002D661B"/>
    <w:rsid w:val="002D6E1A"/>
    <w:rsid w:val="002E036D"/>
    <w:rsid w:val="002E1517"/>
    <w:rsid w:val="002E1B22"/>
    <w:rsid w:val="002E387F"/>
    <w:rsid w:val="002E7F4B"/>
    <w:rsid w:val="002F0C91"/>
    <w:rsid w:val="002F0E3E"/>
    <w:rsid w:val="002F1B19"/>
    <w:rsid w:val="002F1FBF"/>
    <w:rsid w:val="002F4139"/>
    <w:rsid w:val="00300624"/>
    <w:rsid w:val="00300F56"/>
    <w:rsid w:val="00301006"/>
    <w:rsid w:val="00304A71"/>
    <w:rsid w:val="003066C8"/>
    <w:rsid w:val="0030739D"/>
    <w:rsid w:val="00307AFB"/>
    <w:rsid w:val="00311184"/>
    <w:rsid w:val="00312675"/>
    <w:rsid w:val="00314013"/>
    <w:rsid w:val="00314945"/>
    <w:rsid w:val="00315389"/>
    <w:rsid w:val="00315746"/>
    <w:rsid w:val="00315E96"/>
    <w:rsid w:val="0031779D"/>
    <w:rsid w:val="00317FC8"/>
    <w:rsid w:val="003223D7"/>
    <w:rsid w:val="00323D9F"/>
    <w:rsid w:val="00324FDB"/>
    <w:rsid w:val="00325F48"/>
    <w:rsid w:val="0033004D"/>
    <w:rsid w:val="00330386"/>
    <w:rsid w:val="0033194F"/>
    <w:rsid w:val="00332406"/>
    <w:rsid w:val="00332D8D"/>
    <w:rsid w:val="00335027"/>
    <w:rsid w:val="00336B56"/>
    <w:rsid w:val="00341B25"/>
    <w:rsid w:val="00341EC0"/>
    <w:rsid w:val="0034240C"/>
    <w:rsid w:val="00344496"/>
    <w:rsid w:val="00345968"/>
    <w:rsid w:val="00347667"/>
    <w:rsid w:val="003507E2"/>
    <w:rsid w:val="0035164A"/>
    <w:rsid w:val="003522B2"/>
    <w:rsid w:val="0035455E"/>
    <w:rsid w:val="00354A6F"/>
    <w:rsid w:val="00354B48"/>
    <w:rsid w:val="00355789"/>
    <w:rsid w:val="003609B6"/>
    <w:rsid w:val="00361119"/>
    <w:rsid w:val="0036538D"/>
    <w:rsid w:val="00365D12"/>
    <w:rsid w:val="0037018D"/>
    <w:rsid w:val="00371C58"/>
    <w:rsid w:val="00372299"/>
    <w:rsid w:val="00372F02"/>
    <w:rsid w:val="00373729"/>
    <w:rsid w:val="00373C91"/>
    <w:rsid w:val="003748F0"/>
    <w:rsid w:val="00375AEF"/>
    <w:rsid w:val="00376367"/>
    <w:rsid w:val="00376B02"/>
    <w:rsid w:val="0037733A"/>
    <w:rsid w:val="003776DC"/>
    <w:rsid w:val="003779C1"/>
    <w:rsid w:val="00380FEC"/>
    <w:rsid w:val="00381226"/>
    <w:rsid w:val="00381FF6"/>
    <w:rsid w:val="00383D7D"/>
    <w:rsid w:val="00384CCE"/>
    <w:rsid w:val="003865E5"/>
    <w:rsid w:val="00390F5E"/>
    <w:rsid w:val="003926C1"/>
    <w:rsid w:val="00392900"/>
    <w:rsid w:val="00393357"/>
    <w:rsid w:val="00395E7B"/>
    <w:rsid w:val="00395F4C"/>
    <w:rsid w:val="003A6591"/>
    <w:rsid w:val="003A6E9A"/>
    <w:rsid w:val="003B08C8"/>
    <w:rsid w:val="003B2567"/>
    <w:rsid w:val="003B381A"/>
    <w:rsid w:val="003B4976"/>
    <w:rsid w:val="003B4B3F"/>
    <w:rsid w:val="003B4C4A"/>
    <w:rsid w:val="003B6258"/>
    <w:rsid w:val="003B7A99"/>
    <w:rsid w:val="003C00D9"/>
    <w:rsid w:val="003C0343"/>
    <w:rsid w:val="003C1C32"/>
    <w:rsid w:val="003C40DA"/>
    <w:rsid w:val="003C42BA"/>
    <w:rsid w:val="003C462F"/>
    <w:rsid w:val="003C4A02"/>
    <w:rsid w:val="003C4F05"/>
    <w:rsid w:val="003C6191"/>
    <w:rsid w:val="003C6E49"/>
    <w:rsid w:val="003D03F2"/>
    <w:rsid w:val="003D0CBF"/>
    <w:rsid w:val="003D0DD6"/>
    <w:rsid w:val="003D4B73"/>
    <w:rsid w:val="003D503B"/>
    <w:rsid w:val="003D605E"/>
    <w:rsid w:val="003D61D1"/>
    <w:rsid w:val="003D6780"/>
    <w:rsid w:val="003D6FCB"/>
    <w:rsid w:val="003E0F84"/>
    <w:rsid w:val="003E1FF3"/>
    <w:rsid w:val="003E3ACA"/>
    <w:rsid w:val="003E50EA"/>
    <w:rsid w:val="003E61D5"/>
    <w:rsid w:val="003E68C7"/>
    <w:rsid w:val="003E79B0"/>
    <w:rsid w:val="003F0403"/>
    <w:rsid w:val="003F1094"/>
    <w:rsid w:val="003F2E45"/>
    <w:rsid w:val="003F3EFE"/>
    <w:rsid w:val="003F40B8"/>
    <w:rsid w:val="003F5C06"/>
    <w:rsid w:val="00400195"/>
    <w:rsid w:val="0040254B"/>
    <w:rsid w:val="00403086"/>
    <w:rsid w:val="00403460"/>
    <w:rsid w:val="004040FF"/>
    <w:rsid w:val="00404284"/>
    <w:rsid w:val="004042C4"/>
    <w:rsid w:val="00406E90"/>
    <w:rsid w:val="00410240"/>
    <w:rsid w:val="00412253"/>
    <w:rsid w:val="004142ED"/>
    <w:rsid w:val="0041634D"/>
    <w:rsid w:val="00417EF7"/>
    <w:rsid w:val="00422A7D"/>
    <w:rsid w:val="00422BFC"/>
    <w:rsid w:val="00424642"/>
    <w:rsid w:val="00425ABB"/>
    <w:rsid w:val="00425BB6"/>
    <w:rsid w:val="004261A0"/>
    <w:rsid w:val="004265AA"/>
    <w:rsid w:val="00426BC3"/>
    <w:rsid w:val="00426CE1"/>
    <w:rsid w:val="00427D52"/>
    <w:rsid w:val="00430412"/>
    <w:rsid w:val="00430497"/>
    <w:rsid w:val="0043173B"/>
    <w:rsid w:val="00432A91"/>
    <w:rsid w:val="004332A4"/>
    <w:rsid w:val="0043453F"/>
    <w:rsid w:val="00434A74"/>
    <w:rsid w:val="00437929"/>
    <w:rsid w:val="00437A4A"/>
    <w:rsid w:val="00440541"/>
    <w:rsid w:val="0044162D"/>
    <w:rsid w:val="0044277A"/>
    <w:rsid w:val="004456DC"/>
    <w:rsid w:val="00447FBE"/>
    <w:rsid w:val="0045035E"/>
    <w:rsid w:val="0045175A"/>
    <w:rsid w:val="00451ED9"/>
    <w:rsid w:val="00452180"/>
    <w:rsid w:val="00453072"/>
    <w:rsid w:val="004539F8"/>
    <w:rsid w:val="00453F26"/>
    <w:rsid w:val="0045503F"/>
    <w:rsid w:val="00455273"/>
    <w:rsid w:val="00460905"/>
    <w:rsid w:val="00461E35"/>
    <w:rsid w:val="004621DB"/>
    <w:rsid w:val="004634A7"/>
    <w:rsid w:val="00463787"/>
    <w:rsid w:val="00466926"/>
    <w:rsid w:val="00466FDA"/>
    <w:rsid w:val="004671D0"/>
    <w:rsid w:val="004674D1"/>
    <w:rsid w:val="00470773"/>
    <w:rsid w:val="00471FF9"/>
    <w:rsid w:val="00473916"/>
    <w:rsid w:val="00473E74"/>
    <w:rsid w:val="00473FEF"/>
    <w:rsid w:val="00474B9A"/>
    <w:rsid w:val="00475B8E"/>
    <w:rsid w:val="00480345"/>
    <w:rsid w:val="0048104E"/>
    <w:rsid w:val="004814BB"/>
    <w:rsid w:val="004815DA"/>
    <w:rsid w:val="00481947"/>
    <w:rsid w:val="00482458"/>
    <w:rsid w:val="004837ED"/>
    <w:rsid w:val="00483942"/>
    <w:rsid w:val="004843CE"/>
    <w:rsid w:val="00485142"/>
    <w:rsid w:val="004852A7"/>
    <w:rsid w:val="00486C17"/>
    <w:rsid w:val="00486DE2"/>
    <w:rsid w:val="00487117"/>
    <w:rsid w:val="00487A32"/>
    <w:rsid w:val="00487A91"/>
    <w:rsid w:val="004901E5"/>
    <w:rsid w:val="0049027D"/>
    <w:rsid w:val="004903D4"/>
    <w:rsid w:val="0049052B"/>
    <w:rsid w:val="00492457"/>
    <w:rsid w:val="004924A8"/>
    <w:rsid w:val="004924BD"/>
    <w:rsid w:val="004934E9"/>
    <w:rsid w:val="00493996"/>
    <w:rsid w:val="00494737"/>
    <w:rsid w:val="00494D5C"/>
    <w:rsid w:val="00495A6A"/>
    <w:rsid w:val="004964F6"/>
    <w:rsid w:val="00496821"/>
    <w:rsid w:val="00497750"/>
    <w:rsid w:val="00497B44"/>
    <w:rsid w:val="004A00E5"/>
    <w:rsid w:val="004A01A7"/>
    <w:rsid w:val="004A0D09"/>
    <w:rsid w:val="004A116E"/>
    <w:rsid w:val="004A357F"/>
    <w:rsid w:val="004A3DAD"/>
    <w:rsid w:val="004B0335"/>
    <w:rsid w:val="004B03E2"/>
    <w:rsid w:val="004B0F1C"/>
    <w:rsid w:val="004B1E61"/>
    <w:rsid w:val="004B21AB"/>
    <w:rsid w:val="004B59E0"/>
    <w:rsid w:val="004B667B"/>
    <w:rsid w:val="004B71C7"/>
    <w:rsid w:val="004C03AA"/>
    <w:rsid w:val="004C0B9A"/>
    <w:rsid w:val="004C14E7"/>
    <w:rsid w:val="004C1D89"/>
    <w:rsid w:val="004C2A94"/>
    <w:rsid w:val="004C3DAB"/>
    <w:rsid w:val="004C5766"/>
    <w:rsid w:val="004C5F54"/>
    <w:rsid w:val="004C6E76"/>
    <w:rsid w:val="004C77DD"/>
    <w:rsid w:val="004C7826"/>
    <w:rsid w:val="004C7B33"/>
    <w:rsid w:val="004D1410"/>
    <w:rsid w:val="004D1478"/>
    <w:rsid w:val="004D19EE"/>
    <w:rsid w:val="004D1CF2"/>
    <w:rsid w:val="004D2D3A"/>
    <w:rsid w:val="004D3364"/>
    <w:rsid w:val="004D374D"/>
    <w:rsid w:val="004D42C8"/>
    <w:rsid w:val="004D4F57"/>
    <w:rsid w:val="004D50F6"/>
    <w:rsid w:val="004D5A0D"/>
    <w:rsid w:val="004D75C3"/>
    <w:rsid w:val="004D7910"/>
    <w:rsid w:val="004D7DEA"/>
    <w:rsid w:val="004E03D1"/>
    <w:rsid w:val="004E063C"/>
    <w:rsid w:val="004E0A28"/>
    <w:rsid w:val="004E1A0F"/>
    <w:rsid w:val="004E2E89"/>
    <w:rsid w:val="004E33C2"/>
    <w:rsid w:val="004E3B9A"/>
    <w:rsid w:val="004E62DE"/>
    <w:rsid w:val="004E6B05"/>
    <w:rsid w:val="004E76A1"/>
    <w:rsid w:val="004F05DE"/>
    <w:rsid w:val="004F6376"/>
    <w:rsid w:val="004F6A93"/>
    <w:rsid w:val="004F6F14"/>
    <w:rsid w:val="004F76D9"/>
    <w:rsid w:val="004F79A6"/>
    <w:rsid w:val="00501BF5"/>
    <w:rsid w:val="00501D8B"/>
    <w:rsid w:val="00503A3E"/>
    <w:rsid w:val="00503F59"/>
    <w:rsid w:val="005049A7"/>
    <w:rsid w:val="005053B2"/>
    <w:rsid w:val="00506331"/>
    <w:rsid w:val="00507D11"/>
    <w:rsid w:val="00510662"/>
    <w:rsid w:val="005109B7"/>
    <w:rsid w:val="00510A19"/>
    <w:rsid w:val="00511AAB"/>
    <w:rsid w:val="00514D10"/>
    <w:rsid w:val="00516783"/>
    <w:rsid w:val="00517EF8"/>
    <w:rsid w:val="00520083"/>
    <w:rsid w:val="0052029E"/>
    <w:rsid w:val="0052076A"/>
    <w:rsid w:val="00520A2C"/>
    <w:rsid w:val="00520E25"/>
    <w:rsid w:val="0052183D"/>
    <w:rsid w:val="00522F44"/>
    <w:rsid w:val="0052360A"/>
    <w:rsid w:val="005242BA"/>
    <w:rsid w:val="005243B8"/>
    <w:rsid w:val="005252DD"/>
    <w:rsid w:val="00530A8D"/>
    <w:rsid w:val="005315E1"/>
    <w:rsid w:val="00531C6D"/>
    <w:rsid w:val="005327E6"/>
    <w:rsid w:val="00532EF4"/>
    <w:rsid w:val="005347CE"/>
    <w:rsid w:val="00535477"/>
    <w:rsid w:val="00535DEA"/>
    <w:rsid w:val="00536027"/>
    <w:rsid w:val="0053723A"/>
    <w:rsid w:val="00537636"/>
    <w:rsid w:val="00537B1D"/>
    <w:rsid w:val="00540191"/>
    <w:rsid w:val="00540A2A"/>
    <w:rsid w:val="0054113A"/>
    <w:rsid w:val="00541F27"/>
    <w:rsid w:val="00542297"/>
    <w:rsid w:val="005424BC"/>
    <w:rsid w:val="00542A28"/>
    <w:rsid w:val="005441D4"/>
    <w:rsid w:val="0054457E"/>
    <w:rsid w:val="0054672D"/>
    <w:rsid w:val="00550F4E"/>
    <w:rsid w:val="005532B5"/>
    <w:rsid w:val="00554A05"/>
    <w:rsid w:val="00555849"/>
    <w:rsid w:val="005559A8"/>
    <w:rsid w:val="00557048"/>
    <w:rsid w:val="00557FB5"/>
    <w:rsid w:val="00561AED"/>
    <w:rsid w:val="005648A8"/>
    <w:rsid w:val="00564DE3"/>
    <w:rsid w:val="00564E44"/>
    <w:rsid w:val="00566CE5"/>
    <w:rsid w:val="00566D36"/>
    <w:rsid w:val="00573569"/>
    <w:rsid w:val="0057389E"/>
    <w:rsid w:val="005765C0"/>
    <w:rsid w:val="005778DE"/>
    <w:rsid w:val="00580B3F"/>
    <w:rsid w:val="005825F2"/>
    <w:rsid w:val="005860AF"/>
    <w:rsid w:val="00587F1D"/>
    <w:rsid w:val="00590348"/>
    <w:rsid w:val="00591161"/>
    <w:rsid w:val="00592318"/>
    <w:rsid w:val="00593133"/>
    <w:rsid w:val="0059575D"/>
    <w:rsid w:val="00596825"/>
    <w:rsid w:val="005A150A"/>
    <w:rsid w:val="005A2B3E"/>
    <w:rsid w:val="005A3644"/>
    <w:rsid w:val="005A4087"/>
    <w:rsid w:val="005A4B18"/>
    <w:rsid w:val="005A537E"/>
    <w:rsid w:val="005A63BB"/>
    <w:rsid w:val="005A6F43"/>
    <w:rsid w:val="005A767D"/>
    <w:rsid w:val="005A7EF5"/>
    <w:rsid w:val="005B00F1"/>
    <w:rsid w:val="005B0CE7"/>
    <w:rsid w:val="005B10E2"/>
    <w:rsid w:val="005B1803"/>
    <w:rsid w:val="005B4079"/>
    <w:rsid w:val="005B428E"/>
    <w:rsid w:val="005B5B3C"/>
    <w:rsid w:val="005B64CB"/>
    <w:rsid w:val="005B65C0"/>
    <w:rsid w:val="005B6AAA"/>
    <w:rsid w:val="005B7554"/>
    <w:rsid w:val="005B7C78"/>
    <w:rsid w:val="005C0FB2"/>
    <w:rsid w:val="005C1169"/>
    <w:rsid w:val="005C16E2"/>
    <w:rsid w:val="005C24EF"/>
    <w:rsid w:val="005C2796"/>
    <w:rsid w:val="005C3C6C"/>
    <w:rsid w:val="005C3F4C"/>
    <w:rsid w:val="005C43AA"/>
    <w:rsid w:val="005C493F"/>
    <w:rsid w:val="005C663C"/>
    <w:rsid w:val="005D1023"/>
    <w:rsid w:val="005D148F"/>
    <w:rsid w:val="005D2AD2"/>
    <w:rsid w:val="005D4A86"/>
    <w:rsid w:val="005D5EB1"/>
    <w:rsid w:val="005D6A29"/>
    <w:rsid w:val="005E0481"/>
    <w:rsid w:val="005E06CC"/>
    <w:rsid w:val="005E10BF"/>
    <w:rsid w:val="005E1834"/>
    <w:rsid w:val="005E49E5"/>
    <w:rsid w:val="005E5481"/>
    <w:rsid w:val="005E55E4"/>
    <w:rsid w:val="005E6C5F"/>
    <w:rsid w:val="005E7636"/>
    <w:rsid w:val="005F028E"/>
    <w:rsid w:val="005F04B4"/>
    <w:rsid w:val="005F11A4"/>
    <w:rsid w:val="005F19F8"/>
    <w:rsid w:val="005F3FB1"/>
    <w:rsid w:val="005F5ACF"/>
    <w:rsid w:val="005F60DC"/>
    <w:rsid w:val="006000DD"/>
    <w:rsid w:val="00600F63"/>
    <w:rsid w:val="006012E1"/>
    <w:rsid w:val="00602253"/>
    <w:rsid w:val="006023E1"/>
    <w:rsid w:val="00605531"/>
    <w:rsid w:val="0060674A"/>
    <w:rsid w:val="00607832"/>
    <w:rsid w:val="0060784B"/>
    <w:rsid w:val="00610254"/>
    <w:rsid w:val="006105FB"/>
    <w:rsid w:val="00610F94"/>
    <w:rsid w:val="00611293"/>
    <w:rsid w:val="0061135E"/>
    <w:rsid w:val="0061263A"/>
    <w:rsid w:val="00612C41"/>
    <w:rsid w:val="006145DE"/>
    <w:rsid w:val="0061478E"/>
    <w:rsid w:val="00614F25"/>
    <w:rsid w:val="00616A11"/>
    <w:rsid w:val="00617520"/>
    <w:rsid w:val="00620D7C"/>
    <w:rsid w:val="00621089"/>
    <w:rsid w:val="00621E1F"/>
    <w:rsid w:val="006228B2"/>
    <w:rsid w:val="006228E1"/>
    <w:rsid w:val="00622E32"/>
    <w:rsid w:val="00623688"/>
    <w:rsid w:val="006247E0"/>
    <w:rsid w:val="00625F82"/>
    <w:rsid w:val="00627999"/>
    <w:rsid w:val="00630FF7"/>
    <w:rsid w:val="00633433"/>
    <w:rsid w:val="006341B5"/>
    <w:rsid w:val="00634727"/>
    <w:rsid w:val="00634B64"/>
    <w:rsid w:val="0063578C"/>
    <w:rsid w:val="0063642C"/>
    <w:rsid w:val="0063681E"/>
    <w:rsid w:val="00636FF9"/>
    <w:rsid w:val="00640DCD"/>
    <w:rsid w:val="00641DC3"/>
    <w:rsid w:val="00642972"/>
    <w:rsid w:val="00644F4D"/>
    <w:rsid w:val="006469B1"/>
    <w:rsid w:val="00646C0D"/>
    <w:rsid w:val="006476F7"/>
    <w:rsid w:val="0064779E"/>
    <w:rsid w:val="006501FA"/>
    <w:rsid w:val="006509B0"/>
    <w:rsid w:val="006521F3"/>
    <w:rsid w:val="006524D5"/>
    <w:rsid w:val="00652BBD"/>
    <w:rsid w:val="00652DF2"/>
    <w:rsid w:val="00653633"/>
    <w:rsid w:val="00653F69"/>
    <w:rsid w:val="00654936"/>
    <w:rsid w:val="00655485"/>
    <w:rsid w:val="006558B3"/>
    <w:rsid w:val="00660BF0"/>
    <w:rsid w:val="0066189C"/>
    <w:rsid w:val="006630CF"/>
    <w:rsid w:val="00663EFF"/>
    <w:rsid w:val="006654EE"/>
    <w:rsid w:val="00665B12"/>
    <w:rsid w:val="00666F74"/>
    <w:rsid w:val="00667FEA"/>
    <w:rsid w:val="006710D2"/>
    <w:rsid w:val="00671A8B"/>
    <w:rsid w:val="00671F53"/>
    <w:rsid w:val="0067253C"/>
    <w:rsid w:val="006725A0"/>
    <w:rsid w:val="00673CF6"/>
    <w:rsid w:val="0067555E"/>
    <w:rsid w:val="00677FAD"/>
    <w:rsid w:val="006802DE"/>
    <w:rsid w:val="0068032D"/>
    <w:rsid w:val="0068068C"/>
    <w:rsid w:val="00681115"/>
    <w:rsid w:val="00683920"/>
    <w:rsid w:val="00685147"/>
    <w:rsid w:val="00685653"/>
    <w:rsid w:val="0068590D"/>
    <w:rsid w:val="00685A89"/>
    <w:rsid w:val="006861B3"/>
    <w:rsid w:val="00686FA2"/>
    <w:rsid w:val="006870C5"/>
    <w:rsid w:val="00690F0E"/>
    <w:rsid w:val="006911C0"/>
    <w:rsid w:val="00691B7C"/>
    <w:rsid w:val="00694B73"/>
    <w:rsid w:val="00694DF2"/>
    <w:rsid w:val="00695F80"/>
    <w:rsid w:val="006966CD"/>
    <w:rsid w:val="00696735"/>
    <w:rsid w:val="0069780E"/>
    <w:rsid w:val="006A2CA2"/>
    <w:rsid w:val="006A2ED1"/>
    <w:rsid w:val="006B2D40"/>
    <w:rsid w:val="006B34DF"/>
    <w:rsid w:val="006B39B2"/>
    <w:rsid w:val="006B3AF9"/>
    <w:rsid w:val="006B45A0"/>
    <w:rsid w:val="006B5668"/>
    <w:rsid w:val="006B5F71"/>
    <w:rsid w:val="006B6E44"/>
    <w:rsid w:val="006B7059"/>
    <w:rsid w:val="006B7287"/>
    <w:rsid w:val="006B7F2E"/>
    <w:rsid w:val="006C0BF8"/>
    <w:rsid w:val="006C2253"/>
    <w:rsid w:val="006C2CCB"/>
    <w:rsid w:val="006C4334"/>
    <w:rsid w:val="006C4B0F"/>
    <w:rsid w:val="006C5E96"/>
    <w:rsid w:val="006D399F"/>
    <w:rsid w:val="006D4F0C"/>
    <w:rsid w:val="006D5645"/>
    <w:rsid w:val="006E0C8A"/>
    <w:rsid w:val="006E26E7"/>
    <w:rsid w:val="006E2A23"/>
    <w:rsid w:val="006E35E5"/>
    <w:rsid w:val="006E3C72"/>
    <w:rsid w:val="006E4F20"/>
    <w:rsid w:val="006E649A"/>
    <w:rsid w:val="006E7E66"/>
    <w:rsid w:val="006F3948"/>
    <w:rsid w:val="006F4403"/>
    <w:rsid w:val="006F45EC"/>
    <w:rsid w:val="006F47B8"/>
    <w:rsid w:val="006F47D2"/>
    <w:rsid w:val="006F4B04"/>
    <w:rsid w:val="006F5456"/>
    <w:rsid w:val="006F57F2"/>
    <w:rsid w:val="006F6468"/>
    <w:rsid w:val="00700247"/>
    <w:rsid w:val="00701051"/>
    <w:rsid w:val="007021C2"/>
    <w:rsid w:val="00702502"/>
    <w:rsid w:val="007033A8"/>
    <w:rsid w:val="0070421B"/>
    <w:rsid w:val="007043F0"/>
    <w:rsid w:val="0070482E"/>
    <w:rsid w:val="00704D25"/>
    <w:rsid w:val="00710519"/>
    <w:rsid w:val="00710F6E"/>
    <w:rsid w:val="00711663"/>
    <w:rsid w:val="007116B4"/>
    <w:rsid w:val="0071179F"/>
    <w:rsid w:val="00712580"/>
    <w:rsid w:val="007133E4"/>
    <w:rsid w:val="00713788"/>
    <w:rsid w:val="00713940"/>
    <w:rsid w:val="007151A2"/>
    <w:rsid w:val="00716774"/>
    <w:rsid w:val="007209DD"/>
    <w:rsid w:val="00722E49"/>
    <w:rsid w:val="00723A08"/>
    <w:rsid w:val="00724391"/>
    <w:rsid w:val="00724C18"/>
    <w:rsid w:val="00726630"/>
    <w:rsid w:val="00726F99"/>
    <w:rsid w:val="00727F73"/>
    <w:rsid w:val="00730705"/>
    <w:rsid w:val="00730944"/>
    <w:rsid w:val="0073248E"/>
    <w:rsid w:val="00732809"/>
    <w:rsid w:val="00733EE9"/>
    <w:rsid w:val="00735B8E"/>
    <w:rsid w:val="0073673C"/>
    <w:rsid w:val="00736935"/>
    <w:rsid w:val="00743DE7"/>
    <w:rsid w:val="0074509E"/>
    <w:rsid w:val="00745B9F"/>
    <w:rsid w:val="0074726F"/>
    <w:rsid w:val="00752D4F"/>
    <w:rsid w:val="0075409F"/>
    <w:rsid w:val="0075525A"/>
    <w:rsid w:val="00755609"/>
    <w:rsid w:val="00755986"/>
    <w:rsid w:val="00755C86"/>
    <w:rsid w:val="00755E19"/>
    <w:rsid w:val="00756BFF"/>
    <w:rsid w:val="00756D77"/>
    <w:rsid w:val="00760041"/>
    <w:rsid w:val="007605C7"/>
    <w:rsid w:val="00760B08"/>
    <w:rsid w:val="00760EDA"/>
    <w:rsid w:val="00761F4E"/>
    <w:rsid w:val="00762150"/>
    <w:rsid w:val="00762621"/>
    <w:rsid w:val="00763F36"/>
    <w:rsid w:val="007648A0"/>
    <w:rsid w:val="00766F4D"/>
    <w:rsid w:val="00770268"/>
    <w:rsid w:val="007706B9"/>
    <w:rsid w:val="007707ED"/>
    <w:rsid w:val="00771C3B"/>
    <w:rsid w:val="007726F9"/>
    <w:rsid w:val="00773B94"/>
    <w:rsid w:val="00773C65"/>
    <w:rsid w:val="00775937"/>
    <w:rsid w:val="00775F04"/>
    <w:rsid w:val="00777046"/>
    <w:rsid w:val="007770DA"/>
    <w:rsid w:val="007805B9"/>
    <w:rsid w:val="00780C3A"/>
    <w:rsid w:val="007816A2"/>
    <w:rsid w:val="007834A1"/>
    <w:rsid w:val="0078555A"/>
    <w:rsid w:val="00791EB4"/>
    <w:rsid w:val="007928F1"/>
    <w:rsid w:val="0079357D"/>
    <w:rsid w:val="007937CC"/>
    <w:rsid w:val="00793A31"/>
    <w:rsid w:val="00794979"/>
    <w:rsid w:val="00795254"/>
    <w:rsid w:val="007956B7"/>
    <w:rsid w:val="00795F1A"/>
    <w:rsid w:val="00796EDE"/>
    <w:rsid w:val="00797297"/>
    <w:rsid w:val="007974B3"/>
    <w:rsid w:val="00797875"/>
    <w:rsid w:val="007A076C"/>
    <w:rsid w:val="007A2140"/>
    <w:rsid w:val="007A23E2"/>
    <w:rsid w:val="007A31A5"/>
    <w:rsid w:val="007A3DCC"/>
    <w:rsid w:val="007A411B"/>
    <w:rsid w:val="007A45E6"/>
    <w:rsid w:val="007A4B28"/>
    <w:rsid w:val="007A5C2C"/>
    <w:rsid w:val="007A7678"/>
    <w:rsid w:val="007B0CD8"/>
    <w:rsid w:val="007B0DE0"/>
    <w:rsid w:val="007B21DE"/>
    <w:rsid w:val="007B2BB9"/>
    <w:rsid w:val="007B43E8"/>
    <w:rsid w:val="007B4740"/>
    <w:rsid w:val="007B502C"/>
    <w:rsid w:val="007B5F3B"/>
    <w:rsid w:val="007C02B0"/>
    <w:rsid w:val="007C063E"/>
    <w:rsid w:val="007C1901"/>
    <w:rsid w:val="007C3BCC"/>
    <w:rsid w:val="007C49C0"/>
    <w:rsid w:val="007C55C1"/>
    <w:rsid w:val="007C5738"/>
    <w:rsid w:val="007C5772"/>
    <w:rsid w:val="007C5AC3"/>
    <w:rsid w:val="007C7233"/>
    <w:rsid w:val="007D10EE"/>
    <w:rsid w:val="007D1193"/>
    <w:rsid w:val="007D21D5"/>
    <w:rsid w:val="007D3E8D"/>
    <w:rsid w:val="007D5915"/>
    <w:rsid w:val="007D5B4F"/>
    <w:rsid w:val="007D5C30"/>
    <w:rsid w:val="007E0660"/>
    <w:rsid w:val="007E135E"/>
    <w:rsid w:val="007E1411"/>
    <w:rsid w:val="007E1882"/>
    <w:rsid w:val="007E1BB4"/>
    <w:rsid w:val="007E3514"/>
    <w:rsid w:val="007E4AAA"/>
    <w:rsid w:val="007E4BD2"/>
    <w:rsid w:val="007E4C29"/>
    <w:rsid w:val="007E5E44"/>
    <w:rsid w:val="007F0268"/>
    <w:rsid w:val="007F0DDA"/>
    <w:rsid w:val="007F1939"/>
    <w:rsid w:val="007F365C"/>
    <w:rsid w:val="007F4106"/>
    <w:rsid w:val="007F5066"/>
    <w:rsid w:val="007F575C"/>
    <w:rsid w:val="007F621C"/>
    <w:rsid w:val="007F7155"/>
    <w:rsid w:val="00800C28"/>
    <w:rsid w:val="0080245E"/>
    <w:rsid w:val="00803480"/>
    <w:rsid w:val="0080359C"/>
    <w:rsid w:val="008037AE"/>
    <w:rsid w:val="008043F4"/>
    <w:rsid w:val="00804BB4"/>
    <w:rsid w:val="00805D9F"/>
    <w:rsid w:val="00805DF1"/>
    <w:rsid w:val="00807A4D"/>
    <w:rsid w:val="00807F30"/>
    <w:rsid w:val="008103DC"/>
    <w:rsid w:val="0081119F"/>
    <w:rsid w:val="0081134D"/>
    <w:rsid w:val="00811EDA"/>
    <w:rsid w:val="00812403"/>
    <w:rsid w:val="00812FD7"/>
    <w:rsid w:val="00820623"/>
    <w:rsid w:val="00821747"/>
    <w:rsid w:val="008229A3"/>
    <w:rsid w:val="00822DFB"/>
    <w:rsid w:val="00822F64"/>
    <w:rsid w:val="008253A6"/>
    <w:rsid w:val="00825A6B"/>
    <w:rsid w:val="00825C50"/>
    <w:rsid w:val="00826577"/>
    <w:rsid w:val="00827439"/>
    <w:rsid w:val="00827C79"/>
    <w:rsid w:val="0083003F"/>
    <w:rsid w:val="00831077"/>
    <w:rsid w:val="00831A4A"/>
    <w:rsid w:val="00832134"/>
    <w:rsid w:val="0083219E"/>
    <w:rsid w:val="0083497C"/>
    <w:rsid w:val="008352A6"/>
    <w:rsid w:val="00835B5B"/>
    <w:rsid w:val="008367AE"/>
    <w:rsid w:val="00836E50"/>
    <w:rsid w:val="00840477"/>
    <w:rsid w:val="0084121D"/>
    <w:rsid w:val="008419C1"/>
    <w:rsid w:val="00844515"/>
    <w:rsid w:val="00844DFF"/>
    <w:rsid w:val="00845D87"/>
    <w:rsid w:val="00846C3A"/>
    <w:rsid w:val="0084721D"/>
    <w:rsid w:val="008477BF"/>
    <w:rsid w:val="008503DA"/>
    <w:rsid w:val="00850B68"/>
    <w:rsid w:val="00850E82"/>
    <w:rsid w:val="0085122D"/>
    <w:rsid w:val="00851A83"/>
    <w:rsid w:val="008525FF"/>
    <w:rsid w:val="00852C03"/>
    <w:rsid w:val="0085590C"/>
    <w:rsid w:val="008575EB"/>
    <w:rsid w:val="00862DDD"/>
    <w:rsid w:val="0086326D"/>
    <w:rsid w:val="00863CC1"/>
    <w:rsid w:val="00865B01"/>
    <w:rsid w:val="008664B5"/>
    <w:rsid w:val="00866D7A"/>
    <w:rsid w:val="00866EE3"/>
    <w:rsid w:val="00871F04"/>
    <w:rsid w:val="008746C1"/>
    <w:rsid w:val="00876DE4"/>
    <w:rsid w:val="00880224"/>
    <w:rsid w:val="0088244C"/>
    <w:rsid w:val="00883367"/>
    <w:rsid w:val="00884C47"/>
    <w:rsid w:val="00885E6F"/>
    <w:rsid w:val="008861AC"/>
    <w:rsid w:val="008868E4"/>
    <w:rsid w:val="00886A60"/>
    <w:rsid w:val="00886EEB"/>
    <w:rsid w:val="0088759B"/>
    <w:rsid w:val="008909B4"/>
    <w:rsid w:val="00891EDE"/>
    <w:rsid w:val="008922E8"/>
    <w:rsid w:val="00893916"/>
    <w:rsid w:val="0089442C"/>
    <w:rsid w:val="00895818"/>
    <w:rsid w:val="008A2585"/>
    <w:rsid w:val="008A2718"/>
    <w:rsid w:val="008A4CF6"/>
    <w:rsid w:val="008A4E42"/>
    <w:rsid w:val="008A51AA"/>
    <w:rsid w:val="008A6A12"/>
    <w:rsid w:val="008B0DC6"/>
    <w:rsid w:val="008B2B9E"/>
    <w:rsid w:val="008B31F5"/>
    <w:rsid w:val="008B4C79"/>
    <w:rsid w:val="008B5D2D"/>
    <w:rsid w:val="008B6361"/>
    <w:rsid w:val="008C0320"/>
    <w:rsid w:val="008C2A81"/>
    <w:rsid w:val="008C3863"/>
    <w:rsid w:val="008C4BDC"/>
    <w:rsid w:val="008C50FF"/>
    <w:rsid w:val="008C5435"/>
    <w:rsid w:val="008C6BD1"/>
    <w:rsid w:val="008D2DB5"/>
    <w:rsid w:val="008D3F10"/>
    <w:rsid w:val="008D5B46"/>
    <w:rsid w:val="008D5EE2"/>
    <w:rsid w:val="008D611D"/>
    <w:rsid w:val="008E1B6A"/>
    <w:rsid w:val="008E3054"/>
    <w:rsid w:val="008E32FF"/>
    <w:rsid w:val="008E5625"/>
    <w:rsid w:val="008E5C5B"/>
    <w:rsid w:val="008E6A37"/>
    <w:rsid w:val="008F0354"/>
    <w:rsid w:val="008F085A"/>
    <w:rsid w:val="008F1462"/>
    <w:rsid w:val="008F2413"/>
    <w:rsid w:val="008F248D"/>
    <w:rsid w:val="008F4B2C"/>
    <w:rsid w:val="008F4C08"/>
    <w:rsid w:val="008F6851"/>
    <w:rsid w:val="008F68F3"/>
    <w:rsid w:val="008F7BC4"/>
    <w:rsid w:val="00900E7A"/>
    <w:rsid w:val="00903E11"/>
    <w:rsid w:val="00903EBE"/>
    <w:rsid w:val="009041DE"/>
    <w:rsid w:val="00905D59"/>
    <w:rsid w:val="009062CA"/>
    <w:rsid w:val="00907631"/>
    <w:rsid w:val="00907776"/>
    <w:rsid w:val="00913401"/>
    <w:rsid w:val="00913567"/>
    <w:rsid w:val="009137B6"/>
    <w:rsid w:val="00915EBA"/>
    <w:rsid w:val="00916435"/>
    <w:rsid w:val="00917093"/>
    <w:rsid w:val="0092030E"/>
    <w:rsid w:val="009217B1"/>
    <w:rsid w:val="00921A42"/>
    <w:rsid w:val="009223BB"/>
    <w:rsid w:val="00922491"/>
    <w:rsid w:val="00923BCF"/>
    <w:rsid w:val="00925AEC"/>
    <w:rsid w:val="0092751A"/>
    <w:rsid w:val="009305C4"/>
    <w:rsid w:val="00931FAF"/>
    <w:rsid w:val="0093276D"/>
    <w:rsid w:val="009360F6"/>
    <w:rsid w:val="009371DC"/>
    <w:rsid w:val="0093759D"/>
    <w:rsid w:val="00940239"/>
    <w:rsid w:val="00942BD6"/>
    <w:rsid w:val="00942DED"/>
    <w:rsid w:val="00944404"/>
    <w:rsid w:val="009452D7"/>
    <w:rsid w:val="00945FD1"/>
    <w:rsid w:val="00946CCC"/>
    <w:rsid w:val="009503E5"/>
    <w:rsid w:val="00950F71"/>
    <w:rsid w:val="00952F2C"/>
    <w:rsid w:val="009532E3"/>
    <w:rsid w:val="00953615"/>
    <w:rsid w:val="00954BAF"/>
    <w:rsid w:val="009560B3"/>
    <w:rsid w:val="0095745E"/>
    <w:rsid w:val="00957CE0"/>
    <w:rsid w:val="0096002E"/>
    <w:rsid w:val="0096039E"/>
    <w:rsid w:val="00962CEF"/>
    <w:rsid w:val="00963766"/>
    <w:rsid w:val="00963FDF"/>
    <w:rsid w:val="0096528F"/>
    <w:rsid w:val="009653F2"/>
    <w:rsid w:val="00965B03"/>
    <w:rsid w:val="009661DF"/>
    <w:rsid w:val="009667BD"/>
    <w:rsid w:val="00967CE2"/>
    <w:rsid w:val="00971DA3"/>
    <w:rsid w:val="00972161"/>
    <w:rsid w:val="0097261B"/>
    <w:rsid w:val="00974881"/>
    <w:rsid w:val="0097606C"/>
    <w:rsid w:val="009771D1"/>
    <w:rsid w:val="0098012D"/>
    <w:rsid w:val="00980845"/>
    <w:rsid w:val="00981BD9"/>
    <w:rsid w:val="0098225F"/>
    <w:rsid w:val="00983A3C"/>
    <w:rsid w:val="00983EFA"/>
    <w:rsid w:val="00984C15"/>
    <w:rsid w:val="00987829"/>
    <w:rsid w:val="00987E55"/>
    <w:rsid w:val="00991276"/>
    <w:rsid w:val="009923E7"/>
    <w:rsid w:val="00992697"/>
    <w:rsid w:val="00993E39"/>
    <w:rsid w:val="00994621"/>
    <w:rsid w:val="009947FF"/>
    <w:rsid w:val="0099544B"/>
    <w:rsid w:val="009A07A6"/>
    <w:rsid w:val="009A0D56"/>
    <w:rsid w:val="009A31B9"/>
    <w:rsid w:val="009A4D4F"/>
    <w:rsid w:val="009A53D8"/>
    <w:rsid w:val="009A597F"/>
    <w:rsid w:val="009A7B72"/>
    <w:rsid w:val="009A7F49"/>
    <w:rsid w:val="009B03C4"/>
    <w:rsid w:val="009B0AA2"/>
    <w:rsid w:val="009B1D02"/>
    <w:rsid w:val="009B7133"/>
    <w:rsid w:val="009B7658"/>
    <w:rsid w:val="009B7CD1"/>
    <w:rsid w:val="009B7E22"/>
    <w:rsid w:val="009B7E78"/>
    <w:rsid w:val="009C10FE"/>
    <w:rsid w:val="009C13BC"/>
    <w:rsid w:val="009C1CA4"/>
    <w:rsid w:val="009C252C"/>
    <w:rsid w:val="009C2532"/>
    <w:rsid w:val="009C2BA4"/>
    <w:rsid w:val="009C6091"/>
    <w:rsid w:val="009C634F"/>
    <w:rsid w:val="009D0219"/>
    <w:rsid w:val="009D0D55"/>
    <w:rsid w:val="009D1DBE"/>
    <w:rsid w:val="009D2295"/>
    <w:rsid w:val="009D2511"/>
    <w:rsid w:val="009D3E7C"/>
    <w:rsid w:val="009D55CA"/>
    <w:rsid w:val="009D58AD"/>
    <w:rsid w:val="009D5EF0"/>
    <w:rsid w:val="009D6401"/>
    <w:rsid w:val="009E0711"/>
    <w:rsid w:val="009E1917"/>
    <w:rsid w:val="009E3594"/>
    <w:rsid w:val="009E6B77"/>
    <w:rsid w:val="009E7724"/>
    <w:rsid w:val="009E7D1F"/>
    <w:rsid w:val="009F1D82"/>
    <w:rsid w:val="009F37AA"/>
    <w:rsid w:val="009F544C"/>
    <w:rsid w:val="009F5731"/>
    <w:rsid w:val="009F6321"/>
    <w:rsid w:val="009F6378"/>
    <w:rsid w:val="009F7669"/>
    <w:rsid w:val="009F7F45"/>
    <w:rsid w:val="009F7FD5"/>
    <w:rsid w:val="00A005D4"/>
    <w:rsid w:val="00A0083C"/>
    <w:rsid w:val="00A01A90"/>
    <w:rsid w:val="00A02370"/>
    <w:rsid w:val="00A04685"/>
    <w:rsid w:val="00A04C57"/>
    <w:rsid w:val="00A06340"/>
    <w:rsid w:val="00A0684F"/>
    <w:rsid w:val="00A06867"/>
    <w:rsid w:val="00A10148"/>
    <w:rsid w:val="00A113FD"/>
    <w:rsid w:val="00A11DDE"/>
    <w:rsid w:val="00A127A7"/>
    <w:rsid w:val="00A129F4"/>
    <w:rsid w:val="00A136F4"/>
    <w:rsid w:val="00A160D3"/>
    <w:rsid w:val="00A16DC9"/>
    <w:rsid w:val="00A20225"/>
    <w:rsid w:val="00A24269"/>
    <w:rsid w:val="00A243E4"/>
    <w:rsid w:val="00A25D84"/>
    <w:rsid w:val="00A25ED4"/>
    <w:rsid w:val="00A26C5C"/>
    <w:rsid w:val="00A30BDE"/>
    <w:rsid w:val="00A3131C"/>
    <w:rsid w:val="00A31F14"/>
    <w:rsid w:val="00A324DC"/>
    <w:rsid w:val="00A32B5A"/>
    <w:rsid w:val="00A33CCC"/>
    <w:rsid w:val="00A33ECB"/>
    <w:rsid w:val="00A34633"/>
    <w:rsid w:val="00A34DE0"/>
    <w:rsid w:val="00A35728"/>
    <w:rsid w:val="00A36EE3"/>
    <w:rsid w:val="00A37435"/>
    <w:rsid w:val="00A4173D"/>
    <w:rsid w:val="00A41A95"/>
    <w:rsid w:val="00A4248B"/>
    <w:rsid w:val="00A4376E"/>
    <w:rsid w:val="00A4572B"/>
    <w:rsid w:val="00A46246"/>
    <w:rsid w:val="00A46349"/>
    <w:rsid w:val="00A46D5E"/>
    <w:rsid w:val="00A50847"/>
    <w:rsid w:val="00A512C7"/>
    <w:rsid w:val="00A51D8D"/>
    <w:rsid w:val="00A54BFF"/>
    <w:rsid w:val="00A54C63"/>
    <w:rsid w:val="00A54FBB"/>
    <w:rsid w:val="00A55BB1"/>
    <w:rsid w:val="00A55FD6"/>
    <w:rsid w:val="00A5619C"/>
    <w:rsid w:val="00A564CD"/>
    <w:rsid w:val="00A564CE"/>
    <w:rsid w:val="00A5675F"/>
    <w:rsid w:val="00A60D6F"/>
    <w:rsid w:val="00A61009"/>
    <w:rsid w:val="00A61762"/>
    <w:rsid w:val="00A61938"/>
    <w:rsid w:val="00A61CFD"/>
    <w:rsid w:val="00A628B2"/>
    <w:rsid w:val="00A62B86"/>
    <w:rsid w:val="00A63C96"/>
    <w:rsid w:val="00A65805"/>
    <w:rsid w:val="00A66BEE"/>
    <w:rsid w:val="00A671C9"/>
    <w:rsid w:val="00A67DFD"/>
    <w:rsid w:val="00A74F9F"/>
    <w:rsid w:val="00A750B3"/>
    <w:rsid w:val="00A75559"/>
    <w:rsid w:val="00A7623D"/>
    <w:rsid w:val="00A824A7"/>
    <w:rsid w:val="00A8288C"/>
    <w:rsid w:val="00A83644"/>
    <w:rsid w:val="00A83C07"/>
    <w:rsid w:val="00A83F40"/>
    <w:rsid w:val="00A84945"/>
    <w:rsid w:val="00A85543"/>
    <w:rsid w:val="00A91682"/>
    <w:rsid w:val="00A92E4A"/>
    <w:rsid w:val="00A958CA"/>
    <w:rsid w:val="00A966B6"/>
    <w:rsid w:val="00A96B46"/>
    <w:rsid w:val="00AA003B"/>
    <w:rsid w:val="00AA016B"/>
    <w:rsid w:val="00AA15DD"/>
    <w:rsid w:val="00AA1C09"/>
    <w:rsid w:val="00AA2F67"/>
    <w:rsid w:val="00AA3569"/>
    <w:rsid w:val="00AA5F4C"/>
    <w:rsid w:val="00AA615C"/>
    <w:rsid w:val="00AA6711"/>
    <w:rsid w:val="00AB2AEC"/>
    <w:rsid w:val="00AB2DC1"/>
    <w:rsid w:val="00AB3102"/>
    <w:rsid w:val="00AB3D9A"/>
    <w:rsid w:val="00AB4B1D"/>
    <w:rsid w:val="00AB6B5E"/>
    <w:rsid w:val="00AC047F"/>
    <w:rsid w:val="00AC3934"/>
    <w:rsid w:val="00AC50C8"/>
    <w:rsid w:val="00AC5581"/>
    <w:rsid w:val="00AC56AD"/>
    <w:rsid w:val="00AC61BE"/>
    <w:rsid w:val="00AD0CB4"/>
    <w:rsid w:val="00AD1FF2"/>
    <w:rsid w:val="00AD2A21"/>
    <w:rsid w:val="00AD3B43"/>
    <w:rsid w:val="00AD47EE"/>
    <w:rsid w:val="00AD4FF2"/>
    <w:rsid w:val="00AD506C"/>
    <w:rsid w:val="00AD6BE5"/>
    <w:rsid w:val="00AD75F0"/>
    <w:rsid w:val="00AD783E"/>
    <w:rsid w:val="00AE1393"/>
    <w:rsid w:val="00AE16CA"/>
    <w:rsid w:val="00AE3BC6"/>
    <w:rsid w:val="00AE4D4F"/>
    <w:rsid w:val="00AE627C"/>
    <w:rsid w:val="00AE62B0"/>
    <w:rsid w:val="00AE68A2"/>
    <w:rsid w:val="00AF0029"/>
    <w:rsid w:val="00AF0354"/>
    <w:rsid w:val="00AF1236"/>
    <w:rsid w:val="00AF3C29"/>
    <w:rsid w:val="00AF4401"/>
    <w:rsid w:val="00AF4463"/>
    <w:rsid w:val="00AF53CB"/>
    <w:rsid w:val="00AF65C5"/>
    <w:rsid w:val="00B03CE2"/>
    <w:rsid w:val="00B06544"/>
    <w:rsid w:val="00B105F2"/>
    <w:rsid w:val="00B10991"/>
    <w:rsid w:val="00B12128"/>
    <w:rsid w:val="00B12945"/>
    <w:rsid w:val="00B12C1E"/>
    <w:rsid w:val="00B155DF"/>
    <w:rsid w:val="00B1570E"/>
    <w:rsid w:val="00B176B9"/>
    <w:rsid w:val="00B17AD5"/>
    <w:rsid w:val="00B17DC8"/>
    <w:rsid w:val="00B17E1E"/>
    <w:rsid w:val="00B207F1"/>
    <w:rsid w:val="00B20A42"/>
    <w:rsid w:val="00B20BDE"/>
    <w:rsid w:val="00B20C41"/>
    <w:rsid w:val="00B2138D"/>
    <w:rsid w:val="00B21768"/>
    <w:rsid w:val="00B23F86"/>
    <w:rsid w:val="00B248A0"/>
    <w:rsid w:val="00B24B42"/>
    <w:rsid w:val="00B24DC6"/>
    <w:rsid w:val="00B24E30"/>
    <w:rsid w:val="00B258F3"/>
    <w:rsid w:val="00B2659C"/>
    <w:rsid w:val="00B26B13"/>
    <w:rsid w:val="00B26BD2"/>
    <w:rsid w:val="00B26FD7"/>
    <w:rsid w:val="00B270AB"/>
    <w:rsid w:val="00B2725B"/>
    <w:rsid w:val="00B306FC"/>
    <w:rsid w:val="00B309D2"/>
    <w:rsid w:val="00B30E4F"/>
    <w:rsid w:val="00B3124F"/>
    <w:rsid w:val="00B31F24"/>
    <w:rsid w:val="00B33294"/>
    <w:rsid w:val="00B33657"/>
    <w:rsid w:val="00B34885"/>
    <w:rsid w:val="00B34C1D"/>
    <w:rsid w:val="00B34D68"/>
    <w:rsid w:val="00B360C4"/>
    <w:rsid w:val="00B36117"/>
    <w:rsid w:val="00B362E3"/>
    <w:rsid w:val="00B37C73"/>
    <w:rsid w:val="00B4009B"/>
    <w:rsid w:val="00B400A1"/>
    <w:rsid w:val="00B40A2B"/>
    <w:rsid w:val="00B420CB"/>
    <w:rsid w:val="00B4401C"/>
    <w:rsid w:val="00B44802"/>
    <w:rsid w:val="00B455D1"/>
    <w:rsid w:val="00B46135"/>
    <w:rsid w:val="00B472AB"/>
    <w:rsid w:val="00B47CE4"/>
    <w:rsid w:val="00B503A8"/>
    <w:rsid w:val="00B5121D"/>
    <w:rsid w:val="00B525C0"/>
    <w:rsid w:val="00B52FAB"/>
    <w:rsid w:val="00B5319A"/>
    <w:rsid w:val="00B539F9"/>
    <w:rsid w:val="00B53E56"/>
    <w:rsid w:val="00B5460C"/>
    <w:rsid w:val="00B546C3"/>
    <w:rsid w:val="00B54BD9"/>
    <w:rsid w:val="00B5503C"/>
    <w:rsid w:val="00B55640"/>
    <w:rsid w:val="00B57107"/>
    <w:rsid w:val="00B619E4"/>
    <w:rsid w:val="00B61D0B"/>
    <w:rsid w:val="00B6439A"/>
    <w:rsid w:val="00B6443B"/>
    <w:rsid w:val="00B6517B"/>
    <w:rsid w:val="00B65E71"/>
    <w:rsid w:val="00B66C26"/>
    <w:rsid w:val="00B71FB3"/>
    <w:rsid w:val="00B73492"/>
    <w:rsid w:val="00B7512A"/>
    <w:rsid w:val="00B76548"/>
    <w:rsid w:val="00B76BED"/>
    <w:rsid w:val="00B806E6"/>
    <w:rsid w:val="00B82DC1"/>
    <w:rsid w:val="00B835D5"/>
    <w:rsid w:val="00B84028"/>
    <w:rsid w:val="00B84307"/>
    <w:rsid w:val="00B8430D"/>
    <w:rsid w:val="00B85661"/>
    <w:rsid w:val="00B85C8A"/>
    <w:rsid w:val="00B86FBD"/>
    <w:rsid w:val="00B872F9"/>
    <w:rsid w:val="00B874B2"/>
    <w:rsid w:val="00B91B86"/>
    <w:rsid w:val="00B927CA"/>
    <w:rsid w:val="00B928AE"/>
    <w:rsid w:val="00B93CDA"/>
    <w:rsid w:val="00B942E9"/>
    <w:rsid w:val="00B9433A"/>
    <w:rsid w:val="00B948EE"/>
    <w:rsid w:val="00B94BF3"/>
    <w:rsid w:val="00B94F90"/>
    <w:rsid w:val="00B95DC5"/>
    <w:rsid w:val="00B97E34"/>
    <w:rsid w:val="00B97FEF"/>
    <w:rsid w:val="00BA1354"/>
    <w:rsid w:val="00BA1DEE"/>
    <w:rsid w:val="00BA24F8"/>
    <w:rsid w:val="00BA31AA"/>
    <w:rsid w:val="00BA45D8"/>
    <w:rsid w:val="00BA5828"/>
    <w:rsid w:val="00BA64B3"/>
    <w:rsid w:val="00BA754A"/>
    <w:rsid w:val="00BA7820"/>
    <w:rsid w:val="00BA794C"/>
    <w:rsid w:val="00BB238D"/>
    <w:rsid w:val="00BB2824"/>
    <w:rsid w:val="00BB37CC"/>
    <w:rsid w:val="00BB48C4"/>
    <w:rsid w:val="00BB6907"/>
    <w:rsid w:val="00BB7A20"/>
    <w:rsid w:val="00BC15B1"/>
    <w:rsid w:val="00BC23DB"/>
    <w:rsid w:val="00BC25BC"/>
    <w:rsid w:val="00BC3C06"/>
    <w:rsid w:val="00BC4E8B"/>
    <w:rsid w:val="00BC5622"/>
    <w:rsid w:val="00BC6060"/>
    <w:rsid w:val="00BC7897"/>
    <w:rsid w:val="00BD0F35"/>
    <w:rsid w:val="00BD3046"/>
    <w:rsid w:val="00BD45A4"/>
    <w:rsid w:val="00BD4A5F"/>
    <w:rsid w:val="00BD59AA"/>
    <w:rsid w:val="00BD65E6"/>
    <w:rsid w:val="00BD6AF7"/>
    <w:rsid w:val="00BE19EF"/>
    <w:rsid w:val="00BE2A0D"/>
    <w:rsid w:val="00BE425B"/>
    <w:rsid w:val="00BE51BB"/>
    <w:rsid w:val="00BE7595"/>
    <w:rsid w:val="00BE77D3"/>
    <w:rsid w:val="00BE7FF8"/>
    <w:rsid w:val="00BF0138"/>
    <w:rsid w:val="00BF114B"/>
    <w:rsid w:val="00BF1620"/>
    <w:rsid w:val="00BF1AC3"/>
    <w:rsid w:val="00BF373A"/>
    <w:rsid w:val="00BF62D2"/>
    <w:rsid w:val="00BF6D9E"/>
    <w:rsid w:val="00BF71BB"/>
    <w:rsid w:val="00BF76F7"/>
    <w:rsid w:val="00BF7C9F"/>
    <w:rsid w:val="00C00012"/>
    <w:rsid w:val="00C000A5"/>
    <w:rsid w:val="00C006B4"/>
    <w:rsid w:val="00C00938"/>
    <w:rsid w:val="00C00E2A"/>
    <w:rsid w:val="00C025B9"/>
    <w:rsid w:val="00C044B4"/>
    <w:rsid w:val="00C05105"/>
    <w:rsid w:val="00C05A5D"/>
    <w:rsid w:val="00C0654A"/>
    <w:rsid w:val="00C06DE3"/>
    <w:rsid w:val="00C06F97"/>
    <w:rsid w:val="00C10BE6"/>
    <w:rsid w:val="00C11905"/>
    <w:rsid w:val="00C1234A"/>
    <w:rsid w:val="00C12661"/>
    <w:rsid w:val="00C126E3"/>
    <w:rsid w:val="00C1330F"/>
    <w:rsid w:val="00C13ED7"/>
    <w:rsid w:val="00C14615"/>
    <w:rsid w:val="00C14F48"/>
    <w:rsid w:val="00C15296"/>
    <w:rsid w:val="00C17750"/>
    <w:rsid w:val="00C2094B"/>
    <w:rsid w:val="00C20DC5"/>
    <w:rsid w:val="00C2294E"/>
    <w:rsid w:val="00C22A5B"/>
    <w:rsid w:val="00C23412"/>
    <w:rsid w:val="00C264C7"/>
    <w:rsid w:val="00C271C4"/>
    <w:rsid w:val="00C274F3"/>
    <w:rsid w:val="00C27705"/>
    <w:rsid w:val="00C30A54"/>
    <w:rsid w:val="00C316F7"/>
    <w:rsid w:val="00C31DF0"/>
    <w:rsid w:val="00C32FB9"/>
    <w:rsid w:val="00C33916"/>
    <w:rsid w:val="00C33BCF"/>
    <w:rsid w:val="00C353A0"/>
    <w:rsid w:val="00C368D7"/>
    <w:rsid w:val="00C36FD1"/>
    <w:rsid w:val="00C371A5"/>
    <w:rsid w:val="00C400B0"/>
    <w:rsid w:val="00C40D38"/>
    <w:rsid w:val="00C413FC"/>
    <w:rsid w:val="00C43D33"/>
    <w:rsid w:val="00C44407"/>
    <w:rsid w:val="00C456E8"/>
    <w:rsid w:val="00C46630"/>
    <w:rsid w:val="00C47A2F"/>
    <w:rsid w:val="00C50D18"/>
    <w:rsid w:val="00C51179"/>
    <w:rsid w:val="00C5282C"/>
    <w:rsid w:val="00C52FBE"/>
    <w:rsid w:val="00C5355E"/>
    <w:rsid w:val="00C53FC1"/>
    <w:rsid w:val="00C55586"/>
    <w:rsid w:val="00C5602B"/>
    <w:rsid w:val="00C56438"/>
    <w:rsid w:val="00C56C65"/>
    <w:rsid w:val="00C570B3"/>
    <w:rsid w:val="00C576C1"/>
    <w:rsid w:val="00C6009F"/>
    <w:rsid w:val="00C60417"/>
    <w:rsid w:val="00C6046F"/>
    <w:rsid w:val="00C638C2"/>
    <w:rsid w:val="00C651D4"/>
    <w:rsid w:val="00C6669E"/>
    <w:rsid w:val="00C672B0"/>
    <w:rsid w:val="00C729C7"/>
    <w:rsid w:val="00C777AD"/>
    <w:rsid w:val="00C80C53"/>
    <w:rsid w:val="00C81195"/>
    <w:rsid w:val="00C85387"/>
    <w:rsid w:val="00C85E52"/>
    <w:rsid w:val="00C86471"/>
    <w:rsid w:val="00C8677B"/>
    <w:rsid w:val="00C86F96"/>
    <w:rsid w:val="00C909C6"/>
    <w:rsid w:val="00C923B7"/>
    <w:rsid w:val="00C94D4C"/>
    <w:rsid w:val="00CA012C"/>
    <w:rsid w:val="00CA0AA6"/>
    <w:rsid w:val="00CA2897"/>
    <w:rsid w:val="00CA44F3"/>
    <w:rsid w:val="00CA56F7"/>
    <w:rsid w:val="00CA582C"/>
    <w:rsid w:val="00CA6077"/>
    <w:rsid w:val="00CA715B"/>
    <w:rsid w:val="00CA7988"/>
    <w:rsid w:val="00CA7BA2"/>
    <w:rsid w:val="00CB0B78"/>
    <w:rsid w:val="00CB12A5"/>
    <w:rsid w:val="00CB17FA"/>
    <w:rsid w:val="00CB23D8"/>
    <w:rsid w:val="00CB2ED9"/>
    <w:rsid w:val="00CB36A5"/>
    <w:rsid w:val="00CB56B4"/>
    <w:rsid w:val="00CB7286"/>
    <w:rsid w:val="00CB7947"/>
    <w:rsid w:val="00CC1783"/>
    <w:rsid w:val="00CC3B46"/>
    <w:rsid w:val="00CC3D8B"/>
    <w:rsid w:val="00CC4E27"/>
    <w:rsid w:val="00CC570C"/>
    <w:rsid w:val="00CC62B6"/>
    <w:rsid w:val="00CC76AA"/>
    <w:rsid w:val="00CC7CD2"/>
    <w:rsid w:val="00CD05CF"/>
    <w:rsid w:val="00CD1FAE"/>
    <w:rsid w:val="00CD232F"/>
    <w:rsid w:val="00CD279E"/>
    <w:rsid w:val="00CD2CAF"/>
    <w:rsid w:val="00CD2F92"/>
    <w:rsid w:val="00CD4EB0"/>
    <w:rsid w:val="00CD512D"/>
    <w:rsid w:val="00CD5831"/>
    <w:rsid w:val="00CD6F6E"/>
    <w:rsid w:val="00CE149D"/>
    <w:rsid w:val="00CE157F"/>
    <w:rsid w:val="00CE1966"/>
    <w:rsid w:val="00CE1ED4"/>
    <w:rsid w:val="00CE2216"/>
    <w:rsid w:val="00CE3014"/>
    <w:rsid w:val="00CE30E5"/>
    <w:rsid w:val="00CE6FC6"/>
    <w:rsid w:val="00CE79B4"/>
    <w:rsid w:val="00CF2056"/>
    <w:rsid w:val="00CF4471"/>
    <w:rsid w:val="00CF51C0"/>
    <w:rsid w:val="00CF5B2A"/>
    <w:rsid w:val="00CF5F57"/>
    <w:rsid w:val="00CF64A7"/>
    <w:rsid w:val="00CF6730"/>
    <w:rsid w:val="00CF70E5"/>
    <w:rsid w:val="00CF7CEC"/>
    <w:rsid w:val="00D00B0F"/>
    <w:rsid w:val="00D01BF4"/>
    <w:rsid w:val="00D0272C"/>
    <w:rsid w:val="00D045CE"/>
    <w:rsid w:val="00D05082"/>
    <w:rsid w:val="00D06163"/>
    <w:rsid w:val="00D07AFD"/>
    <w:rsid w:val="00D11749"/>
    <w:rsid w:val="00D12A7D"/>
    <w:rsid w:val="00D12AFD"/>
    <w:rsid w:val="00D13AB0"/>
    <w:rsid w:val="00D1519E"/>
    <w:rsid w:val="00D152B7"/>
    <w:rsid w:val="00D16E50"/>
    <w:rsid w:val="00D16EDC"/>
    <w:rsid w:val="00D17FDE"/>
    <w:rsid w:val="00D201CB"/>
    <w:rsid w:val="00D22786"/>
    <w:rsid w:val="00D228B4"/>
    <w:rsid w:val="00D2541C"/>
    <w:rsid w:val="00D25AC4"/>
    <w:rsid w:val="00D305F6"/>
    <w:rsid w:val="00D30B25"/>
    <w:rsid w:val="00D3175A"/>
    <w:rsid w:val="00D31A00"/>
    <w:rsid w:val="00D323E4"/>
    <w:rsid w:val="00D32786"/>
    <w:rsid w:val="00D32871"/>
    <w:rsid w:val="00D33881"/>
    <w:rsid w:val="00D366B1"/>
    <w:rsid w:val="00D37AE0"/>
    <w:rsid w:val="00D416A8"/>
    <w:rsid w:val="00D4257C"/>
    <w:rsid w:val="00D425AC"/>
    <w:rsid w:val="00D42823"/>
    <w:rsid w:val="00D42D5E"/>
    <w:rsid w:val="00D43F14"/>
    <w:rsid w:val="00D44C18"/>
    <w:rsid w:val="00D4556D"/>
    <w:rsid w:val="00D459B1"/>
    <w:rsid w:val="00D511C6"/>
    <w:rsid w:val="00D5121D"/>
    <w:rsid w:val="00D516AC"/>
    <w:rsid w:val="00D52066"/>
    <w:rsid w:val="00D52875"/>
    <w:rsid w:val="00D54050"/>
    <w:rsid w:val="00D56AC0"/>
    <w:rsid w:val="00D6081B"/>
    <w:rsid w:val="00D6240A"/>
    <w:rsid w:val="00D63093"/>
    <w:rsid w:val="00D63599"/>
    <w:rsid w:val="00D63EBD"/>
    <w:rsid w:val="00D67101"/>
    <w:rsid w:val="00D71B45"/>
    <w:rsid w:val="00D71F8A"/>
    <w:rsid w:val="00D75603"/>
    <w:rsid w:val="00D75FEE"/>
    <w:rsid w:val="00D76933"/>
    <w:rsid w:val="00D76D88"/>
    <w:rsid w:val="00D77CC9"/>
    <w:rsid w:val="00D83D4B"/>
    <w:rsid w:val="00D871C6"/>
    <w:rsid w:val="00D91010"/>
    <w:rsid w:val="00D95D21"/>
    <w:rsid w:val="00DA0FA7"/>
    <w:rsid w:val="00DA12B0"/>
    <w:rsid w:val="00DA2BA0"/>
    <w:rsid w:val="00DA39AD"/>
    <w:rsid w:val="00DA5B13"/>
    <w:rsid w:val="00DA6917"/>
    <w:rsid w:val="00DA6926"/>
    <w:rsid w:val="00DB0965"/>
    <w:rsid w:val="00DB0E47"/>
    <w:rsid w:val="00DB2BDD"/>
    <w:rsid w:val="00DB4121"/>
    <w:rsid w:val="00DB46C3"/>
    <w:rsid w:val="00DB5742"/>
    <w:rsid w:val="00DB5EDF"/>
    <w:rsid w:val="00DB6C46"/>
    <w:rsid w:val="00DB72B8"/>
    <w:rsid w:val="00DC16AF"/>
    <w:rsid w:val="00DC2A9A"/>
    <w:rsid w:val="00DC2E2E"/>
    <w:rsid w:val="00DC4D68"/>
    <w:rsid w:val="00DC6463"/>
    <w:rsid w:val="00DC7822"/>
    <w:rsid w:val="00DC7AF1"/>
    <w:rsid w:val="00DD081F"/>
    <w:rsid w:val="00DD2D92"/>
    <w:rsid w:val="00DD3026"/>
    <w:rsid w:val="00DD33DC"/>
    <w:rsid w:val="00DD3BB0"/>
    <w:rsid w:val="00DD61F5"/>
    <w:rsid w:val="00DE64A6"/>
    <w:rsid w:val="00DE6552"/>
    <w:rsid w:val="00DE7035"/>
    <w:rsid w:val="00DF12E3"/>
    <w:rsid w:val="00DF3F1D"/>
    <w:rsid w:val="00DF595C"/>
    <w:rsid w:val="00DF7EA7"/>
    <w:rsid w:val="00E02504"/>
    <w:rsid w:val="00E04548"/>
    <w:rsid w:val="00E0484E"/>
    <w:rsid w:val="00E063F8"/>
    <w:rsid w:val="00E114D6"/>
    <w:rsid w:val="00E1166E"/>
    <w:rsid w:val="00E11DBD"/>
    <w:rsid w:val="00E13211"/>
    <w:rsid w:val="00E16FB5"/>
    <w:rsid w:val="00E179D6"/>
    <w:rsid w:val="00E21407"/>
    <w:rsid w:val="00E22668"/>
    <w:rsid w:val="00E227D3"/>
    <w:rsid w:val="00E22BFF"/>
    <w:rsid w:val="00E22CB0"/>
    <w:rsid w:val="00E23798"/>
    <w:rsid w:val="00E2585D"/>
    <w:rsid w:val="00E25DBD"/>
    <w:rsid w:val="00E25FA2"/>
    <w:rsid w:val="00E2723D"/>
    <w:rsid w:val="00E27C77"/>
    <w:rsid w:val="00E3179E"/>
    <w:rsid w:val="00E32AC9"/>
    <w:rsid w:val="00E354DA"/>
    <w:rsid w:val="00E354F5"/>
    <w:rsid w:val="00E35BCC"/>
    <w:rsid w:val="00E3687E"/>
    <w:rsid w:val="00E40974"/>
    <w:rsid w:val="00E40AAB"/>
    <w:rsid w:val="00E41205"/>
    <w:rsid w:val="00E41F32"/>
    <w:rsid w:val="00E42608"/>
    <w:rsid w:val="00E43536"/>
    <w:rsid w:val="00E43DA3"/>
    <w:rsid w:val="00E44B80"/>
    <w:rsid w:val="00E47430"/>
    <w:rsid w:val="00E50FB7"/>
    <w:rsid w:val="00E5199F"/>
    <w:rsid w:val="00E526DF"/>
    <w:rsid w:val="00E53C15"/>
    <w:rsid w:val="00E54EE6"/>
    <w:rsid w:val="00E56715"/>
    <w:rsid w:val="00E56C2C"/>
    <w:rsid w:val="00E57F8E"/>
    <w:rsid w:val="00E611C8"/>
    <w:rsid w:val="00E6344A"/>
    <w:rsid w:val="00E64E69"/>
    <w:rsid w:val="00E64FB7"/>
    <w:rsid w:val="00E669A1"/>
    <w:rsid w:val="00E679BA"/>
    <w:rsid w:val="00E70243"/>
    <w:rsid w:val="00E72CC6"/>
    <w:rsid w:val="00E73D44"/>
    <w:rsid w:val="00E7494A"/>
    <w:rsid w:val="00E74BE2"/>
    <w:rsid w:val="00E74C66"/>
    <w:rsid w:val="00E75933"/>
    <w:rsid w:val="00E77A1B"/>
    <w:rsid w:val="00E808BE"/>
    <w:rsid w:val="00E81E36"/>
    <w:rsid w:val="00E81E40"/>
    <w:rsid w:val="00E82ECE"/>
    <w:rsid w:val="00E8713B"/>
    <w:rsid w:val="00E90C61"/>
    <w:rsid w:val="00E92A82"/>
    <w:rsid w:val="00E92AA8"/>
    <w:rsid w:val="00E9344E"/>
    <w:rsid w:val="00E93E39"/>
    <w:rsid w:val="00E94391"/>
    <w:rsid w:val="00E97E2B"/>
    <w:rsid w:val="00EA08CA"/>
    <w:rsid w:val="00EA0C0C"/>
    <w:rsid w:val="00EA2AEA"/>
    <w:rsid w:val="00EA332B"/>
    <w:rsid w:val="00EA3D36"/>
    <w:rsid w:val="00EA40AA"/>
    <w:rsid w:val="00EA57E2"/>
    <w:rsid w:val="00EA7186"/>
    <w:rsid w:val="00EB018B"/>
    <w:rsid w:val="00EB1003"/>
    <w:rsid w:val="00EB167E"/>
    <w:rsid w:val="00EB24ED"/>
    <w:rsid w:val="00EB2A00"/>
    <w:rsid w:val="00EB309B"/>
    <w:rsid w:val="00EB3AA2"/>
    <w:rsid w:val="00EB4763"/>
    <w:rsid w:val="00EB6CB7"/>
    <w:rsid w:val="00EC078B"/>
    <w:rsid w:val="00EC07A0"/>
    <w:rsid w:val="00EC08E4"/>
    <w:rsid w:val="00EC268D"/>
    <w:rsid w:val="00EC3CB4"/>
    <w:rsid w:val="00EC443E"/>
    <w:rsid w:val="00EC4D83"/>
    <w:rsid w:val="00EC4EEE"/>
    <w:rsid w:val="00EC634F"/>
    <w:rsid w:val="00EC7B97"/>
    <w:rsid w:val="00ED049C"/>
    <w:rsid w:val="00ED07B7"/>
    <w:rsid w:val="00ED19D7"/>
    <w:rsid w:val="00ED2167"/>
    <w:rsid w:val="00ED351E"/>
    <w:rsid w:val="00ED4B27"/>
    <w:rsid w:val="00ED543C"/>
    <w:rsid w:val="00ED6BA4"/>
    <w:rsid w:val="00ED7DA7"/>
    <w:rsid w:val="00EE0598"/>
    <w:rsid w:val="00EE311C"/>
    <w:rsid w:val="00EE56FF"/>
    <w:rsid w:val="00EE5886"/>
    <w:rsid w:val="00EE5FBF"/>
    <w:rsid w:val="00EE6472"/>
    <w:rsid w:val="00EE76F2"/>
    <w:rsid w:val="00EF0D7C"/>
    <w:rsid w:val="00EF40E2"/>
    <w:rsid w:val="00EF4C90"/>
    <w:rsid w:val="00EF61C1"/>
    <w:rsid w:val="00EF6E68"/>
    <w:rsid w:val="00EF76DB"/>
    <w:rsid w:val="00F005FD"/>
    <w:rsid w:val="00F02C04"/>
    <w:rsid w:val="00F03AF1"/>
    <w:rsid w:val="00F04BCD"/>
    <w:rsid w:val="00F05A8C"/>
    <w:rsid w:val="00F06211"/>
    <w:rsid w:val="00F10A54"/>
    <w:rsid w:val="00F123D0"/>
    <w:rsid w:val="00F1314C"/>
    <w:rsid w:val="00F13200"/>
    <w:rsid w:val="00F13411"/>
    <w:rsid w:val="00F143BA"/>
    <w:rsid w:val="00F14589"/>
    <w:rsid w:val="00F14D98"/>
    <w:rsid w:val="00F16C25"/>
    <w:rsid w:val="00F2081B"/>
    <w:rsid w:val="00F20A43"/>
    <w:rsid w:val="00F20C51"/>
    <w:rsid w:val="00F21049"/>
    <w:rsid w:val="00F218AE"/>
    <w:rsid w:val="00F22232"/>
    <w:rsid w:val="00F2228E"/>
    <w:rsid w:val="00F22D3C"/>
    <w:rsid w:val="00F23D66"/>
    <w:rsid w:val="00F24E6F"/>
    <w:rsid w:val="00F26069"/>
    <w:rsid w:val="00F26B7E"/>
    <w:rsid w:val="00F27D7D"/>
    <w:rsid w:val="00F3002B"/>
    <w:rsid w:val="00F30BC9"/>
    <w:rsid w:val="00F32FF7"/>
    <w:rsid w:val="00F33EDE"/>
    <w:rsid w:val="00F344D7"/>
    <w:rsid w:val="00F3568B"/>
    <w:rsid w:val="00F377CD"/>
    <w:rsid w:val="00F40C3B"/>
    <w:rsid w:val="00F40CE0"/>
    <w:rsid w:val="00F42DBC"/>
    <w:rsid w:val="00F4308D"/>
    <w:rsid w:val="00F44012"/>
    <w:rsid w:val="00F44947"/>
    <w:rsid w:val="00F458EF"/>
    <w:rsid w:val="00F47121"/>
    <w:rsid w:val="00F4775D"/>
    <w:rsid w:val="00F504DD"/>
    <w:rsid w:val="00F50874"/>
    <w:rsid w:val="00F516C6"/>
    <w:rsid w:val="00F52221"/>
    <w:rsid w:val="00F52B28"/>
    <w:rsid w:val="00F536BB"/>
    <w:rsid w:val="00F53755"/>
    <w:rsid w:val="00F53E59"/>
    <w:rsid w:val="00F5475B"/>
    <w:rsid w:val="00F56B11"/>
    <w:rsid w:val="00F574D0"/>
    <w:rsid w:val="00F6031F"/>
    <w:rsid w:val="00F61664"/>
    <w:rsid w:val="00F61B99"/>
    <w:rsid w:val="00F64C45"/>
    <w:rsid w:val="00F6502B"/>
    <w:rsid w:val="00F6612A"/>
    <w:rsid w:val="00F66724"/>
    <w:rsid w:val="00F66CB6"/>
    <w:rsid w:val="00F67F04"/>
    <w:rsid w:val="00F702CB"/>
    <w:rsid w:val="00F71AC2"/>
    <w:rsid w:val="00F739D4"/>
    <w:rsid w:val="00F74ED6"/>
    <w:rsid w:val="00F77D43"/>
    <w:rsid w:val="00F80953"/>
    <w:rsid w:val="00F81312"/>
    <w:rsid w:val="00F81B90"/>
    <w:rsid w:val="00F81E6F"/>
    <w:rsid w:val="00F82FF3"/>
    <w:rsid w:val="00F8453C"/>
    <w:rsid w:val="00F84D4C"/>
    <w:rsid w:val="00F8657D"/>
    <w:rsid w:val="00F8730F"/>
    <w:rsid w:val="00F87DA3"/>
    <w:rsid w:val="00F90004"/>
    <w:rsid w:val="00F90EF4"/>
    <w:rsid w:val="00F917BF"/>
    <w:rsid w:val="00F920B4"/>
    <w:rsid w:val="00F9260D"/>
    <w:rsid w:val="00F92727"/>
    <w:rsid w:val="00F93CCF"/>
    <w:rsid w:val="00F94307"/>
    <w:rsid w:val="00F9580B"/>
    <w:rsid w:val="00F95F15"/>
    <w:rsid w:val="00F975CA"/>
    <w:rsid w:val="00FA0B60"/>
    <w:rsid w:val="00FA2528"/>
    <w:rsid w:val="00FA5535"/>
    <w:rsid w:val="00FA7206"/>
    <w:rsid w:val="00FA7EFB"/>
    <w:rsid w:val="00FB0054"/>
    <w:rsid w:val="00FB0816"/>
    <w:rsid w:val="00FB08C2"/>
    <w:rsid w:val="00FB3DD1"/>
    <w:rsid w:val="00FB51FD"/>
    <w:rsid w:val="00FB5667"/>
    <w:rsid w:val="00FB7A97"/>
    <w:rsid w:val="00FC1B9B"/>
    <w:rsid w:val="00FC318D"/>
    <w:rsid w:val="00FC36CF"/>
    <w:rsid w:val="00FC40BC"/>
    <w:rsid w:val="00FC41FC"/>
    <w:rsid w:val="00FC4F6E"/>
    <w:rsid w:val="00FC506C"/>
    <w:rsid w:val="00FC578C"/>
    <w:rsid w:val="00FC5A37"/>
    <w:rsid w:val="00FD13EA"/>
    <w:rsid w:val="00FD5EC4"/>
    <w:rsid w:val="00FD7858"/>
    <w:rsid w:val="00FD7A8D"/>
    <w:rsid w:val="00FE1330"/>
    <w:rsid w:val="00FE1CE5"/>
    <w:rsid w:val="00FE2832"/>
    <w:rsid w:val="00FE2D38"/>
    <w:rsid w:val="00FE3929"/>
    <w:rsid w:val="00FF097B"/>
    <w:rsid w:val="00FF0B6E"/>
    <w:rsid w:val="00FF1C1B"/>
    <w:rsid w:val="00FF2067"/>
    <w:rsid w:val="00FF4B66"/>
    <w:rsid w:val="00FF688E"/>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6625">
      <o:colormru v:ext="edit" colors="#2d4491,#283583"/>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caption" w:semiHidden="1" w:unhideWhenUsed="1" w:qFormat="1"/>
    <w:lsdException w:name="footnote reference" w:uiPriority="99"/>
    <w:lsdException w:name="annotation reference" w:uiPriority="99"/>
    <w:lsdException w:name="line number" w:uiPriority="99"/>
    <w:lsdException w:name="Title" w:uiPriority="10" w:qFormat="1"/>
    <w:lsdException w:name="Default Paragraph Font" w:uiPriority="1"/>
    <w:lsdException w:name="Subtitle" w:qFormat="1"/>
    <w:lsdException w:name="Strong" w:qFormat="1"/>
    <w:lsdException w:name="Emphasis" w:uiPriority="20"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ny">
    <w:name w:val="Normal"/>
    <w:qFormat/>
    <w:rsid w:val="00965B03"/>
    <w:rPr>
      <w:rFonts w:ascii="Arial" w:hAnsi="Arial"/>
      <w:sz w:val="22"/>
      <w:szCs w:val="24"/>
      <w:lang w:eastAsia="de-DE"/>
    </w:rPr>
  </w:style>
  <w:style w:type="paragraph" w:styleId="Nagwek1">
    <w:name w:val="heading 1"/>
    <w:basedOn w:val="Normalny"/>
    <w:next w:val="Normalny"/>
    <w:link w:val="Nagwek1Znak"/>
    <w:qFormat/>
    <w:rsid w:val="009E7724"/>
    <w:pPr>
      <w:keepNext/>
      <w:numPr>
        <w:numId w:val="6"/>
      </w:numPr>
      <w:spacing w:before="240" w:after="60"/>
      <w:outlineLvl w:val="0"/>
    </w:pPr>
    <w:rPr>
      <w:rFonts w:cs="Arial"/>
      <w:b/>
      <w:bCs/>
      <w:kern w:val="32"/>
      <w:sz w:val="24"/>
      <w:szCs w:val="32"/>
    </w:rPr>
  </w:style>
  <w:style w:type="paragraph" w:styleId="Nagwek2">
    <w:name w:val="heading 2"/>
    <w:basedOn w:val="Normalny"/>
    <w:next w:val="Normalny"/>
    <w:link w:val="Nagwek2Znak"/>
    <w:qFormat/>
    <w:rsid w:val="00886A60"/>
    <w:pPr>
      <w:keepNext/>
      <w:keepLines/>
      <w:spacing w:before="200" w:after="120"/>
      <w:outlineLvl w:val="1"/>
    </w:pPr>
    <w:rPr>
      <w:b/>
      <w:bCs/>
      <w:szCs w:val="26"/>
    </w:rPr>
  </w:style>
  <w:style w:type="paragraph" w:styleId="Nagwek3">
    <w:name w:val="heading 3"/>
    <w:basedOn w:val="Normalny"/>
    <w:next w:val="Normalny"/>
    <w:link w:val="Nagwek3Znak"/>
    <w:qFormat/>
    <w:rsid w:val="003865E5"/>
    <w:pPr>
      <w:keepNext/>
      <w:keepLines/>
      <w:spacing w:before="200"/>
      <w:outlineLvl w:val="2"/>
    </w:pPr>
    <w:rPr>
      <w:rFonts w:ascii="Cambria" w:hAnsi="Cambria"/>
      <w:b/>
      <w:bCs/>
      <w:color w:val="4F81BD"/>
    </w:rPr>
  </w:style>
  <w:style w:type="paragraph" w:styleId="Nagwek4">
    <w:name w:val="heading 4"/>
    <w:basedOn w:val="Normalny"/>
    <w:next w:val="Normalny"/>
    <w:link w:val="Nagwek4Znak"/>
    <w:qFormat/>
    <w:rsid w:val="00CB7286"/>
    <w:pPr>
      <w:keepNext/>
      <w:tabs>
        <w:tab w:val="num" w:pos="864"/>
      </w:tabs>
      <w:spacing w:before="240" w:after="60"/>
      <w:ind w:left="864" w:hanging="864"/>
      <w:outlineLvl w:val="3"/>
    </w:pPr>
    <w:rPr>
      <w:rFonts w:ascii="Times New Roman" w:hAnsi="Times New Roman"/>
      <w:b/>
      <w:bCs/>
      <w:sz w:val="28"/>
      <w:szCs w:val="28"/>
    </w:rPr>
  </w:style>
  <w:style w:type="paragraph" w:styleId="Nagwek5">
    <w:name w:val="heading 5"/>
    <w:aliases w:val="Questions"/>
    <w:basedOn w:val="Normalny"/>
    <w:next w:val="Normalny"/>
    <w:link w:val="Nagwek5Znak"/>
    <w:qFormat/>
    <w:rsid w:val="00E9344E"/>
    <w:pPr>
      <w:keepNext/>
      <w:keepLines/>
      <w:numPr>
        <w:numId w:val="14"/>
      </w:numPr>
      <w:spacing w:before="200"/>
      <w:jc w:val="both"/>
      <w:outlineLvl w:val="4"/>
    </w:pPr>
    <w:rPr>
      <w:b/>
    </w:rPr>
  </w:style>
  <w:style w:type="paragraph" w:styleId="Nagwek6">
    <w:name w:val="heading 6"/>
    <w:basedOn w:val="Normalny"/>
    <w:next w:val="Normalny"/>
    <w:link w:val="Nagwek6Znak"/>
    <w:qFormat/>
    <w:rsid w:val="003609B6"/>
    <w:pPr>
      <w:numPr>
        <w:ilvl w:val="5"/>
        <w:numId w:val="4"/>
      </w:numPr>
      <w:spacing w:before="240" w:after="60"/>
      <w:outlineLvl w:val="5"/>
    </w:pPr>
    <w:rPr>
      <w:rFonts w:ascii="Times New Roman" w:hAnsi="Times New Roman"/>
      <w:b/>
      <w:bCs/>
      <w:szCs w:val="22"/>
    </w:rPr>
  </w:style>
  <w:style w:type="paragraph" w:styleId="Nagwek7">
    <w:name w:val="heading 7"/>
    <w:basedOn w:val="Normalny"/>
    <w:next w:val="Normalny"/>
    <w:link w:val="Nagwek7Znak"/>
    <w:unhideWhenUsed/>
    <w:qFormat/>
    <w:rsid w:val="002D6E1A"/>
    <w:pPr>
      <w:spacing w:before="240" w:after="60"/>
      <w:ind w:left="1296" w:hanging="1296"/>
      <w:outlineLvl w:val="6"/>
    </w:pPr>
    <w:rPr>
      <w:rFonts w:ascii="Times New Roman" w:hAnsi="Times New Roman"/>
    </w:rPr>
  </w:style>
  <w:style w:type="paragraph" w:styleId="Nagwek8">
    <w:name w:val="heading 8"/>
    <w:basedOn w:val="Normalny"/>
    <w:next w:val="Normalny"/>
    <w:link w:val="Nagwek8Znak"/>
    <w:qFormat/>
    <w:rsid w:val="003609B6"/>
    <w:pPr>
      <w:numPr>
        <w:ilvl w:val="7"/>
        <w:numId w:val="4"/>
      </w:numPr>
      <w:spacing w:before="240" w:after="60"/>
      <w:outlineLvl w:val="7"/>
    </w:pPr>
    <w:rPr>
      <w:rFonts w:ascii="Times New Roman" w:hAnsi="Times New Roman"/>
      <w:i/>
      <w:iCs/>
    </w:rPr>
  </w:style>
  <w:style w:type="paragraph" w:styleId="Nagwek9">
    <w:name w:val="heading 9"/>
    <w:basedOn w:val="Normalny"/>
    <w:next w:val="Normalny"/>
    <w:link w:val="Nagwek9Znak"/>
    <w:qFormat/>
    <w:rsid w:val="00A06867"/>
    <w:pPr>
      <w:tabs>
        <w:tab w:val="num" w:pos="1584"/>
      </w:tabs>
      <w:spacing w:before="240" w:after="60"/>
      <w:ind w:left="1584" w:hanging="1584"/>
      <w:outlineLvl w:val="8"/>
    </w:pPr>
    <w:rPr>
      <w:rFonts w:cs="Arial"/>
      <w:szCs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rsid w:val="005B64CB"/>
    <w:pPr>
      <w:tabs>
        <w:tab w:val="center" w:pos="4536"/>
        <w:tab w:val="right" w:pos="9072"/>
      </w:tabs>
    </w:pPr>
  </w:style>
  <w:style w:type="paragraph" w:styleId="Stopka">
    <w:name w:val="footer"/>
    <w:basedOn w:val="Normalny"/>
    <w:link w:val="StopkaZnak"/>
    <w:rsid w:val="005B64CB"/>
    <w:pPr>
      <w:tabs>
        <w:tab w:val="center" w:pos="4536"/>
        <w:tab w:val="right" w:pos="9072"/>
      </w:tabs>
    </w:pPr>
  </w:style>
  <w:style w:type="table" w:styleId="Tabela-Siatka">
    <w:name w:val="Table Grid"/>
    <w:basedOn w:val="Standardowy"/>
    <w:rsid w:val="006521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0Footer">
    <w:name w:val="00_Footer"/>
    <w:basedOn w:val="Normalny"/>
    <w:rsid w:val="003E3ACA"/>
    <w:pPr>
      <w:spacing w:line="200" w:lineRule="exact"/>
    </w:pPr>
    <w:rPr>
      <w:color w:val="2D4190"/>
      <w:sz w:val="16"/>
    </w:rPr>
  </w:style>
  <w:style w:type="paragraph" w:customStyle="1" w:styleId="05aTitle">
    <w:name w:val="05a_Title"/>
    <w:basedOn w:val="Normalny"/>
    <w:rsid w:val="00791EB4"/>
    <w:pPr>
      <w:spacing w:line="340" w:lineRule="exact"/>
    </w:pPr>
    <w:rPr>
      <w:b/>
      <w:color w:val="000000"/>
      <w:sz w:val="28"/>
    </w:rPr>
  </w:style>
  <w:style w:type="paragraph" w:customStyle="1" w:styleId="02Date">
    <w:name w:val="02_Date"/>
    <w:basedOn w:val="Normalny"/>
    <w:rsid w:val="001725A5"/>
    <w:pPr>
      <w:spacing w:line="220" w:lineRule="exact"/>
    </w:pPr>
    <w:rPr>
      <w:sz w:val="17"/>
    </w:rPr>
  </w:style>
  <w:style w:type="paragraph" w:customStyle="1" w:styleId="00aPagenumber">
    <w:name w:val="00a_Page number"/>
    <w:basedOn w:val="00Footer"/>
    <w:rsid w:val="003E3ACA"/>
    <w:pPr>
      <w:spacing w:line="280" w:lineRule="atLeast"/>
      <w:jc w:val="right"/>
    </w:pPr>
    <w:rPr>
      <w:color w:val="000000"/>
      <w:sz w:val="20"/>
    </w:rPr>
  </w:style>
  <w:style w:type="paragraph" w:customStyle="1" w:styleId="04BodyText">
    <w:name w:val="04_Body Text"/>
    <w:basedOn w:val="Normalny"/>
    <w:link w:val="04BodyTextChar"/>
    <w:rsid w:val="001725A5"/>
    <w:pPr>
      <w:spacing w:after="250" w:line="276" w:lineRule="auto"/>
      <w:jc w:val="both"/>
    </w:pPr>
    <w:rPr>
      <w:sz w:val="20"/>
    </w:rPr>
  </w:style>
  <w:style w:type="paragraph" w:customStyle="1" w:styleId="05HeadlinenoIndex">
    <w:name w:val="05_Headline no Index"/>
    <w:basedOn w:val="04BodyText"/>
    <w:rsid w:val="001725A5"/>
    <w:pPr>
      <w:spacing w:line="300" w:lineRule="exact"/>
    </w:pPr>
    <w:rPr>
      <w:b/>
      <w:sz w:val="24"/>
    </w:rPr>
  </w:style>
  <w:style w:type="paragraph" w:customStyle="1" w:styleId="05cHeadline1">
    <w:name w:val="05c_Headline 1"/>
    <w:basedOn w:val="05HeadlinenoIndex"/>
    <w:next w:val="04BodyText"/>
    <w:rsid w:val="003E3ACA"/>
    <w:pPr>
      <w:keepNext/>
      <w:numPr>
        <w:numId w:val="4"/>
      </w:numPr>
      <w:tabs>
        <w:tab w:val="left" w:pos="284"/>
        <w:tab w:val="left" w:pos="397"/>
      </w:tabs>
      <w:spacing w:after="280" w:line="280" w:lineRule="exact"/>
    </w:pPr>
    <w:rPr>
      <w:sz w:val="20"/>
    </w:rPr>
  </w:style>
  <w:style w:type="paragraph" w:customStyle="1" w:styleId="04aNumbering">
    <w:name w:val="04a_Numbering"/>
    <w:basedOn w:val="04BodyText"/>
    <w:link w:val="04aNumberingChar"/>
    <w:uiPriority w:val="99"/>
    <w:rsid w:val="00D75603"/>
    <w:pPr>
      <w:tabs>
        <w:tab w:val="num" w:pos="851"/>
      </w:tabs>
      <w:ind w:left="851" w:hanging="284"/>
    </w:pPr>
  </w:style>
  <w:style w:type="character" w:styleId="Numerstrony">
    <w:name w:val="page number"/>
    <w:basedOn w:val="Domylnaczcionkaakapitu"/>
    <w:rsid w:val="00620D7C"/>
  </w:style>
  <w:style w:type="paragraph" w:customStyle="1" w:styleId="00bDBInfo">
    <w:name w:val="00b_DB_Info"/>
    <w:basedOn w:val="00aPagenumber"/>
    <w:rsid w:val="001725A5"/>
    <w:rPr>
      <w:color w:val="FFFFFF"/>
    </w:rPr>
  </w:style>
  <w:style w:type="paragraph" w:customStyle="1" w:styleId="01aDBTitle">
    <w:name w:val="01a_DB_Title"/>
    <w:basedOn w:val="05aTitle"/>
    <w:rsid w:val="00791EB4"/>
    <w:pPr>
      <w:spacing w:line="400" w:lineRule="exact"/>
      <w:jc w:val="right"/>
    </w:pPr>
    <w:rPr>
      <w:color w:val="2D4190"/>
      <w:sz w:val="40"/>
    </w:rPr>
  </w:style>
  <w:style w:type="paragraph" w:customStyle="1" w:styleId="01bDBSubtitle">
    <w:name w:val="01b_DB_Subtitle"/>
    <w:rsid w:val="001725A5"/>
    <w:pPr>
      <w:jc w:val="right"/>
    </w:pPr>
    <w:rPr>
      <w:rFonts w:ascii="Georgia" w:hAnsi="Georgia"/>
      <w:color w:val="000000"/>
      <w:sz w:val="24"/>
      <w:szCs w:val="24"/>
      <w:lang w:eastAsia="de-DE"/>
    </w:rPr>
  </w:style>
  <w:style w:type="paragraph" w:customStyle="1" w:styleId="05dHeadline1blue">
    <w:name w:val="05d_Headline 1 blue"/>
    <w:basedOn w:val="05cHeadline1"/>
    <w:next w:val="04fBodytextblue"/>
    <w:rsid w:val="003E3ACA"/>
    <w:pPr>
      <w:numPr>
        <w:numId w:val="1"/>
      </w:numPr>
      <w:pBdr>
        <w:top w:val="single" w:sz="4" w:space="10" w:color="283583"/>
      </w:pBdr>
      <w:tabs>
        <w:tab w:val="left" w:pos="284"/>
      </w:tabs>
    </w:pPr>
    <w:rPr>
      <w:color w:val="2D4190"/>
    </w:rPr>
  </w:style>
  <w:style w:type="paragraph" w:styleId="Spistreci1">
    <w:name w:val="toc 1"/>
    <w:basedOn w:val="Normalny"/>
    <w:next w:val="Normalny"/>
    <w:autoRedefine/>
    <w:uiPriority w:val="39"/>
    <w:qFormat/>
    <w:rsid w:val="006476F7"/>
    <w:pPr>
      <w:tabs>
        <w:tab w:val="left" w:pos="510"/>
        <w:tab w:val="right" w:leader="underscore" w:pos="9412"/>
      </w:tabs>
      <w:spacing w:line="250" w:lineRule="exact"/>
    </w:pPr>
    <w:rPr>
      <w:sz w:val="20"/>
    </w:rPr>
  </w:style>
  <w:style w:type="paragraph" w:customStyle="1" w:styleId="04fBodytextblue">
    <w:name w:val="04f_Body text blue"/>
    <w:basedOn w:val="04BodyText"/>
    <w:rsid w:val="001725A5"/>
    <w:pPr>
      <w:pBdr>
        <w:bottom w:val="single" w:sz="4" w:space="12" w:color="283583"/>
      </w:pBdr>
    </w:pPr>
    <w:rPr>
      <w:color w:val="2D4190"/>
    </w:rPr>
  </w:style>
  <w:style w:type="character" w:styleId="Hipercze">
    <w:name w:val="Hyperlink"/>
    <w:rsid w:val="00EA332B"/>
    <w:rPr>
      <w:color w:val="0000FF"/>
      <w:u w:val="single"/>
    </w:rPr>
  </w:style>
  <w:style w:type="paragraph" w:customStyle="1" w:styleId="04bList">
    <w:name w:val="04b_List"/>
    <w:basedOn w:val="04BodyText"/>
    <w:uiPriority w:val="99"/>
    <w:rsid w:val="00D75603"/>
    <w:pPr>
      <w:numPr>
        <w:numId w:val="3"/>
      </w:numPr>
    </w:pPr>
  </w:style>
  <w:style w:type="paragraph" w:customStyle="1" w:styleId="04eBodytextleft">
    <w:name w:val="04e_Body text left"/>
    <w:basedOn w:val="04BodyText"/>
    <w:rsid w:val="001725A5"/>
    <w:pPr>
      <w:spacing w:after="0"/>
      <w:jc w:val="left"/>
    </w:pPr>
  </w:style>
  <w:style w:type="paragraph" w:customStyle="1" w:styleId="05eHeadline2">
    <w:name w:val="05e_Headline 2"/>
    <w:rsid w:val="003E3ACA"/>
    <w:pPr>
      <w:numPr>
        <w:ilvl w:val="1"/>
        <w:numId w:val="4"/>
      </w:numPr>
      <w:tabs>
        <w:tab w:val="left" w:pos="397"/>
      </w:tabs>
      <w:spacing w:after="250" w:line="250" w:lineRule="exact"/>
    </w:pPr>
    <w:rPr>
      <w:rFonts w:ascii="Georgia" w:hAnsi="Georgia" w:cs="Arial"/>
      <w:bCs/>
      <w:iCs/>
      <w:lang w:eastAsia="de-DE"/>
    </w:rPr>
  </w:style>
  <w:style w:type="paragraph" w:styleId="Tekstprzypisudolnego">
    <w:name w:val="footnote text"/>
    <w:aliases w:val="Char3, Char3,Fußnotentextf,Fußnotentextr,stile 1,Footnote1,Footnote2,Footnote3,Footnote4,Footnote5,Footnote6,Footnote7,Footnote8,Footnote9,Footnote10,Footnote11,Footnote21,Footnote31,Footnote41,Footnote51,Footnote61,Footnote71"/>
    <w:basedOn w:val="Normalny"/>
    <w:link w:val="TekstprzypisudolnegoZnak"/>
    <w:uiPriority w:val="99"/>
    <w:rsid w:val="001725A5"/>
    <w:pPr>
      <w:spacing w:line="200" w:lineRule="exact"/>
    </w:pPr>
    <w:rPr>
      <w:sz w:val="16"/>
      <w:szCs w:val="20"/>
    </w:rPr>
  </w:style>
  <w:style w:type="character" w:styleId="Odwoanieprzypisudolnego">
    <w:name w:val="footnote reference"/>
    <w:aliases w:val="SUPERS,Footnote reference number,Footnote symbol,note TESI,-E Fußnotenzeichen,number,BVI fnr,Footnote,Footnote Reference Superscript,(Footnote Reference),EN Footnote Reference,Voetnootverwijzing,Times 10 Point,Exposant 3 Poi"/>
    <w:uiPriority w:val="99"/>
    <w:rsid w:val="00C274F3"/>
    <w:rPr>
      <w:vertAlign w:val="superscript"/>
    </w:rPr>
  </w:style>
  <w:style w:type="paragraph" w:styleId="Spistreci2">
    <w:name w:val="toc 2"/>
    <w:basedOn w:val="Normalny"/>
    <w:next w:val="Normalny"/>
    <w:autoRedefine/>
    <w:uiPriority w:val="39"/>
    <w:qFormat/>
    <w:rsid w:val="00463787"/>
    <w:pPr>
      <w:spacing w:after="100"/>
      <w:ind w:left="220"/>
    </w:pPr>
    <w:rPr>
      <w:sz w:val="20"/>
    </w:rPr>
  </w:style>
  <w:style w:type="paragraph" w:customStyle="1" w:styleId="05bHeadline1black">
    <w:name w:val="05b_Headline 1 black"/>
    <w:basedOn w:val="05dHeadline1blue"/>
    <w:rsid w:val="003E3ACA"/>
    <w:pPr>
      <w:pBdr>
        <w:top w:val="none" w:sz="0" w:space="0" w:color="auto"/>
      </w:pBdr>
    </w:pPr>
    <w:rPr>
      <w:color w:val="000000"/>
    </w:rPr>
  </w:style>
  <w:style w:type="paragraph" w:customStyle="1" w:styleId="03Headbold">
    <w:name w:val="03_Head_bold"/>
    <w:basedOn w:val="04BodyText"/>
    <w:rsid w:val="00C13ED7"/>
    <w:pPr>
      <w:tabs>
        <w:tab w:val="left" w:pos="414"/>
        <w:tab w:val="left" w:pos="454"/>
      </w:tabs>
      <w:spacing w:after="0" w:line="240" w:lineRule="auto"/>
    </w:pPr>
    <w:rPr>
      <w:b/>
    </w:rPr>
  </w:style>
  <w:style w:type="paragraph" w:customStyle="1" w:styleId="03aHead">
    <w:name w:val="03a_Head"/>
    <w:basedOn w:val="03Headbold"/>
    <w:rsid w:val="00C13ED7"/>
    <w:rPr>
      <w:b w:val="0"/>
    </w:rPr>
  </w:style>
  <w:style w:type="paragraph" w:customStyle="1" w:styleId="04dBodyTextbold">
    <w:name w:val="04d_Body Text bold"/>
    <w:basedOn w:val="04BodyText"/>
    <w:rsid w:val="00C13ED7"/>
    <w:pPr>
      <w:tabs>
        <w:tab w:val="left" w:pos="414"/>
      </w:tabs>
    </w:pPr>
    <w:rPr>
      <w:b/>
    </w:rPr>
  </w:style>
  <w:style w:type="paragraph" w:customStyle="1" w:styleId="06InfoTitle">
    <w:name w:val="06_Info_Title"/>
    <w:basedOn w:val="Normalny"/>
    <w:link w:val="06InfoTitleZchn"/>
    <w:rsid w:val="00C13ED7"/>
    <w:pPr>
      <w:spacing w:after="40"/>
      <w:jc w:val="both"/>
    </w:pPr>
    <w:rPr>
      <w:b/>
      <w:sz w:val="24"/>
    </w:rPr>
  </w:style>
  <w:style w:type="character" w:customStyle="1" w:styleId="06InfoTitleZchn">
    <w:name w:val="06_Info_Title Zchn"/>
    <w:link w:val="06InfoTitle"/>
    <w:rsid w:val="00C13ED7"/>
    <w:rPr>
      <w:rFonts w:ascii="Georgia" w:hAnsi="Georgia"/>
      <w:b/>
      <w:sz w:val="24"/>
      <w:szCs w:val="24"/>
      <w:lang w:val="en-GB" w:eastAsia="de-DE" w:bidi="ar-SA"/>
    </w:rPr>
  </w:style>
  <w:style w:type="paragraph" w:customStyle="1" w:styleId="06aInfoTitle">
    <w:name w:val="06a_Info_Title"/>
    <w:basedOn w:val="06InfoTitle"/>
    <w:link w:val="06aInfoTitleZchn"/>
    <w:rsid w:val="00C13ED7"/>
    <w:rPr>
      <w:sz w:val="16"/>
    </w:rPr>
  </w:style>
  <w:style w:type="character" w:customStyle="1" w:styleId="06aInfoTitleZchn">
    <w:name w:val="06a_Info_Title Zchn"/>
    <w:link w:val="06aInfoTitle"/>
    <w:rsid w:val="00C13ED7"/>
    <w:rPr>
      <w:rFonts w:ascii="Georgia" w:hAnsi="Georgia"/>
      <w:b/>
      <w:sz w:val="16"/>
      <w:szCs w:val="24"/>
      <w:lang w:val="en-GB" w:eastAsia="de-DE" w:bidi="ar-SA"/>
    </w:rPr>
  </w:style>
  <w:style w:type="paragraph" w:customStyle="1" w:styleId="04cA">
    <w:name w:val="04c_A"/>
    <w:aliases w:val="B,C"/>
    <w:rsid w:val="004B21AB"/>
    <w:pPr>
      <w:tabs>
        <w:tab w:val="num" w:pos="907"/>
      </w:tabs>
      <w:spacing w:line="276" w:lineRule="auto"/>
      <w:ind w:left="340" w:firstLine="227"/>
    </w:pPr>
    <w:rPr>
      <w:rFonts w:ascii="Georgia" w:hAnsi="Georgia"/>
      <w:szCs w:val="24"/>
      <w:lang w:eastAsia="de-DE"/>
    </w:rPr>
  </w:style>
  <w:style w:type="paragraph" w:customStyle="1" w:styleId="05Headline1">
    <w:name w:val="05_Headline 1"/>
    <w:basedOn w:val="04BodyText"/>
    <w:rsid w:val="00942BD6"/>
    <w:pPr>
      <w:spacing w:line="300" w:lineRule="exact"/>
    </w:pPr>
    <w:rPr>
      <w:b/>
      <w:sz w:val="24"/>
    </w:rPr>
  </w:style>
  <w:style w:type="paragraph" w:customStyle="1" w:styleId="05aHeadline2">
    <w:name w:val="05a_Headline 2"/>
    <w:basedOn w:val="05Headline1"/>
    <w:next w:val="04BodyText"/>
    <w:rsid w:val="00942BD6"/>
    <w:pPr>
      <w:keepNext/>
      <w:tabs>
        <w:tab w:val="left" w:pos="397"/>
        <w:tab w:val="num" w:pos="567"/>
      </w:tabs>
      <w:spacing w:after="280" w:line="280" w:lineRule="exact"/>
      <w:ind w:left="567" w:hanging="567"/>
    </w:pPr>
    <w:rPr>
      <w:sz w:val="20"/>
    </w:rPr>
  </w:style>
  <w:style w:type="paragraph" w:customStyle="1" w:styleId="06Headline2blue">
    <w:name w:val="06_Headline 2 blue"/>
    <w:basedOn w:val="05aHeadline2"/>
    <w:next w:val="06aRunningtextblue"/>
    <w:rsid w:val="00942BD6"/>
    <w:pPr>
      <w:pBdr>
        <w:top w:val="single" w:sz="4" w:space="10" w:color="283583"/>
      </w:pBdr>
      <w:tabs>
        <w:tab w:val="clear" w:pos="567"/>
        <w:tab w:val="num" w:pos="284"/>
      </w:tabs>
      <w:ind w:left="284" w:hanging="284"/>
    </w:pPr>
    <w:rPr>
      <w:color w:val="2D4190"/>
    </w:rPr>
  </w:style>
  <w:style w:type="paragraph" w:customStyle="1" w:styleId="06aRunningtextblue">
    <w:name w:val="06a_Running text blue"/>
    <w:basedOn w:val="04BodyText"/>
    <w:rsid w:val="00942BD6"/>
    <w:pPr>
      <w:pBdr>
        <w:bottom w:val="single" w:sz="4" w:space="12" w:color="283583"/>
      </w:pBdr>
    </w:pPr>
    <w:rPr>
      <w:color w:val="2D4190"/>
    </w:rPr>
  </w:style>
  <w:style w:type="paragraph" w:customStyle="1" w:styleId="04cBodytextleft">
    <w:name w:val="04c_Body text left"/>
    <w:basedOn w:val="04BodyText"/>
    <w:rsid w:val="00942BD6"/>
    <w:pPr>
      <w:spacing w:after="0"/>
      <w:jc w:val="left"/>
    </w:pPr>
  </w:style>
  <w:style w:type="paragraph" w:customStyle="1" w:styleId="Style04RunningTextBold">
    <w:name w:val="Style 04_Running Text + Bold"/>
    <w:basedOn w:val="04BodyText"/>
    <w:rsid w:val="00942BD6"/>
    <w:pPr>
      <w:keepNext/>
    </w:pPr>
    <w:rPr>
      <w:b/>
      <w:bCs/>
    </w:rPr>
  </w:style>
  <w:style w:type="character" w:styleId="Odwoaniedokomentarza">
    <w:name w:val="annotation reference"/>
    <w:uiPriority w:val="99"/>
    <w:rsid w:val="004B1E61"/>
    <w:rPr>
      <w:sz w:val="16"/>
      <w:szCs w:val="16"/>
    </w:rPr>
  </w:style>
  <w:style w:type="paragraph" w:styleId="Tekstkomentarza">
    <w:name w:val="annotation text"/>
    <w:basedOn w:val="Normalny"/>
    <w:link w:val="TekstkomentarzaZnak"/>
    <w:uiPriority w:val="99"/>
    <w:rsid w:val="004B1E61"/>
    <w:rPr>
      <w:sz w:val="20"/>
      <w:szCs w:val="20"/>
    </w:rPr>
  </w:style>
  <w:style w:type="character" w:customStyle="1" w:styleId="TekstkomentarzaZnak">
    <w:name w:val="Tekst komentarza Znak"/>
    <w:link w:val="Tekstkomentarza"/>
    <w:uiPriority w:val="99"/>
    <w:rsid w:val="004B1E61"/>
    <w:rPr>
      <w:rFonts w:ascii="Georgia" w:hAnsi="Georgia"/>
      <w:lang w:eastAsia="de-DE"/>
    </w:rPr>
  </w:style>
  <w:style w:type="paragraph" w:styleId="Tematkomentarza">
    <w:name w:val="annotation subject"/>
    <w:basedOn w:val="Tekstkomentarza"/>
    <w:next w:val="Tekstkomentarza"/>
    <w:link w:val="TematkomentarzaZnak"/>
    <w:rsid w:val="004B1E61"/>
    <w:rPr>
      <w:b/>
      <w:bCs/>
    </w:rPr>
  </w:style>
  <w:style w:type="character" w:customStyle="1" w:styleId="TematkomentarzaZnak">
    <w:name w:val="Temat komentarza Znak"/>
    <w:link w:val="Tematkomentarza"/>
    <w:rsid w:val="004B1E61"/>
    <w:rPr>
      <w:rFonts w:ascii="Georgia" w:hAnsi="Georgia"/>
      <w:b/>
      <w:bCs/>
      <w:lang w:eastAsia="de-DE"/>
    </w:rPr>
  </w:style>
  <w:style w:type="paragraph" w:styleId="Tekstdymka">
    <w:name w:val="Balloon Text"/>
    <w:basedOn w:val="Normalny"/>
    <w:link w:val="TekstdymkaZnak"/>
    <w:rsid w:val="004B1E61"/>
    <w:rPr>
      <w:rFonts w:ascii="Tahoma" w:hAnsi="Tahoma" w:cs="Tahoma"/>
      <w:sz w:val="16"/>
      <w:szCs w:val="16"/>
    </w:rPr>
  </w:style>
  <w:style w:type="character" w:customStyle="1" w:styleId="TekstdymkaZnak">
    <w:name w:val="Tekst dymka Znak"/>
    <w:link w:val="Tekstdymka"/>
    <w:rsid w:val="004B1E61"/>
    <w:rPr>
      <w:rFonts w:ascii="Tahoma" w:hAnsi="Tahoma" w:cs="Tahoma"/>
      <w:sz w:val="16"/>
      <w:szCs w:val="16"/>
      <w:lang w:eastAsia="de-DE"/>
    </w:rPr>
  </w:style>
  <w:style w:type="paragraph" w:styleId="Akapitzlist">
    <w:name w:val="List Paragraph"/>
    <w:aliases w:val="Paragraphe EI,Paragraphe de liste1,EC"/>
    <w:basedOn w:val="Normalny"/>
    <w:link w:val="AkapitzlistZnak"/>
    <w:uiPriority w:val="34"/>
    <w:qFormat/>
    <w:rsid w:val="002A0C82"/>
    <w:pPr>
      <w:ind w:left="720"/>
      <w:contextualSpacing/>
    </w:pPr>
  </w:style>
  <w:style w:type="paragraph" w:styleId="Nagwekspisutreci">
    <w:name w:val="TOC Heading"/>
    <w:basedOn w:val="Nagwek1"/>
    <w:next w:val="Normalny"/>
    <w:uiPriority w:val="39"/>
    <w:unhideWhenUsed/>
    <w:qFormat/>
    <w:rsid w:val="001C0344"/>
    <w:pPr>
      <w:keepLines/>
      <w:numPr>
        <w:numId w:val="0"/>
      </w:numPr>
      <w:spacing w:before="480" w:after="0" w:line="276" w:lineRule="auto"/>
      <w:outlineLvl w:val="9"/>
    </w:pPr>
    <w:rPr>
      <w:rFonts w:ascii="Cambria" w:hAnsi="Cambria" w:cs="Times New Roman"/>
      <w:color w:val="365F91"/>
      <w:kern w:val="0"/>
      <w:sz w:val="28"/>
      <w:szCs w:val="28"/>
      <w:lang w:val="en-US" w:eastAsia="ja-JP"/>
    </w:rPr>
  </w:style>
  <w:style w:type="paragraph" w:customStyle="1" w:styleId="04aNumeration">
    <w:name w:val="04a_Numeration"/>
    <w:basedOn w:val="04BodyText"/>
    <w:link w:val="04aNumerationChar"/>
    <w:rsid w:val="00611293"/>
    <w:pPr>
      <w:tabs>
        <w:tab w:val="num" w:pos="454"/>
      </w:tabs>
      <w:ind w:left="454" w:hanging="454"/>
    </w:pPr>
    <w:rPr>
      <w:lang w:val="fr-FR"/>
    </w:rPr>
  </w:style>
  <w:style w:type="character" w:customStyle="1" w:styleId="04aNumerationChar">
    <w:name w:val="04a_Numeration Char"/>
    <w:link w:val="04aNumeration"/>
    <w:locked/>
    <w:rsid w:val="00611293"/>
    <w:rPr>
      <w:rFonts w:ascii="Georgia" w:hAnsi="Georgia"/>
      <w:szCs w:val="24"/>
      <w:lang w:val="fr-FR" w:eastAsia="de-DE"/>
    </w:rPr>
  </w:style>
  <w:style w:type="character" w:customStyle="1" w:styleId="TekstprzypisudolnegoZnak">
    <w:name w:val="Tekst przypisu dolnego Znak"/>
    <w:aliases w:val="Char3 Znak, Char3 Znak,Fußnotentextf Znak,Fußnotentextr Znak,stile 1 Znak,Footnote1 Znak,Footnote2 Znak,Footnote3 Znak,Footnote4 Znak,Footnote5 Znak,Footnote6 Znak,Footnote7 Znak,Footnote8 Znak,Footnote9 Znak,Footnote10 Znak"/>
    <w:link w:val="Tekstprzypisudolnego"/>
    <w:uiPriority w:val="99"/>
    <w:locked/>
    <w:rsid w:val="00D0272C"/>
    <w:rPr>
      <w:rFonts w:ascii="Georgia" w:hAnsi="Georgia"/>
      <w:sz w:val="16"/>
      <w:lang w:eastAsia="de-DE"/>
    </w:rPr>
  </w:style>
  <w:style w:type="paragraph" w:customStyle="1" w:styleId="DPpara">
    <w:name w:val="DP para"/>
    <w:basedOn w:val="04aNumeration"/>
    <w:link w:val="DPparaChar"/>
    <w:rsid w:val="00D0272C"/>
    <w:pPr>
      <w:numPr>
        <w:numId w:val="7"/>
      </w:numPr>
    </w:pPr>
    <w:rPr>
      <w:szCs w:val="20"/>
    </w:rPr>
  </w:style>
  <w:style w:type="character" w:customStyle="1" w:styleId="DPparaChar">
    <w:name w:val="DP para Char"/>
    <w:link w:val="DPpara"/>
    <w:locked/>
    <w:rsid w:val="00D0272C"/>
    <w:rPr>
      <w:rFonts w:ascii="Arial" w:hAnsi="Arial"/>
      <w:lang w:val="fr-FR" w:eastAsia="de-DE"/>
    </w:rPr>
  </w:style>
  <w:style w:type="character" w:customStyle="1" w:styleId="CommentTextChar1">
    <w:name w:val="Comment Text Char1"/>
    <w:rsid w:val="008E1B6A"/>
    <w:rPr>
      <w:rFonts w:ascii="Georgia" w:hAnsi="Georgia"/>
      <w:lang w:eastAsia="de-DE"/>
    </w:rPr>
  </w:style>
  <w:style w:type="character" w:customStyle="1" w:styleId="FootnoteTextChar1">
    <w:name w:val="Footnote Text Char1"/>
    <w:aliases w:val="Char3 Char1, Char3 Char1"/>
    <w:locked/>
    <w:rsid w:val="008E1B6A"/>
    <w:rPr>
      <w:rFonts w:ascii="Georgia" w:hAnsi="Georgia"/>
      <w:sz w:val="16"/>
      <w:lang w:eastAsia="de-DE"/>
    </w:rPr>
  </w:style>
  <w:style w:type="paragraph" w:customStyle="1" w:styleId="Default">
    <w:name w:val="Default"/>
    <w:rsid w:val="008E1B6A"/>
    <w:pPr>
      <w:autoSpaceDE w:val="0"/>
      <w:autoSpaceDN w:val="0"/>
      <w:adjustRightInd w:val="0"/>
    </w:pPr>
    <w:rPr>
      <w:rFonts w:ascii="Georgia" w:hAnsi="Georgia" w:cs="Georgia"/>
      <w:color w:val="000000"/>
      <w:sz w:val="24"/>
      <w:szCs w:val="24"/>
      <w:lang w:val="fr-FR"/>
    </w:rPr>
  </w:style>
  <w:style w:type="character" w:customStyle="1" w:styleId="hps">
    <w:name w:val="hps"/>
    <w:basedOn w:val="Domylnaczcionkaakapitu"/>
    <w:rsid w:val="008E1B6A"/>
  </w:style>
  <w:style w:type="paragraph" w:customStyle="1" w:styleId="ManualNumPar1">
    <w:name w:val="Manual NumPar 1"/>
    <w:basedOn w:val="Normalny"/>
    <w:next w:val="Normalny"/>
    <w:link w:val="ManualNumPar1Char"/>
    <w:uiPriority w:val="99"/>
    <w:rsid w:val="003779C1"/>
    <w:pPr>
      <w:spacing w:before="120" w:after="120" w:line="360" w:lineRule="auto"/>
      <w:ind w:left="850" w:hanging="850"/>
      <w:outlineLvl w:val="0"/>
    </w:pPr>
    <w:rPr>
      <w:rFonts w:ascii="Times New Roman" w:hAnsi="Times New Roman"/>
      <w:sz w:val="24"/>
      <w:lang w:eastAsia="en-US"/>
    </w:rPr>
  </w:style>
  <w:style w:type="character" w:customStyle="1" w:styleId="ManualNumPar1Char">
    <w:name w:val="Manual NumPar 1 Char"/>
    <w:link w:val="ManualNumPar1"/>
    <w:uiPriority w:val="99"/>
    <w:locked/>
    <w:rsid w:val="003779C1"/>
    <w:rPr>
      <w:sz w:val="24"/>
      <w:szCs w:val="24"/>
      <w:lang w:eastAsia="en-US"/>
    </w:rPr>
  </w:style>
  <w:style w:type="character" w:customStyle="1" w:styleId="Nagwek1Znak">
    <w:name w:val="Nagłówek 1 Znak"/>
    <w:link w:val="Nagwek1"/>
    <w:rsid w:val="009E7724"/>
    <w:rPr>
      <w:rFonts w:ascii="Arial" w:hAnsi="Arial" w:cs="Arial"/>
      <w:b/>
      <w:bCs/>
      <w:kern w:val="32"/>
      <w:sz w:val="24"/>
      <w:szCs w:val="32"/>
      <w:lang w:eastAsia="de-DE"/>
    </w:rPr>
  </w:style>
  <w:style w:type="character" w:customStyle="1" w:styleId="Heading2Char">
    <w:name w:val="Heading 2 Char"/>
    <w:rsid w:val="00DB4121"/>
    <w:rPr>
      <w:rFonts w:ascii="Georgia" w:hAnsi="Georgia" w:cs="Arial"/>
      <w:bCs/>
      <w:i/>
      <w:kern w:val="32"/>
      <w:szCs w:val="32"/>
      <w:lang w:eastAsia="de-DE"/>
    </w:rPr>
  </w:style>
  <w:style w:type="character" w:styleId="Uwydatnienie">
    <w:name w:val="Emphasis"/>
    <w:uiPriority w:val="20"/>
    <w:qFormat/>
    <w:rsid w:val="005F028E"/>
    <w:rPr>
      <w:i/>
      <w:iCs/>
    </w:rPr>
  </w:style>
  <w:style w:type="paragraph" w:styleId="Poprawka">
    <w:name w:val="Revision"/>
    <w:link w:val="PoprawkaZnak"/>
    <w:hidden/>
    <w:uiPriority w:val="99"/>
    <w:semiHidden/>
    <w:rsid w:val="008E6A37"/>
    <w:rPr>
      <w:rFonts w:ascii="Georgia" w:hAnsi="Georgia"/>
      <w:sz w:val="22"/>
      <w:szCs w:val="24"/>
      <w:lang w:eastAsia="de-DE"/>
    </w:rPr>
  </w:style>
  <w:style w:type="paragraph" w:styleId="Spistreci3">
    <w:name w:val="toc 3"/>
    <w:basedOn w:val="Normalny"/>
    <w:next w:val="Normalny"/>
    <w:autoRedefine/>
    <w:uiPriority w:val="39"/>
    <w:qFormat/>
    <w:rsid w:val="00463787"/>
    <w:pPr>
      <w:spacing w:after="100"/>
      <w:ind w:left="440"/>
    </w:pPr>
    <w:rPr>
      <w:sz w:val="20"/>
    </w:rPr>
  </w:style>
  <w:style w:type="character" w:customStyle="1" w:styleId="SprechblasentextZeichen">
    <w:name w:val="Sprechblasentext Zeichen"/>
    <w:uiPriority w:val="99"/>
    <w:semiHidden/>
    <w:rsid w:val="00F377CD"/>
    <w:rPr>
      <w:rFonts w:ascii="Lucida Grande" w:hAnsi="Lucida Grande"/>
      <w:sz w:val="18"/>
      <w:szCs w:val="18"/>
    </w:rPr>
  </w:style>
  <w:style w:type="paragraph" w:customStyle="1" w:styleId="CM3">
    <w:name w:val="CM3"/>
    <w:basedOn w:val="Normalny"/>
    <w:next w:val="Normalny"/>
    <w:uiPriority w:val="99"/>
    <w:rsid w:val="00F377CD"/>
    <w:pPr>
      <w:autoSpaceDE w:val="0"/>
      <w:autoSpaceDN w:val="0"/>
      <w:adjustRightInd w:val="0"/>
    </w:pPr>
    <w:rPr>
      <w:rFonts w:ascii="EUAlbertina" w:eastAsia="Calibri" w:hAnsi="EUAlbertina"/>
      <w:sz w:val="24"/>
      <w:lang w:val="fr-FR" w:eastAsia="en-US"/>
    </w:rPr>
  </w:style>
  <w:style w:type="paragraph" w:customStyle="1" w:styleId="CM4">
    <w:name w:val="CM4"/>
    <w:basedOn w:val="Normalny"/>
    <w:next w:val="Normalny"/>
    <w:uiPriority w:val="99"/>
    <w:rsid w:val="00F377CD"/>
    <w:pPr>
      <w:autoSpaceDE w:val="0"/>
      <w:autoSpaceDN w:val="0"/>
      <w:adjustRightInd w:val="0"/>
    </w:pPr>
    <w:rPr>
      <w:rFonts w:ascii="EUAlbertina" w:eastAsia="Calibri" w:hAnsi="EUAlbertina"/>
      <w:sz w:val="24"/>
      <w:lang w:val="fr-FR" w:eastAsia="en-US"/>
    </w:rPr>
  </w:style>
  <w:style w:type="paragraph" w:styleId="Spistreci4">
    <w:name w:val="toc 4"/>
    <w:basedOn w:val="Normalny"/>
    <w:next w:val="Normalny"/>
    <w:autoRedefine/>
    <w:uiPriority w:val="39"/>
    <w:unhideWhenUsed/>
    <w:rsid w:val="00F377CD"/>
    <w:pPr>
      <w:spacing w:after="100" w:line="276" w:lineRule="auto"/>
      <w:ind w:left="660"/>
    </w:pPr>
    <w:rPr>
      <w:rFonts w:ascii="Calibri" w:hAnsi="Calibri"/>
      <w:szCs w:val="22"/>
      <w:lang w:eastAsia="en-GB"/>
    </w:rPr>
  </w:style>
  <w:style w:type="paragraph" w:styleId="Spistreci5">
    <w:name w:val="toc 5"/>
    <w:basedOn w:val="Normalny"/>
    <w:next w:val="Normalny"/>
    <w:autoRedefine/>
    <w:uiPriority w:val="39"/>
    <w:unhideWhenUsed/>
    <w:rsid w:val="00F377CD"/>
    <w:pPr>
      <w:spacing w:after="100" w:line="276" w:lineRule="auto"/>
      <w:ind w:left="880"/>
    </w:pPr>
    <w:rPr>
      <w:rFonts w:ascii="Calibri" w:hAnsi="Calibri"/>
      <w:szCs w:val="22"/>
      <w:lang w:eastAsia="en-GB"/>
    </w:rPr>
  </w:style>
  <w:style w:type="paragraph" w:styleId="Spistreci6">
    <w:name w:val="toc 6"/>
    <w:basedOn w:val="Normalny"/>
    <w:next w:val="Normalny"/>
    <w:autoRedefine/>
    <w:uiPriority w:val="39"/>
    <w:unhideWhenUsed/>
    <w:rsid w:val="00F377CD"/>
    <w:pPr>
      <w:spacing w:after="100" w:line="276" w:lineRule="auto"/>
      <w:ind w:left="1100"/>
    </w:pPr>
    <w:rPr>
      <w:rFonts w:ascii="Calibri" w:hAnsi="Calibri"/>
      <w:szCs w:val="22"/>
      <w:lang w:eastAsia="en-GB"/>
    </w:rPr>
  </w:style>
  <w:style w:type="paragraph" w:styleId="Spistreci7">
    <w:name w:val="toc 7"/>
    <w:basedOn w:val="Normalny"/>
    <w:next w:val="Normalny"/>
    <w:autoRedefine/>
    <w:uiPriority w:val="39"/>
    <w:unhideWhenUsed/>
    <w:rsid w:val="00F377CD"/>
    <w:pPr>
      <w:spacing w:after="100" w:line="276" w:lineRule="auto"/>
      <w:ind w:left="1320"/>
    </w:pPr>
    <w:rPr>
      <w:rFonts w:ascii="Calibri" w:hAnsi="Calibri"/>
      <w:szCs w:val="22"/>
      <w:lang w:eastAsia="en-GB"/>
    </w:rPr>
  </w:style>
  <w:style w:type="paragraph" w:styleId="Spistreci8">
    <w:name w:val="toc 8"/>
    <w:basedOn w:val="Normalny"/>
    <w:next w:val="Normalny"/>
    <w:autoRedefine/>
    <w:uiPriority w:val="39"/>
    <w:unhideWhenUsed/>
    <w:rsid w:val="00F377CD"/>
    <w:pPr>
      <w:spacing w:after="100" w:line="276" w:lineRule="auto"/>
      <w:ind w:left="1540"/>
    </w:pPr>
    <w:rPr>
      <w:rFonts w:ascii="Calibri" w:hAnsi="Calibri"/>
      <w:szCs w:val="22"/>
      <w:lang w:eastAsia="en-GB"/>
    </w:rPr>
  </w:style>
  <w:style w:type="paragraph" w:styleId="Spistreci9">
    <w:name w:val="toc 9"/>
    <w:basedOn w:val="Normalny"/>
    <w:next w:val="Normalny"/>
    <w:autoRedefine/>
    <w:uiPriority w:val="39"/>
    <w:unhideWhenUsed/>
    <w:rsid w:val="00F377CD"/>
    <w:pPr>
      <w:spacing w:after="100" w:line="276" w:lineRule="auto"/>
      <w:ind w:left="1760"/>
    </w:pPr>
    <w:rPr>
      <w:rFonts w:ascii="Calibri" w:hAnsi="Calibri"/>
      <w:szCs w:val="22"/>
      <w:lang w:eastAsia="en-GB"/>
    </w:rPr>
  </w:style>
  <w:style w:type="character" w:customStyle="1" w:styleId="DeltaViewInsertion">
    <w:name w:val="DeltaView Insertion"/>
    <w:uiPriority w:val="99"/>
    <w:rsid w:val="00F377CD"/>
    <w:rPr>
      <w:b/>
      <w:bCs/>
      <w:color w:val="FFFFFF"/>
      <w:spacing w:val="0"/>
      <w:u w:val="single"/>
    </w:rPr>
  </w:style>
  <w:style w:type="paragraph" w:styleId="Legenda">
    <w:name w:val="caption"/>
    <w:basedOn w:val="Normalny"/>
    <w:next w:val="Normalny"/>
    <w:unhideWhenUsed/>
    <w:qFormat/>
    <w:rsid w:val="00E21407"/>
    <w:pPr>
      <w:spacing w:after="200"/>
    </w:pPr>
    <w:rPr>
      <w:b/>
      <w:bCs/>
      <w:sz w:val="18"/>
      <w:szCs w:val="18"/>
    </w:rPr>
  </w:style>
  <w:style w:type="character" w:customStyle="1" w:styleId="Heading5Char">
    <w:name w:val="Heading 5 Char"/>
    <w:uiPriority w:val="9"/>
    <w:rsid w:val="00251EA9"/>
    <w:rPr>
      <w:rFonts w:ascii="Georgia" w:eastAsia="Times New Roman" w:hAnsi="Georgia" w:cs="Times New Roman"/>
      <w:b/>
      <w:szCs w:val="24"/>
      <w:lang w:eastAsia="de-DE"/>
    </w:rPr>
  </w:style>
  <w:style w:type="paragraph" w:styleId="NormalnyWeb">
    <w:name w:val="Normal (Web)"/>
    <w:basedOn w:val="Normalny"/>
    <w:rsid w:val="00900E7A"/>
    <w:pPr>
      <w:spacing w:before="100" w:beforeAutospacing="1" w:after="100" w:afterAutospacing="1"/>
    </w:pPr>
    <w:rPr>
      <w:rFonts w:ascii="Times New Roman" w:hAnsi="Times New Roman"/>
      <w:sz w:val="24"/>
      <w:lang w:val="fr-FR" w:eastAsia="fr-FR"/>
    </w:rPr>
  </w:style>
  <w:style w:type="character" w:customStyle="1" w:styleId="Heading5Char1">
    <w:name w:val="Heading 5 Char1"/>
    <w:rsid w:val="00BF1620"/>
    <w:rPr>
      <w:rFonts w:ascii="Georgia" w:hAnsi="Georgia"/>
      <w:b/>
      <w:bCs/>
      <w:iCs/>
      <w:szCs w:val="26"/>
      <w:lang w:eastAsia="de-DE"/>
    </w:rPr>
  </w:style>
  <w:style w:type="paragraph" w:styleId="Mapadokumentu">
    <w:name w:val="Document Map"/>
    <w:basedOn w:val="Normalny"/>
    <w:link w:val="MapadokumentuZnak"/>
    <w:rsid w:val="00AA016B"/>
    <w:rPr>
      <w:rFonts w:ascii="Tahoma" w:hAnsi="Tahoma" w:cs="Tahoma"/>
      <w:sz w:val="16"/>
      <w:szCs w:val="16"/>
    </w:rPr>
  </w:style>
  <w:style w:type="character" w:customStyle="1" w:styleId="MapadokumentuZnak">
    <w:name w:val="Mapa dokumentu Znak"/>
    <w:link w:val="Mapadokumentu"/>
    <w:rsid w:val="00AA016B"/>
    <w:rPr>
      <w:rFonts w:ascii="Tahoma" w:hAnsi="Tahoma" w:cs="Tahoma"/>
      <w:sz w:val="16"/>
      <w:szCs w:val="16"/>
      <w:lang w:eastAsia="de-DE"/>
    </w:rPr>
  </w:style>
  <w:style w:type="paragraph" w:styleId="Zwykytekst">
    <w:name w:val="Plain Text"/>
    <w:basedOn w:val="Normalny"/>
    <w:link w:val="ZwykytekstZnak"/>
    <w:unhideWhenUsed/>
    <w:rsid w:val="00AA016B"/>
    <w:rPr>
      <w:rFonts w:ascii="Consolas" w:hAnsi="Consolas"/>
      <w:sz w:val="21"/>
      <w:szCs w:val="21"/>
      <w:lang w:val="de-DE"/>
    </w:rPr>
  </w:style>
  <w:style w:type="character" w:customStyle="1" w:styleId="ZwykytekstZnak">
    <w:name w:val="Zwykły tekst Znak"/>
    <w:link w:val="Zwykytekst"/>
    <w:rsid w:val="00AA016B"/>
    <w:rPr>
      <w:rFonts w:ascii="Consolas" w:hAnsi="Consolas"/>
      <w:sz w:val="21"/>
      <w:szCs w:val="21"/>
      <w:lang w:val="de-DE" w:eastAsia="de-DE"/>
    </w:rPr>
  </w:style>
  <w:style w:type="paragraph" w:styleId="Tekstpodstawowy">
    <w:name w:val="Body Text"/>
    <w:basedOn w:val="Normalny"/>
    <w:link w:val="TekstpodstawowyZnak"/>
    <w:unhideWhenUsed/>
    <w:rsid w:val="00AA016B"/>
    <w:pPr>
      <w:numPr>
        <w:numId w:val="9"/>
      </w:numPr>
      <w:spacing w:after="240"/>
      <w:jc w:val="both"/>
    </w:pPr>
    <w:rPr>
      <w:rFonts w:ascii="Times New Roman" w:hAnsi="Times New Roman"/>
      <w:sz w:val="24"/>
      <w:szCs w:val="20"/>
      <w:lang w:eastAsia="en-GB"/>
    </w:rPr>
  </w:style>
  <w:style w:type="character" w:customStyle="1" w:styleId="TekstpodstawowyZnak">
    <w:name w:val="Tekst podstawowy Znak"/>
    <w:link w:val="Tekstpodstawowy"/>
    <w:rsid w:val="00AA016B"/>
    <w:rPr>
      <w:sz w:val="24"/>
    </w:rPr>
  </w:style>
  <w:style w:type="paragraph" w:customStyle="1" w:styleId="ListParagraph1">
    <w:name w:val="List Paragraph1"/>
    <w:basedOn w:val="Normalny"/>
    <w:qFormat/>
    <w:rsid w:val="00F67F04"/>
    <w:pPr>
      <w:spacing w:after="200" w:line="276" w:lineRule="atLeast"/>
      <w:ind w:left="720"/>
    </w:pPr>
    <w:rPr>
      <w:rFonts w:ascii="Calibri" w:hAnsi="Calibri" w:cs="Calibri"/>
      <w:szCs w:val="20"/>
      <w:lang w:val="el-GR" w:eastAsia="en-US"/>
    </w:rPr>
  </w:style>
  <w:style w:type="character" w:customStyle="1" w:styleId="Heading5Char2">
    <w:name w:val="Heading 5 Char2"/>
    <w:rsid w:val="003E68C7"/>
    <w:rPr>
      <w:rFonts w:ascii="Georgia" w:eastAsia="Times New Roman" w:hAnsi="Georgia" w:cs="Times New Roman"/>
      <w:b/>
      <w:szCs w:val="24"/>
      <w:lang w:eastAsia="de-DE"/>
    </w:rPr>
  </w:style>
  <w:style w:type="character" w:styleId="Pogrubienie">
    <w:name w:val="Strong"/>
    <w:aliases w:val="Bolded"/>
    <w:qFormat/>
    <w:rsid w:val="00974881"/>
    <w:rPr>
      <w:b/>
      <w:bCs/>
    </w:rPr>
  </w:style>
  <w:style w:type="character" w:customStyle="1" w:styleId="Strong1">
    <w:name w:val="Strong1"/>
    <w:qFormat/>
    <w:rsid w:val="00974881"/>
    <w:rPr>
      <w:b/>
      <w:bCs/>
    </w:rPr>
  </w:style>
  <w:style w:type="character" w:customStyle="1" w:styleId="Strong2">
    <w:name w:val="Strong2"/>
    <w:qFormat/>
    <w:rsid w:val="00974881"/>
    <w:rPr>
      <w:b/>
      <w:bCs/>
    </w:rPr>
  </w:style>
  <w:style w:type="character" w:customStyle="1" w:styleId="Heading5Char3">
    <w:name w:val="Heading 5 Char3"/>
    <w:rsid w:val="00FC318D"/>
    <w:rPr>
      <w:rFonts w:ascii="Georgia" w:eastAsia="Times New Roman" w:hAnsi="Georgia" w:cs="Times New Roman"/>
      <w:b/>
      <w:szCs w:val="24"/>
      <w:lang w:eastAsia="de-DE"/>
    </w:rPr>
  </w:style>
  <w:style w:type="character" w:customStyle="1" w:styleId="Heading5Char4">
    <w:name w:val="Heading 5 Char4"/>
    <w:rsid w:val="002B4ED8"/>
    <w:rPr>
      <w:rFonts w:ascii="Georgia" w:eastAsia="Times New Roman" w:hAnsi="Georgia" w:cs="Times New Roman"/>
      <w:b/>
      <w:szCs w:val="24"/>
      <w:lang w:eastAsia="de-DE"/>
    </w:rPr>
  </w:style>
  <w:style w:type="character" w:customStyle="1" w:styleId="Heading2Char1">
    <w:name w:val="Heading 2 Char1"/>
    <w:rsid w:val="00885E6F"/>
    <w:rPr>
      <w:rFonts w:ascii="Georgia" w:eastAsia="Times New Roman" w:hAnsi="Georgia" w:cs="Times New Roman"/>
      <w:b/>
      <w:bCs/>
      <w:sz w:val="22"/>
      <w:szCs w:val="26"/>
      <w:lang w:eastAsia="de-DE"/>
    </w:rPr>
  </w:style>
  <w:style w:type="character" w:customStyle="1" w:styleId="Heading3Char">
    <w:name w:val="Heading 3 Char"/>
    <w:rsid w:val="00865B01"/>
    <w:rPr>
      <w:rFonts w:ascii="Georgia" w:eastAsia="Times New Roman" w:hAnsi="Georgia" w:cs="Times New Roman"/>
      <w:b/>
      <w:sz w:val="22"/>
      <w:szCs w:val="26"/>
      <w:lang w:eastAsia="de-DE"/>
    </w:rPr>
  </w:style>
  <w:style w:type="character" w:customStyle="1" w:styleId="Heading5Char5">
    <w:name w:val="Heading 5 Char5"/>
    <w:rsid w:val="0041634D"/>
    <w:rPr>
      <w:rFonts w:ascii="Georgia" w:eastAsia="Times New Roman" w:hAnsi="Georgia" w:cs="Times New Roman"/>
      <w:b/>
      <w:szCs w:val="24"/>
      <w:lang w:eastAsia="de-DE"/>
    </w:rPr>
  </w:style>
  <w:style w:type="character" w:customStyle="1" w:styleId="Nagwek2Znak">
    <w:name w:val="Nagłówek 2 Znak"/>
    <w:link w:val="Nagwek2"/>
    <w:rsid w:val="00886A60"/>
    <w:rPr>
      <w:rFonts w:ascii="Georgia" w:eastAsia="Times New Roman" w:hAnsi="Georgia" w:cs="Times New Roman"/>
      <w:b/>
      <w:bCs/>
      <w:sz w:val="22"/>
      <w:szCs w:val="26"/>
      <w:lang w:eastAsia="de-DE"/>
    </w:rPr>
  </w:style>
  <w:style w:type="character" w:customStyle="1" w:styleId="Strong3">
    <w:name w:val="Strong3"/>
    <w:qFormat/>
    <w:rsid w:val="00974881"/>
    <w:rPr>
      <w:b/>
      <w:bCs/>
    </w:rPr>
  </w:style>
  <w:style w:type="character" w:customStyle="1" w:styleId="Heading5Char6">
    <w:name w:val="Heading 5 Char6"/>
    <w:rsid w:val="00C36FD1"/>
    <w:rPr>
      <w:rFonts w:ascii="Georgia" w:eastAsia="Times New Roman" w:hAnsi="Georgia" w:cs="Times New Roman"/>
      <w:b/>
      <w:szCs w:val="24"/>
      <w:lang w:eastAsia="de-DE"/>
    </w:rPr>
  </w:style>
  <w:style w:type="character" w:customStyle="1" w:styleId="Heading4Char">
    <w:name w:val="Heading 4 Char"/>
    <w:rsid w:val="007805B9"/>
    <w:rPr>
      <w:rFonts w:ascii="Georgia" w:eastAsia="Times New Roman" w:hAnsi="Georgia" w:cs="Times New Roman"/>
      <w:b/>
      <w:i/>
      <w:szCs w:val="28"/>
      <w:lang w:eastAsia="de-DE"/>
    </w:rPr>
  </w:style>
  <w:style w:type="character" w:customStyle="1" w:styleId="Nagwek9Znak">
    <w:name w:val="Nagłówek 9 Znak"/>
    <w:link w:val="Nagwek9"/>
    <w:rsid w:val="00A06867"/>
    <w:rPr>
      <w:rFonts w:ascii="Arial" w:hAnsi="Arial" w:cs="Arial"/>
      <w:sz w:val="22"/>
      <w:szCs w:val="22"/>
      <w:lang w:eastAsia="de-DE"/>
    </w:rPr>
  </w:style>
  <w:style w:type="character" w:customStyle="1" w:styleId="italic1">
    <w:name w:val="italic1"/>
    <w:uiPriority w:val="99"/>
    <w:rsid w:val="00A06867"/>
    <w:rPr>
      <w:rFonts w:cs="Times New Roman"/>
      <w:i/>
      <w:iCs/>
    </w:rPr>
  </w:style>
  <w:style w:type="paragraph" w:customStyle="1" w:styleId="5Normal">
    <w:name w:val="5 Normal"/>
    <w:basedOn w:val="Normalny"/>
    <w:link w:val="5NormalChar"/>
    <w:rsid w:val="00A06867"/>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ind w:right="57"/>
      <w:jc w:val="both"/>
    </w:pPr>
    <w:rPr>
      <w:rFonts w:ascii="Verdana" w:hAnsi="Verdana"/>
      <w:spacing w:val="-2"/>
      <w:sz w:val="20"/>
      <w:lang w:eastAsia="en-GB"/>
    </w:rPr>
  </w:style>
  <w:style w:type="character" w:customStyle="1" w:styleId="5NormalChar">
    <w:name w:val="5 Normal Char"/>
    <w:link w:val="5Normal"/>
    <w:locked/>
    <w:rsid w:val="00A06867"/>
    <w:rPr>
      <w:rFonts w:ascii="Verdana" w:hAnsi="Verdana"/>
      <w:spacing w:val="-2"/>
      <w:szCs w:val="24"/>
    </w:rPr>
  </w:style>
  <w:style w:type="character" w:customStyle="1" w:styleId="Heading5Char7">
    <w:name w:val="Heading 5 Char7"/>
    <w:aliases w:val="Questions Char"/>
    <w:rsid w:val="00A06867"/>
    <w:rPr>
      <w:rFonts w:ascii="Georgia" w:eastAsia="Times New Roman" w:hAnsi="Georgia" w:cs="Times New Roman"/>
      <w:b/>
      <w:szCs w:val="24"/>
      <w:lang w:eastAsia="de-DE"/>
    </w:rPr>
  </w:style>
  <w:style w:type="character" w:customStyle="1" w:styleId="Heading5Char8">
    <w:name w:val="Heading 5 Char8"/>
    <w:aliases w:val="Questions Char1"/>
    <w:rsid w:val="00BF114B"/>
    <w:rPr>
      <w:rFonts w:ascii="Georgia" w:eastAsia="Times New Roman" w:hAnsi="Georgia" w:cs="Times New Roman"/>
      <w:b/>
      <w:szCs w:val="24"/>
      <w:lang w:eastAsia="de-DE"/>
    </w:rPr>
  </w:style>
  <w:style w:type="character" w:customStyle="1" w:styleId="Nagwek7Znak">
    <w:name w:val="Nagłówek 7 Znak"/>
    <w:link w:val="Nagwek7"/>
    <w:rsid w:val="002D6E1A"/>
    <w:rPr>
      <w:sz w:val="22"/>
      <w:szCs w:val="24"/>
      <w:lang w:eastAsia="de-DE"/>
    </w:rPr>
  </w:style>
  <w:style w:type="character" w:customStyle="1" w:styleId="Nagwek6Znak">
    <w:name w:val="Nagłówek 6 Znak"/>
    <w:link w:val="Nagwek6"/>
    <w:rsid w:val="002D6E1A"/>
    <w:rPr>
      <w:b/>
      <w:bCs/>
      <w:sz w:val="22"/>
      <w:szCs w:val="22"/>
      <w:lang w:eastAsia="de-DE"/>
    </w:rPr>
  </w:style>
  <w:style w:type="character" w:customStyle="1" w:styleId="Nagwek8Znak">
    <w:name w:val="Nagłówek 8 Znak"/>
    <w:link w:val="Nagwek8"/>
    <w:rsid w:val="002D6E1A"/>
    <w:rPr>
      <w:i/>
      <w:iCs/>
      <w:sz w:val="22"/>
      <w:szCs w:val="24"/>
      <w:lang w:eastAsia="de-DE"/>
    </w:rPr>
  </w:style>
  <w:style w:type="numbering" w:customStyle="1" w:styleId="NoList1">
    <w:name w:val="No List1"/>
    <w:next w:val="Bezlisty"/>
    <w:uiPriority w:val="99"/>
    <w:semiHidden/>
    <w:unhideWhenUsed/>
    <w:rsid w:val="002D6E1A"/>
  </w:style>
  <w:style w:type="character" w:styleId="UyteHipercze">
    <w:name w:val="FollowedHyperlink"/>
    <w:unhideWhenUsed/>
    <w:rsid w:val="002D6E1A"/>
    <w:rPr>
      <w:color w:val="800080"/>
      <w:u w:val="single"/>
    </w:rPr>
  </w:style>
  <w:style w:type="character" w:customStyle="1" w:styleId="NagwekZnak">
    <w:name w:val="Nagłówek Znak"/>
    <w:link w:val="Nagwek"/>
    <w:rsid w:val="002D6E1A"/>
    <w:rPr>
      <w:rFonts w:ascii="Georgia" w:hAnsi="Georgia"/>
      <w:sz w:val="22"/>
      <w:szCs w:val="24"/>
      <w:lang w:eastAsia="de-DE"/>
    </w:rPr>
  </w:style>
  <w:style w:type="character" w:customStyle="1" w:styleId="StopkaZnak">
    <w:name w:val="Stopka Znak"/>
    <w:link w:val="Stopka"/>
    <w:rsid w:val="002D6E1A"/>
    <w:rPr>
      <w:rFonts w:ascii="Georgia" w:hAnsi="Georgia"/>
      <w:sz w:val="22"/>
      <w:szCs w:val="24"/>
      <w:lang w:eastAsia="de-DE"/>
    </w:rPr>
  </w:style>
  <w:style w:type="paragraph" w:styleId="Tekstprzypisukocowego">
    <w:name w:val="endnote text"/>
    <w:basedOn w:val="Normalny"/>
    <w:link w:val="TekstprzypisukocowegoZnak"/>
    <w:unhideWhenUsed/>
    <w:rsid w:val="002D6E1A"/>
    <w:rPr>
      <w:sz w:val="20"/>
      <w:szCs w:val="20"/>
    </w:rPr>
  </w:style>
  <w:style w:type="character" w:customStyle="1" w:styleId="TekstprzypisukocowegoZnak">
    <w:name w:val="Tekst przypisu końcowego Znak"/>
    <w:link w:val="Tekstprzypisukocowego"/>
    <w:rsid w:val="002D6E1A"/>
    <w:rPr>
      <w:rFonts w:ascii="Georgia" w:hAnsi="Georgia"/>
      <w:lang w:eastAsia="de-DE"/>
    </w:rPr>
  </w:style>
  <w:style w:type="paragraph" w:styleId="Listanumerowana">
    <w:name w:val="List Number"/>
    <w:basedOn w:val="Normalny"/>
    <w:unhideWhenUsed/>
    <w:rsid w:val="002D6E1A"/>
    <w:pPr>
      <w:numPr>
        <w:numId w:val="10"/>
      </w:numPr>
      <w:spacing w:before="120" w:after="120"/>
      <w:ind w:left="360" w:hanging="360"/>
      <w:jc w:val="both"/>
    </w:pPr>
    <w:rPr>
      <w:rFonts w:ascii="Times New Roman" w:hAnsi="Times New Roman"/>
      <w:sz w:val="24"/>
      <w:lang w:eastAsia="en-US"/>
    </w:rPr>
  </w:style>
  <w:style w:type="character" w:customStyle="1" w:styleId="AkapitzlistZnak">
    <w:name w:val="Akapit z listą Znak"/>
    <w:aliases w:val="Paragraphe EI Znak,Paragraphe de liste1 Znak,EC Znak"/>
    <w:link w:val="Akapitzlist"/>
    <w:locked/>
    <w:rsid w:val="002D6E1A"/>
    <w:rPr>
      <w:rFonts w:ascii="Georgia" w:hAnsi="Georgia"/>
      <w:sz w:val="22"/>
      <w:szCs w:val="24"/>
      <w:lang w:eastAsia="de-DE"/>
    </w:rPr>
  </w:style>
  <w:style w:type="paragraph" w:customStyle="1" w:styleId="04anumbering0">
    <w:name w:val="04anumbering"/>
    <w:basedOn w:val="Normalny"/>
    <w:rsid w:val="002D6E1A"/>
    <w:pPr>
      <w:tabs>
        <w:tab w:val="num" w:pos="360"/>
      </w:tabs>
      <w:spacing w:after="250" w:line="276" w:lineRule="auto"/>
      <w:jc w:val="both"/>
    </w:pPr>
    <w:rPr>
      <w:rFonts w:eastAsia="Calibri"/>
      <w:sz w:val="20"/>
      <w:szCs w:val="20"/>
      <w:lang w:eastAsia="en-GB"/>
    </w:rPr>
  </w:style>
  <w:style w:type="paragraph" w:customStyle="1" w:styleId="Tiret1">
    <w:name w:val="Tiret 1"/>
    <w:basedOn w:val="Normalny"/>
    <w:rsid w:val="002D6E1A"/>
    <w:pPr>
      <w:numPr>
        <w:numId w:val="11"/>
      </w:numPr>
      <w:spacing w:before="120" w:after="120"/>
      <w:jc w:val="both"/>
    </w:pPr>
    <w:rPr>
      <w:rFonts w:ascii="Times New Roman" w:hAnsi="Times New Roman"/>
      <w:sz w:val="24"/>
      <w:lang w:eastAsia="en-US"/>
    </w:rPr>
  </w:style>
  <w:style w:type="character" w:customStyle="1" w:styleId="DPChar">
    <w:name w:val="DP Char"/>
    <w:link w:val="DP"/>
    <w:locked/>
    <w:rsid w:val="002D6E1A"/>
    <w:rPr>
      <w:rFonts w:ascii="Georgia" w:hAnsi="Georgia"/>
      <w:b/>
      <w:u w:val="single"/>
      <w:lang w:eastAsia="de-DE"/>
    </w:rPr>
  </w:style>
  <w:style w:type="paragraph" w:customStyle="1" w:styleId="DP">
    <w:name w:val="DP"/>
    <w:basedOn w:val="Akapitzlist"/>
    <w:link w:val="DPChar"/>
    <w:qFormat/>
    <w:rsid w:val="002D6E1A"/>
    <w:pPr>
      <w:ind w:left="708"/>
      <w:contextualSpacing w:val="0"/>
      <w:jc w:val="both"/>
    </w:pPr>
    <w:rPr>
      <w:b/>
      <w:sz w:val="20"/>
      <w:szCs w:val="20"/>
      <w:u w:val="single"/>
    </w:rPr>
  </w:style>
  <w:style w:type="paragraph" w:customStyle="1" w:styleId="Bullet">
    <w:name w:val="Bullet"/>
    <w:basedOn w:val="Normalny"/>
    <w:rsid w:val="002D6E1A"/>
    <w:pPr>
      <w:numPr>
        <w:numId w:val="12"/>
      </w:numPr>
      <w:tabs>
        <w:tab w:val="left" w:pos="708"/>
      </w:tabs>
      <w:spacing w:before="120" w:after="120" w:line="276" w:lineRule="auto"/>
      <w:jc w:val="both"/>
    </w:pPr>
    <w:rPr>
      <w:sz w:val="20"/>
      <w:szCs w:val="20"/>
      <w:lang w:eastAsia="en-GB"/>
    </w:rPr>
  </w:style>
  <w:style w:type="character" w:styleId="Odwoanieprzypisukocowego">
    <w:name w:val="endnote reference"/>
    <w:unhideWhenUsed/>
    <w:rsid w:val="002D6E1A"/>
    <w:rPr>
      <w:vertAlign w:val="superscript"/>
    </w:rPr>
  </w:style>
  <w:style w:type="character" w:styleId="Tekstzastpczy">
    <w:name w:val="Placeholder Text"/>
    <w:uiPriority w:val="99"/>
    <w:semiHidden/>
    <w:rsid w:val="002D6E1A"/>
    <w:rPr>
      <w:color w:val="808080"/>
    </w:rPr>
  </w:style>
  <w:style w:type="character" w:customStyle="1" w:styleId="apple-converted-space">
    <w:name w:val="apple-converted-space"/>
    <w:rsid w:val="002D6E1A"/>
  </w:style>
  <w:style w:type="table" w:customStyle="1" w:styleId="TableGrid1">
    <w:name w:val="Table Grid1"/>
    <w:basedOn w:val="Standardowy"/>
    <w:uiPriority w:val="59"/>
    <w:rsid w:val="002D6E1A"/>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Bezlisty"/>
    <w:uiPriority w:val="99"/>
    <w:semiHidden/>
    <w:unhideWhenUsed/>
    <w:rsid w:val="002D6E1A"/>
  </w:style>
  <w:style w:type="paragraph" w:customStyle="1" w:styleId="AutoCorrect">
    <w:name w:val="AutoCorrect"/>
    <w:rsid w:val="002D6E1A"/>
    <w:pPr>
      <w:spacing w:after="200" w:line="276" w:lineRule="auto"/>
    </w:pPr>
    <w:rPr>
      <w:rFonts w:ascii="Calibri" w:hAnsi="Calibri"/>
      <w:sz w:val="22"/>
      <w:szCs w:val="22"/>
      <w:lang w:val="en-US" w:eastAsia="en-US"/>
    </w:rPr>
  </w:style>
  <w:style w:type="character" w:styleId="Numerwiersza">
    <w:name w:val="line number"/>
    <w:basedOn w:val="Domylnaczcionkaakapitu"/>
    <w:uiPriority w:val="99"/>
    <w:unhideWhenUsed/>
    <w:rsid w:val="00952F2C"/>
  </w:style>
  <w:style w:type="paragraph" w:customStyle="1" w:styleId="aStyle">
    <w:name w:val="a) Style"/>
    <w:basedOn w:val="Normalny"/>
    <w:qFormat/>
    <w:rsid w:val="00952F2C"/>
    <w:pPr>
      <w:numPr>
        <w:ilvl w:val="1"/>
        <w:numId w:val="13"/>
      </w:numPr>
      <w:suppressAutoHyphens/>
      <w:spacing w:before="120" w:after="120" w:line="276" w:lineRule="auto"/>
      <w:jc w:val="both"/>
    </w:pPr>
    <w:rPr>
      <w:sz w:val="20"/>
      <w:szCs w:val="20"/>
    </w:rPr>
  </w:style>
  <w:style w:type="character" w:customStyle="1" w:styleId="04aNumberingChar">
    <w:name w:val="04a_Numbering Char"/>
    <w:link w:val="04aNumbering"/>
    <w:uiPriority w:val="99"/>
    <w:rsid w:val="00952F2C"/>
    <w:rPr>
      <w:rFonts w:ascii="Georgia" w:hAnsi="Georgia"/>
      <w:szCs w:val="24"/>
      <w:lang w:eastAsia="de-DE"/>
    </w:rPr>
  </w:style>
  <w:style w:type="paragraph" w:customStyle="1" w:styleId="Anwer">
    <w:name w:val="Anwer"/>
    <w:basedOn w:val="Legenda"/>
    <w:link w:val="AnwerChar"/>
    <w:qFormat/>
    <w:rsid w:val="00952F2C"/>
    <w:pPr>
      <w:spacing w:before="120"/>
      <w:jc w:val="both"/>
    </w:pPr>
    <w:rPr>
      <w:color w:val="C0504D"/>
    </w:rPr>
  </w:style>
  <w:style w:type="character" w:customStyle="1" w:styleId="AnwerChar">
    <w:name w:val="Anwer Char"/>
    <w:link w:val="Anwer"/>
    <w:rsid w:val="00952F2C"/>
    <w:rPr>
      <w:rFonts w:ascii="Georgia" w:hAnsi="Georgia"/>
      <w:b/>
      <w:bCs/>
      <w:color w:val="C0504D"/>
      <w:sz w:val="18"/>
      <w:szCs w:val="18"/>
      <w:lang w:eastAsia="de-DE"/>
    </w:rPr>
  </w:style>
  <w:style w:type="paragraph" w:customStyle="1" w:styleId="MYNORMAL">
    <w:name w:val="MYNORMAL"/>
    <w:basedOn w:val="04aNumeration"/>
    <w:link w:val="MYNORMALChar"/>
    <w:qFormat/>
    <w:rsid w:val="00952F2C"/>
    <w:pPr>
      <w:tabs>
        <w:tab w:val="clear" w:pos="454"/>
      </w:tabs>
      <w:spacing w:before="120"/>
      <w:ind w:left="0" w:firstLine="0"/>
    </w:pPr>
  </w:style>
  <w:style w:type="character" w:customStyle="1" w:styleId="MYNORMALChar">
    <w:name w:val="MYNORMAL Char"/>
    <w:link w:val="MYNORMAL"/>
    <w:rsid w:val="00952F2C"/>
    <w:rPr>
      <w:rFonts w:ascii="Georgia" w:hAnsi="Georgia"/>
      <w:szCs w:val="24"/>
      <w:lang w:val="fr-FR" w:eastAsia="de-DE"/>
    </w:rPr>
  </w:style>
  <w:style w:type="paragraph" w:customStyle="1" w:styleId="Normal1">
    <w:name w:val="Normal1"/>
    <w:basedOn w:val="Normalny"/>
    <w:rsid w:val="00952F2C"/>
    <w:pPr>
      <w:spacing w:before="100" w:beforeAutospacing="1" w:after="100" w:afterAutospacing="1"/>
    </w:pPr>
    <w:rPr>
      <w:rFonts w:ascii="Times New Roman" w:hAnsi="Times New Roman"/>
      <w:sz w:val="24"/>
      <w:lang w:eastAsia="en-GB"/>
    </w:rPr>
  </w:style>
  <w:style w:type="character" w:customStyle="1" w:styleId="Heading5Char9">
    <w:name w:val="Heading 5 Char9"/>
    <w:aliases w:val="Questions Char2"/>
    <w:rsid w:val="004C3DAB"/>
    <w:rPr>
      <w:rFonts w:ascii="Georgia" w:eastAsia="Times New Roman" w:hAnsi="Georgia" w:cs="Times New Roman"/>
      <w:b/>
      <w:szCs w:val="24"/>
      <w:lang w:eastAsia="de-DE"/>
    </w:rPr>
  </w:style>
  <w:style w:type="character" w:customStyle="1" w:styleId="Heading5Char10">
    <w:name w:val="Heading 5 Char10"/>
    <w:aliases w:val="Questions Char3"/>
    <w:rsid w:val="00256DFE"/>
    <w:rPr>
      <w:rFonts w:ascii="Georgia" w:eastAsia="Times New Roman" w:hAnsi="Georgia" w:cs="Times New Roman"/>
      <w:b/>
      <w:szCs w:val="24"/>
      <w:lang w:eastAsia="de-DE"/>
    </w:rPr>
  </w:style>
  <w:style w:type="character" w:customStyle="1" w:styleId="Heading5Char11">
    <w:name w:val="Heading 5 Char11"/>
    <w:aliases w:val="Questions Char4"/>
    <w:rsid w:val="00903EBE"/>
    <w:rPr>
      <w:rFonts w:ascii="Georgia" w:eastAsia="Times New Roman" w:hAnsi="Georgia" w:cs="Times New Roman"/>
      <w:b/>
      <w:szCs w:val="24"/>
      <w:lang w:eastAsia="de-DE"/>
    </w:rPr>
  </w:style>
  <w:style w:type="character" w:customStyle="1" w:styleId="Heading3Char1">
    <w:name w:val="Heading 3 Char1"/>
    <w:rsid w:val="003D6780"/>
    <w:rPr>
      <w:rFonts w:ascii="Georgia" w:eastAsia="Times New Roman" w:hAnsi="Georgia" w:cs="Times New Roman"/>
      <w:b/>
      <w:sz w:val="22"/>
      <w:szCs w:val="26"/>
      <w:lang w:eastAsia="de-DE"/>
    </w:rPr>
  </w:style>
  <w:style w:type="character" w:customStyle="1" w:styleId="Heading5Char12">
    <w:name w:val="Heading 5 Char12"/>
    <w:aliases w:val="Questions Char5"/>
    <w:rsid w:val="003D6780"/>
    <w:rPr>
      <w:rFonts w:ascii="Georgia" w:eastAsia="Times New Roman" w:hAnsi="Georgia" w:cs="Times New Roman"/>
      <w:b/>
      <w:szCs w:val="24"/>
      <w:lang w:eastAsia="de-DE"/>
    </w:rPr>
  </w:style>
  <w:style w:type="character" w:customStyle="1" w:styleId="Heading5Char13">
    <w:name w:val="Heading 5 Char13"/>
    <w:aliases w:val="Questions Char6"/>
    <w:rsid w:val="00704D25"/>
    <w:rPr>
      <w:rFonts w:ascii="Georgia" w:eastAsia="Times New Roman" w:hAnsi="Georgia" w:cs="Times New Roman"/>
      <w:b/>
      <w:szCs w:val="24"/>
      <w:lang w:eastAsia="de-DE"/>
    </w:rPr>
  </w:style>
  <w:style w:type="character" w:customStyle="1" w:styleId="Strong4">
    <w:name w:val="Strong4"/>
    <w:uiPriority w:val="22"/>
    <w:qFormat/>
    <w:rsid w:val="00974881"/>
    <w:rPr>
      <w:b/>
      <w:bCs/>
    </w:rPr>
  </w:style>
  <w:style w:type="character" w:customStyle="1" w:styleId="Nagwek5Znak">
    <w:name w:val="Nagłówek 5 Znak"/>
    <w:aliases w:val="Questions Znak"/>
    <w:link w:val="Nagwek5"/>
    <w:rsid w:val="00E9344E"/>
    <w:rPr>
      <w:rFonts w:ascii="Arial" w:hAnsi="Arial"/>
      <w:b/>
      <w:sz w:val="22"/>
      <w:szCs w:val="24"/>
      <w:lang w:eastAsia="de-DE"/>
    </w:rPr>
  </w:style>
  <w:style w:type="character" w:customStyle="1" w:styleId="Nagwek3Znak">
    <w:name w:val="Nagłówek 3 Znak"/>
    <w:link w:val="Nagwek3"/>
    <w:rsid w:val="003865E5"/>
    <w:rPr>
      <w:rFonts w:ascii="Cambria" w:eastAsia="Times New Roman" w:hAnsi="Cambria" w:cs="Times New Roman"/>
      <w:b/>
      <w:bCs/>
      <w:color w:val="4F81BD"/>
      <w:sz w:val="22"/>
      <w:szCs w:val="24"/>
      <w:lang w:eastAsia="de-DE"/>
    </w:rPr>
  </w:style>
  <w:style w:type="character" w:customStyle="1" w:styleId="Nagwek4Znak">
    <w:name w:val="Nagłówek 4 Znak"/>
    <w:link w:val="Nagwek4"/>
    <w:rsid w:val="00CB7286"/>
    <w:rPr>
      <w:b/>
      <w:bCs/>
      <w:sz w:val="28"/>
      <w:szCs w:val="28"/>
      <w:lang w:eastAsia="de-DE"/>
    </w:rPr>
  </w:style>
  <w:style w:type="table" w:styleId="Jasnalistaakcent3">
    <w:name w:val="Light List Accent 3"/>
    <w:basedOn w:val="Standardowy"/>
    <w:uiPriority w:val="61"/>
    <w:rsid w:val="00CB7286"/>
    <w:rPr>
      <w:rFonts w:ascii="Calibri" w:hAnsi="Calibri"/>
      <w:sz w:val="22"/>
      <w:szCs w:val="22"/>
      <w:lang w:val="de-DE" w:eastAsia="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MittlereSchattierung1-Akzent11">
    <w:name w:val="Mittlere Schattierung 1 - Akzent 11"/>
    <w:basedOn w:val="Standardowy"/>
    <w:uiPriority w:val="63"/>
    <w:rsid w:val="00CB728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character" w:customStyle="1" w:styleId="BalloonTextChar1">
    <w:name w:val="Balloon Text Char1"/>
    <w:uiPriority w:val="99"/>
    <w:semiHidden/>
    <w:rsid w:val="000D2D0B"/>
    <w:rPr>
      <w:rFonts w:ascii="Tahoma" w:hAnsi="Tahoma" w:cs="Tahoma"/>
      <w:sz w:val="16"/>
      <w:szCs w:val="16"/>
      <w:lang w:val="en-GB" w:eastAsia="en-GB"/>
    </w:rPr>
  </w:style>
  <w:style w:type="character" w:customStyle="1" w:styleId="31TextobasenotadeprensaCNMVCar">
    <w:name w:val="3.1. Texto base nota de prensa CNMV Car"/>
    <w:rsid w:val="000D2D0B"/>
    <w:rPr>
      <w:rFonts w:ascii="Celeste" w:hAnsi="Celeste" w:cs="Times New Roman"/>
      <w:sz w:val="22"/>
      <w:lang w:val="es-ES" w:eastAsia="es-ES" w:bidi="ar-SA"/>
    </w:rPr>
  </w:style>
  <w:style w:type="paragraph" w:customStyle="1" w:styleId="01Title">
    <w:name w:val="01_Title"/>
    <w:basedOn w:val="Normalny"/>
    <w:rsid w:val="000D2D0B"/>
    <w:pPr>
      <w:spacing w:after="250" w:line="340" w:lineRule="exact"/>
      <w:ind w:left="397" w:hanging="397"/>
      <w:jc w:val="both"/>
    </w:pPr>
    <w:rPr>
      <w:b/>
      <w:caps/>
      <w:color w:val="2D4190"/>
      <w:sz w:val="28"/>
      <w:lang w:val="de-DE"/>
    </w:rPr>
  </w:style>
  <w:style w:type="paragraph" w:customStyle="1" w:styleId="04RunningText">
    <w:name w:val="04_Running Text"/>
    <w:basedOn w:val="Normalny"/>
    <w:link w:val="04RunningTextChar"/>
    <w:rsid w:val="000D2D0B"/>
    <w:pPr>
      <w:spacing w:after="250" w:line="276" w:lineRule="auto"/>
      <w:ind w:left="397" w:hanging="397"/>
      <w:jc w:val="both"/>
    </w:pPr>
    <w:rPr>
      <w:sz w:val="20"/>
      <w:lang w:val="x-none"/>
    </w:rPr>
  </w:style>
  <w:style w:type="paragraph" w:customStyle="1" w:styleId="04bListing">
    <w:name w:val="04b_Listing"/>
    <w:basedOn w:val="04RunningText"/>
    <w:rsid w:val="000D2D0B"/>
    <w:pPr>
      <w:tabs>
        <w:tab w:val="num" w:pos="568"/>
      </w:tabs>
      <w:ind w:left="568" w:hanging="284"/>
    </w:pPr>
  </w:style>
  <w:style w:type="paragraph" w:customStyle="1" w:styleId="04cRunningtextleft">
    <w:name w:val="04c_Running text left"/>
    <w:basedOn w:val="04RunningText"/>
    <w:rsid w:val="000D2D0B"/>
    <w:pPr>
      <w:spacing w:after="0"/>
      <w:jc w:val="left"/>
    </w:pPr>
  </w:style>
  <w:style w:type="paragraph" w:customStyle="1" w:styleId="05bHeadline3">
    <w:name w:val="05b_Headline 3"/>
    <w:basedOn w:val="Nagwek2"/>
    <w:rsid w:val="000D2D0B"/>
    <w:pPr>
      <w:keepNext w:val="0"/>
      <w:keepLines w:val="0"/>
      <w:tabs>
        <w:tab w:val="num" w:pos="567"/>
        <w:tab w:val="left" w:pos="851"/>
      </w:tabs>
      <w:suppressAutoHyphens/>
      <w:spacing w:before="0" w:after="250" w:line="250" w:lineRule="exact"/>
      <w:ind w:left="568" w:hanging="284"/>
      <w:jc w:val="both"/>
    </w:pPr>
    <w:rPr>
      <w:b w:val="0"/>
      <w:iCs/>
      <w:sz w:val="20"/>
      <w:szCs w:val="20"/>
      <w:lang w:val="fr-FR" w:eastAsia="x-none"/>
    </w:rPr>
  </w:style>
  <w:style w:type="character" w:customStyle="1" w:styleId="WW8Num4z1">
    <w:name w:val="WW8Num4z1"/>
    <w:rsid w:val="000D2D0B"/>
    <w:rPr>
      <w:rFonts w:ascii="Courier New" w:hAnsi="Courier New" w:cs="Courier New"/>
    </w:rPr>
  </w:style>
  <w:style w:type="paragraph" w:customStyle="1" w:styleId="TOCHeading1">
    <w:name w:val="TOC Heading1"/>
    <w:basedOn w:val="Nagwek1"/>
    <w:next w:val="Normalny"/>
    <w:unhideWhenUsed/>
    <w:qFormat/>
    <w:rsid w:val="000D2D0B"/>
    <w:pPr>
      <w:keepNext w:val="0"/>
      <w:keepLines/>
      <w:numPr>
        <w:numId w:val="0"/>
      </w:numPr>
      <w:tabs>
        <w:tab w:val="left" w:pos="397"/>
      </w:tabs>
      <w:suppressAutoHyphens/>
      <w:spacing w:before="480" w:after="0" w:line="280" w:lineRule="exact"/>
      <w:ind w:left="720" w:hanging="360"/>
      <w:jc w:val="both"/>
      <w:outlineLvl w:val="9"/>
    </w:pPr>
    <w:rPr>
      <w:rFonts w:ascii="Cambria" w:hAnsi="Cambria" w:cs="Times New Roman"/>
      <w:bCs w:val="0"/>
      <w:color w:val="365F91"/>
      <w:kern w:val="0"/>
      <w:sz w:val="28"/>
      <w:szCs w:val="28"/>
      <w:lang w:val="en-US" w:eastAsia="en-US"/>
    </w:rPr>
  </w:style>
  <w:style w:type="paragraph" w:customStyle="1" w:styleId="NoSpacing1">
    <w:name w:val="No Spacing1"/>
    <w:uiPriority w:val="1"/>
    <w:qFormat/>
    <w:rsid w:val="000D2D0B"/>
    <w:pPr>
      <w:suppressAutoHyphens/>
      <w:spacing w:after="250" w:line="276" w:lineRule="auto"/>
      <w:ind w:left="397" w:hanging="397"/>
      <w:jc w:val="both"/>
    </w:pPr>
    <w:rPr>
      <w:rFonts w:ascii="Century Schoolbook" w:hAnsi="Century Schoolbook" w:cs="Garamond"/>
      <w:szCs w:val="22"/>
      <w:lang w:eastAsia="ar-SA"/>
    </w:rPr>
  </w:style>
  <w:style w:type="paragraph" w:customStyle="1" w:styleId="04anumeration0">
    <w:name w:val="04anumeration"/>
    <w:basedOn w:val="Normalny"/>
    <w:rsid w:val="000D2D0B"/>
    <w:pPr>
      <w:tabs>
        <w:tab w:val="num" w:pos="284"/>
      </w:tabs>
      <w:spacing w:after="250" w:line="276" w:lineRule="auto"/>
      <w:ind w:left="284" w:hanging="284"/>
      <w:jc w:val="both"/>
    </w:pPr>
    <w:rPr>
      <w:rFonts w:eastAsia="Calibri"/>
      <w:sz w:val="20"/>
      <w:szCs w:val="20"/>
      <w:lang w:eastAsia="en-GB"/>
    </w:rPr>
  </w:style>
  <w:style w:type="paragraph" w:customStyle="1" w:styleId="Listenabsatz1">
    <w:name w:val="Listenabsatz1"/>
    <w:basedOn w:val="Normalny"/>
    <w:rsid w:val="000D2D0B"/>
    <w:pPr>
      <w:spacing w:line="260" w:lineRule="atLeast"/>
      <w:ind w:left="720"/>
      <w:contextualSpacing/>
    </w:pPr>
    <w:rPr>
      <w:rFonts w:ascii="Verdana" w:hAnsi="Verdana"/>
      <w:kern w:val="10"/>
      <w:sz w:val="20"/>
      <w:szCs w:val="20"/>
      <w:lang w:val="de-DE"/>
    </w:rPr>
  </w:style>
  <w:style w:type="paragraph" w:customStyle="1" w:styleId="Listenabsatz2">
    <w:name w:val="Listenabsatz2"/>
    <w:basedOn w:val="Normalny"/>
    <w:rsid w:val="000D2D0B"/>
    <w:pPr>
      <w:spacing w:line="260" w:lineRule="atLeast"/>
      <w:ind w:left="720"/>
      <w:contextualSpacing/>
    </w:pPr>
    <w:rPr>
      <w:rFonts w:ascii="Verdana" w:hAnsi="Verdana"/>
      <w:kern w:val="10"/>
      <w:sz w:val="20"/>
      <w:szCs w:val="20"/>
      <w:lang w:val="de-DE"/>
    </w:rPr>
  </w:style>
  <w:style w:type="paragraph" w:customStyle="1" w:styleId="Considrant">
    <w:name w:val="Considérant"/>
    <w:basedOn w:val="Normalny"/>
    <w:rsid w:val="000D2D0B"/>
    <w:pPr>
      <w:numPr>
        <w:numId w:val="16"/>
      </w:numPr>
      <w:spacing w:before="120" w:after="120"/>
      <w:jc w:val="both"/>
    </w:pPr>
    <w:rPr>
      <w:rFonts w:ascii="Times New Roman" w:hAnsi="Times New Roman"/>
      <w:sz w:val="24"/>
      <w:lang w:eastAsia="en-US"/>
    </w:rPr>
  </w:style>
  <w:style w:type="paragraph" w:customStyle="1" w:styleId="Institutionquisigne">
    <w:name w:val="Institution qui signe"/>
    <w:basedOn w:val="Normalny"/>
    <w:next w:val="Normalny"/>
    <w:rsid w:val="000D2D0B"/>
    <w:pPr>
      <w:keepNext/>
      <w:tabs>
        <w:tab w:val="left" w:pos="4252"/>
      </w:tabs>
      <w:spacing w:before="720"/>
      <w:jc w:val="both"/>
    </w:pPr>
    <w:rPr>
      <w:rFonts w:ascii="Times New Roman" w:hAnsi="Times New Roman"/>
      <w:i/>
      <w:sz w:val="24"/>
      <w:lang w:eastAsia="en-US"/>
    </w:rPr>
  </w:style>
  <w:style w:type="paragraph" w:customStyle="1" w:styleId="Paragrafoelenco1">
    <w:name w:val="Paragrafo elenco1"/>
    <w:basedOn w:val="Normalny"/>
    <w:rsid w:val="000D2D0B"/>
    <w:pPr>
      <w:ind w:left="720"/>
      <w:contextualSpacing/>
    </w:pPr>
    <w:rPr>
      <w:rFonts w:ascii="Cambria" w:hAnsi="Cambria"/>
      <w:sz w:val="24"/>
      <w:lang w:val="en-US" w:eastAsia="en-US"/>
    </w:rPr>
  </w:style>
  <w:style w:type="character" w:customStyle="1" w:styleId="CommentTextChar2">
    <w:name w:val="Comment Text Char2"/>
    <w:semiHidden/>
    <w:locked/>
    <w:rsid w:val="000D2D0B"/>
    <w:rPr>
      <w:rFonts w:ascii="Arial" w:hAnsi="Arial" w:cs="Times New Roman"/>
      <w:lang w:val="en-GB" w:eastAsia="en-GB" w:bidi="ar-SA"/>
    </w:rPr>
  </w:style>
  <w:style w:type="character" w:customStyle="1" w:styleId="subparatext">
    <w:name w:val="subparatext"/>
    <w:rsid w:val="000D2D0B"/>
    <w:rPr>
      <w:rFonts w:cs="Times New Roman"/>
    </w:rPr>
  </w:style>
  <w:style w:type="paragraph" w:customStyle="1" w:styleId="Normal12Hanging">
    <w:name w:val="Normal12Hanging"/>
    <w:basedOn w:val="Normalny"/>
    <w:rsid w:val="000D2D0B"/>
    <w:pPr>
      <w:widowControl w:val="0"/>
      <w:spacing w:after="240"/>
      <w:ind w:left="357" w:hanging="357"/>
    </w:pPr>
    <w:rPr>
      <w:rFonts w:ascii="Times New Roman" w:hAnsi="Times New Roman"/>
      <w:sz w:val="24"/>
      <w:szCs w:val="20"/>
      <w:lang w:eastAsia="en-GB"/>
    </w:rPr>
  </w:style>
  <w:style w:type="paragraph" w:customStyle="1" w:styleId="NormalGeorgia">
    <w:name w:val="Normal + Georgia"/>
    <w:aliases w:val="10 pt"/>
    <w:basedOn w:val="Normalny"/>
    <w:rsid w:val="000D2D0B"/>
    <w:rPr>
      <w:sz w:val="20"/>
      <w:szCs w:val="20"/>
    </w:rPr>
  </w:style>
  <w:style w:type="paragraph" w:customStyle="1" w:styleId="Sbuchead">
    <w:name w:val="Sbuchead"/>
    <w:basedOn w:val="Normalny"/>
    <w:rsid w:val="000D2D0B"/>
    <w:pPr>
      <w:spacing w:after="360"/>
    </w:pPr>
    <w:rPr>
      <w:rFonts w:ascii="Times New Roman" w:hAnsi="Times New Roman"/>
      <w:b/>
      <w:caps/>
      <w:sz w:val="24"/>
      <w:szCs w:val="20"/>
      <w:lang w:eastAsia="en-GB"/>
    </w:rPr>
  </w:style>
  <w:style w:type="paragraph" w:customStyle="1" w:styleId="Applicationdirecte">
    <w:name w:val="Application directe"/>
    <w:basedOn w:val="Normalny"/>
    <w:next w:val="Fait"/>
    <w:rsid w:val="000D2D0B"/>
    <w:pPr>
      <w:spacing w:before="480" w:after="120"/>
      <w:jc w:val="both"/>
    </w:pPr>
    <w:rPr>
      <w:rFonts w:ascii="Times New Roman" w:hAnsi="Times New Roman"/>
      <w:sz w:val="24"/>
      <w:lang w:eastAsia="en-US"/>
    </w:rPr>
  </w:style>
  <w:style w:type="paragraph" w:customStyle="1" w:styleId="Fait">
    <w:name w:val="Fait à"/>
    <w:basedOn w:val="Normalny"/>
    <w:next w:val="Institutionquisigne"/>
    <w:rsid w:val="000D2D0B"/>
    <w:pPr>
      <w:keepNext/>
      <w:spacing w:before="120"/>
      <w:jc w:val="both"/>
    </w:pPr>
    <w:rPr>
      <w:rFonts w:ascii="Times New Roman" w:hAnsi="Times New Roman"/>
      <w:sz w:val="24"/>
      <w:lang w:eastAsia="en-US"/>
    </w:rPr>
  </w:style>
  <w:style w:type="paragraph" w:customStyle="1" w:styleId="Formuledadoption">
    <w:name w:val="Formule d'adoption"/>
    <w:basedOn w:val="Normalny"/>
    <w:next w:val="Titrearticle"/>
    <w:rsid w:val="000D2D0B"/>
    <w:pPr>
      <w:keepNext/>
      <w:spacing w:before="120" w:after="120"/>
      <w:jc w:val="both"/>
    </w:pPr>
    <w:rPr>
      <w:rFonts w:ascii="Times New Roman" w:hAnsi="Times New Roman"/>
      <w:sz w:val="24"/>
      <w:lang w:eastAsia="en-US"/>
    </w:rPr>
  </w:style>
  <w:style w:type="paragraph" w:customStyle="1" w:styleId="Personnequisigne">
    <w:name w:val="Personne qui signe"/>
    <w:basedOn w:val="Normalny"/>
    <w:next w:val="Institutionquisigne"/>
    <w:rsid w:val="000D2D0B"/>
    <w:pPr>
      <w:tabs>
        <w:tab w:val="left" w:pos="4252"/>
      </w:tabs>
    </w:pPr>
    <w:rPr>
      <w:rFonts w:ascii="Times New Roman" w:hAnsi="Times New Roman"/>
      <w:i/>
      <w:sz w:val="24"/>
      <w:lang w:eastAsia="en-US"/>
    </w:rPr>
  </w:style>
  <w:style w:type="paragraph" w:customStyle="1" w:styleId="Titrearticle">
    <w:name w:val="Titre article"/>
    <w:basedOn w:val="Normalny"/>
    <w:next w:val="Normalny"/>
    <w:link w:val="TitrearticleChar"/>
    <w:uiPriority w:val="99"/>
    <w:rsid w:val="000D2D0B"/>
    <w:pPr>
      <w:keepNext/>
      <w:spacing w:before="360" w:after="120"/>
      <w:jc w:val="center"/>
    </w:pPr>
    <w:rPr>
      <w:rFonts w:ascii="Times New Roman" w:hAnsi="Times New Roman"/>
      <w:i/>
      <w:sz w:val="24"/>
      <w:lang w:val="x-none" w:eastAsia="x-none"/>
    </w:rPr>
  </w:style>
  <w:style w:type="paragraph" w:customStyle="1" w:styleId="Titreobjet">
    <w:name w:val="Titre objet"/>
    <w:basedOn w:val="Normalny"/>
    <w:next w:val="Normalny"/>
    <w:rsid w:val="000D2D0B"/>
    <w:pPr>
      <w:spacing w:before="360" w:after="360"/>
      <w:jc w:val="center"/>
    </w:pPr>
    <w:rPr>
      <w:rFonts w:ascii="Times New Roman" w:hAnsi="Times New Roman"/>
      <w:b/>
      <w:sz w:val="24"/>
      <w:lang w:eastAsia="en-US"/>
    </w:rPr>
  </w:style>
  <w:style w:type="paragraph" w:customStyle="1" w:styleId="Typedudocument">
    <w:name w:val="Type du document"/>
    <w:basedOn w:val="Normalny"/>
    <w:next w:val="Titreobjet"/>
    <w:rsid w:val="000D2D0B"/>
    <w:pPr>
      <w:spacing w:before="360"/>
      <w:jc w:val="center"/>
    </w:pPr>
    <w:rPr>
      <w:rFonts w:ascii="Times New Roman" w:hAnsi="Times New Roman"/>
      <w:b/>
      <w:sz w:val="24"/>
      <w:lang w:eastAsia="en-US"/>
    </w:rPr>
  </w:style>
  <w:style w:type="paragraph" w:customStyle="1" w:styleId="HeaderLandscape">
    <w:name w:val="HeaderLandscape"/>
    <w:basedOn w:val="Normalny"/>
    <w:rsid w:val="000D2D0B"/>
    <w:pPr>
      <w:tabs>
        <w:tab w:val="center" w:pos="7285"/>
        <w:tab w:val="right" w:pos="14003"/>
      </w:tabs>
      <w:spacing w:before="120" w:after="120"/>
      <w:jc w:val="both"/>
    </w:pPr>
    <w:rPr>
      <w:rFonts w:ascii="Times New Roman" w:hAnsi="Times New Roman"/>
      <w:sz w:val="24"/>
      <w:lang w:eastAsia="en-US"/>
    </w:rPr>
  </w:style>
  <w:style w:type="paragraph" w:customStyle="1" w:styleId="FooterLandscape">
    <w:name w:val="FooterLandscape"/>
    <w:basedOn w:val="Normalny"/>
    <w:rsid w:val="000D2D0B"/>
    <w:pPr>
      <w:tabs>
        <w:tab w:val="center" w:pos="7285"/>
        <w:tab w:val="center" w:pos="10913"/>
        <w:tab w:val="right" w:pos="15137"/>
      </w:tabs>
      <w:spacing w:before="360"/>
      <w:ind w:left="-567" w:right="-567"/>
    </w:pPr>
    <w:rPr>
      <w:rFonts w:ascii="Times New Roman" w:hAnsi="Times New Roman"/>
      <w:sz w:val="24"/>
      <w:lang w:eastAsia="en-US"/>
    </w:rPr>
  </w:style>
  <w:style w:type="paragraph" w:customStyle="1" w:styleId="Text1">
    <w:name w:val="Text 1"/>
    <w:basedOn w:val="Normalny"/>
    <w:rsid w:val="000D2D0B"/>
    <w:pPr>
      <w:spacing w:before="120" w:after="120"/>
      <w:ind w:left="850"/>
      <w:jc w:val="both"/>
    </w:pPr>
    <w:rPr>
      <w:rFonts w:ascii="Times New Roman" w:hAnsi="Times New Roman"/>
      <w:sz w:val="24"/>
      <w:lang w:eastAsia="en-US"/>
    </w:rPr>
  </w:style>
  <w:style w:type="paragraph" w:customStyle="1" w:styleId="Text2">
    <w:name w:val="Text 2"/>
    <w:basedOn w:val="Normalny"/>
    <w:rsid w:val="000D2D0B"/>
    <w:pPr>
      <w:spacing w:before="120" w:after="120"/>
      <w:ind w:left="1417"/>
      <w:jc w:val="both"/>
    </w:pPr>
    <w:rPr>
      <w:rFonts w:ascii="Times New Roman" w:hAnsi="Times New Roman"/>
      <w:sz w:val="24"/>
      <w:lang w:eastAsia="en-US"/>
    </w:rPr>
  </w:style>
  <w:style w:type="paragraph" w:customStyle="1" w:styleId="Text3">
    <w:name w:val="Text 3"/>
    <w:basedOn w:val="Normalny"/>
    <w:rsid w:val="000D2D0B"/>
    <w:pPr>
      <w:spacing w:before="120" w:after="120"/>
      <w:ind w:left="1984"/>
      <w:jc w:val="both"/>
    </w:pPr>
    <w:rPr>
      <w:rFonts w:ascii="Times New Roman" w:hAnsi="Times New Roman"/>
      <w:sz w:val="24"/>
      <w:lang w:eastAsia="en-US"/>
    </w:rPr>
  </w:style>
  <w:style w:type="paragraph" w:customStyle="1" w:styleId="Text4">
    <w:name w:val="Text 4"/>
    <w:basedOn w:val="Normalny"/>
    <w:rsid w:val="000D2D0B"/>
    <w:pPr>
      <w:spacing w:before="120" w:after="120"/>
      <w:ind w:left="2551"/>
      <w:jc w:val="both"/>
    </w:pPr>
    <w:rPr>
      <w:rFonts w:ascii="Times New Roman" w:hAnsi="Times New Roman"/>
      <w:sz w:val="24"/>
      <w:lang w:eastAsia="en-US"/>
    </w:rPr>
  </w:style>
  <w:style w:type="paragraph" w:customStyle="1" w:styleId="NormalCentered">
    <w:name w:val="Normal Centered"/>
    <w:basedOn w:val="Normalny"/>
    <w:rsid w:val="000D2D0B"/>
    <w:pPr>
      <w:spacing w:before="120" w:after="120"/>
      <w:jc w:val="center"/>
    </w:pPr>
    <w:rPr>
      <w:rFonts w:ascii="Times New Roman" w:hAnsi="Times New Roman"/>
      <w:sz w:val="24"/>
      <w:lang w:eastAsia="en-US"/>
    </w:rPr>
  </w:style>
  <w:style w:type="paragraph" w:customStyle="1" w:styleId="NormalLeft">
    <w:name w:val="Normal Left"/>
    <w:basedOn w:val="Normalny"/>
    <w:rsid w:val="000D2D0B"/>
    <w:pPr>
      <w:spacing w:before="120" w:after="120"/>
    </w:pPr>
    <w:rPr>
      <w:rFonts w:ascii="Times New Roman" w:hAnsi="Times New Roman"/>
      <w:sz w:val="24"/>
      <w:lang w:eastAsia="en-US"/>
    </w:rPr>
  </w:style>
  <w:style w:type="paragraph" w:customStyle="1" w:styleId="NormalRight">
    <w:name w:val="Normal Right"/>
    <w:basedOn w:val="Normalny"/>
    <w:rsid w:val="000D2D0B"/>
    <w:pPr>
      <w:spacing w:before="120" w:after="120"/>
      <w:jc w:val="right"/>
    </w:pPr>
    <w:rPr>
      <w:rFonts w:ascii="Times New Roman" w:hAnsi="Times New Roman"/>
      <w:sz w:val="24"/>
      <w:lang w:eastAsia="en-US"/>
    </w:rPr>
  </w:style>
  <w:style w:type="paragraph" w:customStyle="1" w:styleId="QuotedText">
    <w:name w:val="Quoted Text"/>
    <w:basedOn w:val="Normalny"/>
    <w:rsid w:val="000D2D0B"/>
    <w:pPr>
      <w:spacing w:before="120" w:after="120"/>
      <w:ind w:left="1417"/>
      <w:jc w:val="both"/>
    </w:pPr>
    <w:rPr>
      <w:rFonts w:ascii="Times New Roman" w:hAnsi="Times New Roman"/>
      <w:sz w:val="24"/>
      <w:lang w:eastAsia="en-US"/>
    </w:rPr>
  </w:style>
  <w:style w:type="paragraph" w:customStyle="1" w:styleId="Point0">
    <w:name w:val="Point 0"/>
    <w:basedOn w:val="Normalny"/>
    <w:rsid w:val="000D2D0B"/>
    <w:pPr>
      <w:spacing w:before="120" w:after="120"/>
      <w:ind w:left="850" w:hanging="850"/>
      <w:jc w:val="both"/>
    </w:pPr>
    <w:rPr>
      <w:rFonts w:ascii="Times New Roman" w:hAnsi="Times New Roman"/>
      <w:sz w:val="24"/>
      <w:lang w:eastAsia="en-US"/>
    </w:rPr>
  </w:style>
  <w:style w:type="paragraph" w:customStyle="1" w:styleId="Point1">
    <w:name w:val="Point 1"/>
    <w:basedOn w:val="Normalny"/>
    <w:rsid w:val="000D2D0B"/>
    <w:pPr>
      <w:spacing w:before="120" w:after="120"/>
      <w:ind w:left="1417" w:hanging="567"/>
      <w:jc w:val="both"/>
    </w:pPr>
    <w:rPr>
      <w:rFonts w:ascii="Times New Roman" w:hAnsi="Times New Roman"/>
      <w:sz w:val="24"/>
      <w:lang w:eastAsia="en-US"/>
    </w:rPr>
  </w:style>
  <w:style w:type="paragraph" w:customStyle="1" w:styleId="Point2">
    <w:name w:val="Point 2"/>
    <w:basedOn w:val="Normalny"/>
    <w:rsid w:val="000D2D0B"/>
    <w:pPr>
      <w:spacing w:before="120" w:after="120"/>
      <w:ind w:left="1984" w:hanging="567"/>
      <w:jc w:val="both"/>
    </w:pPr>
    <w:rPr>
      <w:rFonts w:ascii="Times New Roman" w:hAnsi="Times New Roman"/>
      <w:sz w:val="24"/>
      <w:lang w:eastAsia="en-US"/>
    </w:rPr>
  </w:style>
  <w:style w:type="paragraph" w:customStyle="1" w:styleId="Point3">
    <w:name w:val="Point 3"/>
    <w:basedOn w:val="Normalny"/>
    <w:rsid w:val="000D2D0B"/>
    <w:pPr>
      <w:spacing w:before="120" w:after="120"/>
      <w:ind w:left="2551" w:hanging="567"/>
      <w:jc w:val="both"/>
    </w:pPr>
    <w:rPr>
      <w:rFonts w:ascii="Times New Roman" w:hAnsi="Times New Roman"/>
      <w:sz w:val="24"/>
      <w:lang w:eastAsia="en-US"/>
    </w:rPr>
  </w:style>
  <w:style w:type="paragraph" w:customStyle="1" w:styleId="Point4">
    <w:name w:val="Point 4"/>
    <w:basedOn w:val="Normalny"/>
    <w:rsid w:val="000D2D0B"/>
    <w:pPr>
      <w:spacing w:before="120" w:after="120"/>
      <w:ind w:left="3118" w:hanging="567"/>
      <w:jc w:val="both"/>
    </w:pPr>
    <w:rPr>
      <w:rFonts w:ascii="Times New Roman" w:hAnsi="Times New Roman"/>
      <w:sz w:val="24"/>
      <w:lang w:eastAsia="en-US"/>
    </w:rPr>
  </w:style>
  <w:style w:type="paragraph" w:customStyle="1" w:styleId="Tiret0">
    <w:name w:val="Tiret 0"/>
    <w:basedOn w:val="Point0"/>
    <w:rsid w:val="000D2D0B"/>
    <w:pPr>
      <w:numPr>
        <w:numId w:val="19"/>
      </w:numPr>
    </w:pPr>
  </w:style>
  <w:style w:type="paragraph" w:customStyle="1" w:styleId="Tiret2">
    <w:name w:val="Tiret 2"/>
    <w:basedOn w:val="Point2"/>
    <w:rsid w:val="000D2D0B"/>
    <w:pPr>
      <w:tabs>
        <w:tab w:val="num" w:pos="1984"/>
      </w:tabs>
    </w:pPr>
  </w:style>
  <w:style w:type="paragraph" w:customStyle="1" w:styleId="Tiret3">
    <w:name w:val="Tiret 3"/>
    <w:basedOn w:val="Point3"/>
    <w:rsid w:val="000D2D0B"/>
    <w:pPr>
      <w:numPr>
        <w:numId w:val="20"/>
      </w:numPr>
    </w:pPr>
  </w:style>
  <w:style w:type="paragraph" w:customStyle="1" w:styleId="Tiret4">
    <w:name w:val="Tiret 4"/>
    <w:basedOn w:val="Point4"/>
    <w:rsid w:val="000D2D0B"/>
    <w:pPr>
      <w:numPr>
        <w:numId w:val="21"/>
      </w:numPr>
    </w:pPr>
  </w:style>
  <w:style w:type="paragraph" w:customStyle="1" w:styleId="PointDouble0">
    <w:name w:val="PointDouble 0"/>
    <w:basedOn w:val="Normalny"/>
    <w:rsid w:val="000D2D0B"/>
    <w:pPr>
      <w:tabs>
        <w:tab w:val="left" w:pos="850"/>
      </w:tabs>
      <w:spacing w:before="120" w:after="120"/>
      <w:ind w:left="1417" w:hanging="1417"/>
      <w:jc w:val="both"/>
    </w:pPr>
    <w:rPr>
      <w:rFonts w:ascii="Times New Roman" w:hAnsi="Times New Roman"/>
      <w:sz w:val="24"/>
      <w:lang w:eastAsia="en-US"/>
    </w:rPr>
  </w:style>
  <w:style w:type="paragraph" w:customStyle="1" w:styleId="PointDouble1">
    <w:name w:val="PointDouble 1"/>
    <w:basedOn w:val="Normalny"/>
    <w:rsid w:val="000D2D0B"/>
    <w:pPr>
      <w:tabs>
        <w:tab w:val="left" w:pos="1417"/>
      </w:tabs>
      <w:spacing w:before="120" w:after="120"/>
      <w:ind w:left="1984" w:hanging="1134"/>
      <w:jc w:val="both"/>
    </w:pPr>
    <w:rPr>
      <w:rFonts w:ascii="Times New Roman" w:hAnsi="Times New Roman"/>
      <w:sz w:val="24"/>
      <w:lang w:eastAsia="en-US"/>
    </w:rPr>
  </w:style>
  <w:style w:type="paragraph" w:customStyle="1" w:styleId="PointDouble2">
    <w:name w:val="PointDouble 2"/>
    <w:basedOn w:val="Normalny"/>
    <w:rsid w:val="000D2D0B"/>
    <w:pPr>
      <w:tabs>
        <w:tab w:val="left" w:pos="1984"/>
      </w:tabs>
      <w:spacing w:before="120" w:after="120"/>
      <w:ind w:left="2551" w:hanging="1134"/>
      <w:jc w:val="both"/>
    </w:pPr>
    <w:rPr>
      <w:rFonts w:ascii="Times New Roman" w:hAnsi="Times New Roman"/>
      <w:sz w:val="24"/>
      <w:lang w:eastAsia="en-US"/>
    </w:rPr>
  </w:style>
  <w:style w:type="paragraph" w:customStyle="1" w:styleId="PointDouble3">
    <w:name w:val="PointDouble 3"/>
    <w:basedOn w:val="Normalny"/>
    <w:rsid w:val="000D2D0B"/>
    <w:pPr>
      <w:tabs>
        <w:tab w:val="left" w:pos="2551"/>
      </w:tabs>
      <w:spacing w:before="120" w:after="120"/>
      <w:ind w:left="3118" w:hanging="1134"/>
      <w:jc w:val="both"/>
    </w:pPr>
    <w:rPr>
      <w:rFonts w:ascii="Times New Roman" w:hAnsi="Times New Roman"/>
      <w:sz w:val="24"/>
      <w:lang w:eastAsia="en-US"/>
    </w:rPr>
  </w:style>
  <w:style w:type="paragraph" w:customStyle="1" w:styleId="PointDouble4">
    <w:name w:val="PointDouble 4"/>
    <w:basedOn w:val="Normalny"/>
    <w:rsid w:val="000D2D0B"/>
    <w:pPr>
      <w:tabs>
        <w:tab w:val="left" w:pos="3118"/>
      </w:tabs>
      <w:spacing w:before="120" w:after="120"/>
      <w:ind w:left="3685" w:hanging="1134"/>
      <w:jc w:val="both"/>
    </w:pPr>
    <w:rPr>
      <w:rFonts w:ascii="Times New Roman" w:hAnsi="Times New Roman"/>
      <w:sz w:val="24"/>
      <w:lang w:eastAsia="en-US"/>
    </w:rPr>
  </w:style>
  <w:style w:type="paragraph" w:customStyle="1" w:styleId="PointTriple0">
    <w:name w:val="PointTriple 0"/>
    <w:basedOn w:val="Normalny"/>
    <w:rsid w:val="000D2D0B"/>
    <w:pPr>
      <w:tabs>
        <w:tab w:val="left" w:pos="850"/>
        <w:tab w:val="left" w:pos="1417"/>
      </w:tabs>
      <w:spacing w:before="120" w:after="120"/>
      <w:ind w:left="1984" w:hanging="1984"/>
      <w:jc w:val="both"/>
    </w:pPr>
    <w:rPr>
      <w:rFonts w:ascii="Times New Roman" w:hAnsi="Times New Roman"/>
      <w:sz w:val="24"/>
      <w:lang w:eastAsia="en-US"/>
    </w:rPr>
  </w:style>
  <w:style w:type="paragraph" w:customStyle="1" w:styleId="PointTriple1">
    <w:name w:val="PointTriple 1"/>
    <w:basedOn w:val="Normalny"/>
    <w:rsid w:val="000D2D0B"/>
    <w:pPr>
      <w:tabs>
        <w:tab w:val="left" w:pos="1417"/>
        <w:tab w:val="left" w:pos="1984"/>
      </w:tabs>
      <w:spacing w:before="120" w:after="120"/>
      <w:ind w:left="2551" w:hanging="1701"/>
      <w:jc w:val="both"/>
    </w:pPr>
    <w:rPr>
      <w:rFonts w:ascii="Times New Roman" w:hAnsi="Times New Roman"/>
      <w:sz w:val="24"/>
      <w:lang w:eastAsia="en-US"/>
    </w:rPr>
  </w:style>
  <w:style w:type="paragraph" w:customStyle="1" w:styleId="PointTriple2">
    <w:name w:val="PointTriple 2"/>
    <w:basedOn w:val="Normalny"/>
    <w:rsid w:val="000D2D0B"/>
    <w:pPr>
      <w:tabs>
        <w:tab w:val="left" w:pos="1984"/>
        <w:tab w:val="left" w:pos="2551"/>
      </w:tabs>
      <w:spacing w:before="120" w:after="120"/>
      <w:ind w:left="3118" w:hanging="1701"/>
      <w:jc w:val="both"/>
    </w:pPr>
    <w:rPr>
      <w:rFonts w:ascii="Times New Roman" w:hAnsi="Times New Roman"/>
      <w:sz w:val="24"/>
      <w:lang w:eastAsia="en-US"/>
    </w:rPr>
  </w:style>
  <w:style w:type="paragraph" w:customStyle="1" w:styleId="PointTriple3">
    <w:name w:val="PointTriple 3"/>
    <w:basedOn w:val="Normalny"/>
    <w:rsid w:val="000D2D0B"/>
    <w:pPr>
      <w:tabs>
        <w:tab w:val="left" w:pos="2551"/>
        <w:tab w:val="left" w:pos="3118"/>
      </w:tabs>
      <w:spacing w:before="120" w:after="120"/>
      <w:ind w:left="3685" w:hanging="1701"/>
      <w:jc w:val="both"/>
    </w:pPr>
    <w:rPr>
      <w:rFonts w:ascii="Times New Roman" w:hAnsi="Times New Roman"/>
      <w:sz w:val="24"/>
      <w:lang w:eastAsia="en-US"/>
    </w:rPr>
  </w:style>
  <w:style w:type="paragraph" w:customStyle="1" w:styleId="PointTriple4">
    <w:name w:val="PointTriple 4"/>
    <w:basedOn w:val="Normalny"/>
    <w:rsid w:val="000D2D0B"/>
    <w:pPr>
      <w:tabs>
        <w:tab w:val="left" w:pos="3118"/>
        <w:tab w:val="left" w:pos="3685"/>
      </w:tabs>
      <w:spacing w:before="120" w:after="120"/>
      <w:ind w:left="4252" w:hanging="1701"/>
      <w:jc w:val="both"/>
    </w:pPr>
    <w:rPr>
      <w:rFonts w:ascii="Times New Roman" w:hAnsi="Times New Roman"/>
      <w:sz w:val="24"/>
      <w:lang w:eastAsia="en-US"/>
    </w:rPr>
  </w:style>
  <w:style w:type="paragraph" w:customStyle="1" w:styleId="NumPar1">
    <w:name w:val="NumPar 1"/>
    <w:basedOn w:val="Normalny"/>
    <w:next w:val="Text1"/>
    <w:rsid w:val="000D2D0B"/>
    <w:pPr>
      <w:numPr>
        <w:numId w:val="22"/>
      </w:numPr>
      <w:spacing w:before="120" w:after="120"/>
      <w:jc w:val="both"/>
    </w:pPr>
    <w:rPr>
      <w:rFonts w:ascii="Times New Roman" w:hAnsi="Times New Roman"/>
      <w:sz w:val="24"/>
      <w:lang w:eastAsia="en-US"/>
    </w:rPr>
  </w:style>
  <w:style w:type="paragraph" w:customStyle="1" w:styleId="NumPar2">
    <w:name w:val="NumPar 2"/>
    <w:basedOn w:val="Normalny"/>
    <w:next w:val="Text1"/>
    <w:rsid w:val="000D2D0B"/>
    <w:pPr>
      <w:numPr>
        <w:ilvl w:val="1"/>
        <w:numId w:val="22"/>
      </w:numPr>
      <w:spacing w:before="120" w:after="120"/>
      <w:jc w:val="both"/>
    </w:pPr>
    <w:rPr>
      <w:rFonts w:ascii="Times New Roman" w:hAnsi="Times New Roman"/>
      <w:sz w:val="24"/>
      <w:lang w:eastAsia="en-US"/>
    </w:rPr>
  </w:style>
  <w:style w:type="paragraph" w:customStyle="1" w:styleId="NumPar3">
    <w:name w:val="NumPar 3"/>
    <w:basedOn w:val="Normalny"/>
    <w:next w:val="Text1"/>
    <w:rsid w:val="000D2D0B"/>
    <w:pPr>
      <w:numPr>
        <w:ilvl w:val="2"/>
        <w:numId w:val="22"/>
      </w:numPr>
      <w:spacing w:before="120" w:after="120"/>
      <w:jc w:val="both"/>
    </w:pPr>
    <w:rPr>
      <w:rFonts w:ascii="Times New Roman" w:hAnsi="Times New Roman"/>
      <w:sz w:val="24"/>
      <w:lang w:eastAsia="en-US"/>
    </w:rPr>
  </w:style>
  <w:style w:type="paragraph" w:customStyle="1" w:styleId="NumPar4">
    <w:name w:val="NumPar 4"/>
    <w:basedOn w:val="Normalny"/>
    <w:next w:val="Text1"/>
    <w:rsid w:val="000D2D0B"/>
    <w:pPr>
      <w:numPr>
        <w:ilvl w:val="3"/>
        <w:numId w:val="22"/>
      </w:numPr>
      <w:spacing w:before="120" w:after="120"/>
      <w:jc w:val="both"/>
    </w:pPr>
    <w:rPr>
      <w:rFonts w:ascii="Times New Roman" w:hAnsi="Times New Roman"/>
      <w:sz w:val="24"/>
      <w:lang w:eastAsia="en-US"/>
    </w:rPr>
  </w:style>
  <w:style w:type="paragraph" w:customStyle="1" w:styleId="ManualNumPar2">
    <w:name w:val="Manual NumPar 2"/>
    <w:basedOn w:val="Normalny"/>
    <w:next w:val="Text1"/>
    <w:rsid w:val="000D2D0B"/>
    <w:pPr>
      <w:spacing w:before="120" w:after="120"/>
      <w:ind w:left="850" w:hanging="850"/>
      <w:jc w:val="both"/>
    </w:pPr>
    <w:rPr>
      <w:rFonts w:ascii="Times New Roman" w:hAnsi="Times New Roman"/>
      <w:sz w:val="24"/>
      <w:lang w:eastAsia="en-US"/>
    </w:rPr>
  </w:style>
  <w:style w:type="paragraph" w:customStyle="1" w:styleId="ManualNumPar3">
    <w:name w:val="Manual NumPar 3"/>
    <w:basedOn w:val="Normalny"/>
    <w:next w:val="Text1"/>
    <w:rsid w:val="000D2D0B"/>
    <w:pPr>
      <w:spacing w:before="120" w:after="120"/>
      <w:ind w:left="850" w:hanging="850"/>
      <w:jc w:val="both"/>
    </w:pPr>
    <w:rPr>
      <w:rFonts w:ascii="Times New Roman" w:hAnsi="Times New Roman"/>
      <w:sz w:val="24"/>
      <w:lang w:eastAsia="en-US"/>
    </w:rPr>
  </w:style>
  <w:style w:type="paragraph" w:customStyle="1" w:styleId="ManualNumPar4">
    <w:name w:val="Manual NumPar 4"/>
    <w:basedOn w:val="Normalny"/>
    <w:next w:val="Text1"/>
    <w:rsid w:val="000D2D0B"/>
    <w:pPr>
      <w:spacing w:before="120" w:after="120"/>
      <w:ind w:left="850" w:hanging="850"/>
      <w:jc w:val="both"/>
    </w:pPr>
    <w:rPr>
      <w:rFonts w:ascii="Times New Roman" w:hAnsi="Times New Roman"/>
      <w:sz w:val="24"/>
      <w:lang w:eastAsia="en-US"/>
    </w:rPr>
  </w:style>
  <w:style w:type="paragraph" w:customStyle="1" w:styleId="QuotedNumPar">
    <w:name w:val="Quoted NumPar"/>
    <w:basedOn w:val="Normalny"/>
    <w:rsid w:val="000D2D0B"/>
    <w:pPr>
      <w:spacing w:before="120" w:after="120"/>
      <w:ind w:left="1417" w:hanging="567"/>
      <w:jc w:val="both"/>
    </w:pPr>
    <w:rPr>
      <w:rFonts w:ascii="Times New Roman" w:hAnsi="Times New Roman"/>
      <w:sz w:val="24"/>
      <w:lang w:eastAsia="en-US"/>
    </w:rPr>
  </w:style>
  <w:style w:type="paragraph" w:customStyle="1" w:styleId="ManualHeading1">
    <w:name w:val="Manual Heading 1"/>
    <w:basedOn w:val="Normalny"/>
    <w:next w:val="Text1"/>
    <w:rsid w:val="000D2D0B"/>
    <w:pPr>
      <w:keepNext/>
      <w:tabs>
        <w:tab w:val="left" w:pos="850"/>
      </w:tabs>
      <w:spacing w:before="360" w:after="120"/>
      <w:ind w:left="850" w:hanging="850"/>
      <w:jc w:val="both"/>
      <w:outlineLvl w:val="0"/>
    </w:pPr>
    <w:rPr>
      <w:rFonts w:ascii="Times New Roman" w:hAnsi="Times New Roman"/>
      <w:b/>
      <w:smallCaps/>
      <w:sz w:val="24"/>
      <w:lang w:eastAsia="en-US"/>
    </w:rPr>
  </w:style>
  <w:style w:type="paragraph" w:customStyle="1" w:styleId="ManualHeading2">
    <w:name w:val="Manual Heading 2"/>
    <w:basedOn w:val="Normalny"/>
    <w:next w:val="Text1"/>
    <w:rsid w:val="000D2D0B"/>
    <w:pPr>
      <w:keepNext/>
      <w:tabs>
        <w:tab w:val="left" w:pos="850"/>
      </w:tabs>
      <w:spacing w:before="120" w:after="120"/>
      <w:ind w:left="850" w:hanging="850"/>
      <w:jc w:val="both"/>
      <w:outlineLvl w:val="1"/>
    </w:pPr>
    <w:rPr>
      <w:rFonts w:ascii="Times New Roman" w:hAnsi="Times New Roman"/>
      <w:b/>
      <w:sz w:val="24"/>
      <w:lang w:eastAsia="en-US"/>
    </w:rPr>
  </w:style>
  <w:style w:type="paragraph" w:customStyle="1" w:styleId="ManualHeading3">
    <w:name w:val="Manual Heading 3"/>
    <w:basedOn w:val="Normalny"/>
    <w:next w:val="Text1"/>
    <w:rsid w:val="000D2D0B"/>
    <w:pPr>
      <w:keepNext/>
      <w:tabs>
        <w:tab w:val="left" w:pos="850"/>
      </w:tabs>
      <w:spacing w:before="120" w:after="120"/>
      <w:ind w:left="850" w:hanging="850"/>
      <w:jc w:val="both"/>
      <w:outlineLvl w:val="2"/>
    </w:pPr>
    <w:rPr>
      <w:rFonts w:ascii="Times New Roman" w:hAnsi="Times New Roman"/>
      <w:i/>
      <w:sz w:val="24"/>
      <w:lang w:eastAsia="en-US"/>
    </w:rPr>
  </w:style>
  <w:style w:type="paragraph" w:customStyle="1" w:styleId="ManualHeading4">
    <w:name w:val="Manual Heading 4"/>
    <w:basedOn w:val="Normalny"/>
    <w:next w:val="Text1"/>
    <w:rsid w:val="000D2D0B"/>
    <w:pPr>
      <w:keepNext/>
      <w:tabs>
        <w:tab w:val="left" w:pos="850"/>
      </w:tabs>
      <w:spacing w:before="120" w:after="120"/>
      <w:ind w:left="850" w:hanging="850"/>
      <w:jc w:val="both"/>
      <w:outlineLvl w:val="3"/>
    </w:pPr>
    <w:rPr>
      <w:rFonts w:ascii="Times New Roman" w:hAnsi="Times New Roman"/>
      <w:sz w:val="24"/>
      <w:lang w:eastAsia="en-US"/>
    </w:rPr>
  </w:style>
  <w:style w:type="paragraph" w:customStyle="1" w:styleId="ChapterTitle">
    <w:name w:val="ChapterTitle"/>
    <w:basedOn w:val="Normalny"/>
    <w:next w:val="Normalny"/>
    <w:rsid w:val="000D2D0B"/>
    <w:pPr>
      <w:keepNext/>
      <w:spacing w:before="120" w:after="360"/>
      <w:jc w:val="center"/>
    </w:pPr>
    <w:rPr>
      <w:rFonts w:ascii="Times New Roman" w:hAnsi="Times New Roman"/>
      <w:b/>
      <w:sz w:val="32"/>
      <w:lang w:eastAsia="en-US"/>
    </w:rPr>
  </w:style>
  <w:style w:type="paragraph" w:customStyle="1" w:styleId="PartTitle">
    <w:name w:val="PartTitle"/>
    <w:basedOn w:val="Normalny"/>
    <w:next w:val="ChapterTitle"/>
    <w:rsid w:val="000D2D0B"/>
    <w:pPr>
      <w:keepNext/>
      <w:pageBreakBefore/>
      <w:spacing w:before="120" w:after="360"/>
      <w:jc w:val="center"/>
    </w:pPr>
    <w:rPr>
      <w:rFonts w:ascii="Times New Roman" w:hAnsi="Times New Roman"/>
      <w:b/>
      <w:sz w:val="36"/>
      <w:lang w:eastAsia="en-US"/>
    </w:rPr>
  </w:style>
  <w:style w:type="paragraph" w:customStyle="1" w:styleId="SectionTitle">
    <w:name w:val="SectionTitle"/>
    <w:basedOn w:val="Normalny"/>
    <w:next w:val="Nagwek1"/>
    <w:rsid w:val="000D2D0B"/>
    <w:pPr>
      <w:keepNext/>
      <w:spacing w:before="120" w:after="360"/>
      <w:jc w:val="center"/>
    </w:pPr>
    <w:rPr>
      <w:rFonts w:ascii="Times New Roman" w:hAnsi="Times New Roman"/>
      <w:b/>
      <w:smallCaps/>
      <w:sz w:val="28"/>
      <w:lang w:eastAsia="en-US"/>
    </w:rPr>
  </w:style>
  <w:style w:type="paragraph" w:customStyle="1" w:styleId="TableTitle">
    <w:name w:val="Table Title"/>
    <w:basedOn w:val="Normalny"/>
    <w:next w:val="Normalny"/>
    <w:rsid w:val="000D2D0B"/>
    <w:pPr>
      <w:spacing w:before="120" w:after="120"/>
      <w:jc w:val="center"/>
    </w:pPr>
    <w:rPr>
      <w:rFonts w:ascii="Times New Roman" w:hAnsi="Times New Roman"/>
      <w:b/>
      <w:sz w:val="24"/>
      <w:lang w:eastAsia="en-US"/>
    </w:rPr>
  </w:style>
  <w:style w:type="character" w:customStyle="1" w:styleId="Marker">
    <w:name w:val="Marker"/>
    <w:rsid w:val="000D2D0B"/>
    <w:rPr>
      <w:color w:val="0000FF"/>
      <w:shd w:val="clear" w:color="auto" w:fill="auto"/>
    </w:rPr>
  </w:style>
  <w:style w:type="character" w:customStyle="1" w:styleId="Marker1">
    <w:name w:val="Marker1"/>
    <w:rsid w:val="000D2D0B"/>
    <w:rPr>
      <w:color w:val="008000"/>
      <w:shd w:val="clear" w:color="auto" w:fill="auto"/>
    </w:rPr>
  </w:style>
  <w:style w:type="character" w:customStyle="1" w:styleId="Marker2">
    <w:name w:val="Marker2"/>
    <w:rsid w:val="000D2D0B"/>
    <w:rPr>
      <w:color w:val="FF0000"/>
      <w:shd w:val="clear" w:color="auto" w:fill="auto"/>
    </w:rPr>
  </w:style>
  <w:style w:type="paragraph" w:customStyle="1" w:styleId="Point0number">
    <w:name w:val="Point 0 (number)"/>
    <w:basedOn w:val="Normalny"/>
    <w:rsid w:val="000D2D0B"/>
    <w:pPr>
      <w:numPr>
        <w:numId w:val="29"/>
      </w:numPr>
      <w:spacing w:before="120" w:after="120"/>
      <w:jc w:val="both"/>
    </w:pPr>
    <w:rPr>
      <w:rFonts w:ascii="Times New Roman" w:hAnsi="Times New Roman"/>
      <w:sz w:val="24"/>
      <w:lang w:eastAsia="en-US"/>
    </w:rPr>
  </w:style>
  <w:style w:type="paragraph" w:customStyle="1" w:styleId="Point1number">
    <w:name w:val="Point 1 (number)"/>
    <w:basedOn w:val="Normalny"/>
    <w:rsid w:val="000D2D0B"/>
    <w:pPr>
      <w:numPr>
        <w:ilvl w:val="2"/>
        <w:numId w:val="29"/>
      </w:numPr>
      <w:spacing w:before="120" w:after="120"/>
      <w:jc w:val="both"/>
    </w:pPr>
    <w:rPr>
      <w:rFonts w:ascii="Times New Roman" w:hAnsi="Times New Roman"/>
      <w:sz w:val="24"/>
      <w:lang w:eastAsia="en-US"/>
    </w:rPr>
  </w:style>
  <w:style w:type="paragraph" w:customStyle="1" w:styleId="Point2number">
    <w:name w:val="Point 2 (number)"/>
    <w:basedOn w:val="Normalny"/>
    <w:rsid w:val="000D2D0B"/>
    <w:pPr>
      <w:numPr>
        <w:ilvl w:val="4"/>
        <w:numId w:val="29"/>
      </w:numPr>
      <w:spacing w:before="120" w:after="120"/>
      <w:jc w:val="both"/>
    </w:pPr>
    <w:rPr>
      <w:rFonts w:ascii="Times New Roman" w:hAnsi="Times New Roman"/>
      <w:sz w:val="24"/>
      <w:lang w:eastAsia="en-US"/>
    </w:rPr>
  </w:style>
  <w:style w:type="paragraph" w:customStyle="1" w:styleId="Point3number">
    <w:name w:val="Point 3 (number)"/>
    <w:basedOn w:val="Normalny"/>
    <w:rsid w:val="000D2D0B"/>
    <w:pPr>
      <w:numPr>
        <w:ilvl w:val="6"/>
        <w:numId w:val="29"/>
      </w:numPr>
      <w:spacing w:before="120" w:after="120"/>
      <w:jc w:val="both"/>
    </w:pPr>
    <w:rPr>
      <w:rFonts w:ascii="Times New Roman" w:hAnsi="Times New Roman"/>
      <w:sz w:val="24"/>
      <w:lang w:eastAsia="en-US"/>
    </w:rPr>
  </w:style>
  <w:style w:type="paragraph" w:customStyle="1" w:styleId="Point0letter">
    <w:name w:val="Point 0 (letter)"/>
    <w:basedOn w:val="Normalny"/>
    <w:rsid w:val="000D2D0B"/>
    <w:pPr>
      <w:numPr>
        <w:ilvl w:val="1"/>
        <w:numId w:val="29"/>
      </w:numPr>
      <w:spacing w:before="120" w:after="120"/>
      <w:jc w:val="both"/>
    </w:pPr>
    <w:rPr>
      <w:rFonts w:ascii="Times New Roman" w:hAnsi="Times New Roman"/>
      <w:sz w:val="24"/>
      <w:lang w:eastAsia="en-US"/>
    </w:rPr>
  </w:style>
  <w:style w:type="paragraph" w:customStyle="1" w:styleId="Point1letter">
    <w:name w:val="Point 1 (letter)"/>
    <w:basedOn w:val="Normalny"/>
    <w:rsid w:val="000D2D0B"/>
    <w:pPr>
      <w:numPr>
        <w:ilvl w:val="3"/>
        <w:numId w:val="29"/>
      </w:numPr>
      <w:spacing w:before="120" w:after="120"/>
      <w:jc w:val="both"/>
    </w:pPr>
    <w:rPr>
      <w:rFonts w:ascii="Times New Roman" w:hAnsi="Times New Roman"/>
      <w:sz w:val="24"/>
      <w:lang w:eastAsia="en-US"/>
    </w:rPr>
  </w:style>
  <w:style w:type="paragraph" w:customStyle="1" w:styleId="Point2letter">
    <w:name w:val="Point 2 (letter)"/>
    <w:basedOn w:val="Normalny"/>
    <w:rsid w:val="000D2D0B"/>
    <w:pPr>
      <w:numPr>
        <w:ilvl w:val="5"/>
        <w:numId w:val="29"/>
      </w:numPr>
      <w:spacing w:before="120" w:after="120"/>
      <w:jc w:val="both"/>
    </w:pPr>
    <w:rPr>
      <w:rFonts w:ascii="Times New Roman" w:hAnsi="Times New Roman"/>
      <w:sz w:val="24"/>
      <w:lang w:eastAsia="en-US"/>
    </w:rPr>
  </w:style>
  <w:style w:type="paragraph" w:customStyle="1" w:styleId="Point3letter">
    <w:name w:val="Point 3 (letter)"/>
    <w:basedOn w:val="Normalny"/>
    <w:rsid w:val="000D2D0B"/>
    <w:pPr>
      <w:numPr>
        <w:ilvl w:val="7"/>
        <w:numId w:val="29"/>
      </w:numPr>
      <w:spacing w:before="120" w:after="120"/>
      <w:jc w:val="both"/>
    </w:pPr>
    <w:rPr>
      <w:rFonts w:ascii="Times New Roman" w:hAnsi="Times New Roman"/>
      <w:sz w:val="24"/>
      <w:lang w:eastAsia="en-US"/>
    </w:rPr>
  </w:style>
  <w:style w:type="paragraph" w:customStyle="1" w:styleId="Point4letter">
    <w:name w:val="Point 4 (letter)"/>
    <w:basedOn w:val="Normalny"/>
    <w:rsid w:val="000D2D0B"/>
    <w:pPr>
      <w:numPr>
        <w:ilvl w:val="8"/>
        <w:numId w:val="29"/>
      </w:numPr>
      <w:spacing w:before="120" w:after="120"/>
      <w:jc w:val="both"/>
    </w:pPr>
    <w:rPr>
      <w:rFonts w:ascii="Times New Roman" w:hAnsi="Times New Roman"/>
      <w:sz w:val="24"/>
      <w:lang w:eastAsia="en-US"/>
    </w:rPr>
  </w:style>
  <w:style w:type="paragraph" w:customStyle="1" w:styleId="Bullet0">
    <w:name w:val="Bullet 0"/>
    <w:basedOn w:val="Normalny"/>
    <w:rsid w:val="000D2D0B"/>
    <w:pPr>
      <w:numPr>
        <w:numId w:val="23"/>
      </w:numPr>
      <w:spacing w:before="120" w:after="120"/>
      <w:jc w:val="both"/>
    </w:pPr>
    <w:rPr>
      <w:rFonts w:ascii="Times New Roman" w:hAnsi="Times New Roman"/>
      <w:sz w:val="24"/>
      <w:lang w:eastAsia="en-US"/>
    </w:rPr>
  </w:style>
  <w:style w:type="paragraph" w:customStyle="1" w:styleId="Bullet1">
    <w:name w:val="Bullet 1"/>
    <w:basedOn w:val="Normalny"/>
    <w:rsid w:val="000D2D0B"/>
    <w:pPr>
      <w:numPr>
        <w:numId w:val="24"/>
      </w:numPr>
      <w:spacing w:before="120" w:after="120"/>
      <w:jc w:val="both"/>
    </w:pPr>
    <w:rPr>
      <w:rFonts w:ascii="Times New Roman" w:hAnsi="Times New Roman"/>
      <w:sz w:val="24"/>
      <w:lang w:eastAsia="en-US"/>
    </w:rPr>
  </w:style>
  <w:style w:type="paragraph" w:customStyle="1" w:styleId="Bullet2">
    <w:name w:val="Bullet 2"/>
    <w:basedOn w:val="Normalny"/>
    <w:rsid w:val="000D2D0B"/>
    <w:pPr>
      <w:numPr>
        <w:numId w:val="25"/>
      </w:numPr>
      <w:spacing w:before="120" w:after="120"/>
      <w:jc w:val="both"/>
    </w:pPr>
    <w:rPr>
      <w:rFonts w:ascii="Times New Roman" w:hAnsi="Times New Roman"/>
      <w:sz w:val="24"/>
      <w:lang w:eastAsia="en-US"/>
    </w:rPr>
  </w:style>
  <w:style w:type="paragraph" w:customStyle="1" w:styleId="Bullet3">
    <w:name w:val="Bullet 3"/>
    <w:basedOn w:val="Normalny"/>
    <w:rsid w:val="000D2D0B"/>
    <w:pPr>
      <w:numPr>
        <w:numId w:val="26"/>
      </w:numPr>
      <w:spacing w:before="120" w:after="120"/>
      <w:jc w:val="both"/>
    </w:pPr>
    <w:rPr>
      <w:rFonts w:ascii="Times New Roman" w:hAnsi="Times New Roman"/>
      <w:sz w:val="24"/>
      <w:lang w:eastAsia="en-US"/>
    </w:rPr>
  </w:style>
  <w:style w:type="paragraph" w:customStyle="1" w:styleId="Bullet4">
    <w:name w:val="Bullet 4"/>
    <w:basedOn w:val="Normalny"/>
    <w:rsid w:val="000D2D0B"/>
    <w:pPr>
      <w:numPr>
        <w:numId w:val="27"/>
      </w:numPr>
      <w:spacing w:before="120" w:after="120"/>
      <w:jc w:val="both"/>
    </w:pPr>
    <w:rPr>
      <w:rFonts w:ascii="Times New Roman" w:hAnsi="Times New Roman"/>
      <w:sz w:val="24"/>
      <w:lang w:eastAsia="en-US"/>
    </w:rPr>
  </w:style>
  <w:style w:type="paragraph" w:customStyle="1" w:styleId="Annexetitreexpos">
    <w:name w:val="Annexe titre (exposé)"/>
    <w:basedOn w:val="Normalny"/>
    <w:next w:val="Normalny"/>
    <w:rsid w:val="000D2D0B"/>
    <w:pPr>
      <w:spacing w:before="120" w:after="120"/>
      <w:jc w:val="center"/>
    </w:pPr>
    <w:rPr>
      <w:rFonts w:ascii="Times New Roman" w:hAnsi="Times New Roman"/>
      <w:b/>
      <w:sz w:val="24"/>
      <w:u w:val="single"/>
      <w:lang w:eastAsia="en-US"/>
    </w:rPr>
  </w:style>
  <w:style w:type="paragraph" w:customStyle="1" w:styleId="Annexetitre">
    <w:name w:val="Annexe titre"/>
    <w:basedOn w:val="Normalny"/>
    <w:next w:val="Normalny"/>
    <w:rsid w:val="000D2D0B"/>
    <w:pPr>
      <w:spacing w:before="120" w:after="120"/>
      <w:jc w:val="center"/>
    </w:pPr>
    <w:rPr>
      <w:rFonts w:ascii="Times New Roman" w:hAnsi="Times New Roman"/>
      <w:b/>
      <w:sz w:val="24"/>
      <w:u w:val="single"/>
      <w:lang w:eastAsia="en-US"/>
    </w:rPr>
  </w:style>
  <w:style w:type="paragraph" w:customStyle="1" w:styleId="Annexetitrefichefinancire">
    <w:name w:val="Annexe titre (fiche financière)"/>
    <w:basedOn w:val="Normalny"/>
    <w:next w:val="Normalny"/>
    <w:rsid w:val="000D2D0B"/>
    <w:pPr>
      <w:spacing w:before="120" w:after="120"/>
      <w:jc w:val="center"/>
    </w:pPr>
    <w:rPr>
      <w:rFonts w:ascii="Times New Roman" w:hAnsi="Times New Roman"/>
      <w:b/>
      <w:sz w:val="24"/>
      <w:u w:val="single"/>
      <w:lang w:eastAsia="en-US"/>
    </w:rPr>
  </w:style>
  <w:style w:type="paragraph" w:customStyle="1" w:styleId="Avertissementtitre">
    <w:name w:val="Avertissement titre"/>
    <w:basedOn w:val="Normalny"/>
    <w:next w:val="Normalny"/>
    <w:rsid w:val="000D2D0B"/>
    <w:pPr>
      <w:keepNext/>
      <w:spacing w:before="480" w:after="120"/>
      <w:jc w:val="both"/>
    </w:pPr>
    <w:rPr>
      <w:rFonts w:ascii="Times New Roman" w:hAnsi="Times New Roman"/>
      <w:sz w:val="24"/>
      <w:u w:val="single"/>
      <w:lang w:eastAsia="en-US"/>
    </w:rPr>
  </w:style>
  <w:style w:type="paragraph" w:customStyle="1" w:styleId="Confidence">
    <w:name w:val="Confidence"/>
    <w:basedOn w:val="Normalny"/>
    <w:next w:val="Normalny"/>
    <w:rsid w:val="000D2D0B"/>
    <w:pPr>
      <w:spacing w:before="360" w:after="120"/>
      <w:jc w:val="center"/>
    </w:pPr>
    <w:rPr>
      <w:rFonts w:ascii="Times New Roman" w:hAnsi="Times New Roman"/>
      <w:sz w:val="24"/>
      <w:lang w:eastAsia="en-US"/>
    </w:rPr>
  </w:style>
  <w:style w:type="paragraph" w:customStyle="1" w:styleId="Confidentialit">
    <w:name w:val="Confidentialité"/>
    <w:basedOn w:val="Normalny"/>
    <w:next w:val="TypedudocumentPagedecouverture"/>
    <w:rsid w:val="000D2D0B"/>
    <w:pPr>
      <w:spacing w:before="240" w:after="240"/>
      <w:ind w:left="5103"/>
      <w:jc w:val="both"/>
    </w:pPr>
    <w:rPr>
      <w:rFonts w:ascii="Times New Roman" w:hAnsi="Times New Roman"/>
      <w:sz w:val="24"/>
      <w:u w:val="single"/>
      <w:lang w:eastAsia="en-US"/>
    </w:rPr>
  </w:style>
  <w:style w:type="paragraph" w:customStyle="1" w:styleId="Corrigendum">
    <w:name w:val="Corrigendum"/>
    <w:basedOn w:val="Normalny"/>
    <w:next w:val="Normalny"/>
    <w:rsid w:val="000D2D0B"/>
    <w:pPr>
      <w:spacing w:after="240"/>
    </w:pPr>
    <w:rPr>
      <w:rFonts w:ascii="Times New Roman" w:hAnsi="Times New Roman"/>
      <w:sz w:val="24"/>
      <w:lang w:eastAsia="en-US"/>
    </w:rPr>
  </w:style>
  <w:style w:type="paragraph" w:customStyle="1" w:styleId="Datedadoption">
    <w:name w:val="Date d'adoption"/>
    <w:basedOn w:val="Normalny"/>
    <w:next w:val="Titreobjet"/>
    <w:rsid w:val="000D2D0B"/>
    <w:pPr>
      <w:spacing w:before="360"/>
      <w:jc w:val="center"/>
    </w:pPr>
    <w:rPr>
      <w:rFonts w:ascii="Times New Roman" w:hAnsi="Times New Roman"/>
      <w:b/>
      <w:sz w:val="24"/>
      <w:lang w:eastAsia="en-US"/>
    </w:rPr>
  </w:style>
  <w:style w:type="paragraph" w:customStyle="1" w:styleId="Emission">
    <w:name w:val="Emission"/>
    <w:basedOn w:val="Normalny"/>
    <w:next w:val="Rfrenceinstitutionnelle"/>
    <w:rsid w:val="000D2D0B"/>
    <w:pPr>
      <w:ind w:left="5103"/>
    </w:pPr>
    <w:rPr>
      <w:rFonts w:ascii="Times New Roman" w:hAnsi="Times New Roman"/>
      <w:sz w:val="24"/>
      <w:lang w:eastAsia="en-US"/>
    </w:rPr>
  </w:style>
  <w:style w:type="paragraph" w:customStyle="1" w:styleId="Exposdesmotifstitre">
    <w:name w:val="Exposé des motifs titre"/>
    <w:basedOn w:val="Normalny"/>
    <w:next w:val="Normalny"/>
    <w:rsid w:val="000D2D0B"/>
    <w:pPr>
      <w:spacing w:before="120" w:after="120"/>
      <w:jc w:val="center"/>
    </w:pPr>
    <w:rPr>
      <w:rFonts w:ascii="Times New Roman" w:hAnsi="Times New Roman"/>
      <w:b/>
      <w:sz w:val="24"/>
      <w:u w:val="single"/>
      <w:lang w:eastAsia="en-US"/>
    </w:rPr>
  </w:style>
  <w:style w:type="paragraph" w:customStyle="1" w:styleId="Institutionquiagit">
    <w:name w:val="Institution qui agit"/>
    <w:basedOn w:val="Normalny"/>
    <w:next w:val="Normalny"/>
    <w:rsid w:val="000D2D0B"/>
    <w:pPr>
      <w:keepNext/>
      <w:spacing w:before="600" w:after="120"/>
      <w:jc w:val="both"/>
    </w:pPr>
    <w:rPr>
      <w:rFonts w:ascii="Times New Roman" w:hAnsi="Times New Roman"/>
      <w:sz w:val="24"/>
      <w:lang w:eastAsia="en-US"/>
    </w:rPr>
  </w:style>
  <w:style w:type="paragraph" w:customStyle="1" w:styleId="Langue">
    <w:name w:val="Langue"/>
    <w:basedOn w:val="Normalny"/>
    <w:next w:val="Rfrenceinterne"/>
    <w:rsid w:val="000D2D0B"/>
    <w:pPr>
      <w:framePr w:wrap="around" w:vAnchor="page" w:hAnchor="text" w:xAlign="center" w:y="14741"/>
      <w:spacing w:after="600"/>
      <w:jc w:val="center"/>
    </w:pPr>
    <w:rPr>
      <w:rFonts w:ascii="Times New Roman" w:hAnsi="Times New Roman"/>
      <w:b/>
      <w:caps/>
      <w:sz w:val="24"/>
      <w:lang w:eastAsia="en-US"/>
    </w:rPr>
  </w:style>
  <w:style w:type="paragraph" w:customStyle="1" w:styleId="ManualConsidrant">
    <w:name w:val="Manual Considérant"/>
    <w:basedOn w:val="Normalny"/>
    <w:rsid w:val="000D2D0B"/>
    <w:pPr>
      <w:spacing w:before="120" w:after="120"/>
      <w:ind w:left="709" w:hanging="709"/>
      <w:jc w:val="both"/>
    </w:pPr>
    <w:rPr>
      <w:rFonts w:ascii="Times New Roman" w:hAnsi="Times New Roman"/>
      <w:sz w:val="24"/>
      <w:lang w:eastAsia="en-US"/>
    </w:rPr>
  </w:style>
  <w:style w:type="paragraph" w:customStyle="1" w:styleId="Nomdelinstitution">
    <w:name w:val="Nom de l'institution"/>
    <w:basedOn w:val="Normalny"/>
    <w:next w:val="Emission"/>
    <w:rsid w:val="000D2D0B"/>
    <w:rPr>
      <w:rFonts w:cs="Arial"/>
      <w:sz w:val="24"/>
      <w:lang w:eastAsia="en-US"/>
    </w:rPr>
  </w:style>
  <w:style w:type="paragraph" w:customStyle="1" w:styleId="Rfrenceinstitutionnelle">
    <w:name w:val="Référence institutionnelle"/>
    <w:basedOn w:val="Normalny"/>
    <w:next w:val="Confidentialit"/>
    <w:rsid w:val="000D2D0B"/>
    <w:pPr>
      <w:spacing w:after="240"/>
      <w:ind w:left="5103"/>
    </w:pPr>
    <w:rPr>
      <w:rFonts w:ascii="Times New Roman" w:hAnsi="Times New Roman"/>
      <w:sz w:val="24"/>
      <w:lang w:eastAsia="en-US"/>
    </w:rPr>
  </w:style>
  <w:style w:type="paragraph" w:customStyle="1" w:styleId="Rfrenceinterinstitutionnelle">
    <w:name w:val="Référence interinstitutionnelle"/>
    <w:basedOn w:val="Normalny"/>
    <w:next w:val="Statut"/>
    <w:rsid w:val="000D2D0B"/>
    <w:pPr>
      <w:ind w:left="5103"/>
    </w:pPr>
    <w:rPr>
      <w:rFonts w:ascii="Times New Roman" w:hAnsi="Times New Roman"/>
      <w:sz w:val="24"/>
      <w:lang w:eastAsia="en-US"/>
    </w:rPr>
  </w:style>
  <w:style w:type="paragraph" w:customStyle="1" w:styleId="Rfrenceinterne">
    <w:name w:val="Référence interne"/>
    <w:basedOn w:val="Normalny"/>
    <w:next w:val="Rfrenceinterinstitutionnelle"/>
    <w:rsid w:val="000D2D0B"/>
    <w:pPr>
      <w:ind w:left="5103"/>
    </w:pPr>
    <w:rPr>
      <w:rFonts w:ascii="Times New Roman" w:hAnsi="Times New Roman"/>
      <w:sz w:val="24"/>
      <w:lang w:eastAsia="en-US"/>
    </w:rPr>
  </w:style>
  <w:style w:type="paragraph" w:customStyle="1" w:styleId="Sous-titreobjet">
    <w:name w:val="Sous-titre objet"/>
    <w:basedOn w:val="Normalny"/>
    <w:rsid w:val="000D2D0B"/>
    <w:pPr>
      <w:jc w:val="center"/>
    </w:pPr>
    <w:rPr>
      <w:rFonts w:ascii="Times New Roman" w:hAnsi="Times New Roman"/>
      <w:b/>
      <w:sz w:val="24"/>
      <w:lang w:eastAsia="en-US"/>
    </w:rPr>
  </w:style>
  <w:style w:type="paragraph" w:customStyle="1" w:styleId="Statut">
    <w:name w:val="Statut"/>
    <w:basedOn w:val="Normalny"/>
    <w:next w:val="Typedudocument"/>
    <w:rsid w:val="000D2D0B"/>
    <w:pPr>
      <w:spacing w:before="360"/>
      <w:jc w:val="center"/>
    </w:pPr>
    <w:rPr>
      <w:rFonts w:ascii="Times New Roman" w:hAnsi="Times New Roman"/>
      <w:sz w:val="24"/>
      <w:lang w:eastAsia="en-US"/>
    </w:rPr>
  </w:style>
  <w:style w:type="character" w:customStyle="1" w:styleId="Added">
    <w:name w:val="Added"/>
    <w:rsid w:val="000D2D0B"/>
    <w:rPr>
      <w:b/>
      <w:u w:val="single"/>
      <w:shd w:val="clear" w:color="auto" w:fill="auto"/>
    </w:rPr>
  </w:style>
  <w:style w:type="character" w:customStyle="1" w:styleId="Deleted">
    <w:name w:val="Deleted"/>
    <w:rsid w:val="000D2D0B"/>
    <w:rPr>
      <w:strike/>
      <w:shd w:val="clear" w:color="auto" w:fill="auto"/>
    </w:rPr>
  </w:style>
  <w:style w:type="paragraph" w:customStyle="1" w:styleId="Address">
    <w:name w:val="Address"/>
    <w:basedOn w:val="Normalny"/>
    <w:next w:val="Normalny"/>
    <w:rsid w:val="000D2D0B"/>
    <w:pPr>
      <w:keepLines/>
      <w:spacing w:before="120" w:after="120" w:line="360" w:lineRule="auto"/>
      <w:ind w:left="3402"/>
    </w:pPr>
    <w:rPr>
      <w:rFonts w:ascii="Times New Roman" w:hAnsi="Times New Roman"/>
      <w:sz w:val="24"/>
      <w:lang w:eastAsia="en-US"/>
    </w:rPr>
  </w:style>
  <w:style w:type="paragraph" w:customStyle="1" w:styleId="Objetexterne">
    <w:name w:val="Objet externe"/>
    <w:basedOn w:val="Normalny"/>
    <w:next w:val="Normalny"/>
    <w:rsid w:val="000D2D0B"/>
    <w:pPr>
      <w:spacing w:before="120" w:after="120"/>
      <w:jc w:val="both"/>
    </w:pPr>
    <w:rPr>
      <w:rFonts w:ascii="Times New Roman" w:hAnsi="Times New Roman"/>
      <w:i/>
      <w:caps/>
      <w:sz w:val="24"/>
      <w:lang w:eastAsia="en-US"/>
    </w:rPr>
  </w:style>
  <w:style w:type="paragraph" w:customStyle="1" w:styleId="Pagedecouverture">
    <w:name w:val="Page de couverture"/>
    <w:basedOn w:val="Normalny"/>
    <w:next w:val="Normalny"/>
    <w:rsid w:val="000D2D0B"/>
    <w:pPr>
      <w:spacing w:before="120" w:after="120"/>
      <w:jc w:val="both"/>
    </w:pPr>
    <w:rPr>
      <w:rFonts w:ascii="Times New Roman" w:hAnsi="Times New Roman"/>
      <w:sz w:val="24"/>
      <w:lang w:eastAsia="en-US"/>
    </w:rPr>
  </w:style>
  <w:style w:type="paragraph" w:customStyle="1" w:styleId="Supertitre">
    <w:name w:val="Supertitre"/>
    <w:basedOn w:val="Normalny"/>
    <w:next w:val="Normalny"/>
    <w:rsid w:val="000D2D0B"/>
    <w:pPr>
      <w:spacing w:after="600"/>
      <w:jc w:val="center"/>
    </w:pPr>
    <w:rPr>
      <w:rFonts w:ascii="Times New Roman" w:hAnsi="Times New Roman"/>
      <w:b/>
      <w:sz w:val="24"/>
      <w:lang w:eastAsia="en-US"/>
    </w:rPr>
  </w:style>
  <w:style w:type="paragraph" w:customStyle="1" w:styleId="Languesfaisantfoi">
    <w:name w:val="Langues faisant foi"/>
    <w:basedOn w:val="Normalny"/>
    <w:next w:val="Normalny"/>
    <w:rsid w:val="000D2D0B"/>
    <w:pPr>
      <w:spacing w:before="360"/>
      <w:jc w:val="center"/>
    </w:pPr>
    <w:rPr>
      <w:rFonts w:ascii="Times New Roman" w:hAnsi="Times New Roman"/>
      <w:sz w:val="24"/>
      <w:lang w:eastAsia="en-US"/>
    </w:rPr>
  </w:style>
  <w:style w:type="paragraph" w:customStyle="1" w:styleId="Rfrencecroise">
    <w:name w:val="Référence croisée"/>
    <w:basedOn w:val="Normalny"/>
    <w:rsid w:val="000D2D0B"/>
    <w:pPr>
      <w:jc w:val="center"/>
    </w:pPr>
    <w:rPr>
      <w:rFonts w:ascii="Times New Roman" w:hAnsi="Times New Roman"/>
      <w:sz w:val="24"/>
      <w:lang w:eastAsia="en-US"/>
    </w:rPr>
  </w:style>
  <w:style w:type="paragraph" w:customStyle="1" w:styleId="Fichefinanciretitre">
    <w:name w:val="Fiche financière titre"/>
    <w:basedOn w:val="Normalny"/>
    <w:next w:val="Normalny"/>
    <w:rsid w:val="000D2D0B"/>
    <w:pPr>
      <w:spacing w:before="120" w:after="120"/>
      <w:jc w:val="center"/>
    </w:pPr>
    <w:rPr>
      <w:rFonts w:ascii="Times New Roman" w:hAnsi="Times New Roman"/>
      <w:b/>
      <w:sz w:val="24"/>
      <w:u w:val="single"/>
      <w:lang w:eastAsia="en-US"/>
    </w:rPr>
  </w:style>
  <w:style w:type="paragraph" w:customStyle="1" w:styleId="DatedadoptionPagedecouverture">
    <w:name w:val="Date d'adoption (Page de couverture)"/>
    <w:basedOn w:val="Datedadoption"/>
    <w:next w:val="TitreobjetPagedecouverture"/>
    <w:rsid w:val="000D2D0B"/>
  </w:style>
  <w:style w:type="paragraph" w:customStyle="1" w:styleId="RfrenceinterinstitutionnellePagedecouverture">
    <w:name w:val="Référence interinstitutionnelle (Page de couverture)"/>
    <w:basedOn w:val="Rfrenceinterinstitutionnelle"/>
    <w:next w:val="Confidentialit"/>
    <w:rsid w:val="000D2D0B"/>
  </w:style>
  <w:style w:type="paragraph" w:customStyle="1" w:styleId="Sous-titreobjetPagedecouverture">
    <w:name w:val="Sous-titre objet (Page de couverture)"/>
    <w:basedOn w:val="Sous-titreobjet"/>
    <w:rsid w:val="000D2D0B"/>
  </w:style>
  <w:style w:type="paragraph" w:customStyle="1" w:styleId="StatutPagedecouverture">
    <w:name w:val="Statut (Page de couverture)"/>
    <w:basedOn w:val="Statut"/>
    <w:next w:val="TypedudocumentPagedecouverture"/>
    <w:rsid w:val="000D2D0B"/>
  </w:style>
  <w:style w:type="paragraph" w:customStyle="1" w:styleId="TitreobjetPagedecouverture">
    <w:name w:val="Titre objet (Page de couverture)"/>
    <w:basedOn w:val="Titreobjet"/>
    <w:next w:val="Sous-titreobjetPagedecouverture"/>
    <w:rsid w:val="000D2D0B"/>
  </w:style>
  <w:style w:type="paragraph" w:customStyle="1" w:styleId="TypedudocumentPagedecouverture">
    <w:name w:val="Type du document (Page de couverture)"/>
    <w:basedOn w:val="Typedudocument"/>
    <w:next w:val="TitreobjetPagedecouverture"/>
    <w:rsid w:val="000D2D0B"/>
  </w:style>
  <w:style w:type="paragraph" w:customStyle="1" w:styleId="Volume">
    <w:name w:val="Volume"/>
    <w:basedOn w:val="Normalny"/>
    <w:next w:val="Confidentialit"/>
    <w:rsid w:val="000D2D0B"/>
    <w:pPr>
      <w:spacing w:after="240"/>
      <w:ind w:left="5103"/>
    </w:pPr>
    <w:rPr>
      <w:rFonts w:ascii="Times New Roman" w:hAnsi="Times New Roman"/>
      <w:sz w:val="24"/>
      <w:lang w:eastAsia="en-US"/>
    </w:rPr>
  </w:style>
  <w:style w:type="paragraph" w:customStyle="1" w:styleId="IntrtEEE">
    <w:name w:val="Intérêt EEE"/>
    <w:basedOn w:val="Languesfaisantfoi"/>
    <w:next w:val="Normalny"/>
    <w:rsid w:val="000D2D0B"/>
    <w:pPr>
      <w:spacing w:after="240"/>
    </w:pPr>
  </w:style>
  <w:style w:type="paragraph" w:customStyle="1" w:styleId="Accompagnant">
    <w:name w:val="Accompagnant"/>
    <w:basedOn w:val="Normalny"/>
    <w:next w:val="Typeacteprincipal"/>
    <w:rsid w:val="000D2D0B"/>
    <w:pPr>
      <w:spacing w:after="240"/>
      <w:jc w:val="center"/>
    </w:pPr>
    <w:rPr>
      <w:rFonts w:ascii="Times New Roman" w:hAnsi="Times New Roman"/>
      <w:b/>
      <w:i/>
      <w:sz w:val="24"/>
      <w:lang w:eastAsia="en-US"/>
    </w:rPr>
  </w:style>
  <w:style w:type="paragraph" w:customStyle="1" w:styleId="Typeacteprincipal">
    <w:name w:val="Type acte principal"/>
    <w:basedOn w:val="Normalny"/>
    <w:next w:val="Objetacteprincipal"/>
    <w:rsid w:val="000D2D0B"/>
    <w:pPr>
      <w:spacing w:after="240"/>
      <w:jc w:val="center"/>
    </w:pPr>
    <w:rPr>
      <w:rFonts w:ascii="Times New Roman" w:hAnsi="Times New Roman"/>
      <w:b/>
      <w:sz w:val="24"/>
      <w:lang w:eastAsia="en-US"/>
    </w:rPr>
  </w:style>
  <w:style w:type="paragraph" w:customStyle="1" w:styleId="Objetacteprincipal">
    <w:name w:val="Objet acte principal"/>
    <w:basedOn w:val="Normalny"/>
    <w:next w:val="Titrearticle"/>
    <w:rsid w:val="000D2D0B"/>
    <w:pPr>
      <w:spacing w:after="360"/>
      <w:jc w:val="center"/>
    </w:pPr>
    <w:rPr>
      <w:rFonts w:ascii="Times New Roman" w:hAnsi="Times New Roman"/>
      <w:b/>
      <w:sz w:val="24"/>
      <w:lang w:eastAsia="en-US"/>
    </w:rPr>
  </w:style>
  <w:style w:type="paragraph" w:customStyle="1" w:styleId="IntrtEEEPagedecouverture">
    <w:name w:val="Intérêt EEE (Page de couverture)"/>
    <w:basedOn w:val="IntrtEEE"/>
    <w:next w:val="Rfrencecroise"/>
    <w:rsid w:val="000D2D0B"/>
  </w:style>
  <w:style w:type="paragraph" w:customStyle="1" w:styleId="AccompagnantPagedecouverture">
    <w:name w:val="Accompagnant (Page de couverture)"/>
    <w:basedOn w:val="Accompagnant"/>
    <w:next w:val="TypeacteprincipalPagedecouverture"/>
    <w:rsid w:val="000D2D0B"/>
  </w:style>
  <w:style w:type="paragraph" w:customStyle="1" w:styleId="TypeacteprincipalPagedecouverture">
    <w:name w:val="Type acte principal (Page de couverture)"/>
    <w:basedOn w:val="Typeacteprincipal"/>
    <w:next w:val="ObjetacteprincipalPagedecouverture"/>
    <w:rsid w:val="000D2D0B"/>
  </w:style>
  <w:style w:type="paragraph" w:customStyle="1" w:styleId="ObjetacteprincipalPagedecouverture">
    <w:name w:val="Objet acte principal (Page de couverture)"/>
    <w:basedOn w:val="Objetacteprincipal"/>
    <w:next w:val="Rfrencecroise"/>
    <w:rsid w:val="000D2D0B"/>
  </w:style>
  <w:style w:type="paragraph" w:customStyle="1" w:styleId="LanguesfaisantfoiPagedecouverture">
    <w:name w:val="Langues faisant foi (Page de couverture)"/>
    <w:basedOn w:val="Normalny"/>
    <w:next w:val="Normalny"/>
    <w:rsid w:val="000D2D0B"/>
    <w:pPr>
      <w:spacing w:before="360"/>
      <w:jc w:val="center"/>
    </w:pPr>
    <w:rPr>
      <w:rFonts w:ascii="Times New Roman" w:hAnsi="Times New Roman"/>
      <w:sz w:val="24"/>
      <w:lang w:eastAsia="en-US"/>
    </w:rPr>
  </w:style>
  <w:style w:type="paragraph" w:styleId="Listanumerowana2">
    <w:name w:val="List Number 2"/>
    <w:basedOn w:val="Normalny"/>
    <w:rsid w:val="000D2D0B"/>
    <w:pPr>
      <w:tabs>
        <w:tab w:val="num" w:pos="643"/>
      </w:tabs>
      <w:spacing w:before="120" w:after="120"/>
      <w:ind w:left="643" w:hanging="360"/>
      <w:jc w:val="both"/>
    </w:pPr>
    <w:rPr>
      <w:rFonts w:ascii="Times New Roman" w:hAnsi="Times New Roman"/>
      <w:sz w:val="24"/>
      <w:lang w:eastAsia="en-US"/>
    </w:rPr>
  </w:style>
  <w:style w:type="paragraph" w:styleId="Listanumerowana3">
    <w:name w:val="List Number 3"/>
    <w:basedOn w:val="Normalny"/>
    <w:rsid w:val="000D2D0B"/>
    <w:pPr>
      <w:tabs>
        <w:tab w:val="num" w:pos="926"/>
      </w:tabs>
      <w:spacing w:before="120" w:after="120"/>
      <w:ind w:left="926" w:hanging="360"/>
      <w:jc w:val="both"/>
    </w:pPr>
    <w:rPr>
      <w:rFonts w:ascii="Times New Roman" w:hAnsi="Times New Roman"/>
      <w:sz w:val="24"/>
      <w:lang w:eastAsia="en-US"/>
    </w:rPr>
  </w:style>
  <w:style w:type="paragraph" w:styleId="Listanumerowana4">
    <w:name w:val="List Number 4"/>
    <w:basedOn w:val="Normalny"/>
    <w:rsid w:val="000D2D0B"/>
    <w:pPr>
      <w:tabs>
        <w:tab w:val="num" w:pos="1209"/>
        <w:tab w:val="num" w:pos="1417"/>
      </w:tabs>
      <w:spacing w:before="120" w:after="120"/>
      <w:ind w:left="1209" w:hanging="360"/>
      <w:jc w:val="both"/>
    </w:pPr>
    <w:rPr>
      <w:rFonts w:ascii="Times New Roman" w:hAnsi="Times New Roman"/>
      <w:sz w:val="24"/>
      <w:lang w:eastAsia="en-US"/>
    </w:rPr>
  </w:style>
  <w:style w:type="paragraph" w:styleId="Listapunktowana">
    <w:name w:val="List Bullet"/>
    <w:basedOn w:val="Normalny"/>
    <w:rsid w:val="000D2D0B"/>
    <w:pPr>
      <w:numPr>
        <w:numId w:val="15"/>
      </w:numPr>
      <w:tabs>
        <w:tab w:val="num" w:pos="360"/>
      </w:tabs>
      <w:spacing w:before="120" w:after="120"/>
      <w:ind w:left="360" w:hanging="360"/>
      <w:jc w:val="both"/>
    </w:pPr>
    <w:rPr>
      <w:rFonts w:ascii="Times New Roman" w:hAnsi="Times New Roman"/>
      <w:sz w:val="24"/>
      <w:lang w:eastAsia="en-US"/>
    </w:rPr>
  </w:style>
  <w:style w:type="paragraph" w:styleId="Listapunktowana2">
    <w:name w:val="List Bullet 2"/>
    <w:basedOn w:val="Normalny"/>
    <w:rsid w:val="000D2D0B"/>
    <w:pPr>
      <w:tabs>
        <w:tab w:val="num" w:pos="643"/>
        <w:tab w:val="num" w:pos="851"/>
      </w:tabs>
      <w:spacing w:before="120" w:after="120"/>
      <w:ind w:left="643" w:hanging="360"/>
      <w:jc w:val="both"/>
    </w:pPr>
    <w:rPr>
      <w:rFonts w:ascii="Times New Roman" w:hAnsi="Times New Roman"/>
      <w:sz w:val="24"/>
      <w:lang w:eastAsia="en-US"/>
    </w:rPr>
  </w:style>
  <w:style w:type="paragraph" w:styleId="Listapunktowana3">
    <w:name w:val="List Bullet 3"/>
    <w:basedOn w:val="Normalny"/>
    <w:rsid w:val="000D2D0B"/>
    <w:pPr>
      <w:numPr>
        <w:numId w:val="17"/>
      </w:numPr>
      <w:tabs>
        <w:tab w:val="num" w:pos="926"/>
      </w:tabs>
      <w:spacing w:before="120" w:after="120"/>
      <w:ind w:left="926"/>
      <w:jc w:val="both"/>
    </w:pPr>
    <w:rPr>
      <w:rFonts w:ascii="Times New Roman" w:hAnsi="Times New Roman"/>
      <w:sz w:val="24"/>
      <w:lang w:eastAsia="en-US"/>
    </w:rPr>
  </w:style>
  <w:style w:type="paragraph" w:styleId="Listapunktowana4">
    <w:name w:val="List Bullet 4"/>
    <w:basedOn w:val="Normalny"/>
    <w:rsid w:val="000D2D0B"/>
    <w:pPr>
      <w:numPr>
        <w:numId w:val="18"/>
      </w:numPr>
      <w:tabs>
        <w:tab w:val="num" w:pos="1209"/>
      </w:tabs>
      <w:spacing w:before="120" w:after="120"/>
      <w:ind w:left="1209"/>
      <w:jc w:val="both"/>
    </w:pPr>
    <w:rPr>
      <w:rFonts w:ascii="Times New Roman" w:hAnsi="Times New Roman"/>
      <w:sz w:val="24"/>
      <w:lang w:eastAsia="en-US"/>
    </w:rPr>
  </w:style>
  <w:style w:type="paragraph" w:styleId="Spisilustracji">
    <w:name w:val="table of figures"/>
    <w:basedOn w:val="Normalny"/>
    <w:next w:val="Normalny"/>
    <w:rsid w:val="000D2D0B"/>
    <w:pPr>
      <w:spacing w:before="120" w:after="120"/>
      <w:jc w:val="both"/>
    </w:pPr>
    <w:rPr>
      <w:rFonts w:ascii="Times New Roman" w:hAnsi="Times New Roman"/>
      <w:sz w:val="24"/>
      <w:lang w:eastAsia="en-US"/>
    </w:rPr>
  </w:style>
  <w:style w:type="character" w:customStyle="1" w:styleId="CommentTextChar3">
    <w:name w:val="Comment Text Char3"/>
    <w:locked/>
    <w:rsid w:val="000D2D0B"/>
    <w:rPr>
      <w:rFonts w:ascii="Arial" w:hAnsi="Arial" w:cs="Times New Roman"/>
      <w:lang w:val="en-GB" w:eastAsia="en-GB" w:bidi="ar-SA"/>
    </w:rPr>
  </w:style>
  <w:style w:type="paragraph" w:customStyle="1" w:styleId="Paragrafoelenco3">
    <w:name w:val="Paragrafo elenco3"/>
    <w:basedOn w:val="Normalny"/>
    <w:rsid w:val="000D2D0B"/>
    <w:pPr>
      <w:ind w:left="720"/>
      <w:contextualSpacing/>
    </w:pPr>
    <w:rPr>
      <w:rFonts w:ascii="Cambria" w:hAnsi="Cambria"/>
      <w:sz w:val="24"/>
      <w:lang w:val="en-US" w:eastAsia="en-US"/>
    </w:rPr>
  </w:style>
  <w:style w:type="paragraph" w:customStyle="1" w:styleId="Listeavsnitt1">
    <w:name w:val="Listeavsnitt1"/>
    <w:basedOn w:val="Normalny"/>
    <w:rsid w:val="000D2D0B"/>
    <w:pPr>
      <w:spacing w:line="252" w:lineRule="auto"/>
      <w:ind w:left="720"/>
      <w:contextualSpacing/>
    </w:pPr>
    <w:rPr>
      <w:rFonts w:ascii="Times New Roman" w:hAnsi="Times New Roman"/>
      <w:sz w:val="24"/>
      <w:lang w:val="nb-NO" w:eastAsia="en-US"/>
    </w:rPr>
  </w:style>
  <w:style w:type="character" w:customStyle="1" w:styleId="PlainTextChar1">
    <w:name w:val="Plain Text Char1"/>
    <w:rsid w:val="000D2D0B"/>
    <w:rPr>
      <w:rFonts w:ascii="Consolas" w:hAnsi="Consolas" w:cs="Consolas"/>
      <w:sz w:val="21"/>
      <w:szCs w:val="21"/>
      <w:lang w:eastAsia="de-DE"/>
    </w:rPr>
  </w:style>
  <w:style w:type="character" w:customStyle="1" w:styleId="CharChar1">
    <w:name w:val="Char Char1"/>
    <w:semiHidden/>
    <w:locked/>
    <w:rsid w:val="000D2D0B"/>
    <w:rPr>
      <w:rFonts w:ascii="Arial" w:hAnsi="Arial"/>
      <w:lang w:val="en-GB" w:eastAsia="en-GB" w:bidi="ar-SA"/>
    </w:rPr>
  </w:style>
  <w:style w:type="character" w:customStyle="1" w:styleId="CharChar">
    <w:name w:val="Char Char"/>
    <w:semiHidden/>
    <w:locked/>
    <w:rsid w:val="000D2D0B"/>
    <w:rPr>
      <w:rFonts w:ascii="Arial" w:hAnsi="Arial"/>
      <w:lang w:val="en-GB" w:eastAsia="en-GB" w:bidi="ar-SA"/>
    </w:rPr>
  </w:style>
  <w:style w:type="character" w:customStyle="1" w:styleId="CharChar2">
    <w:name w:val="Char Char2"/>
    <w:semiHidden/>
    <w:locked/>
    <w:rsid w:val="000D2D0B"/>
    <w:rPr>
      <w:rFonts w:ascii="Arial" w:hAnsi="Arial"/>
      <w:lang w:val="en-GB" w:eastAsia="en-GB" w:bidi="ar-SA"/>
    </w:rPr>
  </w:style>
  <w:style w:type="character" w:customStyle="1" w:styleId="CharChar4">
    <w:name w:val="Char Char4"/>
    <w:semiHidden/>
    <w:locked/>
    <w:rsid w:val="000D2D0B"/>
    <w:rPr>
      <w:rFonts w:ascii="Arial" w:hAnsi="Arial" w:cs="Times New Roman"/>
      <w:lang w:val="en-GB" w:eastAsia="en-GB" w:bidi="ar-SA"/>
    </w:rPr>
  </w:style>
  <w:style w:type="numbering" w:customStyle="1" w:styleId="Formatvorlage1">
    <w:name w:val="Formatvorlage1"/>
    <w:uiPriority w:val="99"/>
    <w:rsid w:val="000D2D0B"/>
    <w:pPr>
      <w:numPr>
        <w:numId w:val="28"/>
      </w:numPr>
    </w:pPr>
  </w:style>
  <w:style w:type="character" w:customStyle="1" w:styleId="DeltaViewDeletion">
    <w:name w:val="DeltaView Deletion"/>
    <w:rsid w:val="000D2D0B"/>
    <w:rPr>
      <w:b/>
      <w:strike/>
      <w:color w:val="FFFFFF"/>
      <w:spacing w:val="0"/>
    </w:rPr>
  </w:style>
  <w:style w:type="paragraph" w:customStyle="1" w:styleId="Listenabsatz3">
    <w:name w:val="Listenabsatz3"/>
    <w:basedOn w:val="Normalny"/>
    <w:rsid w:val="000D2D0B"/>
    <w:pPr>
      <w:spacing w:before="120" w:after="120"/>
      <w:ind w:left="720"/>
      <w:contextualSpacing/>
      <w:jc w:val="both"/>
    </w:pPr>
    <w:rPr>
      <w:rFonts w:ascii="Times New Roman" w:hAnsi="Times New Roman"/>
      <w:sz w:val="24"/>
      <w:lang w:eastAsia="en-US"/>
    </w:rPr>
  </w:style>
  <w:style w:type="paragraph" w:customStyle="1" w:styleId="Paragrafoelenco2">
    <w:name w:val="Paragrafo elenco2"/>
    <w:basedOn w:val="Normalny"/>
    <w:uiPriority w:val="99"/>
    <w:rsid w:val="000D2D0B"/>
    <w:pPr>
      <w:ind w:left="720"/>
      <w:contextualSpacing/>
    </w:pPr>
    <w:rPr>
      <w:rFonts w:ascii="Cambria" w:hAnsi="Cambria"/>
      <w:sz w:val="24"/>
      <w:lang w:val="en-US" w:eastAsia="en-US"/>
    </w:rPr>
  </w:style>
  <w:style w:type="paragraph" w:customStyle="1" w:styleId="ListParagraph2">
    <w:name w:val="List Paragraph2"/>
    <w:basedOn w:val="Normalny"/>
    <w:rsid w:val="000D2D0B"/>
    <w:pPr>
      <w:spacing w:line="252" w:lineRule="auto"/>
      <w:ind w:left="720"/>
      <w:contextualSpacing/>
    </w:pPr>
    <w:rPr>
      <w:rFonts w:ascii="Times New Roman" w:hAnsi="Times New Roman"/>
      <w:sz w:val="24"/>
      <w:lang w:val="nb-NO" w:eastAsia="en-US"/>
    </w:rPr>
  </w:style>
  <w:style w:type="paragraph" w:customStyle="1" w:styleId="Inhaltsverzeichnisberschrift1">
    <w:name w:val="Inhaltsverzeichnisüberschrift1"/>
    <w:basedOn w:val="Nagwek1"/>
    <w:next w:val="Normalny"/>
    <w:rsid w:val="000D2D0B"/>
    <w:pPr>
      <w:keepNext w:val="0"/>
      <w:numPr>
        <w:numId w:val="0"/>
      </w:numPr>
      <w:tabs>
        <w:tab w:val="left" w:pos="397"/>
      </w:tabs>
      <w:suppressAutoHyphens/>
      <w:spacing w:before="0" w:after="280"/>
      <w:jc w:val="both"/>
      <w:outlineLvl w:val="9"/>
    </w:pPr>
    <w:rPr>
      <w:rFonts w:ascii="Cambria" w:hAnsi="Cambria" w:cs="Times New Roman"/>
      <w:bCs w:val="0"/>
      <w:color w:val="000000"/>
      <w:kern w:val="0"/>
      <w:sz w:val="20"/>
      <w:szCs w:val="20"/>
      <w:lang w:eastAsia="en-US"/>
    </w:rPr>
  </w:style>
  <w:style w:type="paragraph" w:customStyle="1" w:styleId="berarbeitung1">
    <w:name w:val="Überarbeitung1"/>
    <w:hidden/>
    <w:semiHidden/>
    <w:rsid w:val="000D2D0B"/>
    <w:rPr>
      <w:sz w:val="24"/>
      <w:szCs w:val="24"/>
      <w:lang w:eastAsia="en-US"/>
    </w:rPr>
  </w:style>
  <w:style w:type="paragraph" w:customStyle="1" w:styleId="CODParagraphes">
    <w:name w:val="COD Paragraphes"/>
    <w:basedOn w:val="Normalny"/>
    <w:rsid w:val="000D2D0B"/>
    <w:pPr>
      <w:tabs>
        <w:tab w:val="left" w:pos="709"/>
      </w:tabs>
      <w:spacing w:after="240"/>
      <w:jc w:val="both"/>
    </w:pPr>
    <w:rPr>
      <w:rFonts w:ascii="Times New Roman" w:hAnsi="Times New Roman"/>
      <w:sz w:val="24"/>
      <w:szCs w:val="22"/>
      <w:lang w:val="fr-FR" w:eastAsia="en-GB"/>
    </w:rPr>
  </w:style>
  <w:style w:type="character" w:customStyle="1" w:styleId="TitrearticleChar">
    <w:name w:val="Titre article Char"/>
    <w:link w:val="Titrearticle"/>
    <w:uiPriority w:val="99"/>
    <w:locked/>
    <w:rsid w:val="000D2D0B"/>
    <w:rPr>
      <w:i/>
      <w:sz w:val="24"/>
      <w:szCs w:val="24"/>
      <w:lang w:val="x-none" w:eastAsia="x-none"/>
    </w:rPr>
  </w:style>
  <w:style w:type="paragraph" w:customStyle="1" w:styleId="CODArticle12">
    <w:name w:val="COD Article + 12"/>
    <w:basedOn w:val="Normalny"/>
    <w:uiPriority w:val="99"/>
    <w:rsid w:val="000D2D0B"/>
    <w:pPr>
      <w:spacing w:after="240"/>
      <w:jc w:val="center"/>
    </w:pPr>
    <w:rPr>
      <w:rFonts w:ascii="Times New Roman" w:hAnsi="Times New Roman"/>
      <w:sz w:val="24"/>
      <w:szCs w:val="20"/>
      <w:lang w:val="fr-FR" w:eastAsia="en-GB"/>
    </w:rPr>
  </w:style>
  <w:style w:type="paragraph" w:customStyle="1" w:styleId="TableContents">
    <w:name w:val="Table Contents"/>
    <w:basedOn w:val="Normalny"/>
    <w:rsid w:val="000D2D0B"/>
    <w:pPr>
      <w:widowControl w:val="0"/>
      <w:suppressLineNumbers/>
      <w:suppressAutoHyphens/>
    </w:pPr>
    <w:rPr>
      <w:rFonts w:ascii="Liberation Serif" w:hAnsi="Liberation Serif"/>
      <w:kern w:val="1"/>
      <w:sz w:val="24"/>
      <w:lang w:eastAsia="en-GB"/>
    </w:rPr>
  </w:style>
  <w:style w:type="paragraph" w:customStyle="1" w:styleId="Listeavsnitt">
    <w:name w:val="Listeavsnitt"/>
    <w:basedOn w:val="Normalny"/>
    <w:uiPriority w:val="34"/>
    <w:qFormat/>
    <w:rsid w:val="000D2D0B"/>
    <w:pPr>
      <w:ind w:left="720"/>
      <w:contextualSpacing/>
    </w:pPr>
    <w:rPr>
      <w:rFonts w:ascii="Times New Roman" w:hAnsi="Times New Roman"/>
      <w:sz w:val="24"/>
      <w:lang w:eastAsia="en-GB"/>
    </w:rPr>
  </w:style>
  <w:style w:type="paragraph" w:customStyle="1" w:styleId="Listenabsatz4">
    <w:name w:val="Listenabsatz4"/>
    <w:basedOn w:val="Normalny"/>
    <w:qFormat/>
    <w:rsid w:val="000D2D0B"/>
    <w:pPr>
      <w:ind w:left="720"/>
      <w:contextualSpacing/>
    </w:pPr>
    <w:rPr>
      <w:rFonts w:ascii="Times New Roman" w:hAnsi="Times New Roman"/>
      <w:sz w:val="24"/>
      <w:lang w:eastAsia="en-GB"/>
    </w:rPr>
  </w:style>
  <w:style w:type="character" w:customStyle="1" w:styleId="04BodyTextChar">
    <w:name w:val="04_Body Text Char"/>
    <w:link w:val="04BodyText"/>
    <w:rsid w:val="000D2D0B"/>
    <w:rPr>
      <w:rFonts w:ascii="Georgia" w:hAnsi="Georgia"/>
      <w:szCs w:val="24"/>
      <w:lang w:eastAsia="de-DE"/>
    </w:rPr>
  </w:style>
  <w:style w:type="paragraph" w:customStyle="1" w:styleId="05dHeadline1line">
    <w:name w:val="05d_Headline 1 line"/>
    <w:basedOn w:val="05cHeadline1"/>
    <w:next w:val="04fBodytextline"/>
    <w:rsid w:val="000D2D0B"/>
    <w:pPr>
      <w:numPr>
        <w:numId w:val="0"/>
      </w:numPr>
      <w:pBdr>
        <w:top w:val="single" w:sz="4" w:space="10" w:color="000000"/>
      </w:pBdr>
      <w:tabs>
        <w:tab w:val="num" w:pos="851"/>
      </w:tabs>
      <w:ind w:left="720" w:hanging="360"/>
    </w:pPr>
    <w:rPr>
      <w:color w:val="000000"/>
      <w:lang w:val="x-none"/>
    </w:rPr>
  </w:style>
  <w:style w:type="paragraph" w:customStyle="1" w:styleId="04fBodytextline">
    <w:name w:val="04f_Body text line"/>
    <w:basedOn w:val="04BodyText"/>
    <w:rsid w:val="000D2D0B"/>
    <w:pPr>
      <w:pBdr>
        <w:bottom w:val="single" w:sz="4" w:space="12" w:color="000000"/>
      </w:pBdr>
      <w:tabs>
        <w:tab w:val="left" w:pos="454"/>
      </w:tabs>
    </w:pPr>
    <w:rPr>
      <w:color w:val="000000"/>
      <w:lang w:val="x-none"/>
    </w:rPr>
  </w:style>
  <w:style w:type="paragraph" w:customStyle="1" w:styleId="Annex">
    <w:name w:val="Annex"/>
    <w:basedOn w:val="04aNumeration"/>
    <w:link w:val="AnnexChar"/>
    <w:qFormat/>
    <w:rsid w:val="000D2D0B"/>
    <w:pPr>
      <w:tabs>
        <w:tab w:val="clear" w:pos="454"/>
        <w:tab w:val="left" w:pos="397"/>
      </w:tabs>
      <w:suppressAutoHyphens/>
      <w:ind w:left="0" w:firstLine="0"/>
    </w:pPr>
    <w:rPr>
      <w:b/>
      <w:color w:val="000000"/>
      <w:lang w:val="x-none"/>
    </w:rPr>
  </w:style>
  <w:style w:type="character" w:customStyle="1" w:styleId="04RunningTextChar">
    <w:name w:val="04_Running Text Char"/>
    <w:link w:val="04RunningText"/>
    <w:rsid w:val="000D2D0B"/>
    <w:rPr>
      <w:rFonts w:ascii="Georgia" w:hAnsi="Georgia"/>
      <w:szCs w:val="24"/>
      <w:lang w:val="x-none" w:eastAsia="de-DE"/>
    </w:rPr>
  </w:style>
  <w:style w:type="character" w:customStyle="1" w:styleId="AnnexChar">
    <w:name w:val="Annex Char"/>
    <w:link w:val="Annex"/>
    <w:rsid w:val="000D2D0B"/>
    <w:rPr>
      <w:rFonts w:ascii="Georgia" w:hAnsi="Georgia"/>
      <w:b/>
      <w:color w:val="000000"/>
      <w:szCs w:val="24"/>
      <w:lang w:val="x-none" w:eastAsia="de-DE"/>
    </w:rPr>
  </w:style>
  <w:style w:type="paragraph" w:customStyle="1" w:styleId="CM1">
    <w:name w:val="CM1"/>
    <w:basedOn w:val="Default"/>
    <w:next w:val="Default"/>
    <w:uiPriority w:val="99"/>
    <w:rsid w:val="000D2D0B"/>
    <w:rPr>
      <w:rFonts w:ascii="EUAlbertina" w:hAnsi="EUAlbertina" w:cs="Times New Roman"/>
      <w:color w:val="auto"/>
      <w:lang w:val="de-DE" w:eastAsia="de-DE"/>
    </w:rPr>
  </w:style>
  <w:style w:type="paragraph" w:customStyle="1" w:styleId="aStyle1">
    <w:name w:val="a. Style1"/>
    <w:basedOn w:val="Normalny"/>
    <w:link w:val="aStyle1Char"/>
    <w:qFormat/>
    <w:rsid w:val="000D2D0B"/>
    <w:pPr>
      <w:numPr>
        <w:numId w:val="30"/>
      </w:numPr>
      <w:suppressAutoHyphens/>
      <w:spacing w:after="250" w:line="276" w:lineRule="auto"/>
      <w:jc w:val="both"/>
    </w:pPr>
    <w:rPr>
      <w:sz w:val="20"/>
      <w:szCs w:val="20"/>
      <w:lang w:val="x-none" w:eastAsia="x-none"/>
    </w:rPr>
  </w:style>
  <w:style w:type="character" w:customStyle="1" w:styleId="aStyle1Char">
    <w:name w:val="a. Style1 Char"/>
    <w:link w:val="aStyle1"/>
    <w:rsid w:val="000D2D0B"/>
    <w:rPr>
      <w:rFonts w:ascii="Arial" w:hAnsi="Arial"/>
      <w:lang w:val="x-none" w:eastAsia="x-none"/>
    </w:rPr>
  </w:style>
  <w:style w:type="paragraph" w:styleId="Tytu">
    <w:name w:val="Title"/>
    <w:basedOn w:val="Normalny"/>
    <w:next w:val="Normalny"/>
    <w:link w:val="TytuZnak"/>
    <w:uiPriority w:val="10"/>
    <w:qFormat/>
    <w:rsid w:val="000D2D0B"/>
    <w:pPr>
      <w:overflowPunct w:val="0"/>
      <w:autoSpaceDE w:val="0"/>
      <w:autoSpaceDN w:val="0"/>
      <w:adjustRightInd w:val="0"/>
      <w:spacing w:before="240" w:after="60"/>
      <w:jc w:val="center"/>
      <w:textAlignment w:val="baseline"/>
      <w:outlineLvl w:val="0"/>
    </w:pPr>
    <w:rPr>
      <w:rFonts w:ascii="Cambria" w:hAnsi="Cambria"/>
      <w:b/>
      <w:kern w:val="28"/>
      <w:sz w:val="32"/>
      <w:szCs w:val="20"/>
      <w:lang w:val="fr-FR" w:eastAsia="fr-FR"/>
    </w:rPr>
  </w:style>
  <w:style w:type="character" w:customStyle="1" w:styleId="TytuZnak">
    <w:name w:val="Tytuł Znak"/>
    <w:link w:val="Tytu"/>
    <w:uiPriority w:val="10"/>
    <w:rsid w:val="000D2D0B"/>
    <w:rPr>
      <w:rFonts w:ascii="Cambria" w:hAnsi="Cambria"/>
      <w:b/>
      <w:kern w:val="28"/>
      <w:sz w:val="32"/>
      <w:lang w:val="fr-FR" w:eastAsia="fr-FR"/>
    </w:rPr>
  </w:style>
  <w:style w:type="paragraph" w:customStyle="1" w:styleId="32LadilloosubtitulonotadeprensaCNMV">
    <w:name w:val="3.2. Ladillo o subtitulo nota de prensa CNMV"/>
    <w:basedOn w:val="Normalny"/>
    <w:rsid w:val="000D2D0B"/>
    <w:pPr>
      <w:spacing w:before="320" w:line="260" w:lineRule="exact"/>
      <w:jc w:val="both"/>
    </w:pPr>
    <w:rPr>
      <w:rFonts w:ascii="Myriad Pro Light" w:hAnsi="Myriad Pro Light"/>
      <w:b/>
      <w:sz w:val="21"/>
      <w:szCs w:val="20"/>
      <w:lang w:val="es-ES" w:eastAsia="es-ES"/>
    </w:rPr>
  </w:style>
  <w:style w:type="character" w:customStyle="1" w:styleId="PoprawkaZnak">
    <w:name w:val="Poprawka Znak"/>
    <w:link w:val="Poprawka"/>
    <w:uiPriority w:val="99"/>
    <w:semiHidden/>
    <w:locked/>
    <w:rsid w:val="000D2D0B"/>
    <w:rPr>
      <w:rFonts w:ascii="Georgia" w:hAnsi="Georgia"/>
      <w:sz w:val="22"/>
      <w:szCs w:val="24"/>
      <w:lang w:eastAsia="de-DE"/>
    </w:rPr>
  </w:style>
  <w:style w:type="table" w:customStyle="1" w:styleId="TableGrid2">
    <w:name w:val="Table Grid2"/>
    <w:basedOn w:val="Standardowy"/>
    <w:next w:val="Tabela-Siatka"/>
    <w:uiPriority w:val="59"/>
    <w:rsid w:val="000D2D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Wyrnieniedelikatne">
    <w:name w:val="Subtle Emphasis"/>
    <w:aliases w:val="Question"/>
    <w:uiPriority w:val="19"/>
    <w:qFormat/>
    <w:rsid w:val="003A6E9A"/>
    <w:rPr>
      <w:b/>
      <w:i w:val="0"/>
      <w:iCs/>
      <w:sz w:val="20"/>
    </w:rPr>
  </w:style>
  <w:style w:type="paragraph" w:customStyle="1" w:styleId="NEW-Paragraph-Level1">
    <w:name w:val="NEW-Paragraph-Level1"/>
    <w:basedOn w:val="Normalny"/>
    <w:rsid w:val="003A6E9A"/>
    <w:pPr>
      <w:tabs>
        <w:tab w:val="num" w:pos="284"/>
      </w:tabs>
      <w:spacing w:after="250" w:line="276" w:lineRule="auto"/>
      <w:ind w:left="284" w:hanging="284"/>
      <w:jc w:val="both"/>
    </w:pPr>
    <w:rPr>
      <w:sz w:val="20"/>
      <w:szCs w:val="20"/>
    </w:rPr>
  </w:style>
  <w:style w:type="paragraph" w:customStyle="1" w:styleId="NEW-Paragraph-level2">
    <w:name w:val="NEW-Paragraph-level2"/>
    <w:basedOn w:val="Normalny"/>
    <w:link w:val="NEW-Paragraph-level2Char"/>
    <w:rsid w:val="00F90EF4"/>
    <w:pPr>
      <w:numPr>
        <w:ilvl w:val="1"/>
        <w:numId w:val="2"/>
      </w:numPr>
      <w:tabs>
        <w:tab w:val="clear" w:pos="1361"/>
        <w:tab w:val="num" w:pos="1276"/>
      </w:tabs>
      <w:spacing w:after="250" w:line="276" w:lineRule="auto"/>
      <w:ind w:left="567" w:hanging="283"/>
      <w:jc w:val="both"/>
    </w:pPr>
    <w:rPr>
      <w:sz w:val="20"/>
      <w:szCs w:val="20"/>
    </w:rPr>
  </w:style>
  <w:style w:type="paragraph" w:customStyle="1" w:styleId="NEW-Paragraph-level3">
    <w:name w:val="NEW-Paragraph-level3"/>
    <w:basedOn w:val="Normalny"/>
    <w:link w:val="NEW-Paragraph-level3Char"/>
    <w:rsid w:val="00F90EF4"/>
    <w:pPr>
      <w:numPr>
        <w:ilvl w:val="2"/>
        <w:numId w:val="32"/>
      </w:numPr>
      <w:tabs>
        <w:tab w:val="clear" w:pos="1031"/>
      </w:tabs>
      <w:spacing w:after="250" w:line="276" w:lineRule="auto"/>
      <w:ind w:left="851" w:hanging="284"/>
      <w:jc w:val="both"/>
    </w:pPr>
    <w:rPr>
      <w:sz w:val="20"/>
      <w:szCs w:val="20"/>
    </w:rPr>
  </w:style>
  <w:style w:type="character" w:customStyle="1" w:styleId="NEW-Paragraph-level2Char">
    <w:name w:val="NEW-Paragraph-level2 Char"/>
    <w:link w:val="NEW-Paragraph-level2"/>
    <w:rsid w:val="00F90EF4"/>
    <w:rPr>
      <w:rFonts w:ascii="Arial" w:hAnsi="Arial"/>
      <w:lang w:eastAsia="de-DE"/>
    </w:rPr>
  </w:style>
  <w:style w:type="character" w:customStyle="1" w:styleId="NEW-Paragraph-level3Char">
    <w:name w:val="NEW-Paragraph-level3 Char"/>
    <w:link w:val="NEW-Paragraph-level3"/>
    <w:rsid w:val="00F90EF4"/>
    <w:rPr>
      <w:rFonts w:ascii="Arial" w:hAnsi="Arial"/>
      <w:lang w:eastAsia="de-DE"/>
    </w:rPr>
  </w:style>
  <w:style w:type="paragraph" w:customStyle="1" w:styleId="NEW-Level0">
    <w:name w:val="NEW-Level0"/>
    <w:basedOn w:val="Normalny"/>
    <w:rsid w:val="003A6E9A"/>
    <w:pPr>
      <w:keepNext/>
      <w:numPr>
        <w:numId w:val="31"/>
      </w:numPr>
      <w:spacing w:before="240" w:after="250" w:line="276" w:lineRule="auto"/>
      <w:outlineLvl w:val="0"/>
    </w:pPr>
    <w:rPr>
      <w:rFonts w:cs="Arial"/>
      <w:b/>
      <w:bCs/>
      <w:kern w:val="32"/>
      <w:sz w:val="28"/>
      <w:szCs w:val="28"/>
    </w:rPr>
  </w:style>
  <w:style w:type="paragraph" w:customStyle="1" w:styleId="NEW-Level1">
    <w:name w:val="NEW-Level1"/>
    <w:basedOn w:val="Normalny"/>
    <w:rsid w:val="003A6E9A"/>
    <w:pPr>
      <w:keepNext/>
      <w:numPr>
        <w:ilvl w:val="1"/>
        <w:numId w:val="31"/>
      </w:numPr>
      <w:spacing w:before="240" w:after="250" w:line="276" w:lineRule="auto"/>
      <w:outlineLvl w:val="0"/>
    </w:pPr>
    <w:rPr>
      <w:rFonts w:cs="Arial"/>
      <w:b/>
      <w:bCs/>
      <w:kern w:val="32"/>
      <w:sz w:val="24"/>
      <w:szCs w:val="32"/>
    </w:rPr>
  </w:style>
  <w:style w:type="paragraph" w:customStyle="1" w:styleId="NEW-Level2">
    <w:name w:val="NEW-Level2"/>
    <w:basedOn w:val="Normalny"/>
    <w:link w:val="NEW-Level2Char"/>
    <w:rsid w:val="003A6E9A"/>
    <w:pPr>
      <w:autoSpaceDE w:val="0"/>
      <w:autoSpaceDN w:val="0"/>
      <w:adjustRightInd w:val="0"/>
      <w:spacing w:after="250" w:line="276" w:lineRule="auto"/>
      <w:jc w:val="both"/>
    </w:pPr>
    <w:rPr>
      <w:rFonts w:cs="Georgia"/>
      <w:b/>
      <w:bCs/>
      <w:color w:val="000000"/>
      <w:sz w:val="20"/>
      <w:szCs w:val="20"/>
      <w:u w:val="single"/>
      <w:lang w:eastAsia="en-GB"/>
    </w:rPr>
  </w:style>
  <w:style w:type="character" w:customStyle="1" w:styleId="NEW-Level2Char">
    <w:name w:val="NEW-Level2 Char"/>
    <w:link w:val="NEW-Level2"/>
    <w:rsid w:val="003A6E9A"/>
    <w:rPr>
      <w:rFonts w:ascii="Georgia" w:hAnsi="Georgia" w:cs="Georgia"/>
      <w:b/>
      <w:bCs/>
      <w:color w:val="000000"/>
      <w:u w:val="single"/>
    </w:rPr>
  </w:style>
  <w:style w:type="paragraph" w:customStyle="1" w:styleId="aNEW-Level0">
    <w:name w:val="aNEW-Level0"/>
    <w:basedOn w:val="NEW-Level0"/>
    <w:link w:val="aNEW-Level0Char"/>
    <w:qFormat/>
    <w:rsid w:val="004E76A1"/>
    <w:pPr>
      <w:spacing w:before="120" w:after="120"/>
      <w:ind w:left="425" w:hanging="425"/>
    </w:pPr>
  </w:style>
  <w:style w:type="paragraph" w:customStyle="1" w:styleId="aNEW-Level1">
    <w:name w:val="aNEW-Level1"/>
    <w:basedOn w:val="NEW-Level1"/>
    <w:link w:val="aNEW-Level1Char"/>
    <w:qFormat/>
    <w:rsid w:val="000636A1"/>
    <w:pPr>
      <w:spacing w:before="120" w:after="120"/>
      <w:ind w:left="431" w:hanging="431"/>
    </w:pPr>
  </w:style>
  <w:style w:type="character" w:customStyle="1" w:styleId="aNEW-Level0Char">
    <w:name w:val="aNEW-Level0 Char"/>
    <w:link w:val="aNEW-Level0"/>
    <w:rsid w:val="004E76A1"/>
    <w:rPr>
      <w:rFonts w:ascii="Arial" w:hAnsi="Arial" w:cs="Arial"/>
      <w:b/>
      <w:bCs/>
      <w:kern w:val="32"/>
      <w:sz w:val="28"/>
      <w:szCs w:val="28"/>
      <w:lang w:eastAsia="de-DE"/>
    </w:rPr>
  </w:style>
  <w:style w:type="character" w:customStyle="1" w:styleId="aNEW-Level1Char">
    <w:name w:val="aNEW-Level1 Char"/>
    <w:link w:val="aNEW-Level1"/>
    <w:rsid w:val="000636A1"/>
    <w:rPr>
      <w:rFonts w:ascii="Arial" w:hAnsi="Arial" w:cs="Arial"/>
      <w:b/>
      <w:bCs/>
      <w:kern w:val="32"/>
      <w:sz w:val="24"/>
      <w:szCs w:val="32"/>
      <w:lang w:eastAsia="de-DE"/>
    </w:rPr>
  </w:style>
  <w:style w:type="paragraph" w:customStyle="1" w:styleId="aNEW-Level2">
    <w:name w:val="aNEW-Level2"/>
    <w:basedOn w:val="NEW-Level2"/>
    <w:link w:val="aNEW-Level2Char"/>
    <w:qFormat/>
    <w:rsid w:val="00176982"/>
  </w:style>
  <w:style w:type="paragraph" w:customStyle="1" w:styleId="aNEW-Level4">
    <w:name w:val="aNEW-Level4"/>
    <w:basedOn w:val="Normalny"/>
    <w:link w:val="aNEW-Level4Char"/>
    <w:qFormat/>
    <w:rsid w:val="003A6E9A"/>
    <w:pPr>
      <w:tabs>
        <w:tab w:val="left" w:pos="720"/>
      </w:tabs>
      <w:spacing w:after="250" w:line="276" w:lineRule="auto"/>
      <w:jc w:val="both"/>
    </w:pPr>
    <w:rPr>
      <w:i/>
      <w:sz w:val="20"/>
      <w:szCs w:val="20"/>
    </w:rPr>
  </w:style>
  <w:style w:type="character" w:customStyle="1" w:styleId="aNEW-Level2Char">
    <w:name w:val="aNEW-Level2 Char"/>
    <w:link w:val="aNEW-Level2"/>
    <w:rsid w:val="00176982"/>
    <w:rPr>
      <w:rFonts w:ascii="Georgia" w:hAnsi="Georgia" w:cs="Georgia"/>
      <w:b/>
      <w:bCs/>
      <w:color w:val="000000"/>
      <w:u w:val="single"/>
    </w:rPr>
  </w:style>
  <w:style w:type="paragraph" w:customStyle="1" w:styleId="aNEW-Questions">
    <w:name w:val="aNEW-Questions"/>
    <w:basedOn w:val="Normalny"/>
    <w:link w:val="aNEW-QuestionsChar"/>
    <w:qFormat/>
    <w:rsid w:val="003A6E9A"/>
    <w:pPr>
      <w:numPr>
        <w:numId w:val="8"/>
      </w:numPr>
      <w:spacing w:after="250" w:line="276" w:lineRule="auto"/>
      <w:ind w:left="850" w:hanging="425"/>
      <w:jc w:val="both"/>
      <w:outlineLvl w:val="0"/>
    </w:pPr>
    <w:rPr>
      <w:rFonts w:eastAsia="Calibri"/>
      <w:b/>
      <w:bCs/>
      <w:kern w:val="28"/>
      <w:sz w:val="20"/>
      <w:szCs w:val="32"/>
      <w:lang w:eastAsia="en-US"/>
    </w:rPr>
  </w:style>
  <w:style w:type="character" w:customStyle="1" w:styleId="aNEW-Level4Char">
    <w:name w:val="aNEW-Level4 Char"/>
    <w:link w:val="aNEW-Level4"/>
    <w:rsid w:val="003A6E9A"/>
    <w:rPr>
      <w:rFonts w:ascii="Georgia" w:hAnsi="Georgia"/>
      <w:i/>
      <w:lang w:eastAsia="de-DE"/>
    </w:rPr>
  </w:style>
  <w:style w:type="paragraph" w:customStyle="1" w:styleId="aNEW-Paragraph">
    <w:name w:val="aNEW-Paragraph"/>
    <w:basedOn w:val="NEW-Paragraph-Level1"/>
    <w:link w:val="aNEW-ParagraphChar"/>
    <w:qFormat/>
    <w:rsid w:val="001244CD"/>
    <w:pPr>
      <w:numPr>
        <w:numId w:val="2"/>
      </w:numPr>
      <w:tabs>
        <w:tab w:val="clear" w:pos="851"/>
        <w:tab w:val="num" w:pos="426"/>
      </w:tabs>
      <w:ind w:left="426" w:hanging="426"/>
    </w:pPr>
    <w:rPr>
      <w:rFonts w:eastAsia="Calibri"/>
    </w:rPr>
  </w:style>
  <w:style w:type="character" w:customStyle="1" w:styleId="aNEW-QuestionsChar">
    <w:name w:val="aNEW-Questions Char"/>
    <w:link w:val="aNEW-Questions"/>
    <w:rsid w:val="003A6E9A"/>
    <w:rPr>
      <w:rFonts w:ascii="Arial" w:eastAsia="Calibri" w:hAnsi="Arial"/>
      <w:b/>
      <w:bCs/>
      <w:kern w:val="28"/>
      <w:szCs w:val="32"/>
      <w:lang w:eastAsia="en-US"/>
    </w:rPr>
  </w:style>
  <w:style w:type="character" w:customStyle="1" w:styleId="aNEW-ParagraphChar">
    <w:name w:val="aNEW-Paragraph Char"/>
    <w:link w:val="aNEW-Paragraph"/>
    <w:rsid w:val="001244CD"/>
    <w:rPr>
      <w:rFonts w:ascii="Arial" w:eastAsia="Calibri" w:hAnsi="Arial"/>
      <w:lang w:eastAsia="de-DE"/>
    </w:rPr>
  </w:style>
  <w:style w:type="paragraph" w:customStyle="1" w:styleId="aNew-Level33">
    <w:name w:val="aNew-Level33"/>
    <w:basedOn w:val="Normalny"/>
    <w:link w:val="aNew-Level33Char"/>
    <w:qFormat/>
    <w:rsid w:val="004C14E7"/>
    <w:pPr>
      <w:spacing w:after="250" w:line="276" w:lineRule="auto"/>
      <w:ind w:left="426" w:hanging="426"/>
      <w:jc w:val="both"/>
    </w:pPr>
    <w:rPr>
      <w:b/>
      <w:sz w:val="20"/>
    </w:rPr>
  </w:style>
  <w:style w:type="paragraph" w:customStyle="1" w:styleId="aNew-BoxTitle">
    <w:name w:val="aNew-BoxTitle"/>
    <w:basedOn w:val="04aNumbering"/>
    <w:link w:val="aNew-BoxTitleChar"/>
    <w:qFormat/>
    <w:rsid w:val="003A6E9A"/>
    <w:pPr>
      <w:shd w:val="clear" w:color="auto" w:fill="D9D9D9"/>
      <w:tabs>
        <w:tab w:val="clear" w:pos="851"/>
        <w:tab w:val="left" w:pos="720"/>
      </w:tabs>
      <w:ind w:left="284"/>
    </w:pPr>
    <w:rPr>
      <w:b/>
    </w:rPr>
  </w:style>
  <w:style w:type="character" w:customStyle="1" w:styleId="aNew-Level33Char">
    <w:name w:val="aNew-Level33 Char"/>
    <w:link w:val="aNew-Level33"/>
    <w:rsid w:val="004C14E7"/>
    <w:rPr>
      <w:rFonts w:ascii="Georgia" w:hAnsi="Georgia"/>
      <w:b/>
      <w:szCs w:val="24"/>
      <w:lang w:eastAsia="de-DE"/>
    </w:rPr>
  </w:style>
  <w:style w:type="character" w:customStyle="1" w:styleId="aNew-BoxTitleChar">
    <w:name w:val="aNew-BoxTitle Char"/>
    <w:link w:val="aNew-BoxTitle"/>
    <w:rsid w:val="003A6E9A"/>
    <w:rPr>
      <w:rFonts w:ascii="Georgia" w:hAnsi="Georgia"/>
      <w:b/>
      <w:szCs w:val="24"/>
      <w:shd w:val="clear" w:color="auto" w:fill="D9D9D9"/>
      <w:lang w:eastAsia="de-DE"/>
    </w:rPr>
  </w:style>
  <w:style w:type="paragraph" w:customStyle="1" w:styleId="aNEW-Paragraph-level2">
    <w:name w:val="aNEW-Paragraph-level2"/>
    <w:basedOn w:val="NEW-Paragraph-level2"/>
    <w:link w:val="aNEW-Paragraph-level2Char"/>
    <w:qFormat/>
    <w:rsid w:val="0061478E"/>
    <w:pPr>
      <w:ind w:left="851" w:hanging="425"/>
    </w:pPr>
  </w:style>
  <w:style w:type="paragraph" w:customStyle="1" w:styleId="aNEW-Paragraph-level3">
    <w:name w:val="aNEW-Paragraph-level3"/>
    <w:basedOn w:val="NEW-Paragraph-level3"/>
    <w:link w:val="aNEW-Paragraph-level3Char"/>
    <w:qFormat/>
    <w:rsid w:val="00566D36"/>
    <w:pPr>
      <w:ind w:left="1276" w:hanging="426"/>
    </w:pPr>
  </w:style>
  <w:style w:type="character" w:customStyle="1" w:styleId="aNEW-Paragraph-level2Char">
    <w:name w:val="aNEW-Paragraph-level2 Char"/>
    <w:link w:val="aNEW-Paragraph-level2"/>
    <w:rsid w:val="0061478E"/>
    <w:rPr>
      <w:rFonts w:ascii="Arial" w:hAnsi="Arial"/>
      <w:lang w:eastAsia="de-DE"/>
    </w:rPr>
  </w:style>
  <w:style w:type="character" w:customStyle="1" w:styleId="aNEW-Paragraph-level3Char">
    <w:name w:val="aNEW-Paragraph-level3 Char"/>
    <w:link w:val="aNEW-Paragraph-level3"/>
    <w:rsid w:val="00566D36"/>
    <w:rPr>
      <w:rFonts w:ascii="Arial" w:hAnsi="Arial"/>
      <w:lang w:eastAsia="de-DE"/>
    </w:rPr>
  </w:style>
  <w:style w:type="paragraph" w:customStyle="1" w:styleId="aNew-Level5">
    <w:name w:val="aNew-Level5"/>
    <w:basedOn w:val="Normalny"/>
    <w:link w:val="aNew-Level5Char"/>
    <w:qFormat/>
    <w:rsid w:val="0096528F"/>
    <w:pPr>
      <w:tabs>
        <w:tab w:val="left" w:pos="720"/>
      </w:tabs>
      <w:spacing w:after="250" w:line="276" w:lineRule="auto"/>
      <w:jc w:val="both"/>
    </w:pPr>
    <w:rPr>
      <w:i/>
      <w:sz w:val="20"/>
      <w:szCs w:val="20"/>
      <w:u w:val="single"/>
    </w:rPr>
  </w:style>
  <w:style w:type="character" w:customStyle="1" w:styleId="aNew-Level5Char">
    <w:name w:val="aNew-Level5 Char"/>
    <w:link w:val="aNew-Level5"/>
    <w:rsid w:val="0096528F"/>
    <w:rPr>
      <w:rFonts w:ascii="Georgia" w:hAnsi="Georgia"/>
      <w:i/>
      <w:u w:val="single"/>
      <w:lang w:eastAsia="de-DE"/>
    </w:rPr>
  </w:style>
  <w:style w:type="paragraph" w:customStyle="1" w:styleId="Questions-ESMA">
    <w:name w:val="Questions-ESMA"/>
    <w:basedOn w:val="Normalny"/>
    <w:link w:val="Questions-ESMAChar"/>
    <w:qFormat/>
    <w:rsid w:val="00A35728"/>
    <w:pPr>
      <w:spacing w:after="120" w:line="264" w:lineRule="auto"/>
      <w:ind w:left="705" w:hanging="705"/>
      <w:jc w:val="both"/>
    </w:pPr>
    <w:rPr>
      <w:rFonts w:ascii="Calibri" w:hAnsi="Calibri"/>
      <w:b/>
      <w:szCs w:val="20"/>
      <w:lang w:eastAsia="en-US"/>
    </w:rPr>
  </w:style>
  <w:style w:type="character" w:customStyle="1" w:styleId="Questions-ESMAChar">
    <w:name w:val="Questions-ESMA Char"/>
    <w:link w:val="Questions-ESMA"/>
    <w:rsid w:val="00A35728"/>
    <w:rPr>
      <w:rFonts w:ascii="Calibri" w:hAnsi="Calibri"/>
      <w:b/>
      <w:sz w:val="22"/>
      <w:lang w:eastAsia="en-US"/>
    </w:rPr>
  </w:style>
  <w:style w:type="paragraph" w:customStyle="1" w:styleId="QST">
    <w:name w:val="QST"/>
    <w:basedOn w:val="Normalny"/>
    <w:link w:val="QSTChar"/>
    <w:qFormat/>
    <w:rsid w:val="00335027"/>
    <w:pPr>
      <w:spacing w:after="250" w:line="276" w:lineRule="auto"/>
      <w:jc w:val="both"/>
    </w:pPr>
    <w:rPr>
      <w:rFonts w:ascii="Calibri" w:hAnsi="Calibri"/>
      <w:szCs w:val="20"/>
      <w:lang w:eastAsia="en-US"/>
    </w:rPr>
  </w:style>
  <w:style w:type="character" w:customStyle="1" w:styleId="QSTChar">
    <w:name w:val="QST Char"/>
    <w:link w:val="QST"/>
    <w:rsid w:val="00335027"/>
    <w:rPr>
      <w:rFonts w:ascii="Calibri" w:hAnsi="Calibri"/>
      <w:sz w:val="22"/>
      <w:lang w:eastAsia="en-US"/>
    </w:rPr>
  </w:style>
  <w:style w:type="character" w:customStyle="1" w:styleId="shorttext">
    <w:name w:val="short_text"/>
    <w:basedOn w:val="Domylnaczcionkaakapitu"/>
    <w:rsid w:val="00017D6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caption" w:semiHidden="1" w:unhideWhenUsed="1" w:qFormat="1"/>
    <w:lsdException w:name="footnote reference" w:uiPriority="99"/>
    <w:lsdException w:name="annotation reference" w:uiPriority="99"/>
    <w:lsdException w:name="line number" w:uiPriority="99"/>
    <w:lsdException w:name="Title" w:uiPriority="10" w:qFormat="1"/>
    <w:lsdException w:name="Default Paragraph Font" w:uiPriority="1"/>
    <w:lsdException w:name="Subtitle" w:qFormat="1"/>
    <w:lsdException w:name="Strong" w:qFormat="1"/>
    <w:lsdException w:name="Emphasis" w:uiPriority="20"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ny">
    <w:name w:val="Normal"/>
    <w:qFormat/>
    <w:rsid w:val="00965B03"/>
    <w:rPr>
      <w:rFonts w:ascii="Arial" w:hAnsi="Arial"/>
      <w:sz w:val="22"/>
      <w:szCs w:val="24"/>
      <w:lang w:eastAsia="de-DE"/>
    </w:rPr>
  </w:style>
  <w:style w:type="paragraph" w:styleId="Nagwek1">
    <w:name w:val="heading 1"/>
    <w:basedOn w:val="Normalny"/>
    <w:next w:val="Normalny"/>
    <w:link w:val="Nagwek1Znak"/>
    <w:qFormat/>
    <w:rsid w:val="009E7724"/>
    <w:pPr>
      <w:keepNext/>
      <w:numPr>
        <w:numId w:val="6"/>
      </w:numPr>
      <w:spacing w:before="240" w:after="60"/>
      <w:outlineLvl w:val="0"/>
    </w:pPr>
    <w:rPr>
      <w:rFonts w:cs="Arial"/>
      <w:b/>
      <w:bCs/>
      <w:kern w:val="32"/>
      <w:sz w:val="24"/>
      <w:szCs w:val="32"/>
    </w:rPr>
  </w:style>
  <w:style w:type="paragraph" w:styleId="Nagwek2">
    <w:name w:val="heading 2"/>
    <w:basedOn w:val="Normalny"/>
    <w:next w:val="Normalny"/>
    <w:link w:val="Nagwek2Znak"/>
    <w:qFormat/>
    <w:rsid w:val="00886A60"/>
    <w:pPr>
      <w:keepNext/>
      <w:keepLines/>
      <w:spacing w:before="200" w:after="120"/>
      <w:outlineLvl w:val="1"/>
    </w:pPr>
    <w:rPr>
      <w:b/>
      <w:bCs/>
      <w:szCs w:val="26"/>
    </w:rPr>
  </w:style>
  <w:style w:type="paragraph" w:styleId="Nagwek3">
    <w:name w:val="heading 3"/>
    <w:basedOn w:val="Normalny"/>
    <w:next w:val="Normalny"/>
    <w:link w:val="Nagwek3Znak"/>
    <w:qFormat/>
    <w:rsid w:val="003865E5"/>
    <w:pPr>
      <w:keepNext/>
      <w:keepLines/>
      <w:spacing w:before="200"/>
      <w:outlineLvl w:val="2"/>
    </w:pPr>
    <w:rPr>
      <w:rFonts w:ascii="Cambria" w:hAnsi="Cambria"/>
      <w:b/>
      <w:bCs/>
      <w:color w:val="4F81BD"/>
    </w:rPr>
  </w:style>
  <w:style w:type="paragraph" w:styleId="Nagwek4">
    <w:name w:val="heading 4"/>
    <w:basedOn w:val="Normalny"/>
    <w:next w:val="Normalny"/>
    <w:link w:val="Nagwek4Znak"/>
    <w:qFormat/>
    <w:rsid w:val="00CB7286"/>
    <w:pPr>
      <w:keepNext/>
      <w:tabs>
        <w:tab w:val="num" w:pos="864"/>
      </w:tabs>
      <w:spacing w:before="240" w:after="60"/>
      <w:ind w:left="864" w:hanging="864"/>
      <w:outlineLvl w:val="3"/>
    </w:pPr>
    <w:rPr>
      <w:rFonts w:ascii="Times New Roman" w:hAnsi="Times New Roman"/>
      <w:b/>
      <w:bCs/>
      <w:sz w:val="28"/>
      <w:szCs w:val="28"/>
    </w:rPr>
  </w:style>
  <w:style w:type="paragraph" w:styleId="Nagwek5">
    <w:name w:val="heading 5"/>
    <w:aliases w:val="Questions"/>
    <w:basedOn w:val="Normalny"/>
    <w:next w:val="Normalny"/>
    <w:link w:val="Nagwek5Znak"/>
    <w:qFormat/>
    <w:rsid w:val="00E9344E"/>
    <w:pPr>
      <w:keepNext/>
      <w:keepLines/>
      <w:numPr>
        <w:numId w:val="14"/>
      </w:numPr>
      <w:spacing w:before="200"/>
      <w:jc w:val="both"/>
      <w:outlineLvl w:val="4"/>
    </w:pPr>
    <w:rPr>
      <w:b/>
    </w:rPr>
  </w:style>
  <w:style w:type="paragraph" w:styleId="Nagwek6">
    <w:name w:val="heading 6"/>
    <w:basedOn w:val="Normalny"/>
    <w:next w:val="Normalny"/>
    <w:link w:val="Nagwek6Znak"/>
    <w:qFormat/>
    <w:rsid w:val="003609B6"/>
    <w:pPr>
      <w:numPr>
        <w:ilvl w:val="5"/>
        <w:numId w:val="4"/>
      </w:numPr>
      <w:spacing w:before="240" w:after="60"/>
      <w:outlineLvl w:val="5"/>
    </w:pPr>
    <w:rPr>
      <w:rFonts w:ascii="Times New Roman" w:hAnsi="Times New Roman"/>
      <w:b/>
      <w:bCs/>
      <w:szCs w:val="22"/>
    </w:rPr>
  </w:style>
  <w:style w:type="paragraph" w:styleId="Nagwek7">
    <w:name w:val="heading 7"/>
    <w:basedOn w:val="Normalny"/>
    <w:next w:val="Normalny"/>
    <w:link w:val="Nagwek7Znak"/>
    <w:unhideWhenUsed/>
    <w:qFormat/>
    <w:rsid w:val="002D6E1A"/>
    <w:pPr>
      <w:spacing w:before="240" w:after="60"/>
      <w:ind w:left="1296" w:hanging="1296"/>
      <w:outlineLvl w:val="6"/>
    </w:pPr>
    <w:rPr>
      <w:rFonts w:ascii="Times New Roman" w:hAnsi="Times New Roman"/>
    </w:rPr>
  </w:style>
  <w:style w:type="paragraph" w:styleId="Nagwek8">
    <w:name w:val="heading 8"/>
    <w:basedOn w:val="Normalny"/>
    <w:next w:val="Normalny"/>
    <w:link w:val="Nagwek8Znak"/>
    <w:qFormat/>
    <w:rsid w:val="003609B6"/>
    <w:pPr>
      <w:numPr>
        <w:ilvl w:val="7"/>
        <w:numId w:val="4"/>
      </w:numPr>
      <w:spacing w:before="240" w:after="60"/>
      <w:outlineLvl w:val="7"/>
    </w:pPr>
    <w:rPr>
      <w:rFonts w:ascii="Times New Roman" w:hAnsi="Times New Roman"/>
      <w:i/>
      <w:iCs/>
    </w:rPr>
  </w:style>
  <w:style w:type="paragraph" w:styleId="Nagwek9">
    <w:name w:val="heading 9"/>
    <w:basedOn w:val="Normalny"/>
    <w:next w:val="Normalny"/>
    <w:link w:val="Nagwek9Znak"/>
    <w:qFormat/>
    <w:rsid w:val="00A06867"/>
    <w:pPr>
      <w:tabs>
        <w:tab w:val="num" w:pos="1584"/>
      </w:tabs>
      <w:spacing w:before="240" w:after="60"/>
      <w:ind w:left="1584" w:hanging="1584"/>
      <w:outlineLvl w:val="8"/>
    </w:pPr>
    <w:rPr>
      <w:rFonts w:cs="Arial"/>
      <w:szCs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rsid w:val="005B64CB"/>
    <w:pPr>
      <w:tabs>
        <w:tab w:val="center" w:pos="4536"/>
        <w:tab w:val="right" w:pos="9072"/>
      </w:tabs>
    </w:pPr>
  </w:style>
  <w:style w:type="paragraph" w:styleId="Stopka">
    <w:name w:val="footer"/>
    <w:basedOn w:val="Normalny"/>
    <w:link w:val="StopkaZnak"/>
    <w:rsid w:val="005B64CB"/>
    <w:pPr>
      <w:tabs>
        <w:tab w:val="center" w:pos="4536"/>
        <w:tab w:val="right" w:pos="9072"/>
      </w:tabs>
    </w:pPr>
  </w:style>
  <w:style w:type="table" w:styleId="Tabela-Siatka">
    <w:name w:val="Table Grid"/>
    <w:basedOn w:val="Standardowy"/>
    <w:rsid w:val="006521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0Footer">
    <w:name w:val="00_Footer"/>
    <w:basedOn w:val="Normalny"/>
    <w:rsid w:val="003E3ACA"/>
    <w:pPr>
      <w:spacing w:line="200" w:lineRule="exact"/>
    </w:pPr>
    <w:rPr>
      <w:color w:val="2D4190"/>
      <w:sz w:val="16"/>
    </w:rPr>
  </w:style>
  <w:style w:type="paragraph" w:customStyle="1" w:styleId="05aTitle">
    <w:name w:val="05a_Title"/>
    <w:basedOn w:val="Normalny"/>
    <w:rsid w:val="00791EB4"/>
    <w:pPr>
      <w:spacing w:line="340" w:lineRule="exact"/>
    </w:pPr>
    <w:rPr>
      <w:b/>
      <w:color w:val="000000"/>
      <w:sz w:val="28"/>
    </w:rPr>
  </w:style>
  <w:style w:type="paragraph" w:customStyle="1" w:styleId="02Date">
    <w:name w:val="02_Date"/>
    <w:basedOn w:val="Normalny"/>
    <w:rsid w:val="001725A5"/>
    <w:pPr>
      <w:spacing w:line="220" w:lineRule="exact"/>
    </w:pPr>
    <w:rPr>
      <w:sz w:val="17"/>
    </w:rPr>
  </w:style>
  <w:style w:type="paragraph" w:customStyle="1" w:styleId="00aPagenumber">
    <w:name w:val="00a_Page number"/>
    <w:basedOn w:val="00Footer"/>
    <w:rsid w:val="003E3ACA"/>
    <w:pPr>
      <w:spacing w:line="280" w:lineRule="atLeast"/>
      <w:jc w:val="right"/>
    </w:pPr>
    <w:rPr>
      <w:color w:val="000000"/>
      <w:sz w:val="20"/>
    </w:rPr>
  </w:style>
  <w:style w:type="paragraph" w:customStyle="1" w:styleId="04BodyText">
    <w:name w:val="04_Body Text"/>
    <w:basedOn w:val="Normalny"/>
    <w:link w:val="04BodyTextChar"/>
    <w:rsid w:val="001725A5"/>
    <w:pPr>
      <w:spacing w:after="250" w:line="276" w:lineRule="auto"/>
      <w:jc w:val="both"/>
    </w:pPr>
    <w:rPr>
      <w:sz w:val="20"/>
    </w:rPr>
  </w:style>
  <w:style w:type="paragraph" w:customStyle="1" w:styleId="05HeadlinenoIndex">
    <w:name w:val="05_Headline no Index"/>
    <w:basedOn w:val="04BodyText"/>
    <w:rsid w:val="001725A5"/>
    <w:pPr>
      <w:spacing w:line="300" w:lineRule="exact"/>
    </w:pPr>
    <w:rPr>
      <w:b/>
      <w:sz w:val="24"/>
    </w:rPr>
  </w:style>
  <w:style w:type="paragraph" w:customStyle="1" w:styleId="05cHeadline1">
    <w:name w:val="05c_Headline 1"/>
    <w:basedOn w:val="05HeadlinenoIndex"/>
    <w:next w:val="04BodyText"/>
    <w:rsid w:val="003E3ACA"/>
    <w:pPr>
      <w:keepNext/>
      <w:numPr>
        <w:numId w:val="4"/>
      </w:numPr>
      <w:tabs>
        <w:tab w:val="left" w:pos="284"/>
        <w:tab w:val="left" w:pos="397"/>
      </w:tabs>
      <w:spacing w:after="280" w:line="280" w:lineRule="exact"/>
    </w:pPr>
    <w:rPr>
      <w:sz w:val="20"/>
    </w:rPr>
  </w:style>
  <w:style w:type="paragraph" w:customStyle="1" w:styleId="04aNumbering">
    <w:name w:val="04a_Numbering"/>
    <w:basedOn w:val="04BodyText"/>
    <w:link w:val="04aNumberingChar"/>
    <w:uiPriority w:val="99"/>
    <w:rsid w:val="00D75603"/>
    <w:pPr>
      <w:tabs>
        <w:tab w:val="num" w:pos="851"/>
      </w:tabs>
      <w:ind w:left="851" w:hanging="284"/>
    </w:pPr>
  </w:style>
  <w:style w:type="character" w:styleId="Numerstrony">
    <w:name w:val="page number"/>
    <w:basedOn w:val="Domylnaczcionkaakapitu"/>
    <w:rsid w:val="00620D7C"/>
  </w:style>
  <w:style w:type="paragraph" w:customStyle="1" w:styleId="00bDBInfo">
    <w:name w:val="00b_DB_Info"/>
    <w:basedOn w:val="00aPagenumber"/>
    <w:rsid w:val="001725A5"/>
    <w:rPr>
      <w:color w:val="FFFFFF"/>
    </w:rPr>
  </w:style>
  <w:style w:type="paragraph" w:customStyle="1" w:styleId="01aDBTitle">
    <w:name w:val="01a_DB_Title"/>
    <w:basedOn w:val="05aTitle"/>
    <w:rsid w:val="00791EB4"/>
    <w:pPr>
      <w:spacing w:line="400" w:lineRule="exact"/>
      <w:jc w:val="right"/>
    </w:pPr>
    <w:rPr>
      <w:color w:val="2D4190"/>
      <w:sz w:val="40"/>
    </w:rPr>
  </w:style>
  <w:style w:type="paragraph" w:customStyle="1" w:styleId="01bDBSubtitle">
    <w:name w:val="01b_DB_Subtitle"/>
    <w:rsid w:val="001725A5"/>
    <w:pPr>
      <w:jc w:val="right"/>
    </w:pPr>
    <w:rPr>
      <w:rFonts w:ascii="Georgia" w:hAnsi="Georgia"/>
      <w:color w:val="000000"/>
      <w:sz w:val="24"/>
      <w:szCs w:val="24"/>
      <w:lang w:eastAsia="de-DE"/>
    </w:rPr>
  </w:style>
  <w:style w:type="paragraph" w:customStyle="1" w:styleId="05dHeadline1blue">
    <w:name w:val="05d_Headline 1 blue"/>
    <w:basedOn w:val="05cHeadline1"/>
    <w:next w:val="04fBodytextblue"/>
    <w:rsid w:val="003E3ACA"/>
    <w:pPr>
      <w:numPr>
        <w:numId w:val="1"/>
      </w:numPr>
      <w:pBdr>
        <w:top w:val="single" w:sz="4" w:space="10" w:color="283583"/>
      </w:pBdr>
      <w:tabs>
        <w:tab w:val="left" w:pos="284"/>
      </w:tabs>
    </w:pPr>
    <w:rPr>
      <w:color w:val="2D4190"/>
    </w:rPr>
  </w:style>
  <w:style w:type="paragraph" w:styleId="Spistreci1">
    <w:name w:val="toc 1"/>
    <w:basedOn w:val="Normalny"/>
    <w:next w:val="Normalny"/>
    <w:autoRedefine/>
    <w:uiPriority w:val="39"/>
    <w:qFormat/>
    <w:rsid w:val="006476F7"/>
    <w:pPr>
      <w:tabs>
        <w:tab w:val="left" w:pos="510"/>
        <w:tab w:val="right" w:leader="underscore" w:pos="9412"/>
      </w:tabs>
      <w:spacing w:line="250" w:lineRule="exact"/>
    </w:pPr>
    <w:rPr>
      <w:sz w:val="20"/>
    </w:rPr>
  </w:style>
  <w:style w:type="paragraph" w:customStyle="1" w:styleId="04fBodytextblue">
    <w:name w:val="04f_Body text blue"/>
    <w:basedOn w:val="04BodyText"/>
    <w:rsid w:val="001725A5"/>
    <w:pPr>
      <w:pBdr>
        <w:bottom w:val="single" w:sz="4" w:space="12" w:color="283583"/>
      </w:pBdr>
    </w:pPr>
    <w:rPr>
      <w:color w:val="2D4190"/>
    </w:rPr>
  </w:style>
  <w:style w:type="character" w:styleId="Hipercze">
    <w:name w:val="Hyperlink"/>
    <w:rsid w:val="00EA332B"/>
    <w:rPr>
      <w:color w:val="0000FF"/>
      <w:u w:val="single"/>
    </w:rPr>
  </w:style>
  <w:style w:type="paragraph" w:customStyle="1" w:styleId="04bList">
    <w:name w:val="04b_List"/>
    <w:basedOn w:val="04BodyText"/>
    <w:uiPriority w:val="99"/>
    <w:rsid w:val="00D75603"/>
    <w:pPr>
      <w:numPr>
        <w:numId w:val="3"/>
      </w:numPr>
    </w:pPr>
  </w:style>
  <w:style w:type="paragraph" w:customStyle="1" w:styleId="04eBodytextleft">
    <w:name w:val="04e_Body text left"/>
    <w:basedOn w:val="04BodyText"/>
    <w:rsid w:val="001725A5"/>
    <w:pPr>
      <w:spacing w:after="0"/>
      <w:jc w:val="left"/>
    </w:pPr>
  </w:style>
  <w:style w:type="paragraph" w:customStyle="1" w:styleId="05eHeadline2">
    <w:name w:val="05e_Headline 2"/>
    <w:rsid w:val="003E3ACA"/>
    <w:pPr>
      <w:numPr>
        <w:ilvl w:val="1"/>
        <w:numId w:val="4"/>
      </w:numPr>
      <w:tabs>
        <w:tab w:val="left" w:pos="397"/>
      </w:tabs>
      <w:spacing w:after="250" w:line="250" w:lineRule="exact"/>
    </w:pPr>
    <w:rPr>
      <w:rFonts w:ascii="Georgia" w:hAnsi="Georgia" w:cs="Arial"/>
      <w:bCs/>
      <w:iCs/>
      <w:lang w:eastAsia="de-DE"/>
    </w:rPr>
  </w:style>
  <w:style w:type="paragraph" w:styleId="Tekstprzypisudolnego">
    <w:name w:val="footnote text"/>
    <w:aliases w:val="Char3, Char3,Fußnotentextf,Fußnotentextr,stile 1,Footnote1,Footnote2,Footnote3,Footnote4,Footnote5,Footnote6,Footnote7,Footnote8,Footnote9,Footnote10,Footnote11,Footnote21,Footnote31,Footnote41,Footnote51,Footnote61,Footnote71"/>
    <w:basedOn w:val="Normalny"/>
    <w:link w:val="TekstprzypisudolnegoZnak"/>
    <w:uiPriority w:val="99"/>
    <w:rsid w:val="001725A5"/>
    <w:pPr>
      <w:spacing w:line="200" w:lineRule="exact"/>
    </w:pPr>
    <w:rPr>
      <w:sz w:val="16"/>
      <w:szCs w:val="20"/>
    </w:rPr>
  </w:style>
  <w:style w:type="character" w:styleId="Odwoanieprzypisudolnego">
    <w:name w:val="footnote reference"/>
    <w:aliases w:val="SUPERS,Footnote reference number,Footnote symbol,note TESI,-E Fußnotenzeichen,number,BVI fnr,Footnote,Footnote Reference Superscript,(Footnote Reference),EN Footnote Reference,Voetnootverwijzing,Times 10 Point,Exposant 3 Poi"/>
    <w:uiPriority w:val="99"/>
    <w:rsid w:val="00C274F3"/>
    <w:rPr>
      <w:vertAlign w:val="superscript"/>
    </w:rPr>
  </w:style>
  <w:style w:type="paragraph" w:styleId="Spistreci2">
    <w:name w:val="toc 2"/>
    <w:basedOn w:val="Normalny"/>
    <w:next w:val="Normalny"/>
    <w:autoRedefine/>
    <w:uiPriority w:val="39"/>
    <w:qFormat/>
    <w:rsid w:val="00463787"/>
    <w:pPr>
      <w:spacing w:after="100"/>
      <w:ind w:left="220"/>
    </w:pPr>
    <w:rPr>
      <w:sz w:val="20"/>
    </w:rPr>
  </w:style>
  <w:style w:type="paragraph" w:customStyle="1" w:styleId="05bHeadline1black">
    <w:name w:val="05b_Headline 1 black"/>
    <w:basedOn w:val="05dHeadline1blue"/>
    <w:rsid w:val="003E3ACA"/>
    <w:pPr>
      <w:pBdr>
        <w:top w:val="none" w:sz="0" w:space="0" w:color="auto"/>
      </w:pBdr>
    </w:pPr>
    <w:rPr>
      <w:color w:val="000000"/>
    </w:rPr>
  </w:style>
  <w:style w:type="paragraph" w:customStyle="1" w:styleId="03Headbold">
    <w:name w:val="03_Head_bold"/>
    <w:basedOn w:val="04BodyText"/>
    <w:rsid w:val="00C13ED7"/>
    <w:pPr>
      <w:tabs>
        <w:tab w:val="left" w:pos="414"/>
        <w:tab w:val="left" w:pos="454"/>
      </w:tabs>
      <w:spacing w:after="0" w:line="240" w:lineRule="auto"/>
    </w:pPr>
    <w:rPr>
      <w:b/>
    </w:rPr>
  </w:style>
  <w:style w:type="paragraph" w:customStyle="1" w:styleId="03aHead">
    <w:name w:val="03a_Head"/>
    <w:basedOn w:val="03Headbold"/>
    <w:rsid w:val="00C13ED7"/>
    <w:rPr>
      <w:b w:val="0"/>
    </w:rPr>
  </w:style>
  <w:style w:type="paragraph" w:customStyle="1" w:styleId="04dBodyTextbold">
    <w:name w:val="04d_Body Text bold"/>
    <w:basedOn w:val="04BodyText"/>
    <w:rsid w:val="00C13ED7"/>
    <w:pPr>
      <w:tabs>
        <w:tab w:val="left" w:pos="414"/>
      </w:tabs>
    </w:pPr>
    <w:rPr>
      <w:b/>
    </w:rPr>
  </w:style>
  <w:style w:type="paragraph" w:customStyle="1" w:styleId="06InfoTitle">
    <w:name w:val="06_Info_Title"/>
    <w:basedOn w:val="Normalny"/>
    <w:link w:val="06InfoTitleZchn"/>
    <w:rsid w:val="00C13ED7"/>
    <w:pPr>
      <w:spacing w:after="40"/>
      <w:jc w:val="both"/>
    </w:pPr>
    <w:rPr>
      <w:b/>
      <w:sz w:val="24"/>
    </w:rPr>
  </w:style>
  <w:style w:type="character" w:customStyle="1" w:styleId="06InfoTitleZchn">
    <w:name w:val="06_Info_Title Zchn"/>
    <w:link w:val="06InfoTitle"/>
    <w:rsid w:val="00C13ED7"/>
    <w:rPr>
      <w:rFonts w:ascii="Georgia" w:hAnsi="Georgia"/>
      <w:b/>
      <w:sz w:val="24"/>
      <w:szCs w:val="24"/>
      <w:lang w:val="en-GB" w:eastAsia="de-DE" w:bidi="ar-SA"/>
    </w:rPr>
  </w:style>
  <w:style w:type="paragraph" w:customStyle="1" w:styleId="06aInfoTitle">
    <w:name w:val="06a_Info_Title"/>
    <w:basedOn w:val="06InfoTitle"/>
    <w:link w:val="06aInfoTitleZchn"/>
    <w:rsid w:val="00C13ED7"/>
    <w:rPr>
      <w:sz w:val="16"/>
    </w:rPr>
  </w:style>
  <w:style w:type="character" w:customStyle="1" w:styleId="06aInfoTitleZchn">
    <w:name w:val="06a_Info_Title Zchn"/>
    <w:link w:val="06aInfoTitle"/>
    <w:rsid w:val="00C13ED7"/>
    <w:rPr>
      <w:rFonts w:ascii="Georgia" w:hAnsi="Georgia"/>
      <w:b/>
      <w:sz w:val="16"/>
      <w:szCs w:val="24"/>
      <w:lang w:val="en-GB" w:eastAsia="de-DE" w:bidi="ar-SA"/>
    </w:rPr>
  </w:style>
  <w:style w:type="paragraph" w:customStyle="1" w:styleId="04cA">
    <w:name w:val="04c_A"/>
    <w:aliases w:val="B,C"/>
    <w:rsid w:val="004B21AB"/>
    <w:pPr>
      <w:tabs>
        <w:tab w:val="num" w:pos="907"/>
      </w:tabs>
      <w:spacing w:line="276" w:lineRule="auto"/>
      <w:ind w:left="340" w:firstLine="227"/>
    </w:pPr>
    <w:rPr>
      <w:rFonts w:ascii="Georgia" w:hAnsi="Georgia"/>
      <w:szCs w:val="24"/>
      <w:lang w:eastAsia="de-DE"/>
    </w:rPr>
  </w:style>
  <w:style w:type="paragraph" w:customStyle="1" w:styleId="05Headline1">
    <w:name w:val="05_Headline 1"/>
    <w:basedOn w:val="04BodyText"/>
    <w:rsid w:val="00942BD6"/>
    <w:pPr>
      <w:spacing w:line="300" w:lineRule="exact"/>
    </w:pPr>
    <w:rPr>
      <w:b/>
      <w:sz w:val="24"/>
    </w:rPr>
  </w:style>
  <w:style w:type="paragraph" w:customStyle="1" w:styleId="05aHeadline2">
    <w:name w:val="05a_Headline 2"/>
    <w:basedOn w:val="05Headline1"/>
    <w:next w:val="04BodyText"/>
    <w:rsid w:val="00942BD6"/>
    <w:pPr>
      <w:keepNext/>
      <w:tabs>
        <w:tab w:val="left" w:pos="397"/>
        <w:tab w:val="num" w:pos="567"/>
      </w:tabs>
      <w:spacing w:after="280" w:line="280" w:lineRule="exact"/>
      <w:ind w:left="567" w:hanging="567"/>
    </w:pPr>
    <w:rPr>
      <w:sz w:val="20"/>
    </w:rPr>
  </w:style>
  <w:style w:type="paragraph" w:customStyle="1" w:styleId="06Headline2blue">
    <w:name w:val="06_Headline 2 blue"/>
    <w:basedOn w:val="05aHeadline2"/>
    <w:next w:val="06aRunningtextblue"/>
    <w:rsid w:val="00942BD6"/>
    <w:pPr>
      <w:pBdr>
        <w:top w:val="single" w:sz="4" w:space="10" w:color="283583"/>
      </w:pBdr>
      <w:tabs>
        <w:tab w:val="clear" w:pos="567"/>
        <w:tab w:val="num" w:pos="284"/>
      </w:tabs>
      <w:ind w:left="284" w:hanging="284"/>
    </w:pPr>
    <w:rPr>
      <w:color w:val="2D4190"/>
    </w:rPr>
  </w:style>
  <w:style w:type="paragraph" w:customStyle="1" w:styleId="06aRunningtextblue">
    <w:name w:val="06a_Running text blue"/>
    <w:basedOn w:val="04BodyText"/>
    <w:rsid w:val="00942BD6"/>
    <w:pPr>
      <w:pBdr>
        <w:bottom w:val="single" w:sz="4" w:space="12" w:color="283583"/>
      </w:pBdr>
    </w:pPr>
    <w:rPr>
      <w:color w:val="2D4190"/>
    </w:rPr>
  </w:style>
  <w:style w:type="paragraph" w:customStyle="1" w:styleId="04cBodytextleft">
    <w:name w:val="04c_Body text left"/>
    <w:basedOn w:val="04BodyText"/>
    <w:rsid w:val="00942BD6"/>
    <w:pPr>
      <w:spacing w:after="0"/>
      <w:jc w:val="left"/>
    </w:pPr>
  </w:style>
  <w:style w:type="paragraph" w:customStyle="1" w:styleId="Style04RunningTextBold">
    <w:name w:val="Style 04_Running Text + Bold"/>
    <w:basedOn w:val="04BodyText"/>
    <w:rsid w:val="00942BD6"/>
    <w:pPr>
      <w:keepNext/>
    </w:pPr>
    <w:rPr>
      <w:b/>
      <w:bCs/>
    </w:rPr>
  </w:style>
  <w:style w:type="character" w:styleId="Odwoaniedokomentarza">
    <w:name w:val="annotation reference"/>
    <w:uiPriority w:val="99"/>
    <w:rsid w:val="004B1E61"/>
    <w:rPr>
      <w:sz w:val="16"/>
      <w:szCs w:val="16"/>
    </w:rPr>
  </w:style>
  <w:style w:type="paragraph" w:styleId="Tekstkomentarza">
    <w:name w:val="annotation text"/>
    <w:basedOn w:val="Normalny"/>
    <w:link w:val="TekstkomentarzaZnak"/>
    <w:uiPriority w:val="99"/>
    <w:rsid w:val="004B1E61"/>
    <w:rPr>
      <w:sz w:val="20"/>
      <w:szCs w:val="20"/>
    </w:rPr>
  </w:style>
  <w:style w:type="character" w:customStyle="1" w:styleId="TekstkomentarzaZnak">
    <w:name w:val="Tekst komentarza Znak"/>
    <w:link w:val="Tekstkomentarza"/>
    <w:uiPriority w:val="99"/>
    <w:rsid w:val="004B1E61"/>
    <w:rPr>
      <w:rFonts w:ascii="Georgia" w:hAnsi="Georgia"/>
      <w:lang w:eastAsia="de-DE"/>
    </w:rPr>
  </w:style>
  <w:style w:type="paragraph" w:styleId="Tematkomentarza">
    <w:name w:val="annotation subject"/>
    <w:basedOn w:val="Tekstkomentarza"/>
    <w:next w:val="Tekstkomentarza"/>
    <w:link w:val="TematkomentarzaZnak"/>
    <w:rsid w:val="004B1E61"/>
    <w:rPr>
      <w:b/>
      <w:bCs/>
    </w:rPr>
  </w:style>
  <w:style w:type="character" w:customStyle="1" w:styleId="TematkomentarzaZnak">
    <w:name w:val="Temat komentarza Znak"/>
    <w:link w:val="Tematkomentarza"/>
    <w:rsid w:val="004B1E61"/>
    <w:rPr>
      <w:rFonts w:ascii="Georgia" w:hAnsi="Georgia"/>
      <w:b/>
      <w:bCs/>
      <w:lang w:eastAsia="de-DE"/>
    </w:rPr>
  </w:style>
  <w:style w:type="paragraph" w:styleId="Tekstdymka">
    <w:name w:val="Balloon Text"/>
    <w:basedOn w:val="Normalny"/>
    <w:link w:val="TekstdymkaZnak"/>
    <w:rsid w:val="004B1E61"/>
    <w:rPr>
      <w:rFonts w:ascii="Tahoma" w:hAnsi="Tahoma" w:cs="Tahoma"/>
      <w:sz w:val="16"/>
      <w:szCs w:val="16"/>
    </w:rPr>
  </w:style>
  <w:style w:type="character" w:customStyle="1" w:styleId="TekstdymkaZnak">
    <w:name w:val="Tekst dymka Znak"/>
    <w:link w:val="Tekstdymka"/>
    <w:rsid w:val="004B1E61"/>
    <w:rPr>
      <w:rFonts w:ascii="Tahoma" w:hAnsi="Tahoma" w:cs="Tahoma"/>
      <w:sz w:val="16"/>
      <w:szCs w:val="16"/>
      <w:lang w:eastAsia="de-DE"/>
    </w:rPr>
  </w:style>
  <w:style w:type="paragraph" w:styleId="Akapitzlist">
    <w:name w:val="List Paragraph"/>
    <w:aliases w:val="Paragraphe EI,Paragraphe de liste1,EC"/>
    <w:basedOn w:val="Normalny"/>
    <w:link w:val="AkapitzlistZnak"/>
    <w:uiPriority w:val="34"/>
    <w:qFormat/>
    <w:rsid w:val="002A0C82"/>
    <w:pPr>
      <w:ind w:left="720"/>
      <w:contextualSpacing/>
    </w:pPr>
  </w:style>
  <w:style w:type="paragraph" w:styleId="Nagwekspisutreci">
    <w:name w:val="TOC Heading"/>
    <w:basedOn w:val="Nagwek1"/>
    <w:next w:val="Normalny"/>
    <w:uiPriority w:val="39"/>
    <w:unhideWhenUsed/>
    <w:qFormat/>
    <w:rsid w:val="001C0344"/>
    <w:pPr>
      <w:keepLines/>
      <w:numPr>
        <w:numId w:val="0"/>
      </w:numPr>
      <w:spacing w:before="480" w:after="0" w:line="276" w:lineRule="auto"/>
      <w:outlineLvl w:val="9"/>
    </w:pPr>
    <w:rPr>
      <w:rFonts w:ascii="Cambria" w:hAnsi="Cambria" w:cs="Times New Roman"/>
      <w:color w:val="365F91"/>
      <w:kern w:val="0"/>
      <w:sz w:val="28"/>
      <w:szCs w:val="28"/>
      <w:lang w:val="en-US" w:eastAsia="ja-JP"/>
    </w:rPr>
  </w:style>
  <w:style w:type="paragraph" w:customStyle="1" w:styleId="04aNumeration">
    <w:name w:val="04a_Numeration"/>
    <w:basedOn w:val="04BodyText"/>
    <w:link w:val="04aNumerationChar"/>
    <w:rsid w:val="00611293"/>
    <w:pPr>
      <w:tabs>
        <w:tab w:val="num" w:pos="454"/>
      </w:tabs>
      <w:ind w:left="454" w:hanging="454"/>
    </w:pPr>
    <w:rPr>
      <w:lang w:val="fr-FR"/>
    </w:rPr>
  </w:style>
  <w:style w:type="character" w:customStyle="1" w:styleId="04aNumerationChar">
    <w:name w:val="04a_Numeration Char"/>
    <w:link w:val="04aNumeration"/>
    <w:locked/>
    <w:rsid w:val="00611293"/>
    <w:rPr>
      <w:rFonts w:ascii="Georgia" w:hAnsi="Georgia"/>
      <w:szCs w:val="24"/>
      <w:lang w:val="fr-FR" w:eastAsia="de-DE"/>
    </w:rPr>
  </w:style>
  <w:style w:type="character" w:customStyle="1" w:styleId="TekstprzypisudolnegoZnak">
    <w:name w:val="Tekst przypisu dolnego Znak"/>
    <w:aliases w:val="Char3 Znak, Char3 Znak,Fußnotentextf Znak,Fußnotentextr Znak,stile 1 Znak,Footnote1 Znak,Footnote2 Znak,Footnote3 Znak,Footnote4 Znak,Footnote5 Znak,Footnote6 Znak,Footnote7 Znak,Footnote8 Znak,Footnote9 Znak,Footnote10 Znak"/>
    <w:link w:val="Tekstprzypisudolnego"/>
    <w:uiPriority w:val="99"/>
    <w:locked/>
    <w:rsid w:val="00D0272C"/>
    <w:rPr>
      <w:rFonts w:ascii="Georgia" w:hAnsi="Georgia"/>
      <w:sz w:val="16"/>
      <w:lang w:eastAsia="de-DE"/>
    </w:rPr>
  </w:style>
  <w:style w:type="paragraph" w:customStyle="1" w:styleId="DPpara">
    <w:name w:val="DP para"/>
    <w:basedOn w:val="04aNumeration"/>
    <w:link w:val="DPparaChar"/>
    <w:rsid w:val="00D0272C"/>
    <w:pPr>
      <w:numPr>
        <w:numId w:val="7"/>
      </w:numPr>
    </w:pPr>
    <w:rPr>
      <w:szCs w:val="20"/>
    </w:rPr>
  </w:style>
  <w:style w:type="character" w:customStyle="1" w:styleId="DPparaChar">
    <w:name w:val="DP para Char"/>
    <w:link w:val="DPpara"/>
    <w:locked/>
    <w:rsid w:val="00D0272C"/>
    <w:rPr>
      <w:rFonts w:ascii="Arial" w:hAnsi="Arial"/>
      <w:lang w:val="fr-FR" w:eastAsia="de-DE"/>
    </w:rPr>
  </w:style>
  <w:style w:type="character" w:customStyle="1" w:styleId="CommentTextChar1">
    <w:name w:val="Comment Text Char1"/>
    <w:rsid w:val="008E1B6A"/>
    <w:rPr>
      <w:rFonts w:ascii="Georgia" w:hAnsi="Georgia"/>
      <w:lang w:eastAsia="de-DE"/>
    </w:rPr>
  </w:style>
  <w:style w:type="character" w:customStyle="1" w:styleId="FootnoteTextChar1">
    <w:name w:val="Footnote Text Char1"/>
    <w:aliases w:val="Char3 Char1, Char3 Char1"/>
    <w:locked/>
    <w:rsid w:val="008E1B6A"/>
    <w:rPr>
      <w:rFonts w:ascii="Georgia" w:hAnsi="Georgia"/>
      <w:sz w:val="16"/>
      <w:lang w:eastAsia="de-DE"/>
    </w:rPr>
  </w:style>
  <w:style w:type="paragraph" w:customStyle="1" w:styleId="Default">
    <w:name w:val="Default"/>
    <w:rsid w:val="008E1B6A"/>
    <w:pPr>
      <w:autoSpaceDE w:val="0"/>
      <w:autoSpaceDN w:val="0"/>
      <w:adjustRightInd w:val="0"/>
    </w:pPr>
    <w:rPr>
      <w:rFonts w:ascii="Georgia" w:hAnsi="Georgia" w:cs="Georgia"/>
      <w:color w:val="000000"/>
      <w:sz w:val="24"/>
      <w:szCs w:val="24"/>
      <w:lang w:val="fr-FR"/>
    </w:rPr>
  </w:style>
  <w:style w:type="character" w:customStyle="1" w:styleId="hps">
    <w:name w:val="hps"/>
    <w:basedOn w:val="Domylnaczcionkaakapitu"/>
    <w:rsid w:val="008E1B6A"/>
  </w:style>
  <w:style w:type="paragraph" w:customStyle="1" w:styleId="ManualNumPar1">
    <w:name w:val="Manual NumPar 1"/>
    <w:basedOn w:val="Normalny"/>
    <w:next w:val="Normalny"/>
    <w:link w:val="ManualNumPar1Char"/>
    <w:uiPriority w:val="99"/>
    <w:rsid w:val="003779C1"/>
    <w:pPr>
      <w:spacing w:before="120" w:after="120" w:line="360" w:lineRule="auto"/>
      <w:ind w:left="850" w:hanging="850"/>
      <w:outlineLvl w:val="0"/>
    </w:pPr>
    <w:rPr>
      <w:rFonts w:ascii="Times New Roman" w:hAnsi="Times New Roman"/>
      <w:sz w:val="24"/>
      <w:lang w:eastAsia="en-US"/>
    </w:rPr>
  </w:style>
  <w:style w:type="character" w:customStyle="1" w:styleId="ManualNumPar1Char">
    <w:name w:val="Manual NumPar 1 Char"/>
    <w:link w:val="ManualNumPar1"/>
    <w:uiPriority w:val="99"/>
    <w:locked/>
    <w:rsid w:val="003779C1"/>
    <w:rPr>
      <w:sz w:val="24"/>
      <w:szCs w:val="24"/>
      <w:lang w:eastAsia="en-US"/>
    </w:rPr>
  </w:style>
  <w:style w:type="character" w:customStyle="1" w:styleId="Nagwek1Znak">
    <w:name w:val="Nagłówek 1 Znak"/>
    <w:link w:val="Nagwek1"/>
    <w:rsid w:val="009E7724"/>
    <w:rPr>
      <w:rFonts w:ascii="Arial" w:hAnsi="Arial" w:cs="Arial"/>
      <w:b/>
      <w:bCs/>
      <w:kern w:val="32"/>
      <w:sz w:val="24"/>
      <w:szCs w:val="32"/>
      <w:lang w:eastAsia="de-DE"/>
    </w:rPr>
  </w:style>
  <w:style w:type="character" w:customStyle="1" w:styleId="Heading2Char">
    <w:name w:val="Heading 2 Char"/>
    <w:rsid w:val="00DB4121"/>
    <w:rPr>
      <w:rFonts w:ascii="Georgia" w:hAnsi="Georgia" w:cs="Arial"/>
      <w:bCs/>
      <w:i/>
      <w:kern w:val="32"/>
      <w:szCs w:val="32"/>
      <w:lang w:eastAsia="de-DE"/>
    </w:rPr>
  </w:style>
  <w:style w:type="character" w:styleId="Uwydatnienie">
    <w:name w:val="Emphasis"/>
    <w:uiPriority w:val="20"/>
    <w:qFormat/>
    <w:rsid w:val="005F028E"/>
    <w:rPr>
      <w:i/>
      <w:iCs/>
    </w:rPr>
  </w:style>
  <w:style w:type="paragraph" w:styleId="Poprawka">
    <w:name w:val="Revision"/>
    <w:link w:val="PoprawkaZnak"/>
    <w:hidden/>
    <w:uiPriority w:val="99"/>
    <w:semiHidden/>
    <w:rsid w:val="008E6A37"/>
    <w:rPr>
      <w:rFonts w:ascii="Georgia" w:hAnsi="Georgia"/>
      <w:sz w:val="22"/>
      <w:szCs w:val="24"/>
      <w:lang w:eastAsia="de-DE"/>
    </w:rPr>
  </w:style>
  <w:style w:type="paragraph" w:styleId="Spistreci3">
    <w:name w:val="toc 3"/>
    <w:basedOn w:val="Normalny"/>
    <w:next w:val="Normalny"/>
    <w:autoRedefine/>
    <w:uiPriority w:val="39"/>
    <w:qFormat/>
    <w:rsid w:val="00463787"/>
    <w:pPr>
      <w:spacing w:after="100"/>
      <w:ind w:left="440"/>
    </w:pPr>
    <w:rPr>
      <w:sz w:val="20"/>
    </w:rPr>
  </w:style>
  <w:style w:type="character" w:customStyle="1" w:styleId="SprechblasentextZeichen">
    <w:name w:val="Sprechblasentext Zeichen"/>
    <w:uiPriority w:val="99"/>
    <w:semiHidden/>
    <w:rsid w:val="00F377CD"/>
    <w:rPr>
      <w:rFonts w:ascii="Lucida Grande" w:hAnsi="Lucida Grande"/>
      <w:sz w:val="18"/>
      <w:szCs w:val="18"/>
    </w:rPr>
  </w:style>
  <w:style w:type="paragraph" w:customStyle="1" w:styleId="CM3">
    <w:name w:val="CM3"/>
    <w:basedOn w:val="Normalny"/>
    <w:next w:val="Normalny"/>
    <w:uiPriority w:val="99"/>
    <w:rsid w:val="00F377CD"/>
    <w:pPr>
      <w:autoSpaceDE w:val="0"/>
      <w:autoSpaceDN w:val="0"/>
      <w:adjustRightInd w:val="0"/>
    </w:pPr>
    <w:rPr>
      <w:rFonts w:ascii="EUAlbertina" w:eastAsia="Calibri" w:hAnsi="EUAlbertina"/>
      <w:sz w:val="24"/>
      <w:lang w:val="fr-FR" w:eastAsia="en-US"/>
    </w:rPr>
  </w:style>
  <w:style w:type="paragraph" w:customStyle="1" w:styleId="CM4">
    <w:name w:val="CM4"/>
    <w:basedOn w:val="Normalny"/>
    <w:next w:val="Normalny"/>
    <w:uiPriority w:val="99"/>
    <w:rsid w:val="00F377CD"/>
    <w:pPr>
      <w:autoSpaceDE w:val="0"/>
      <w:autoSpaceDN w:val="0"/>
      <w:adjustRightInd w:val="0"/>
    </w:pPr>
    <w:rPr>
      <w:rFonts w:ascii="EUAlbertina" w:eastAsia="Calibri" w:hAnsi="EUAlbertina"/>
      <w:sz w:val="24"/>
      <w:lang w:val="fr-FR" w:eastAsia="en-US"/>
    </w:rPr>
  </w:style>
  <w:style w:type="paragraph" w:styleId="Spistreci4">
    <w:name w:val="toc 4"/>
    <w:basedOn w:val="Normalny"/>
    <w:next w:val="Normalny"/>
    <w:autoRedefine/>
    <w:uiPriority w:val="39"/>
    <w:unhideWhenUsed/>
    <w:rsid w:val="00F377CD"/>
    <w:pPr>
      <w:spacing w:after="100" w:line="276" w:lineRule="auto"/>
      <w:ind w:left="660"/>
    </w:pPr>
    <w:rPr>
      <w:rFonts w:ascii="Calibri" w:hAnsi="Calibri"/>
      <w:szCs w:val="22"/>
      <w:lang w:eastAsia="en-GB"/>
    </w:rPr>
  </w:style>
  <w:style w:type="paragraph" w:styleId="Spistreci5">
    <w:name w:val="toc 5"/>
    <w:basedOn w:val="Normalny"/>
    <w:next w:val="Normalny"/>
    <w:autoRedefine/>
    <w:uiPriority w:val="39"/>
    <w:unhideWhenUsed/>
    <w:rsid w:val="00F377CD"/>
    <w:pPr>
      <w:spacing w:after="100" w:line="276" w:lineRule="auto"/>
      <w:ind w:left="880"/>
    </w:pPr>
    <w:rPr>
      <w:rFonts w:ascii="Calibri" w:hAnsi="Calibri"/>
      <w:szCs w:val="22"/>
      <w:lang w:eastAsia="en-GB"/>
    </w:rPr>
  </w:style>
  <w:style w:type="paragraph" w:styleId="Spistreci6">
    <w:name w:val="toc 6"/>
    <w:basedOn w:val="Normalny"/>
    <w:next w:val="Normalny"/>
    <w:autoRedefine/>
    <w:uiPriority w:val="39"/>
    <w:unhideWhenUsed/>
    <w:rsid w:val="00F377CD"/>
    <w:pPr>
      <w:spacing w:after="100" w:line="276" w:lineRule="auto"/>
      <w:ind w:left="1100"/>
    </w:pPr>
    <w:rPr>
      <w:rFonts w:ascii="Calibri" w:hAnsi="Calibri"/>
      <w:szCs w:val="22"/>
      <w:lang w:eastAsia="en-GB"/>
    </w:rPr>
  </w:style>
  <w:style w:type="paragraph" w:styleId="Spistreci7">
    <w:name w:val="toc 7"/>
    <w:basedOn w:val="Normalny"/>
    <w:next w:val="Normalny"/>
    <w:autoRedefine/>
    <w:uiPriority w:val="39"/>
    <w:unhideWhenUsed/>
    <w:rsid w:val="00F377CD"/>
    <w:pPr>
      <w:spacing w:after="100" w:line="276" w:lineRule="auto"/>
      <w:ind w:left="1320"/>
    </w:pPr>
    <w:rPr>
      <w:rFonts w:ascii="Calibri" w:hAnsi="Calibri"/>
      <w:szCs w:val="22"/>
      <w:lang w:eastAsia="en-GB"/>
    </w:rPr>
  </w:style>
  <w:style w:type="paragraph" w:styleId="Spistreci8">
    <w:name w:val="toc 8"/>
    <w:basedOn w:val="Normalny"/>
    <w:next w:val="Normalny"/>
    <w:autoRedefine/>
    <w:uiPriority w:val="39"/>
    <w:unhideWhenUsed/>
    <w:rsid w:val="00F377CD"/>
    <w:pPr>
      <w:spacing w:after="100" w:line="276" w:lineRule="auto"/>
      <w:ind w:left="1540"/>
    </w:pPr>
    <w:rPr>
      <w:rFonts w:ascii="Calibri" w:hAnsi="Calibri"/>
      <w:szCs w:val="22"/>
      <w:lang w:eastAsia="en-GB"/>
    </w:rPr>
  </w:style>
  <w:style w:type="paragraph" w:styleId="Spistreci9">
    <w:name w:val="toc 9"/>
    <w:basedOn w:val="Normalny"/>
    <w:next w:val="Normalny"/>
    <w:autoRedefine/>
    <w:uiPriority w:val="39"/>
    <w:unhideWhenUsed/>
    <w:rsid w:val="00F377CD"/>
    <w:pPr>
      <w:spacing w:after="100" w:line="276" w:lineRule="auto"/>
      <w:ind w:left="1760"/>
    </w:pPr>
    <w:rPr>
      <w:rFonts w:ascii="Calibri" w:hAnsi="Calibri"/>
      <w:szCs w:val="22"/>
      <w:lang w:eastAsia="en-GB"/>
    </w:rPr>
  </w:style>
  <w:style w:type="character" w:customStyle="1" w:styleId="DeltaViewInsertion">
    <w:name w:val="DeltaView Insertion"/>
    <w:uiPriority w:val="99"/>
    <w:rsid w:val="00F377CD"/>
    <w:rPr>
      <w:b/>
      <w:bCs/>
      <w:color w:val="FFFFFF"/>
      <w:spacing w:val="0"/>
      <w:u w:val="single"/>
    </w:rPr>
  </w:style>
  <w:style w:type="paragraph" w:styleId="Legenda">
    <w:name w:val="caption"/>
    <w:basedOn w:val="Normalny"/>
    <w:next w:val="Normalny"/>
    <w:unhideWhenUsed/>
    <w:qFormat/>
    <w:rsid w:val="00E21407"/>
    <w:pPr>
      <w:spacing w:after="200"/>
    </w:pPr>
    <w:rPr>
      <w:b/>
      <w:bCs/>
      <w:sz w:val="18"/>
      <w:szCs w:val="18"/>
    </w:rPr>
  </w:style>
  <w:style w:type="character" w:customStyle="1" w:styleId="Heading5Char">
    <w:name w:val="Heading 5 Char"/>
    <w:uiPriority w:val="9"/>
    <w:rsid w:val="00251EA9"/>
    <w:rPr>
      <w:rFonts w:ascii="Georgia" w:eastAsia="Times New Roman" w:hAnsi="Georgia" w:cs="Times New Roman"/>
      <w:b/>
      <w:szCs w:val="24"/>
      <w:lang w:eastAsia="de-DE"/>
    </w:rPr>
  </w:style>
  <w:style w:type="paragraph" w:styleId="NormalnyWeb">
    <w:name w:val="Normal (Web)"/>
    <w:basedOn w:val="Normalny"/>
    <w:rsid w:val="00900E7A"/>
    <w:pPr>
      <w:spacing w:before="100" w:beforeAutospacing="1" w:after="100" w:afterAutospacing="1"/>
    </w:pPr>
    <w:rPr>
      <w:rFonts w:ascii="Times New Roman" w:hAnsi="Times New Roman"/>
      <w:sz w:val="24"/>
      <w:lang w:val="fr-FR" w:eastAsia="fr-FR"/>
    </w:rPr>
  </w:style>
  <w:style w:type="character" w:customStyle="1" w:styleId="Heading5Char1">
    <w:name w:val="Heading 5 Char1"/>
    <w:rsid w:val="00BF1620"/>
    <w:rPr>
      <w:rFonts w:ascii="Georgia" w:hAnsi="Georgia"/>
      <w:b/>
      <w:bCs/>
      <w:iCs/>
      <w:szCs w:val="26"/>
      <w:lang w:eastAsia="de-DE"/>
    </w:rPr>
  </w:style>
  <w:style w:type="paragraph" w:styleId="Mapadokumentu">
    <w:name w:val="Document Map"/>
    <w:basedOn w:val="Normalny"/>
    <w:link w:val="MapadokumentuZnak"/>
    <w:rsid w:val="00AA016B"/>
    <w:rPr>
      <w:rFonts w:ascii="Tahoma" w:hAnsi="Tahoma" w:cs="Tahoma"/>
      <w:sz w:val="16"/>
      <w:szCs w:val="16"/>
    </w:rPr>
  </w:style>
  <w:style w:type="character" w:customStyle="1" w:styleId="MapadokumentuZnak">
    <w:name w:val="Mapa dokumentu Znak"/>
    <w:link w:val="Mapadokumentu"/>
    <w:rsid w:val="00AA016B"/>
    <w:rPr>
      <w:rFonts w:ascii="Tahoma" w:hAnsi="Tahoma" w:cs="Tahoma"/>
      <w:sz w:val="16"/>
      <w:szCs w:val="16"/>
      <w:lang w:eastAsia="de-DE"/>
    </w:rPr>
  </w:style>
  <w:style w:type="paragraph" w:styleId="Zwykytekst">
    <w:name w:val="Plain Text"/>
    <w:basedOn w:val="Normalny"/>
    <w:link w:val="ZwykytekstZnak"/>
    <w:unhideWhenUsed/>
    <w:rsid w:val="00AA016B"/>
    <w:rPr>
      <w:rFonts w:ascii="Consolas" w:hAnsi="Consolas"/>
      <w:sz w:val="21"/>
      <w:szCs w:val="21"/>
      <w:lang w:val="de-DE"/>
    </w:rPr>
  </w:style>
  <w:style w:type="character" w:customStyle="1" w:styleId="ZwykytekstZnak">
    <w:name w:val="Zwykły tekst Znak"/>
    <w:link w:val="Zwykytekst"/>
    <w:rsid w:val="00AA016B"/>
    <w:rPr>
      <w:rFonts w:ascii="Consolas" w:hAnsi="Consolas"/>
      <w:sz w:val="21"/>
      <w:szCs w:val="21"/>
      <w:lang w:val="de-DE" w:eastAsia="de-DE"/>
    </w:rPr>
  </w:style>
  <w:style w:type="paragraph" w:styleId="Tekstpodstawowy">
    <w:name w:val="Body Text"/>
    <w:basedOn w:val="Normalny"/>
    <w:link w:val="TekstpodstawowyZnak"/>
    <w:unhideWhenUsed/>
    <w:rsid w:val="00AA016B"/>
    <w:pPr>
      <w:numPr>
        <w:numId w:val="9"/>
      </w:numPr>
      <w:spacing w:after="240"/>
      <w:jc w:val="both"/>
    </w:pPr>
    <w:rPr>
      <w:rFonts w:ascii="Times New Roman" w:hAnsi="Times New Roman"/>
      <w:sz w:val="24"/>
      <w:szCs w:val="20"/>
      <w:lang w:eastAsia="en-GB"/>
    </w:rPr>
  </w:style>
  <w:style w:type="character" w:customStyle="1" w:styleId="TekstpodstawowyZnak">
    <w:name w:val="Tekst podstawowy Znak"/>
    <w:link w:val="Tekstpodstawowy"/>
    <w:rsid w:val="00AA016B"/>
    <w:rPr>
      <w:sz w:val="24"/>
    </w:rPr>
  </w:style>
  <w:style w:type="paragraph" w:customStyle="1" w:styleId="ListParagraph1">
    <w:name w:val="List Paragraph1"/>
    <w:basedOn w:val="Normalny"/>
    <w:qFormat/>
    <w:rsid w:val="00F67F04"/>
    <w:pPr>
      <w:spacing w:after="200" w:line="276" w:lineRule="atLeast"/>
      <w:ind w:left="720"/>
    </w:pPr>
    <w:rPr>
      <w:rFonts w:ascii="Calibri" w:hAnsi="Calibri" w:cs="Calibri"/>
      <w:szCs w:val="20"/>
      <w:lang w:val="el-GR" w:eastAsia="en-US"/>
    </w:rPr>
  </w:style>
  <w:style w:type="character" w:customStyle="1" w:styleId="Heading5Char2">
    <w:name w:val="Heading 5 Char2"/>
    <w:rsid w:val="003E68C7"/>
    <w:rPr>
      <w:rFonts w:ascii="Georgia" w:eastAsia="Times New Roman" w:hAnsi="Georgia" w:cs="Times New Roman"/>
      <w:b/>
      <w:szCs w:val="24"/>
      <w:lang w:eastAsia="de-DE"/>
    </w:rPr>
  </w:style>
  <w:style w:type="character" w:styleId="Pogrubienie">
    <w:name w:val="Strong"/>
    <w:aliases w:val="Bolded"/>
    <w:qFormat/>
    <w:rsid w:val="00974881"/>
    <w:rPr>
      <w:b/>
      <w:bCs/>
    </w:rPr>
  </w:style>
  <w:style w:type="character" w:customStyle="1" w:styleId="Strong1">
    <w:name w:val="Strong1"/>
    <w:qFormat/>
    <w:rsid w:val="00974881"/>
    <w:rPr>
      <w:b/>
      <w:bCs/>
    </w:rPr>
  </w:style>
  <w:style w:type="character" w:customStyle="1" w:styleId="Strong2">
    <w:name w:val="Strong2"/>
    <w:qFormat/>
    <w:rsid w:val="00974881"/>
    <w:rPr>
      <w:b/>
      <w:bCs/>
    </w:rPr>
  </w:style>
  <w:style w:type="character" w:customStyle="1" w:styleId="Heading5Char3">
    <w:name w:val="Heading 5 Char3"/>
    <w:rsid w:val="00FC318D"/>
    <w:rPr>
      <w:rFonts w:ascii="Georgia" w:eastAsia="Times New Roman" w:hAnsi="Georgia" w:cs="Times New Roman"/>
      <w:b/>
      <w:szCs w:val="24"/>
      <w:lang w:eastAsia="de-DE"/>
    </w:rPr>
  </w:style>
  <w:style w:type="character" w:customStyle="1" w:styleId="Heading5Char4">
    <w:name w:val="Heading 5 Char4"/>
    <w:rsid w:val="002B4ED8"/>
    <w:rPr>
      <w:rFonts w:ascii="Georgia" w:eastAsia="Times New Roman" w:hAnsi="Georgia" w:cs="Times New Roman"/>
      <w:b/>
      <w:szCs w:val="24"/>
      <w:lang w:eastAsia="de-DE"/>
    </w:rPr>
  </w:style>
  <w:style w:type="character" w:customStyle="1" w:styleId="Heading2Char1">
    <w:name w:val="Heading 2 Char1"/>
    <w:rsid w:val="00885E6F"/>
    <w:rPr>
      <w:rFonts w:ascii="Georgia" w:eastAsia="Times New Roman" w:hAnsi="Georgia" w:cs="Times New Roman"/>
      <w:b/>
      <w:bCs/>
      <w:sz w:val="22"/>
      <w:szCs w:val="26"/>
      <w:lang w:eastAsia="de-DE"/>
    </w:rPr>
  </w:style>
  <w:style w:type="character" w:customStyle="1" w:styleId="Heading3Char">
    <w:name w:val="Heading 3 Char"/>
    <w:rsid w:val="00865B01"/>
    <w:rPr>
      <w:rFonts w:ascii="Georgia" w:eastAsia="Times New Roman" w:hAnsi="Georgia" w:cs="Times New Roman"/>
      <w:b/>
      <w:sz w:val="22"/>
      <w:szCs w:val="26"/>
      <w:lang w:eastAsia="de-DE"/>
    </w:rPr>
  </w:style>
  <w:style w:type="character" w:customStyle="1" w:styleId="Heading5Char5">
    <w:name w:val="Heading 5 Char5"/>
    <w:rsid w:val="0041634D"/>
    <w:rPr>
      <w:rFonts w:ascii="Georgia" w:eastAsia="Times New Roman" w:hAnsi="Georgia" w:cs="Times New Roman"/>
      <w:b/>
      <w:szCs w:val="24"/>
      <w:lang w:eastAsia="de-DE"/>
    </w:rPr>
  </w:style>
  <w:style w:type="character" w:customStyle="1" w:styleId="Nagwek2Znak">
    <w:name w:val="Nagłówek 2 Znak"/>
    <w:link w:val="Nagwek2"/>
    <w:rsid w:val="00886A60"/>
    <w:rPr>
      <w:rFonts w:ascii="Georgia" w:eastAsia="Times New Roman" w:hAnsi="Georgia" w:cs="Times New Roman"/>
      <w:b/>
      <w:bCs/>
      <w:sz w:val="22"/>
      <w:szCs w:val="26"/>
      <w:lang w:eastAsia="de-DE"/>
    </w:rPr>
  </w:style>
  <w:style w:type="character" w:customStyle="1" w:styleId="Strong3">
    <w:name w:val="Strong3"/>
    <w:qFormat/>
    <w:rsid w:val="00974881"/>
    <w:rPr>
      <w:b/>
      <w:bCs/>
    </w:rPr>
  </w:style>
  <w:style w:type="character" w:customStyle="1" w:styleId="Heading5Char6">
    <w:name w:val="Heading 5 Char6"/>
    <w:rsid w:val="00C36FD1"/>
    <w:rPr>
      <w:rFonts w:ascii="Georgia" w:eastAsia="Times New Roman" w:hAnsi="Georgia" w:cs="Times New Roman"/>
      <w:b/>
      <w:szCs w:val="24"/>
      <w:lang w:eastAsia="de-DE"/>
    </w:rPr>
  </w:style>
  <w:style w:type="character" w:customStyle="1" w:styleId="Heading4Char">
    <w:name w:val="Heading 4 Char"/>
    <w:rsid w:val="007805B9"/>
    <w:rPr>
      <w:rFonts w:ascii="Georgia" w:eastAsia="Times New Roman" w:hAnsi="Georgia" w:cs="Times New Roman"/>
      <w:b/>
      <w:i/>
      <w:szCs w:val="28"/>
      <w:lang w:eastAsia="de-DE"/>
    </w:rPr>
  </w:style>
  <w:style w:type="character" w:customStyle="1" w:styleId="Nagwek9Znak">
    <w:name w:val="Nagłówek 9 Znak"/>
    <w:link w:val="Nagwek9"/>
    <w:rsid w:val="00A06867"/>
    <w:rPr>
      <w:rFonts w:ascii="Arial" w:hAnsi="Arial" w:cs="Arial"/>
      <w:sz w:val="22"/>
      <w:szCs w:val="22"/>
      <w:lang w:eastAsia="de-DE"/>
    </w:rPr>
  </w:style>
  <w:style w:type="character" w:customStyle="1" w:styleId="italic1">
    <w:name w:val="italic1"/>
    <w:uiPriority w:val="99"/>
    <w:rsid w:val="00A06867"/>
    <w:rPr>
      <w:rFonts w:cs="Times New Roman"/>
      <w:i/>
      <w:iCs/>
    </w:rPr>
  </w:style>
  <w:style w:type="paragraph" w:customStyle="1" w:styleId="5Normal">
    <w:name w:val="5 Normal"/>
    <w:basedOn w:val="Normalny"/>
    <w:link w:val="5NormalChar"/>
    <w:rsid w:val="00A06867"/>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ind w:right="57"/>
      <w:jc w:val="both"/>
    </w:pPr>
    <w:rPr>
      <w:rFonts w:ascii="Verdana" w:hAnsi="Verdana"/>
      <w:spacing w:val="-2"/>
      <w:sz w:val="20"/>
      <w:lang w:eastAsia="en-GB"/>
    </w:rPr>
  </w:style>
  <w:style w:type="character" w:customStyle="1" w:styleId="5NormalChar">
    <w:name w:val="5 Normal Char"/>
    <w:link w:val="5Normal"/>
    <w:locked/>
    <w:rsid w:val="00A06867"/>
    <w:rPr>
      <w:rFonts w:ascii="Verdana" w:hAnsi="Verdana"/>
      <w:spacing w:val="-2"/>
      <w:szCs w:val="24"/>
    </w:rPr>
  </w:style>
  <w:style w:type="character" w:customStyle="1" w:styleId="Heading5Char7">
    <w:name w:val="Heading 5 Char7"/>
    <w:aliases w:val="Questions Char"/>
    <w:rsid w:val="00A06867"/>
    <w:rPr>
      <w:rFonts w:ascii="Georgia" w:eastAsia="Times New Roman" w:hAnsi="Georgia" w:cs="Times New Roman"/>
      <w:b/>
      <w:szCs w:val="24"/>
      <w:lang w:eastAsia="de-DE"/>
    </w:rPr>
  </w:style>
  <w:style w:type="character" w:customStyle="1" w:styleId="Heading5Char8">
    <w:name w:val="Heading 5 Char8"/>
    <w:aliases w:val="Questions Char1"/>
    <w:rsid w:val="00BF114B"/>
    <w:rPr>
      <w:rFonts w:ascii="Georgia" w:eastAsia="Times New Roman" w:hAnsi="Georgia" w:cs="Times New Roman"/>
      <w:b/>
      <w:szCs w:val="24"/>
      <w:lang w:eastAsia="de-DE"/>
    </w:rPr>
  </w:style>
  <w:style w:type="character" w:customStyle="1" w:styleId="Nagwek7Znak">
    <w:name w:val="Nagłówek 7 Znak"/>
    <w:link w:val="Nagwek7"/>
    <w:rsid w:val="002D6E1A"/>
    <w:rPr>
      <w:sz w:val="22"/>
      <w:szCs w:val="24"/>
      <w:lang w:eastAsia="de-DE"/>
    </w:rPr>
  </w:style>
  <w:style w:type="character" w:customStyle="1" w:styleId="Nagwek6Znak">
    <w:name w:val="Nagłówek 6 Znak"/>
    <w:link w:val="Nagwek6"/>
    <w:rsid w:val="002D6E1A"/>
    <w:rPr>
      <w:b/>
      <w:bCs/>
      <w:sz w:val="22"/>
      <w:szCs w:val="22"/>
      <w:lang w:eastAsia="de-DE"/>
    </w:rPr>
  </w:style>
  <w:style w:type="character" w:customStyle="1" w:styleId="Nagwek8Znak">
    <w:name w:val="Nagłówek 8 Znak"/>
    <w:link w:val="Nagwek8"/>
    <w:rsid w:val="002D6E1A"/>
    <w:rPr>
      <w:i/>
      <w:iCs/>
      <w:sz w:val="22"/>
      <w:szCs w:val="24"/>
      <w:lang w:eastAsia="de-DE"/>
    </w:rPr>
  </w:style>
  <w:style w:type="numbering" w:customStyle="1" w:styleId="NoList1">
    <w:name w:val="No List1"/>
    <w:next w:val="Bezlisty"/>
    <w:uiPriority w:val="99"/>
    <w:semiHidden/>
    <w:unhideWhenUsed/>
    <w:rsid w:val="002D6E1A"/>
  </w:style>
  <w:style w:type="character" w:styleId="UyteHipercze">
    <w:name w:val="FollowedHyperlink"/>
    <w:unhideWhenUsed/>
    <w:rsid w:val="002D6E1A"/>
    <w:rPr>
      <w:color w:val="800080"/>
      <w:u w:val="single"/>
    </w:rPr>
  </w:style>
  <w:style w:type="character" w:customStyle="1" w:styleId="NagwekZnak">
    <w:name w:val="Nagłówek Znak"/>
    <w:link w:val="Nagwek"/>
    <w:rsid w:val="002D6E1A"/>
    <w:rPr>
      <w:rFonts w:ascii="Georgia" w:hAnsi="Georgia"/>
      <w:sz w:val="22"/>
      <w:szCs w:val="24"/>
      <w:lang w:eastAsia="de-DE"/>
    </w:rPr>
  </w:style>
  <w:style w:type="character" w:customStyle="1" w:styleId="StopkaZnak">
    <w:name w:val="Stopka Znak"/>
    <w:link w:val="Stopka"/>
    <w:rsid w:val="002D6E1A"/>
    <w:rPr>
      <w:rFonts w:ascii="Georgia" w:hAnsi="Georgia"/>
      <w:sz w:val="22"/>
      <w:szCs w:val="24"/>
      <w:lang w:eastAsia="de-DE"/>
    </w:rPr>
  </w:style>
  <w:style w:type="paragraph" w:styleId="Tekstprzypisukocowego">
    <w:name w:val="endnote text"/>
    <w:basedOn w:val="Normalny"/>
    <w:link w:val="TekstprzypisukocowegoZnak"/>
    <w:unhideWhenUsed/>
    <w:rsid w:val="002D6E1A"/>
    <w:rPr>
      <w:sz w:val="20"/>
      <w:szCs w:val="20"/>
    </w:rPr>
  </w:style>
  <w:style w:type="character" w:customStyle="1" w:styleId="TekstprzypisukocowegoZnak">
    <w:name w:val="Tekst przypisu końcowego Znak"/>
    <w:link w:val="Tekstprzypisukocowego"/>
    <w:rsid w:val="002D6E1A"/>
    <w:rPr>
      <w:rFonts w:ascii="Georgia" w:hAnsi="Georgia"/>
      <w:lang w:eastAsia="de-DE"/>
    </w:rPr>
  </w:style>
  <w:style w:type="paragraph" w:styleId="Listanumerowana">
    <w:name w:val="List Number"/>
    <w:basedOn w:val="Normalny"/>
    <w:unhideWhenUsed/>
    <w:rsid w:val="002D6E1A"/>
    <w:pPr>
      <w:numPr>
        <w:numId w:val="10"/>
      </w:numPr>
      <w:spacing w:before="120" w:after="120"/>
      <w:ind w:left="360" w:hanging="360"/>
      <w:jc w:val="both"/>
    </w:pPr>
    <w:rPr>
      <w:rFonts w:ascii="Times New Roman" w:hAnsi="Times New Roman"/>
      <w:sz w:val="24"/>
      <w:lang w:eastAsia="en-US"/>
    </w:rPr>
  </w:style>
  <w:style w:type="character" w:customStyle="1" w:styleId="AkapitzlistZnak">
    <w:name w:val="Akapit z listą Znak"/>
    <w:aliases w:val="Paragraphe EI Znak,Paragraphe de liste1 Znak,EC Znak"/>
    <w:link w:val="Akapitzlist"/>
    <w:locked/>
    <w:rsid w:val="002D6E1A"/>
    <w:rPr>
      <w:rFonts w:ascii="Georgia" w:hAnsi="Georgia"/>
      <w:sz w:val="22"/>
      <w:szCs w:val="24"/>
      <w:lang w:eastAsia="de-DE"/>
    </w:rPr>
  </w:style>
  <w:style w:type="paragraph" w:customStyle="1" w:styleId="04anumbering0">
    <w:name w:val="04anumbering"/>
    <w:basedOn w:val="Normalny"/>
    <w:rsid w:val="002D6E1A"/>
    <w:pPr>
      <w:tabs>
        <w:tab w:val="num" w:pos="360"/>
      </w:tabs>
      <w:spacing w:after="250" w:line="276" w:lineRule="auto"/>
      <w:jc w:val="both"/>
    </w:pPr>
    <w:rPr>
      <w:rFonts w:eastAsia="Calibri"/>
      <w:sz w:val="20"/>
      <w:szCs w:val="20"/>
      <w:lang w:eastAsia="en-GB"/>
    </w:rPr>
  </w:style>
  <w:style w:type="paragraph" w:customStyle="1" w:styleId="Tiret1">
    <w:name w:val="Tiret 1"/>
    <w:basedOn w:val="Normalny"/>
    <w:rsid w:val="002D6E1A"/>
    <w:pPr>
      <w:numPr>
        <w:numId w:val="11"/>
      </w:numPr>
      <w:spacing w:before="120" w:after="120"/>
      <w:jc w:val="both"/>
    </w:pPr>
    <w:rPr>
      <w:rFonts w:ascii="Times New Roman" w:hAnsi="Times New Roman"/>
      <w:sz w:val="24"/>
      <w:lang w:eastAsia="en-US"/>
    </w:rPr>
  </w:style>
  <w:style w:type="character" w:customStyle="1" w:styleId="DPChar">
    <w:name w:val="DP Char"/>
    <w:link w:val="DP"/>
    <w:locked/>
    <w:rsid w:val="002D6E1A"/>
    <w:rPr>
      <w:rFonts w:ascii="Georgia" w:hAnsi="Georgia"/>
      <w:b/>
      <w:u w:val="single"/>
      <w:lang w:eastAsia="de-DE"/>
    </w:rPr>
  </w:style>
  <w:style w:type="paragraph" w:customStyle="1" w:styleId="DP">
    <w:name w:val="DP"/>
    <w:basedOn w:val="Akapitzlist"/>
    <w:link w:val="DPChar"/>
    <w:qFormat/>
    <w:rsid w:val="002D6E1A"/>
    <w:pPr>
      <w:ind w:left="708"/>
      <w:contextualSpacing w:val="0"/>
      <w:jc w:val="both"/>
    </w:pPr>
    <w:rPr>
      <w:b/>
      <w:sz w:val="20"/>
      <w:szCs w:val="20"/>
      <w:u w:val="single"/>
    </w:rPr>
  </w:style>
  <w:style w:type="paragraph" w:customStyle="1" w:styleId="Bullet">
    <w:name w:val="Bullet"/>
    <w:basedOn w:val="Normalny"/>
    <w:rsid w:val="002D6E1A"/>
    <w:pPr>
      <w:numPr>
        <w:numId w:val="12"/>
      </w:numPr>
      <w:tabs>
        <w:tab w:val="left" w:pos="708"/>
      </w:tabs>
      <w:spacing w:before="120" w:after="120" w:line="276" w:lineRule="auto"/>
      <w:jc w:val="both"/>
    </w:pPr>
    <w:rPr>
      <w:sz w:val="20"/>
      <w:szCs w:val="20"/>
      <w:lang w:eastAsia="en-GB"/>
    </w:rPr>
  </w:style>
  <w:style w:type="character" w:styleId="Odwoanieprzypisukocowego">
    <w:name w:val="endnote reference"/>
    <w:unhideWhenUsed/>
    <w:rsid w:val="002D6E1A"/>
    <w:rPr>
      <w:vertAlign w:val="superscript"/>
    </w:rPr>
  </w:style>
  <w:style w:type="character" w:styleId="Tekstzastpczy">
    <w:name w:val="Placeholder Text"/>
    <w:uiPriority w:val="99"/>
    <w:semiHidden/>
    <w:rsid w:val="002D6E1A"/>
    <w:rPr>
      <w:color w:val="808080"/>
    </w:rPr>
  </w:style>
  <w:style w:type="character" w:customStyle="1" w:styleId="apple-converted-space">
    <w:name w:val="apple-converted-space"/>
    <w:rsid w:val="002D6E1A"/>
  </w:style>
  <w:style w:type="table" w:customStyle="1" w:styleId="TableGrid1">
    <w:name w:val="Table Grid1"/>
    <w:basedOn w:val="Standardowy"/>
    <w:uiPriority w:val="59"/>
    <w:rsid w:val="002D6E1A"/>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Bezlisty"/>
    <w:uiPriority w:val="99"/>
    <w:semiHidden/>
    <w:unhideWhenUsed/>
    <w:rsid w:val="002D6E1A"/>
  </w:style>
  <w:style w:type="paragraph" w:customStyle="1" w:styleId="AutoCorrect">
    <w:name w:val="AutoCorrect"/>
    <w:rsid w:val="002D6E1A"/>
    <w:pPr>
      <w:spacing w:after="200" w:line="276" w:lineRule="auto"/>
    </w:pPr>
    <w:rPr>
      <w:rFonts w:ascii="Calibri" w:hAnsi="Calibri"/>
      <w:sz w:val="22"/>
      <w:szCs w:val="22"/>
      <w:lang w:val="en-US" w:eastAsia="en-US"/>
    </w:rPr>
  </w:style>
  <w:style w:type="character" w:styleId="Numerwiersza">
    <w:name w:val="line number"/>
    <w:basedOn w:val="Domylnaczcionkaakapitu"/>
    <w:uiPriority w:val="99"/>
    <w:unhideWhenUsed/>
    <w:rsid w:val="00952F2C"/>
  </w:style>
  <w:style w:type="paragraph" w:customStyle="1" w:styleId="aStyle">
    <w:name w:val="a) Style"/>
    <w:basedOn w:val="Normalny"/>
    <w:qFormat/>
    <w:rsid w:val="00952F2C"/>
    <w:pPr>
      <w:numPr>
        <w:ilvl w:val="1"/>
        <w:numId w:val="13"/>
      </w:numPr>
      <w:suppressAutoHyphens/>
      <w:spacing w:before="120" w:after="120" w:line="276" w:lineRule="auto"/>
      <w:jc w:val="both"/>
    </w:pPr>
    <w:rPr>
      <w:sz w:val="20"/>
      <w:szCs w:val="20"/>
    </w:rPr>
  </w:style>
  <w:style w:type="character" w:customStyle="1" w:styleId="04aNumberingChar">
    <w:name w:val="04a_Numbering Char"/>
    <w:link w:val="04aNumbering"/>
    <w:uiPriority w:val="99"/>
    <w:rsid w:val="00952F2C"/>
    <w:rPr>
      <w:rFonts w:ascii="Georgia" w:hAnsi="Georgia"/>
      <w:szCs w:val="24"/>
      <w:lang w:eastAsia="de-DE"/>
    </w:rPr>
  </w:style>
  <w:style w:type="paragraph" w:customStyle="1" w:styleId="Anwer">
    <w:name w:val="Anwer"/>
    <w:basedOn w:val="Legenda"/>
    <w:link w:val="AnwerChar"/>
    <w:qFormat/>
    <w:rsid w:val="00952F2C"/>
    <w:pPr>
      <w:spacing w:before="120"/>
      <w:jc w:val="both"/>
    </w:pPr>
    <w:rPr>
      <w:color w:val="C0504D"/>
    </w:rPr>
  </w:style>
  <w:style w:type="character" w:customStyle="1" w:styleId="AnwerChar">
    <w:name w:val="Anwer Char"/>
    <w:link w:val="Anwer"/>
    <w:rsid w:val="00952F2C"/>
    <w:rPr>
      <w:rFonts w:ascii="Georgia" w:hAnsi="Georgia"/>
      <w:b/>
      <w:bCs/>
      <w:color w:val="C0504D"/>
      <w:sz w:val="18"/>
      <w:szCs w:val="18"/>
      <w:lang w:eastAsia="de-DE"/>
    </w:rPr>
  </w:style>
  <w:style w:type="paragraph" w:customStyle="1" w:styleId="MYNORMAL">
    <w:name w:val="MYNORMAL"/>
    <w:basedOn w:val="04aNumeration"/>
    <w:link w:val="MYNORMALChar"/>
    <w:qFormat/>
    <w:rsid w:val="00952F2C"/>
    <w:pPr>
      <w:tabs>
        <w:tab w:val="clear" w:pos="454"/>
      </w:tabs>
      <w:spacing w:before="120"/>
      <w:ind w:left="0" w:firstLine="0"/>
    </w:pPr>
  </w:style>
  <w:style w:type="character" w:customStyle="1" w:styleId="MYNORMALChar">
    <w:name w:val="MYNORMAL Char"/>
    <w:link w:val="MYNORMAL"/>
    <w:rsid w:val="00952F2C"/>
    <w:rPr>
      <w:rFonts w:ascii="Georgia" w:hAnsi="Georgia"/>
      <w:szCs w:val="24"/>
      <w:lang w:val="fr-FR" w:eastAsia="de-DE"/>
    </w:rPr>
  </w:style>
  <w:style w:type="paragraph" w:customStyle="1" w:styleId="Normal1">
    <w:name w:val="Normal1"/>
    <w:basedOn w:val="Normalny"/>
    <w:rsid w:val="00952F2C"/>
    <w:pPr>
      <w:spacing w:before="100" w:beforeAutospacing="1" w:after="100" w:afterAutospacing="1"/>
    </w:pPr>
    <w:rPr>
      <w:rFonts w:ascii="Times New Roman" w:hAnsi="Times New Roman"/>
      <w:sz w:val="24"/>
      <w:lang w:eastAsia="en-GB"/>
    </w:rPr>
  </w:style>
  <w:style w:type="character" w:customStyle="1" w:styleId="Heading5Char9">
    <w:name w:val="Heading 5 Char9"/>
    <w:aliases w:val="Questions Char2"/>
    <w:rsid w:val="004C3DAB"/>
    <w:rPr>
      <w:rFonts w:ascii="Georgia" w:eastAsia="Times New Roman" w:hAnsi="Georgia" w:cs="Times New Roman"/>
      <w:b/>
      <w:szCs w:val="24"/>
      <w:lang w:eastAsia="de-DE"/>
    </w:rPr>
  </w:style>
  <w:style w:type="character" w:customStyle="1" w:styleId="Heading5Char10">
    <w:name w:val="Heading 5 Char10"/>
    <w:aliases w:val="Questions Char3"/>
    <w:rsid w:val="00256DFE"/>
    <w:rPr>
      <w:rFonts w:ascii="Georgia" w:eastAsia="Times New Roman" w:hAnsi="Georgia" w:cs="Times New Roman"/>
      <w:b/>
      <w:szCs w:val="24"/>
      <w:lang w:eastAsia="de-DE"/>
    </w:rPr>
  </w:style>
  <w:style w:type="character" w:customStyle="1" w:styleId="Heading5Char11">
    <w:name w:val="Heading 5 Char11"/>
    <w:aliases w:val="Questions Char4"/>
    <w:rsid w:val="00903EBE"/>
    <w:rPr>
      <w:rFonts w:ascii="Georgia" w:eastAsia="Times New Roman" w:hAnsi="Georgia" w:cs="Times New Roman"/>
      <w:b/>
      <w:szCs w:val="24"/>
      <w:lang w:eastAsia="de-DE"/>
    </w:rPr>
  </w:style>
  <w:style w:type="character" w:customStyle="1" w:styleId="Heading3Char1">
    <w:name w:val="Heading 3 Char1"/>
    <w:rsid w:val="003D6780"/>
    <w:rPr>
      <w:rFonts w:ascii="Georgia" w:eastAsia="Times New Roman" w:hAnsi="Georgia" w:cs="Times New Roman"/>
      <w:b/>
      <w:sz w:val="22"/>
      <w:szCs w:val="26"/>
      <w:lang w:eastAsia="de-DE"/>
    </w:rPr>
  </w:style>
  <w:style w:type="character" w:customStyle="1" w:styleId="Heading5Char12">
    <w:name w:val="Heading 5 Char12"/>
    <w:aliases w:val="Questions Char5"/>
    <w:rsid w:val="003D6780"/>
    <w:rPr>
      <w:rFonts w:ascii="Georgia" w:eastAsia="Times New Roman" w:hAnsi="Georgia" w:cs="Times New Roman"/>
      <w:b/>
      <w:szCs w:val="24"/>
      <w:lang w:eastAsia="de-DE"/>
    </w:rPr>
  </w:style>
  <w:style w:type="character" w:customStyle="1" w:styleId="Heading5Char13">
    <w:name w:val="Heading 5 Char13"/>
    <w:aliases w:val="Questions Char6"/>
    <w:rsid w:val="00704D25"/>
    <w:rPr>
      <w:rFonts w:ascii="Georgia" w:eastAsia="Times New Roman" w:hAnsi="Georgia" w:cs="Times New Roman"/>
      <w:b/>
      <w:szCs w:val="24"/>
      <w:lang w:eastAsia="de-DE"/>
    </w:rPr>
  </w:style>
  <w:style w:type="character" w:customStyle="1" w:styleId="Strong4">
    <w:name w:val="Strong4"/>
    <w:uiPriority w:val="22"/>
    <w:qFormat/>
    <w:rsid w:val="00974881"/>
    <w:rPr>
      <w:b/>
      <w:bCs/>
    </w:rPr>
  </w:style>
  <w:style w:type="character" w:customStyle="1" w:styleId="Nagwek5Znak">
    <w:name w:val="Nagłówek 5 Znak"/>
    <w:aliases w:val="Questions Znak"/>
    <w:link w:val="Nagwek5"/>
    <w:rsid w:val="00E9344E"/>
    <w:rPr>
      <w:rFonts w:ascii="Arial" w:hAnsi="Arial"/>
      <w:b/>
      <w:sz w:val="22"/>
      <w:szCs w:val="24"/>
      <w:lang w:eastAsia="de-DE"/>
    </w:rPr>
  </w:style>
  <w:style w:type="character" w:customStyle="1" w:styleId="Nagwek3Znak">
    <w:name w:val="Nagłówek 3 Znak"/>
    <w:link w:val="Nagwek3"/>
    <w:rsid w:val="003865E5"/>
    <w:rPr>
      <w:rFonts w:ascii="Cambria" w:eastAsia="Times New Roman" w:hAnsi="Cambria" w:cs="Times New Roman"/>
      <w:b/>
      <w:bCs/>
      <w:color w:val="4F81BD"/>
      <w:sz w:val="22"/>
      <w:szCs w:val="24"/>
      <w:lang w:eastAsia="de-DE"/>
    </w:rPr>
  </w:style>
  <w:style w:type="character" w:customStyle="1" w:styleId="Nagwek4Znak">
    <w:name w:val="Nagłówek 4 Znak"/>
    <w:link w:val="Nagwek4"/>
    <w:rsid w:val="00CB7286"/>
    <w:rPr>
      <w:b/>
      <w:bCs/>
      <w:sz w:val="28"/>
      <w:szCs w:val="28"/>
      <w:lang w:eastAsia="de-DE"/>
    </w:rPr>
  </w:style>
  <w:style w:type="table" w:styleId="Jasnalistaakcent3">
    <w:name w:val="Light List Accent 3"/>
    <w:basedOn w:val="Standardowy"/>
    <w:uiPriority w:val="61"/>
    <w:rsid w:val="00CB7286"/>
    <w:rPr>
      <w:rFonts w:ascii="Calibri" w:hAnsi="Calibri"/>
      <w:sz w:val="22"/>
      <w:szCs w:val="22"/>
      <w:lang w:val="de-DE" w:eastAsia="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MittlereSchattierung1-Akzent11">
    <w:name w:val="Mittlere Schattierung 1 - Akzent 11"/>
    <w:basedOn w:val="Standardowy"/>
    <w:uiPriority w:val="63"/>
    <w:rsid w:val="00CB728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character" w:customStyle="1" w:styleId="BalloonTextChar1">
    <w:name w:val="Balloon Text Char1"/>
    <w:uiPriority w:val="99"/>
    <w:semiHidden/>
    <w:rsid w:val="000D2D0B"/>
    <w:rPr>
      <w:rFonts w:ascii="Tahoma" w:hAnsi="Tahoma" w:cs="Tahoma"/>
      <w:sz w:val="16"/>
      <w:szCs w:val="16"/>
      <w:lang w:val="en-GB" w:eastAsia="en-GB"/>
    </w:rPr>
  </w:style>
  <w:style w:type="character" w:customStyle="1" w:styleId="31TextobasenotadeprensaCNMVCar">
    <w:name w:val="3.1. Texto base nota de prensa CNMV Car"/>
    <w:rsid w:val="000D2D0B"/>
    <w:rPr>
      <w:rFonts w:ascii="Celeste" w:hAnsi="Celeste" w:cs="Times New Roman"/>
      <w:sz w:val="22"/>
      <w:lang w:val="es-ES" w:eastAsia="es-ES" w:bidi="ar-SA"/>
    </w:rPr>
  </w:style>
  <w:style w:type="paragraph" w:customStyle="1" w:styleId="01Title">
    <w:name w:val="01_Title"/>
    <w:basedOn w:val="Normalny"/>
    <w:rsid w:val="000D2D0B"/>
    <w:pPr>
      <w:spacing w:after="250" w:line="340" w:lineRule="exact"/>
      <w:ind w:left="397" w:hanging="397"/>
      <w:jc w:val="both"/>
    </w:pPr>
    <w:rPr>
      <w:b/>
      <w:caps/>
      <w:color w:val="2D4190"/>
      <w:sz w:val="28"/>
      <w:lang w:val="de-DE"/>
    </w:rPr>
  </w:style>
  <w:style w:type="paragraph" w:customStyle="1" w:styleId="04RunningText">
    <w:name w:val="04_Running Text"/>
    <w:basedOn w:val="Normalny"/>
    <w:link w:val="04RunningTextChar"/>
    <w:rsid w:val="000D2D0B"/>
    <w:pPr>
      <w:spacing w:after="250" w:line="276" w:lineRule="auto"/>
      <w:ind w:left="397" w:hanging="397"/>
      <w:jc w:val="both"/>
    </w:pPr>
    <w:rPr>
      <w:sz w:val="20"/>
      <w:lang w:val="x-none"/>
    </w:rPr>
  </w:style>
  <w:style w:type="paragraph" w:customStyle="1" w:styleId="04bListing">
    <w:name w:val="04b_Listing"/>
    <w:basedOn w:val="04RunningText"/>
    <w:rsid w:val="000D2D0B"/>
    <w:pPr>
      <w:tabs>
        <w:tab w:val="num" w:pos="568"/>
      </w:tabs>
      <w:ind w:left="568" w:hanging="284"/>
    </w:pPr>
  </w:style>
  <w:style w:type="paragraph" w:customStyle="1" w:styleId="04cRunningtextleft">
    <w:name w:val="04c_Running text left"/>
    <w:basedOn w:val="04RunningText"/>
    <w:rsid w:val="000D2D0B"/>
    <w:pPr>
      <w:spacing w:after="0"/>
      <w:jc w:val="left"/>
    </w:pPr>
  </w:style>
  <w:style w:type="paragraph" w:customStyle="1" w:styleId="05bHeadline3">
    <w:name w:val="05b_Headline 3"/>
    <w:basedOn w:val="Nagwek2"/>
    <w:rsid w:val="000D2D0B"/>
    <w:pPr>
      <w:keepNext w:val="0"/>
      <w:keepLines w:val="0"/>
      <w:tabs>
        <w:tab w:val="num" w:pos="567"/>
        <w:tab w:val="left" w:pos="851"/>
      </w:tabs>
      <w:suppressAutoHyphens/>
      <w:spacing w:before="0" w:after="250" w:line="250" w:lineRule="exact"/>
      <w:ind w:left="568" w:hanging="284"/>
      <w:jc w:val="both"/>
    </w:pPr>
    <w:rPr>
      <w:b w:val="0"/>
      <w:iCs/>
      <w:sz w:val="20"/>
      <w:szCs w:val="20"/>
      <w:lang w:val="fr-FR" w:eastAsia="x-none"/>
    </w:rPr>
  </w:style>
  <w:style w:type="character" w:customStyle="1" w:styleId="WW8Num4z1">
    <w:name w:val="WW8Num4z1"/>
    <w:rsid w:val="000D2D0B"/>
    <w:rPr>
      <w:rFonts w:ascii="Courier New" w:hAnsi="Courier New" w:cs="Courier New"/>
    </w:rPr>
  </w:style>
  <w:style w:type="paragraph" w:customStyle="1" w:styleId="TOCHeading1">
    <w:name w:val="TOC Heading1"/>
    <w:basedOn w:val="Nagwek1"/>
    <w:next w:val="Normalny"/>
    <w:unhideWhenUsed/>
    <w:qFormat/>
    <w:rsid w:val="000D2D0B"/>
    <w:pPr>
      <w:keepNext w:val="0"/>
      <w:keepLines/>
      <w:numPr>
        <w:numId w:val="0"/>
      </w:numPr>
      <w:tabs>
        <w:tab w:val="left" w:pos="397"/>
      </w:tabs>
      <w:suppressAutoHyphens/>
      <w:spacing w:before="480" w:after="0" w:line="280" w:lineRule="exact"/>
      <w:ind w:left="720" w:hanging="360"/>
      <w:jc w:val="both"/>
      <w:outlineLvl w:val="9"/>
    </w:pPr>
    <w:rPr>
      <w:rFonts w:ascii="Cambria" w:hAnsi="Cambria" w:cs="Times New Roman"/>
      <w:bCs w:val="0"/>
      <w:color w:val="365F91"/>
      <w:kern w:val="0"/>
      <w:sz w:val="28"/>
      <w:szCs w:val="28"/>
      <w:lang w:val="en-US" w:eastAsia="en-US"/>
    </w:rPr>
  </w:style>
  <w:style w:type="paragraph" w:customStyle="1" w:styleId="NoSpacing1">
    <w:name w:val="No Spacing1"/>
    <w:uiPriority w:val="1"/>
    <w:qFormat/>
    <w:rsid w:val="000D2D0B"/>
    <w:pPr>
      <w:suppressAutoHyphens/>
      <w:spacing w:after="250" w:line="276" w:lineRule="auto"/>
      <w:ind w:left="397" w:hanging="397"/>
      <w:jc w:val="both"/>
    </w:pPr>
    <w:rPr>
      <w:rFonts w:ascii="Century Schoolbook" w:hAnsi="Century Schoolbook" w:cs="Garamond"/>
      <w:szCs w:val="22"/>
      <w:lang w:eastAsia="ar-SA"/>
    </w:rPr>
  </w:style>
  <w:style w:type="paragraph" w:customStyle="1" w:styleId="04anumeration0">
    <w:name w:val="04anumeration"/>
    <w:basedOn w:val="Normalny"/>
    <w:rsid w:val="000D2D0B"/>
    <w:pPr>
      <w:tabs>
        <w:tab w:val="num" w:pos="284"/>
      </w:tabs>
      <w:spacing w:after="250" w:line="276" w:lineRule="auto"/>
      <w:ind w:left="284" w:hanging="284"/>
      <w:jc w:val="both"/>
    </w:pPr>
    <w:rPr>
      <w:rFonts w:eastAsia="Calibri"/>
      <w:sz w:val="20"/>
      <w:szCs w:val="20"/>
      <w:lang w:eastAsia="en-GB"/>
    </w:rPr>
  </w:style>
  <w:style w:type="paragraph" w:customStyle="1" w:styleId="Listenabsatz1">
    <w:name w:val="Listenabsatz1"/>
    <w:basedOn w:val="Normalny"/>
    <w:rsid w:val="000D2D0B"/>
    <w:pPr>
      <w:spacing w:line="260" w:lineRule="atLeast"/>
      <w:ind w:left="720"/>
      <w:contextualSpacing/>
    </w:pPr>
    <w:rPr>
      <w:rFonts w:ascii="Verdana" w:hAnsi="Verdana"/>
      <w:kern w:val="10"/>
      <w:sz w:val="20"/>
      <w:szCs w:val="20"/>
      <w:lang w:val="de-DE"/>
    </w:rPr>
  </w:style>
  <w:style w:type="paragraph" w:customStyle="1" w:styleId="Listenabsatz2">
    <w:name w:val="Listenabsatz2"/>
    <w:basedOn w:val="Normalny"/>
    <w:rsid w:val="000D2D0B"/>
    <w:pPr>
      <w:spacing w:line="260" w:lineRule="atLeast"/>
      <w:ind w:left="720"/>
      <w:contextualSpacing/>
    </w:pPr>
    <w:rPr>
      <w:rFonts w:ascii="Verdana" w:hAnsi="Verdana"/>
      <w:kern w:val="10"/>
      <w:sz w:val="20"/>
      <w:szCs w:val="20"/>
      <w:lang w:val="de-DE"/>
    </w:rPr>
  </w:style>
  <w:style w:type="paragraph" w:customStyle="1" w:styleId="Considrant">
    <w:name w:val="Considérant"/>
    <w:basedOn w:val="Normalny"/>
    <w:rsid w:val="000D2D0B"/>
    <w:pPr>
      <w:numPr>
        <w:numId w:val="16"/>
      </w:numPr>
      <w:spacing w:before="120" w:after="120"/>
      <w:jc w:val="both"/>
    </w:pPr>
    <w:rPr>
      <w:rFonts w:ascii="Times New Roman" w:hAnsi="Times New Roman"/>
      <w:sz w:val="24"/>
      <w:lang w:eastAsia="en-US"/>
    </w:rPr>
  </w:style>
  <w:style w:type="paragraph" w:customStyle="1" w:styleId="Institutionquisigne">
    <w:name w:val="Institution qui signe"/>
    <w:basedOn w:val="Normalny"/>
    <w:next w:val="Normalny"/>
    <w:rsid w:val="000D2D0B"/>
    <w:pPr>
      <w:keepNext/>
      <w:tabs>
        <w:tab w:val="left" w:pos="4252"/>
      </w:tabs>
      <w:spacing w:before="720"/>
      <w:jc w:val="both"/>
    </w:pPr>
    <w:rPr>
      <w:rFonts w:ascii="Times New Roman" w:hAnsi="Times New Roman"/>
      <w:i/>
      <w:sz w:val="24"/>
      <w:lang w:eastAsia="en-US"/>
    </w:rPr>
  </w:style>
  <w:style w:type="paragraph" w:customStyle="1" w:styleId="Paragrafoelenco1">
    <w:name w:val="Paragrafo elenco1"/>
    <w:basedOn w:val="Normalny"/>
    <w:rsid w:val="000D2D0B"/>
    <w:pPr>
      <w:ind w:left="720"/>
      <w:contextualSpacing/>
    </w:pPr>
    <w:rPr>
      <w:rFonts w:ascii="Cambria" w:hAnsi="Cambria"/>
      <w:sz w:val="24"/>
      <w:lang w:val="en-US" w:eastAsia="en-US"/>
    </w:rPr>
  </w:style>
  <w:style w:type="character" w:customStyle="1" w:styleId="CommentTextChar2">
    <w:name w:val="Comment Text Char2"/>
    <w:semiHidden/>
    <w:locked/>
    <w:rsid w:val="000D2D0B"/>
    <w:rPr>
      <w:rFonts w:ascii="Arial" w:hAnsi="Arial" w:cs="Times New Roman"/>
      <w:lang w:val="en-GB" w:eastAsia="en-GB" w:bidi="ar-SA"/>
    </w:rPr>
  </w:style>
  <w:style w:type="character" w:customStyle="1" w:styleId="subparatext">
    <w:name w:val="subparatext"/>
    <w:rsid w:val="000D2D0B"/>
    <w:rPr>
      <w:rFonts w:cs="Times New Roman"/>
    </w:rPr>
  </w:style>
  <w:style w:type="paragraph" w:customStyle="1" w:styleId="Normal12Hanging">
    <w:name w:val="Normal12Hanging"/>
    <w:basedOn w:val="Normalny"/>
    <w:rsid w:val="000D2D0B"/>
    <w:pPr>
      <w:widowControl w:val="0"/>
      <w:spacing w:after="240"/>
      <w:ind w:left="357" w:hanging="357"/>
    </w:pPr>
    <w:rPr>
      <w:rFonts w:ascii="Times New Roman" w:hAnsi="Times New Roman"/>
      <w:sz w:val="24"/>
      <w:szCs w:val="20"/>
      <w:lang w:eastAsia="en-GB"/>
    </w:rPr>
  </w:style>
  <w:style w:type="paragraph" w:customStyle="1" w:styleId="NormalGeorgia">
    <w:name w:val="Normal + Georgia"/>
    <w:aliases w:val="10 pt"/>
    <w:basedOn w:val="Normalny"/>
    <w:rsid w:val="000D2D0B"/>
    <w:rPr>
      <w:sz w:val="20"/>
      <w:szCs w:val="20"/>
    </w:rPr>
  </w:style>
  <w:style w:type="paragraph" w:customStyle="1" w:styleId="Sbuchead">
    <w:name w:val="Sbuchead"/>
    <w:basedOn w:val="Normalny"/>
    <w:rsid w:val="000D2D0B"/>
    <w:pPr>
      <w:spacing w:after="360"/>
    </w:pPr>
    <w:rPr>
      <w:rFonts w:ascii="Times New Roman" w:hAnsi="Times New Roman"/>
      <w:b/>
      <w:caps/>
      <w:sz w:val="24"/>
      <w:szCs w:val="20"/>
      <w:lang w:eastAsia="en-GB"/>
    </w:rPr>
  </w:style>
  <w:style w:type="paragraph" w:customStyle="1" w:styleId="Applicationdirecte">
    <w:name w:val="Application directe"/>
    <w:basedOn w:val="Normalny"/>
    <w:next w:val="Fait"/>
    <w:rsid w:val="000D2D0B"/>
    <w:pPr>
      <w:spacing w:before="480" w:after="120"/>
      <w:jc w:val="both"/>
    </w:pPr>
    <w:rPr>
      <w:rFonts w:ascii="Times New Roman" w:hAnsi="Times New Roman"/>
      <w:sz w:val="24"/>
      <w:lang w:eastAsia="en-US"/>
    </w:rPr>
  </w:style>
  <w:style w:type="paragraph" w:customStyle="1" w:styleId="Fait">
    <w:name w:val="Fait à"/>
    <w:basedOn w:val="Normalny"/>
    <w:next w:val="Institutionquisigne"/>
    <w:rsid w:val="000D2D0B"/>
    <w:pPr>
      <w:keepNext/>
      <w:spacing w:before="120"/>
      <w:jc w:val="both"/>
    </w:pPr>
    <w:rPr>
      <w:rFonts w:ascii="Times New Roman" w:hAnsi="Times New Roman"/>
      <w:sz w:val="24"/>
      <w:lang w:eastAsia="en-US"/>
    </w:rPr>
  </w:style>
  <w:style w:type="paragraph" w:customStyle="1" w:styleId="Formuledadoption">
    <w:name w:val="Formule d'adoption"/>
    <w:basedOn w:val="Normalny"/>
    <w:next w:val="Titrearticle"/>
    <w:rsid w:val="000D2D0B"/>
    <w:pPr>
      <w:keepNext/>
      <w:spacing w:before="120" w:after="120"/>
      <w:jc w:val="both"/>
    </w:pPr>
    <w:rPr>
      <w:rFonts w:ascii="Times New Roman" w:hAnsi="Times New Roman"/>
      <w:sz w:val="24"/>
      <w:lang w:eastAsia="en-US"/>
    </w:rPr>
  </w:style>
  <w:style w:type="paragraph" w:customStyle="1" w:styleId="Personnequisigne">
    <w:name w:val="Personne qui signe"/>
    <w:basedOn w:val="Normalny"/>
    <w:next w:val="Institutionquisigne"/>
    <w:rsid w:val="000D2D0B"/>
    <w:pPr>
      <w:tabs>
        <w:tab w:val="left" w:pos="4252"/>
      </w:tabs>
    </w:pPr>
    <w:rPr>
      <w:rFonts w:ascii="Times New Roman" w:hAnsi="Times New Roman"/>
      <w:i/>
      <w:sz w:val="24"/>
      <w:lang w:eastAsia="en-US"/>
    </w:rPr>
  </w:style>
  <w:style w:type="paragraph" w:customStyle="1" w:styleId="Titrearticle">
    <w:name w:val="Titre article"/>
    <w:basedOn w:val="Normalny"/>
    <w:next w:val="Normalny"/>
    <w:link w:val="TitrearticleChar"/>
    <w:uiPriority w:val="99"/>
    <w:rsid w:val="000D2D0B"/>
    <w:pPr>
      <w:keepNext/>
      <w:spacing w:before="360" w:after="120"/>
      <w:jc w:val="center"/>
    </w:pPr>
    <w:rPr>
      <w:rFonts w:ascii="Times New Roman" w:hAnsi="Times New Roman"/>
      <w:i/>
      <w:sz w:val="24"/>
      <w:lang w:val="x-none" w:eastAsia="x-none"/>
    </w:rPr>
  </w:style>
  <w:style w:type="paragraph" w:customStyle="1" w:styleId="Titreobjet">
    <w:name w:val="Titre objet"/>
    <w:basedOn w:val="Normalny"/>
    <w:next w:val="Normalny"/>
    <w:rsid w:val="000D2D0B"/>
    <w:pPr>
      <w:spacing w:before="360" w:after="360"/>
      <w:jc w:val="center"/>
    </w:pPr>
    <w:rPr>
      <w:rFonts w:ascii="Times New Roman" w:hAnsi="Times New Roman"/>
      <w:b/>
      <w:sz w:val="24"/>
      <w:lang w:eastAsia="en-US"/>
    </w:rPr>
  </w:style>
  <w:style w:type="paragraph" w:customStyle="1" w:styleId="Typedudocument">
    <w:name w:val="Type du document"/>
    <w:basedOn w:val="Normalny"/>
    <w:next w:val="Titreobjet"/>
    <w:rsid w:val="000D2D0B"/>
    <w:pPr>
      <w:spacing w:before="360"/>
      <w:jc w:val="center"/>
    </w:pPr>
    <w:rPr>
      <w:rFonts w:ascii="Times New Roman" w:hAnsi="Times New Roman"/>
      <w:b/>
      <w:sz w:val="24"/>
      <w:lang w:eastAsia="en-US"/>
    </w:rPr>
  </w:style>
  <w:style w:type="paragraph" w:customStyle="1" w:styleId="HeaderLandscape">
    <w:name w:val="HeaderLandscape"/>
    <w:basedOn w:val="Normalny"/>
    <w:rsid w:val="000D2D0B"/>
    <w:pPr>
      <w:tabs>
        <w:tab w:val="center" w:pos="7285"/>
        <w:tab w:val="right" w:pos="14003"/>
      </w:tabs>
      <w:spacing w:before="120" w:after="120"/>
      <w:jc w:val="both"/>
    </w:pPr>
    <w:rPr>
      <w:rFonts w:ascii="Times New Roman" w:hAnsi="Times New Roman"/>
      <w:sz w:val="24"/>
      <w:lang w:eastAsia="en-US"/>
    </w:rPr>
  </w:style>
  <w:style w:type="paragraph" w:customStyle="1" w:styleId="FooterLandscape">
    <w:name w:val="FooterLandscape"/>
    <w:basedOn w:val="Normalny"/>
    <w:rsid w:val="000D2D0B"/>
    <w:pPr>
      <w:tabs>
        <w:tab w:val="center" w:pos="7285"/>
        <w:tab w:val="center" w:pos="10913"/>
        <w:tab w:val="right" w:pos="15137"/>
      </w:tabs>
      <w:spacing w:before="360"/>
      <w:ind w:left="-567" w:right="-567"/>
    </w:pPr>
    <w:rPr>
      <w:rFonts w:ascii="Times New Roman" w:hAnsi="Times New Roman"/>
      <w:sz w:val="24"/>
      <w:lang w:eastAsia="en-US"/>
    </w:rPr>
  </w:style>
  <w:style w:type="paragraph" w:customStyle="1" w:styleId="Text1">
    <w:name w:val="Text 1"/>
    <w:basedOn w:val="Normalny"/>
    <w:rsid w:val="000D2D0B"/>
    <w:pPr>
      <w:spacing w:before="120" w:after="120"/>
      <w:ind w:left="850"/>
      <w:jc w:val="both"/>
    </w:pPr>
    <w:rPr>
      <w:rFonts w:ascii="Times New Roman" w:hAnsi="Times New Roman"/>
      <w:sz w:val="24"/>
      <w:lang w:eastAsia="en-US"/>
    </w:rPr>
  </w:style>
  <w:style w:type="paragraph" w:customStyle="1" w:styleId="Text2">
    <w:name w:val="Text 2"/>
    <w:basedOn w:val="Normalny"/>
    <w:rsid w:val="000D2D0B"/>
    <w:pPr>
      <w:spacing w:before="120" w:after="120"/>
      <w:ind w:left="1417"/>
      <w:jc w:val="both"/>
    </w:pPr>
    <w:rPr>
      <w:rFonts w:ascii="Times New Roman" w:hAnsi="Times New Roman"/>
      <w:sz w:val="24"/>
      <w:lang w:eastAsia="en-US"/>
    </w:rPr>
  </w:style>
  <w:style w:type="paragraph" w:customStyle="1" w:styleId="Text3">
    <w:name w:val="Text 3"/>
    <w:basedOn w:val="Normalny"/>
    <w:rsid w:val="000D2D0B"/>
    <w:pPr>
      <w:spacing w:before="120" w:after="120"/>
      <w:ind w:left="1984"/>
      <w:jc w:val="both"/>
    </w:pPr>
    <w:rPr>
      <w:rFonts w:ascii="Times New Roman" w:hAnsi="Times New Roman"/>
      <w:sz w:val="24"/>
      <w:lang w:eastAsia="en-US"/>
    </w:rPr>
  </w:style>
  <w:style w:type="paragraph" w:customStyle="1" w:styleId="Text4">
    <w:name w:val="Text 4"/>
    <w:basedOn w:val="Normalny"/>
    <w:rsid w:val="000D2D0B"/>
    <w:pPr>
      <w:spacing w:before="120" w:after="120"/>
      <w:ind w:left="2551"/>
      <w:jc w:val="both"/>
    </w:pPr>
    <w:rPr>
      <w:rFonts w:ascii="Times New Roman" w:hAnsi="Times New Roman"/>
      <w:sz w:val="24"/>
      <w:lang w:eastAsia="en-US"/>
    </w:rPr>
  </w:style>
  <w:style w:type="paragraph" w:customStyle="1" w:styleId="NormalCentered">
    <w:name w:val="Normal Centered"/>
    <w:basedOn w:val="Normalny"/>
    <w:rsid w:val="000D2D0B"/>
    <w:pPr>
      <w:spacing w:before="120" w:after="120"/>
      <w:jc w:val="center"/>
    </w:pPr>
    <w:rPr>
      <w:rFonts w:ascii="Times New Roman" w:hAnsi="Times New Roman"/>
      <w:sz w:val="24"/>
      <w:lang w:eastAsia="en-US"/>
    </w:rPr>
  </w:style>
  <w:style w:type="paragraph" w:customStyle="1" w:styleId="NormalLeft">
    <w:name w:val="Normal Left"/>
    <w:basedOn w:val="Normalny"/>
    <w:rsid w:val="000D2D0B"/>
    <w:pPr>
      <w:spacing w:before="120" w:after="120"/>
    </w:pPr>
    <w:rPr>
      <w:rFonts w:ascii="Times New Roman" w:hAnsi="Times New Roman"/>
      <w:sz w:val="24"/>
      <w:lang w:eastAsia="en-US"/>
    </w:rPr>
  </w:style>
  <w:style w:type="paragraph" w:customStyle="1" w:styleId="NormalRight">
    <w:name w:val="Normal Right"/>
    <w:basedOn w:val="Normalny"/>
    <w:rsid w:val="000D2D0B"/>
    <w:pPr>
      <w:spacing w:before="120" w:after="120"/>
      <w:jc w:val="right"/>
    </w:pPr>
    <w:rPr>
      <w:rFonts w:ascii="Times New Roman" w:hAnsi="Times New Roman"/>
      <w:sz w:val="24"/>
      <w:lang w:eastAsia="en-US"/>
    </w:rPr>
  </w:style>
  <w:style w:type="paragraph" w:customStyle="1" w:styleId="QuotedText">
    <w:name w:val="Quoted Text"/>
    <w:basedOn w:val="Normalny"/>
    <w:rsid w:val="000D2D0B"/>
    <w:pPr>
      <w:spacing w:before="120" w:after="120"/>
      <w:ind w:left="1417"/>
      <w:jc w:val="both"/>
    </w:pPr>
    <w:rPr>
      <w:rFonts w:ascii="Times New Roman" w:hAnsi="Times New Roman"/>
      <w:sz w:val="24"/>
      <w:lang w:eastAsia="en-US"/>
    </w:rPr>
  </w:style>
  <w:style w:type="paragraph" w:customStyle="1" w:styleId="Point0">
    <w:name w:val="Point 0"/>
    <w:basedOn w:val="Normalny"/>
    <w:rsid w:val="000D2D0B"/>
    <w:pPr>
      <w:spacing w:before="120" w:after="120"/>
      <w:ind w:left="850" w:hanging="850"/>
      <w:jc w:val="both"/>
    </w:pPr>
    <w:rPr>
      <w:rFonts w:ascii="Times New Roman" w:hAnsi="Times New Roman"/>
      <w:sz w:val="24"/>
      <w:lang w:eastAsia="en-US"/>
    </w:rPr>
  </w:style>
  <w:style w:type="paragraph" w:customStyle="1" w:styleId="Point1">
    <w:name w:val="Point 1"/>
    <w:basedOn w:val="Normalny"/>
    <w:rsid w:val="000D2D0B"/>
    <w:pPr>
      <w:spacing w:before="120" w:after="120"/>
      <w:ind w:left="1417" w:hanging="567"/>
      <w:jc w:val="both"/>
    </w:pPr>
    <w:rPr>
      <w:rFonts w:ascii="Times New Roman" w:hAnsi="Times New Roman"/>
      <w:sz w:val="24"/>
      <w:lang w:eastAsia="en-US"/>
    </w:rPr>
  </w:style>
  <w:style w:type="paragraph" w:customStyle="1" w:styleId="Point2">
    <w:name w:val="Point 2"/>
    <w:basedOn w:val="Normalny"/>
    <w:rsid w:val="000D2D0B"/>
    <w:pPr>
      <w:spacing w:before="120" w:after="120"/>
      <w:ind w:left="1984" w:hanging="567"/>
      <w:jc w:val="both"/>
    </w:pPr>
    <w:rPr>
      <w:rFonts w:ascii="Times New Roman" w:hAnsi="Times New Roman"/>
      <w:sz w:val="24"/>
      <w:lang w:eastAsia="en-US"/>
    </w:rPr>
  </w:style>
  <w:style w:type="paragraph" w:customStyle="1" w:styleId="Point3">
    <w:name w:val="Point 3"/>
    <w:basedOn w:val="Normalny"/>
    <w:rsid w:val="000D2D0B"/>
    <w:pPr>
      <w:spacing w:before="120" w:after="120"/>
      <w:ind w:left="2551" w:hanging="567"/>
      <w:jc w:val="both"/>
    </w:pPr>
    <w:rPr>
      <w:rFonts w:ascii="Times New Roman" w:hAnsi="Times New Roman"/>
      <w:sz w:val="24"/>
      <w:lang w:eastAsia="en-US"/>
    </w:rPr>
  </w:style>
  <w:style w:type="paragraph" w:customStyle="1" w:styleId="Point4">
    <w:name w:val="Point 4"/>
    <w:basedOn w:val="Normalny"/>
    <w:rsid w:val="000D2D0B"/>
    <w:pPr>
      <w:spacing w:before="120" w:after="120"/>
      <w:ind w:left="3118" w:hanging="567"/>
      <w:jc w:val="both"/>
    </w:pPr>
    <w:rPr>
      <w:rFonts w:ascii="Times New Roman" w:hAnsi="Times New Roman"/>
      <w:sz w:val="24"/>
      <w:lang w:eastAsia="en-US"/>
    </w:rPr>
  </w:style>
  <w:style w:type="paragraph" w:customStyle="1" w:styleId="Tiret0">
    <w:name w:val="Tiret 0"/>
    <w:basedOn w:val="Point0"/>
    <w:rsid w:val="000D2D0B"/>
    <w:pPr>
      <w:numPr>
        <w:numId w:val="19"/>
      </w:numPr>
    </w:pPr>
  </w:style>
  <w:style w:type="paragraph" w:customStyle="1" w:styleId="Tiret2">
    <w:name w:val="Tiret 2"/>
    <w:basedOn w:val="Point2"/>
    <w:rsid w:val="000D2D0B"/>
    <w:pPr>
      <w:tabs>
        <w:tab w:val="num" w:pos="1984"/>
      </w:tabs>
    </w:pPr>
  </w:style>
  <w:style w:type="paragraph" w:customStyle="1" w:styleId="Tiret3">
    <w:name w:val="Tiret 3"/>
    <w:basedOn w:val="Point3"/>
    <w:rsid w:val="000D2D0B"/>
    <w:pPr>
      <w:numPr>
        <w:numId w:val="20"/>
      </w:numPr>
    </w:pPr>
  </w:style>
  <w:style w:type="paragraph" w:customStyle="1" w:styleId="Tiret4">
    <w:name w:val="Tiret 4"/>
    <w:basedOn w:val="Point4"/>
    <w:rsid w:val="000D2D0B"/>
    <w:pPr>
      <w:numPr>
        <w:numId w:val="21"/>
      </w:numPr>
    </w:pPr>
  </w:style>
  <w:style w:type="paragraph" w:customStyle="1" w:styleId="PointDouble0">
    <w:name w:val="PointDouble 0"/>
    <w:basedOn w:val="Normalny"/>
    <w:rsid w:val="000D2D0B"/>
    <w:pPr>
      <w:tabs>
        <w:tab w:val="left" w:pos="850"/>
      </w:tabs>
      <w:spacing w:before="120" w:after="120"/>
      <w:ind w:left="1417" w:hanging="1417"/>
      <w:jc w:val="both"/>
    </w:pPr>
    <w:rPr>
      <w:rFonts w:ascii="Times New Roman" w:hAnsi="Times New Roman"/>
      <w:sz w:val="24"/>
      <w:lang w:eastAsia="en-US"/>
    </w:rPr>
  </w:style>
  <w:style w:type="paragraph" w:customStyle="1" w:styleId="PointDouble1">
    <w:name w:val="PointDouble 1"/>
    <w:basedOn w:val="Normalny"/>
    <w:rsid w:val="000D2D0B"/>
    <w:pPr>
      <w:tabs>
        <w:tab w:val="left" w:pos="1417"/>
      </w:tabs>
      <w:spacing w:before="120" w:after="120"/>
      <w:ind w:left="1984" w:hanging="1134"/>
      <w:jc w:val="both"/>
    </w:pPr>
    <w:rPr>
      <w:rFonts w:ascii="Times New Roman" w:hAnsi="Times New Roman"/>
      <w:sz w:val="24"/>
      <w:lang w:eastAsia="en-US"/>
    </w:rPr>
  </w:style>
  <w:style w:type="paragraph" w:customStyle="1" w:styleId="PointDouble2">
    <w:name w:val="PointDouble 2"/>
    <w:basedOn w:val="Normalny"/>
    <w:rsid w:val="000D2D0B"/>
    <w:pPr>
      <w:tabs>
        <w:tab w:val="left" w:pos="1984"/>
      </w:tabs>
      <w:spacing w:before="120" w:after="120"/>
      <w:ind w:left="2551" w:hanging="1134"/>
      <w:jc w:val="both"/>
    </w:pPr>
    <w:rPr>
      <w:rFonts w:ascii="Times New Roman" w:hAnsi="Times New Roman"/>
      <w:sz w:val="24"/>
      <w:lang w:eastAsia="en-US"/>
    </w:rPr>
  </w:style>
  <w:style w:type="paragraph" w:customStyle="1" w:styleId="PointDouble3">
    <w:name w:val="PointDouble 3"/>
    <w:basedOn w:val="Normalny"/>
    <w:rsid w:val="000D2D0B"/>
    <w:pPr>
      <w:tabs>
        <w:tab w:val="left" w:pos="2551"/>
      </w:tabs>
      <w:spacing w:before="120" w:after="120"/>
      <w:ind w:left="3118" w:hanging="1134"/>
      <w:jc w:val="both"/>
    </w:pPr>
    <w:rPr>
      <w:rFonts w:ascii="Times New Roman" w:hAnsi="Times New Roman"/>
      <w:sz w:val="24"/>
      <w:lang w:eastAsia="en-US"/>
    </w:rPr>
  </w:style>
  <w:style w:type="paragraph" w:customStyle="1" w:styleId="PointDouble4">
    <w:name w:val="PointDouble 4"/>
    <w:basedOn w:val="Normalny"/>
    <w:rsid w:val="000D2D0B"/>
    <w:pPr>
      <w:tabs>
        <w:tab w:val="left" w:pos="3118"/>
      </w:tabs>
      <w:spacing w:before="120" w:after="120"/>
      <w:ind w:left="3685" w:hanging="1134"/>
      <w:jc w:val="both"/>
    </w:pPr>
    <w:rPr>
      <w:rFonts w:ascii="Times New Roman" w:hAnsi="Times New Roman"/>
      <w:sz w:val="24"/>
      <w:lang w:eastAsia="en-US"/>
    </w:rPr>
  </w:style>
  <w:style w:type="paragraph" w:customStyle="1" w:styleId="PointTriple0">
    <w:name w:val="PointTriple 0"/>
    <w:basedOn w:val="Normalny"/>
    <w:rsid w:val="000D2D0B"/>
    <w:pPr>
      <w:tabs>
        <w:tab w:val="left" w:pos="850"/>
        <w:tab w:val="left" w:pos="1417"/>
      </w:tabs>
      <w:spacing w:before="120" w:after="120"/>
      <w:ind w:left="1984" w:hanging="1984"/>
      <w:jc w:val="both"/>
    </w:pPr>
    <w:rPr>
      <w:rFonts w:ascii="Times New Roman" w:hAnsi="Times New Roman"/>
      <w:sz w:val="24"/>
      <w:lang w:eastAsia="en-US"/>
    </w:rPr>
  </w:style>
  <w:style w:type="paragraph" w:customStyle="1" w:styleId="PointTriple1">
    <w:name w:val="PointTriple 1"/>
    <w:basedOn w:val="Normalny"/>
    <w:rsid w:val="000D2D0B"/>
    <w:pPr>
      <w:tabs>
        <w:tab w:val="left" w:pos="1417"/>
        <w:tab w:val="left" w:pos="1984"/>
      </w:tabs>
      <w:spacing w:before="120" w:after="120"/>
      <w:ind w:left="2551" w:hanging="1701"/>
      <w:jc w:val="both"/>
    </w:pPr>
    <w:rPr>
      <w:rFonts w:ascii="Times New Roman" w:hAnsi="Times New Roman"/>
      <w:sz w:val="24"/>
      <w:lang w:eastAsia="en-US"/>
    </w:rPr>
  </w:style>
  <w:style w:type="paragraph" w:customStyle="1" w:styleId="PointTriple2">
    <w:name w:val="PointTriple 2"/>
    <w:basedOn w:val="Normalny"/>
    <w:rsid w:val="000D2D0B"/>
    <w:pPr>
      <w:tabs>
        <w:tab w:val="left" w:pos="1984"/>
        <w:tab w:val="left" w:pos="2551"/>
      </w:tabs>
      <w:spacing w:before="120" w:after="120"/>
      <w:ind w:left="3118" w:hanging="1701"/>
      <w:jc w:val="both"/>
    </w:pPr>
    <w:rPr>
      <w:rFonts w:ascii="Times New Roman" w:hAnsi="Times New Roman"/>
      <w:sz w:val="24"/>
      <w:lang w:eastAsia="en-US"/>
    </w:rPr>
  </w:style>
  <w:style w:type="paragraph" w:customStyle="1" w:styleId="PointTriple3">
    <w:name w:val="PointTriple 3"/>
    <w:basedOn w:val="Normalny"/>
    <w:rsid w:val="000D2D0B"/>
    <w:pPr>
      <w:tabs>
        <w:tab w:val="left" w:pos="2551"/>
        <w:tab w:val="left" w:pos="3118"/>
      </w:tabs>
      <w:spacing w:before="120" w:after="120"/>
      <w:ind w:left="3685" w:hanging="1701"/>
      <w:jc w:val="both"/>
    </w:pPr>
    <w:rPr>
      <w:rFonts w:ascii="Times New Roman" w:hAnsi="Times New Roman"/>
      <w:sz w:val="24"/>
      <w:lang w:eastAsia="en-US"/>
    </w:rPr>
  </w:style>
  <w:style w:type="paragraph" w:customStyle="1" w:styleId="PointTriple4">
    <w:name w:val="PointTriple 4"/>
    <w:basedOn w:val="Normalny"/>
    <w:rsid w:val="000D2D0B"/>
    <w:pPr>
      <w:tabs>
        <w:tab w:val="left" w:pos="3118"/>
        <w:tab w:val="left" w:pos="3685"/>
      </w:tabs>
      <w:spacing w:before="120" w:after="120"/>
      <w:ind w:left="4252" w:hanging="1701"/>
      <w:jc w:val="both"/>
    </w:pPr>
    <w:rPr>
      <w:rFonts w:ascii="Times New Roman" w:hAnsi="Times New Roman"/>
      <w:sz w:val="24"/>
      <w:lang w:eastAsia="en-US"/>
    </w:rPr>
  </w:style>
  <w:style w:type="paragraph" w:customStyle="1" w:styleId="NumPar1">
    <w:name w:val="NumPar 1"/>
    <w:basedOn w:val="Normalny"/>
    <w:next w:val="Text1"/>
    <w:rsid w:val="000D2D0B"/>
    <w:pPr>
      <w:numPr>
        <w:numId w:val="22"/>
      </w:numPr>
      <w:spacing w:before="120" w:after="120"/>
      <w:jc w:val="both"/>
    </w:pPr>
    <w:rPr>
      <w:rFonts w:ascii="Times New Roman" w:hAnsi="Times New Roman"/>
      <w:sz w:val="24"/>
      <w:lang w:eastAsia="en-US"/>
    </w:rPr>
  </w:style>
  <w:style w:type="paragraph" w:customStyle="1" w:styleId="NumPar2">
    <w:name w:val="NumPar 2"/>
    <w:basedOn w:val="Normalny"/>
    <w:next w:val="Text1"/>
    <w:rsid w:val="000D2D0B"/>
    <w:pPr>
      <w:numPr>
        <w:ilvl w:val="1"/>
        <w:numId w:val="22"/>
      </w:numPr>
      <w:spacing w:before="120" w:after="120"/>
      <w:jc w:val="both"/>
    </w:pPr>
    <w:rPr>
      <w:rFonts w:ascii="Times New Roman" w:hAnsi="Times New Roman"/>
      <w:sz w:val="24"/>
      <w:lang w:eastAsia="en-US"/>
    </w:rPr>
  </w:style>
  <w:style w:type="paragraph" w:customStyle="1" w:styleId="NumPar3">
    <w:name w:val="NumPar 3"/>
    <w:basedOn w:val="Normalny"/>
    <w:next w:val="Text1"/>
    <w:rsid w:val="000D2D0B"/>
    <w:pPr>
      <w:numPr>
        <w:ilvl w:val="2"/>
        <w:numId w:val="22"/>
      </w:numPr>
      <w:spacing w:before="120" w:after="120"/>
      <w:jc w:val="both"/>
    </w:pPr>
    <w:rPr>
      <w:rFonts w:ascii="Times New Roman" w:hAnsi="Times New Roman"/>
      <w:sz w:val="24"/>
      <w:lang w:eastAsia="en-US"/>
    </w:rPr>
  </w:style>
  <w:style w:type="paragraph" w:customStyle="1" w:styleId="NumPar4">
    <w:name w:val="NumPar 4"/>
    <w:basedOn w:val="Normalny"/>
    <w:next w:val="Text1"/>
    <w:rsid w:val="000D2D0B"/>
    <w:pPr>
      <w:numPr>
        <w:ilvl w:val="3"/>
        <w:numId w:val="22"/>
      </w:numPr>
      <w:spacing w:before="120" w:after="120"/>
      <w:jc w:val="both"/>
    </w:pPr>
    <w:rPr>
      <w:rFonts w:ascii="Times New Roman" w:hAnsi="Times New Roman"/>
      <w:sz w:val="24"/>
      <w:lang w:eastAsia="en-US"/>
    </w:rPr>
  </w:style>
  <w:style w:type="paragraph" w:customStyle="1" w:styleId="ManualNumPar2">
    <w:name w:val="Manual NumPar 2"/>
    <w:basedOn w:val="Normalny"/>
    <w:next w:val="Text1"/>
    <w:rsid w:val="000D2D0B"/>
    <w:pPr>
      <w:spacing w:before="120" w:after="120"/>
      <w:ind w:left="850" w:hanging="850"/>
      <w:jc w:val="both"/>
    </w:pPr>
    <w:rPr>
      <w:rFonts w:ascii="Times New Roman" w:hAnsi="Times New Roman"/>
      <w:sz w:val="24"/>
      <w:lang w:eastAsia="en-US"/>
    </w:rPr>
  </w:style>
  <w:style w:type="paragraph" w:customStyle="1" w:styleId="ManualNumPar3">
    <w:name w:val="Manual NumPar 3"/>
    <w:basedOn w:val="Normalny"/>
    <w:next w:val="Text1"/>
    <w:rsid w:val="000D2D0B"/>
    <w:pPr>
      <w:spacing w:before="120" w:after="120"/>
      <w:ind w:left="850" w:hanging="850"/>
      <w:jc w:val="both"/>
    </w:pPr>
    <w:rPr>
      <w:rFonts w:ascii="Times New Roman" w:hAnsi="Times New Roman"/>
      <w:sz w:val="24"/>
      <w:lang w:eastAsia="en-US"/>
    </w:rPr>
  </w:style>
  <w:style w:type="paragraph" w:customStyle="1" w:styleId="ManualNumPar4">
    <w:name w:val="Manual NumPar 4"/>
    <w:basedOn w:val="Normalny"/>
    <w:next w:val="Text1"/>
    <w:rsid w:val="000D2D0B"/>
    <w:pPr>
      <w:spacing w:before="120" w:after="120"/>
      <w:ind w:left="850" w:hanging="850"/>
      <w:jc w:val="both"/>
    </w:pPr>
    <w:rPr>
      <w:rFonts w:ascii="Times New Roman" w:hAnsi="Times New Roman"/>
      <w:sz w:val="24"/>
      <w:lang w:eastAsia="en-US"/>
    </w:rPr>
  </w:style>
  <w:style w:type="paragraph" w:customStyle="1" w:styleId="QuotedNumPar">
    <w:name w:val="Quoted NumPar"/>
    <w:basedOn w:val="Normalny"/>
    <w:rsid w:val="000D2D0B"/>
    <w:pPr>
      <w:spacing w:before="120" w:after="120"/>
      <w:ind w:left="1417" w:hanging="567"/>
      <w:jc w:val="both"/>
    </w:pPr>
    <w:rPr>
      <w:rFonts w:ascii="Times New Roman" w:hAnsi="Times New Roman"/>
      <w:sz w:val="24"/>
      <w:lang w:eastAsia="en-US"/>
    </w:rPr>
  </w:style>
  <w:style w:type="paragraph" w:customStyle="1" w:styleId="ManualHeading1">
    <w:name w:val="Manual Heading 1"/>
    <w:basedOn w:val="Normalny"/>
    <w:next w:val="Text1"/>
    <w:rsid w:val="000D2D0B"/>
    <w:pPr>
      <w:keepNext/>
      <w:tabs>
        <w:tab w:val="left" w:pos="850"/>
      </w:tabs>
      <w:spacing w:before="360" w:after="120"/>
      <w:ind w:left="850" w:hanging="850"/>
      <w:jc w:val="both"/>
      <w:outlineLvl w:val="0"/>
    </w:pPr>
    <w:rPr>
      <w:rFonts w:ascii="Times New Roman" w:hAnsi="Times New Roman"/>
      <w:b/>
      <w:smallCaps/>
      <w:sz w:val="24"/>
      <w:lang w:eastAsia="en-US"/>
    </w:rPr>
  </w:style>
  <w:style w:type="paragraph" w:customStyle="1" w:styleId="ManualHeading2">
    <w:name w:val="Manual Heading 2"/>
    <w:basedOn w:val="Normalny"/>
    <w:next w:val="Text1"/>
    <w:rsid w:val="000D2D0B"/>
    <w:pPr>
      <w:keepNext/>
      <w:tabs>
        <w:tab w:val="left" w:pos="850"/>
      </w:tabs>
      <w:spacing w:before="120" w:after="120"/>
      <w:ind w:left="850" w:hanging="850"/>
      <w:jc w:val="both"/>
      <w:outlineLvl w:val="1"/>
    </w:pPr>
    <w:rPr>
      <w:rFonts w:ascii="Times New Roman" w:hAnsi="Times New Roman"/>
      <w:b/>
      <w:sz w:val="24"/>
      <w:lang w:eastAsia="en-US"/>
    </w:rPr>
  </w:style>
  <w:style w:type="paragraph" w:customStyle="1" w:styleId="ManualHeading3">
    <w:name w:val="Manual Heading 3"/>
    <w:basedOn w:val="Normalny"/>
    <w:next w:val="Text1"/>
    <w:rsid w:val="000D2D0B"/>
    <w:pPr>
      <w:keepNext/>
      <w:tabs>
        <w:tab w:val="left" w:pos="850"/>
      </w:tabs>
      <w:spacing w:before="120" w:after="120"/>
      <w:ind w:left="850" w:hanging="850"/>
      <w:jc w:val="both"/>
      <w:outlineLvl w:val="2"/>
    </w:pPr>
    <w:rPr>
      <w:rFonts w:ascii="Times New Roman" w:hAnsi="Times New Roman"/>
      <w:i/>
      <w:sz w:val="24"/>
      <w:lang w:eastAsia="en-US"/>
    </w:rPr>
  </w:style>
  <w:style w:type="paragraph" w:customStyle="1" w:styleId="ManualHeading4">
    <w:name w:val="Manual Heading 4"/>
    <w:basedOn w:val="Normalny"/>
    <w:next w:val="Text1"/>
    <w:rsid w:val="000D2D0B"/>
    <w:pPr>
      <w:keepNext/>
      <w:tabs>
        <w:tab w:val="left" w:pos="850"/>
      </w:tabs>
      <w:spacing w:before="120" w:after="120"/>
      <w:ind w:left="850" w:hanging="850"/>
      <w:jc w:val="both"/>
      <w:outlineLvl w:val="3"/>
    </w:pPr>
    <w:rPr>
      <w:rFonts w:ascii="Times New Roman" w:hAnsi="Times New Roman"/>
      <w:sz w:val="24"/>
      <w:lang w:eastAsia="en-US"/>
    </w:rPr>
  </w:style>
  <w:style w:type="paragraph" w:customStyle="1" w:styleId="ChapterTitle">
    <w:name w:val="ChapterTitle"/>
    <w:basedOn w:val="Normalny"/>
    <w:next w:val="Normalny"/>
    <w:rsid w:val="000D2D0B"/>
    <w:pPr>
      <w:keepNext/>
      <w:spacing w:before="120" w:after="360"/>
      <w:jc w:val="center"/>
    </w:pPr>
    <w:rPr>
      <w:rFonts w:ascii="Times New Roman" w:hAnsi="Times New Roman"/>
      <w:b/>
      <w:sz w:val="32"/>
      <w:lang w:eastAsia="en-US"/>
    </w:rPr>
  </w:style>
  <w:style w:type="paragraph" w:customStyle="1" w:styleId="PartTitle">
    <w:name w:val="PartTitle"/>
    <w:basedOn w:val="Normalny"/>
    <w:next w:val="ChapterTitle"/>
    <w:rsid w:val="000D2D0B"/>
    <w:pPr>
      <w:keepNext/>
      <w:pageBreakBefore/>
      <w:spacing w:before="120" w:after="360"/>
      <w:jc w:val="center"/>
    </w:pPr>
    <w:rPr>
      <w:rFonts w:ascii="Times New Roman" w:hAnsi="Times New Roman"/>
      <w:b/>
      <w:sz w:val="36"/>
      <w:lang w:eastAsia="en-US"/>
    </w:rPr>
  </w:style>
  <w:style w:type="paragraph" w:customStyle="1" w:styleId="SectionTitle">
    <w:name w:val="SectionTitle"/>
    <w:basedOn w:val="Normalny"/>
    <w:next w:val="Nagwek1"/>
    <w:rsid w:val="000D2D0B"/>
    <w:pPr>
      <w:keepNext/>
      <w:spacing w:before="120" w:after="360"/>
      <w:jc w:val="center"/>
    </w:pPr>
    <w:rPr>
      <w:rFonts w:ascii="Times New Roman" w:hAnsi="Times New Roman"/>
      <w:b/>
      <w:smallCaps/>
      <w:sz w:val="28"/>
      <w:lang w:eastAsia="en-US"/>
    </w:rPr>
  </w:style>
  <w:style w:type="paragraph" w:customStyle="1" w:styleId="TableTitle">
    <w:name w:val="Table Title"/>
    <w:basedOn w:val="Normalny"/>
    <w:next w:val="Normalny"/>
    <w:rsid w:val="000D2D0B"/>
    <w:pPr>
      <w:spacing w:before="120" w:after="120"/>
      <w:jc w:val="center"/>
    </w:pPr>
    <w:rPr>
      <w:rFonts w:ascii="Times New Roman" w:hAnsi="Times New Roman"/>
      <w:b/>
      <w:sz w:val="24"/>
      <w:lang w:eastAsia="en-US"/>
    </w:rPr>
  </w:style>
  <w:style w:type="character" w:customStyle="1" w:styleId="Marker">
    <w:name w:val="Marker"/>
    <w:rsid w:val="000D2D0B"/>
    <w:rPr>
      <w:color w:val="0000FF"/>
      <w:shd w:val="clear" w:color="auto" w:fill="auto"/>
    </w:rPr>
  </w:style>
  <w:style w:type="character" w:customStyle="1" w:styleId="Marker1">
    <w:name w:val="Marker1"/>
    <w:rsid w:val="000D2D0B"/>
    <w:rPr>
      <w:color w:val="008000"/>
      <w:shd w:val="clear" w:color="auto" w:fill="auto"/>
    </w:rPr>
  </w:style>
  <w:style w:type="character" w:customStyle="1" w:styleId="Marker2">
    <w:name w:val="Marker2"/>
    <w:rsid w:val="000D2D0B"/>
    <w:rPr>
      <w:color w:val="FF0000"/>
      <w:shd w:val="clear" w:color="auto" w:fill="auto"/>
    </w:rPr>
  </w:style>
  <w:style w:type="paragraph" w:customStyle="1" w:styleId="Point0number">
    <w:name w:val="Point 0 (number)"/>
    <w:basedOn w:val="Normalny"/>
    <w:rsid w:val="000D2D0B"/>
    <w:pPr>
      <w:numPr>
        <w:numId w:val="29"/>
      </w:numPr>
      <w:spacing w:before="120" w:after="120"/>
      <w:jc w:val="both"/>
    </w:pPr>
    <w:rPr>
      <w:rFonts w:ascii="Times New Roman" w:hAnsi="Times New Roman"/>
      <w:sz w:val="24"/>
      <w:lang w:eastAsia="en-US"/>
    </w:rPr>
  </w:style>
  <w:style w:type="paragraph" w:customStyle="1" w:styleId="Point1number">
    <w:name w:val="Point 1 (number)"/>
    <w:basedOn w:val="Normalny"/>
    <w:rsid w:val="000D2D0B"/>
    <w:pPr>
      <w:numPr>
        <w:ilvl w:val="2"/>
        <w:numId w:val="29"/>
      </w:numPr>
      <w:spacing w:before="120" w:after="120"/>
      <w:jc w:val="both"/>
    </w:pPr>
    <w:rPr>
      <w:rFonts w:ascii="Times New Roman" w:hAnsi="Times New Roman"/>
      <w:sz w:val="24"/>
      <w:lang w:eastAsia="en-US"/>
    </w:rPr>
  </w:style>
  <w:style w:type="paragraph" w:customStyle="1" w:styleId="Point2number">
    <w:name w:val="Point 2 (number)"/>
    <w:basedOn w:val="Normalny"/>
    <w:rsid w:val="000D2D0B"/>
    <w:pPr>
      <w:numPr>
        <w:ilvl w:val="4"/>
        <w:numId w:val="29"/>
      </w:numPr>
      <w:spacing w:before="120" w:after="120"/>
      <w:jc w:val="both"/>
    </w:pPr>
    <w:rPr>
      <w:rFonts w:ascii="Times New Roman" w:hAnsi="Times New Roman"/>
      <w:sz w:val="24"/>
      <w:lang w:eastAsia="en-US"/>
    </w:rPr>
  </w:style>
  <w:style w:type="paragraph" w:customStyle="1" w:styleId="Point3number">
    <w:name w:val="Point 3 (number)"/>
    <w:basedOn w:val="Normalny"/>
    <w:rsid w:val="000D2D0B"/>
    <w:pPr>
      <w:numPr>
        <w:ilvl w:val="6"/>
        <w:numId w:val="29"/>
      </w:numPr>
      <w:spacing w:before="120" w:after="120"/>
      <w:jc w:val="both"/>
    </w:pPr>
    <w:rPr>
      <w:rFonts w:ascii="Times New Roman" w:hAnsi="Times New Roman"/>
      <w:sz w:val="24"/>
      <w:lang w:eastAsia="en-US"/>
    </w:rPr>
  </w:style>
  <w:style w:type="paragraph" w:customStyle="1" w:styleId="Point0letter">
    <w:name w:val="Point 0 (letter)"/>
    <w:basedOn w:val="Normalny"/>
    <w:rsid w:val="000D2D0B"/>
    <w:pPr>
      <w:numPr>
        <w:ilvl w:val="1"/>
        <w:numId w:val="29"/>
      </w:numPr>
      <w:spacing w:before="120" w:after="120"/>
      <w:jc w:val="both"/>
    </w:pPr>
    <w:rPr>
      <w:rFonts w:ascii="Times New Roman" w:hAnsi="Times New Roman"/>
      <w:sz w:val="24"/>
      <w:lang w:eastAsia="en-US"/>
    </w:rPr>
  </w:style>
  <w:style w:type="paragraph" w:customStyle="1" w:styleId="Point1letter">
    <w:name w:val="Point 1 (letter)"/>
    <w:basedOn w:val="Normalny"/>
    <w:rsid w:val="000D2D0B"/>
    <w:pPr>
      <w:numPr>
        <w:ilvl w:val="3"/>
        <w:numId w:val="29"/>
      </w:numPr>
      <w:spacing w:before="120" w:after="120"/>
      <w:jc w:val="both"/>
    </w:pPr>
    <w:rPr>
      <w:rFonts w:ascii="Times New Roman" w:hAnsi="Times New Roman"/>
      <w:sz w:val="24"/>
      <w:lang w:eastAsia="en-US"/>
    </w:rPr>
  </w:style>
  <w:style w:type="paragraph" w:customStyle="1" w:styleId="Point2letter">
    <w:name w:val="Point 2 (letter)"/>
    <w:basedOn w:val="Normalny"/>
    <w:rsid w:val="000D2D0B"/>
    <w:pPr>
      <w:numPr>
        <w:ilvl w:val="5"/>
        <w:numId w:val="29"/>
      </w:numPr>
      <w:spacing w:before="120" w:after="120"/>
      <w:jc w:val="both"/>
    </w:pPr>
    <w:rPr>
      <w:rFonts w:ascii="Times New Roman" w:hAnsi="Times New Roman"/>
      <w:sz w:val="24"/>
      <w:lang w:eastAsia="en-US"/>
    </w:rPr>
  </w:style>
  <w:style w:type="paragraph" w:customStyle="1" w:styleId="Point3letter">
    <w:name w:val="Point 3 (letter)"/>
    <w:basedOn w:val="Normalny"/>
    <w:rsid w:val="000D2D0B"/>
    <w:pPr>
      <w:numPr>
        <w:ilvl w:val="7"/>
        <w:numId w:val="29"/>
      </w:numPr>
      <w:spacing w:before="120" w:after="120"/>
      <w:jc w:val="both"/>
    </w:pPr>
    <w:rPr>
      <w:rFonts w:ascii="Times New Roman" w:hAnsi="Times New Roman"/>
      <w:sz w:val="24"/>
      <w:lang w:eastAsia="en-US"/>
    </w:rPr>
  </w:style>
  <w:style w:type="paragraph" w:customStyle="1" w:styleId="Point4letter">
    <w:name w:val="Point 4 (letter)"/>
    <w:basedOn w:val="Normalny"/>
    <w:rsid w:val="000D2D0B"/>
    <w:pPr>
      <w:numPr>
        <w:ilvl w:val="8"/>
        <w:numId w:val="29"/>
      </w:numPr>
      <w:spacing w:before="120" w:after="120"/>
      <w:jc w:val="both"/>
    </w:pPr>
    <w:rPr>
      <w:rFonts w:ascii="Times New Roman" w:hAnsi="Times New Roman"/>
      <w:sz w:val="24"/>
      <w:lang w:eastAsia="en-US"/>
    </w:rPr>
  </w:style>
  <w:style w:type="paragraph" w:customStyle="1" w:styleId="Bullet0">
    <w:name w:val="Bullet 0"/>
    <w:basedOn w:val="Normalny"/>
    <w:rsid w:val="000D2D0B"/>
    <w:pPr>
      <w:numPr>
        <w:numId w:val="23"/>
      </w:numPr>
      <w:spacing w:before="120" w:after="120"/>
      <w:jc w:val="both"/>
    </w:pPr>
    <w:rPr>
      <w:rFonts w:ascii="Times New Roman" w:hAnsi="Times New Roman"/>
      <w:sz w:val="24"/>
      <w:lang w:eastAsia="en-US"/>
    </w:rPr>
  </w:style>
  <w:style w:type="paragraph" w:customStyle="1" w:styleId="Bullet1">
    <w:name w:val="Bullet 1"/>
    <w:basedOn w:val="Normalny"/>
    <w:rsid w:val="000D2D0B"/>
    <w:pPr>
      <w:numPr>
        <w:numId w:val="24"/>
      </w:numPr>
      <w:spacing w:before="120" w:after="120"/>
      <w:jc w:val="both"/>
    </w:pPr>
    <w:rPr>
      <w:rFonts w:ascii="Times New Roman" w:hAnsi="Times New Roman"/>
      <w:sz w:val="24"/>
      <w:lang w:eastAsia="en-US"/>
    </w:rPr>
  </w:style>
  <w:style w:type="paragraph" w:customStyle="1" w:styleId="Bullet2">
    <w:name w:val="Bullet 2"/>
    <w:basedOn w:val="Normalny"/>
    <w:rsid w:val="000D2D0B"/>
    <w:pPr>
      <w:numPr>
        <w:numId w:val="25"/>
      </w:numPr>
      <w:spacing w:before="120" w:after="120"/>
      <w:jc w:val="both"/>
    </w:pPr>
    <w:rPr>
      <w:rFonts w:ascii="Times New Roman" w:hAnsi="Times New Roman"/>
      <w:sz w:val="24"/>
      <w:lang w:eastAsia="en-US"/>
    </w:rPr>
  </w:style>
  <w:style w:type="paragraph" w:customStyle="1" w:styleId="Bullet3">
    <w:name w:val="Bullet 3"/>
    <w:basedOn w:val="Normalny"/>
    <w:rsid w:val="000D2D0B"/>
    <w:pPr>
      <w:numPr>
        <w:numId w:val="26"/>
      </w:numPr>
      <w:spacing w:before="120" w:after="120"/>
      <w:jc w:val="both"/>
    </w:pPr>
    <w:rPr>
      <w:rFonts w:ascii="Times New Roman" w:hAnsi="Times New Roman"/>
      <w:sz w:val="24"/>
      <w:lang w:eastAsia="en-US"/>
    </w:rPr>
  </w:style>
  <w:style w:type="paragraph" w:customStyle="1" w:styleId="Bullet4">
    <w:name w:val="Bullet 4"/>
    <w:basedOn w:val="Normalny"/>
    <w:rsid w:val="000D2D0B"/>
    <w:pPr>
      <w:numPr>
        <w:numId w:val="27"/>
      </w:numPr>
      <w:spacing w:before="120" w:after="120"/>
      <w:jc w:val="both"/>
    </w:pPr>
    <w:rPr>
      <w:rFonts w:ascii="Times New Roman" w:hAnsi="Times New Roman"/>
      <w:sz w:val="24"/>
      <w:lang w:eastAsia="en-US"/>
    </w:rPr>
  </w:style>
  <w:style w:type="paragraph" w:customStyle="1" w:styleId="Annexetitreexpos">
    <w:name w:val="Annexe titre (exposé)"/>
    <w:basedOn w:val="Normalny"/>
    <w:next w:val="Normalny"/>
    <w:rsid w:val="000D2D0B"/>
    <w:pPr>
      <w:spacing w:before="120" w:after="120"/>
      <w:jc w:val="center"/>
    </w:pPr>
    <w:rPr>
      <w:rFonts w:ascii="Times New Roman" w:hAnsi="Times New Roman"/>
      <w:b/>
      <w:sz w:val="24"/>
      <w:u w:val="single"/>
      <w:lang w:eastAsia="en-US"/>
    </w:rPr>
  </w:style>
  <w:style w:type="paragraph" w:customStyle="1" w:styleId="Annexetitre">
    <w:name w:val="Annexe titre"/>
    <w:basedOn w:val="Normalny"/>
    <w:next w:val="Normalny"/>
    <w:rsid w:val="000D2D0B"/>
    <w:pPr>
      <w:spacing w:before="120" w:after="120"/>
      <w:jc w:val="center"/>
    </w:pPr>
    <w:rPr>
      <w:rFonts w:ascii="Times New Roman" w:hAnsi="Times New Roman"/>
      <w:b/>
      <w:sz w:val="24"/>
      <w:u w:val="single"/>
      <w:lang w:eastAsia="en-US"/>
    </w:rPr>
  </w:style>
  <w:style w:type="paragraph" w:customStyle="1" w:styleId="Annexetitrefichefinancire">
    <w:name w:val="Annexe titre (fiche financière)"/>
    <w:basedOn w:val="Normalny"/>
    <w:next w:val="Normalny"/>
    <w:rsid w:val="000D2D0B"/>
    <w:pPr>
      <w:spacing w:before="120" w:after="120"/>
      <w:jc w:val="center"/>
    </w:pPr>
    <w:rPr>
      <w:rFonts w:ascii="Times New Roman" w:hAnsi="Times New Roman"/>
      <w:b/>
      <w:sz w:val="24"/>
      <w:u w:val="single"/>
      <w:lang w:eastAsia="en-US"/>
    </w:rPr>
  </w:style>
  <w:style w:type="paragraph" w:customStyle="1" w:styleId="Avertissementtitre">
    <w:name w:val="Avertissement titre"/>
    <w:basedOn w:val="Normalny"/>
    <w:next w:val="Normalny"/>
    <w:rsid w:val="000D2D0B"/>
    <w:pPr>
      <w:keepNext/>
      <w:spacing w:before="480" w:after="120"/>
      <w:jc w:val="both"/>
    </w:pPr>
    <w:rPr>
      <w:rFonts w:ascii="Times New Roman" w:hAnsi="Times New Roman"/>
      <w:sz w:val="24"/>
      <w:u w:val="single"/>
      <w:lang w:eastAsia="en-US"/>
    </w:rPr>
  </w:style>
  <w:style w:type="paragraph" w:customStyle="1" w:styleId="Confidence">
    <w:name w:val="Confidence"/>
    <w:basedOn w:val="Normalny"/>
    <w:next w:val="Normalny"/>
    <w:rsid w:val="000D2D0B"/>
    <w:pPr>
      <w:spacing w:before="360" w:after="120"/>
      <w:jc w:val="center"/>
    </w:pPr>
    <w:rPr>
      <w:rFonts w:ascii="Times New Roman" w:hAnsi="Times New Roman"/>
      <w:sz w:val="24"/>
      <w:lang w:eastAsia="en-US"/>
    </w:rPr>
  </w:style>
  <w:style w:type="paragraph" w:customStyle="1" w:styleId="Confidentialit">
    <w:name w:val="Confidentialité"/>
    <w:basedOn w:val="Normalny"/>
    <w:next w:val="TypedudocumentPagedecouverture"/>
    <w:rsid w:val="000D2D0B"/>
    <w:pPr>
      <w:spacing w:before="240" w:after="240"/>
      <w:ind w:left="5103"/>
      <w:jc w:val="both"/>
    </w:pPr>
    <w:rPr>
      <w:rFonts w:ascii="Times New Roman" w:hAnsi="Times New Roman"/>
      <w:sz w:val="24"/>
      <w:u w:val="single"/>
      <w:lang w:eastAsia="en-US"/>
    </w:rPr>
  </w:style>
  <w:style w:type="paragraph" w:customStyle="1" w:styleId="Corrigendum">
    <w:name w:val="Corrigendum"/>
    <w:basedOn w:val="Normalny"/>
    <w:next w:val="Normalny"/>
    <w:rsid w:val="000D2D0B"/>
    <w:pPr>
      <w:spacing w:after="240"/>
    </w:pPr>
    <w:rPr>
      <w:rFonts w:ascii="Times New Roman" w:hAnsi="Times New Roman"/>
      <w:sz w:val="24"/>
      <w:lang w:eastAsia="en-US"/>
    </w:rPr>
  </w:style>
  <w:style w:type="paragraph" w:customStyle="1" w:styleId="Datedadoption">
    <w:name w:val="Date d'adoption"/>
    <w:basedOn w:val="Normalny"/>
    <w:next w:val="Titreobjet"/>
    <w:rsid w:val="000D2D0B"/>
    <w:pPr>
      <w:spacing w:before="360"/>
      <w:jc w:val="center"/>
    </w:pPr>
    <w:rPr>
      <w:rFonts w:ascii="Times New Roman" w:hAnsi="Times New Roman"/>
      <w:b/>
      <w:sz w:val="24"/>
      <w:lang w:eastAsia="en-US"/>
    </w:rPr>
  </w:style>
  <w:style w:type="paragraph" w:customStyle="1" w:styleId="Emission">
    <w:name w:val="Emission"/>
    <w:basedOn w:val="Normalny"/>
    <w:next w:val="Rfrenceinstitutionnelle"/>
    <w:rsid w:val="000D2D0B"/>
    <w:pPr>
      <w:ind w:left="5103"/>
    </w:pPr>
    <w:rPr>
      <w:rFonts w:ascii="Times New Roman" w:hAnsi="Times New Roman"/>
      <w:sz w:val="24"/>
      <w:lang w:eastAsia="en-US"/>
    </w:rPr>
  </w:style>
  <w:style w:type="paragraph" w:customStyle="1" w:styleId="Exposdesmotifstitre">
    <w:name w:val="Exposé des motifs titre"/>
    <w:basedOn w:val="Normalny"/>
    <w:next w:val="Normalny"/>
    <w:rsid w:val="000D2D0B"/>
    <w:pPr>
      <w:spacing w:before="120" w:after="120"/>
      <w:jc w:val="center"/>
    </w:pPr>
    <w:rPr>
      <w:rFonts w:ascii="Times New Roman" w:hAnsi="Times New Roman"/>
      <w:b/>
      <w:sz w:val="24"/>
      <w:u w:val="single"/>
      <w:lang w:eastAsia="en-US"/>
    </w:rPr>
  </w:style>
  <w:style w:type="paragraph" w:customStyle="1" w:styleId="Institutionquiagit">
    <w:name w:val="Institution qui agit"/>
    <w:basedOn w:val="Normalny"/>
    <w:next w:val="Normalny"/>
    <w:rsid w:val="000D2D0B"/>
    <w:pPr>
      <w:keepNext/>
      <w:spacing w:before="600" w:after="120"/>
      <w:jc w:val="both"/>
    </w:pPr>
    <w:rPr>
      <w:rFonts w:ascii="Times New Roman" w:hAnsi="Times New Roman"/>
      <w:sz w:val="24"/>
      <w:lang w:eastAsia="en-US"/>
    </w:rPr>
  </w:style>
  <w:style w:type="paragraph" w:customStyle="1" w:styleId="Langue">
    <w:name w:val="Langue"/>
    <w:basedOn w:val="Normalny"/>
    <w:next w:val="Rfrenceinterne"/>
    <w:rsid w:val="000D2D0B"/>
    <w:pPr>
      <w:framePr w:wrap="around" w:vAnchor="page" w:hAnchor="text" w:xAlign="center" w:y="14741"/>
      <w:spacing w:after="600"/>
      <w:jc w:val="center"/>
    </w:pPr>
    <w:rPr>
      <w:rFonts w:ascii="Times New Roman" w:hAnsi="Times New Roman"/>
      <w:b/>
      <w:caps/>
      <w:sz w:val="24"/>
      <w:lang w:eastAsia="en-US"/>
    </w:rPr>
  </w:style>
  <w:style w:type="paragraph" w:customStyle="1" w:styleId="ManualConsidrant">
    <w:name w:val="Manual Considérant"/>
    <w:basedOn w:val="Normalny"/>
    <w:rsid w:val="000D2D0B"/>
    <w:pPr>
      <w:spacing w:before="120" w:after="120"/>
      <w:ind w:left="709" w:hanging="709"/>
      <w:jc w:val="both"/>
    </w:pPr>
    <w:rPr>
      <w:rFonts w:ascii="Times New Roman" w:hAnsi="Times New Roman"/>
      <w:sz w:val="24"/>
      <w:lang w:eastAsia="en-US"/>
    </w:rPr>
  </w:style>
  <w:style w:type="paragraph" w:customStyle="1" w:styleId="Nomdelinstitution">
    <w:name w:val="Nom de l'institution"/>
    <w:basedOn w:val="Normalny"/>
    <w:next w:val="Emission"/>
    <w:rsid w:val="000D2D0B"/>
    <w:rPr>
      <w:rFonts w:cs="Arial"/>
      <w:sz w:val="24"/>
      <w:lang w:eastAsia="en-US"/>
    </w:rPr>
  </w:style>
  <w:style w:type="paragraph" w:customStyle="1" w:styleId="Rfrenceinstitutionnelle">
    <w:name w:val="Référence institutionnelle"/>
    <w:basedOn w:val="Normalny"/>
    <w:next w:val="Confidentialit"/>
    <w:rsid w:val="000D2D0B"/>
    <w:pPr>
      <w:spacing w:after="240"/>
      <w:ind w:left="5103"/>
    </w:pPr>
    <w:rPr>
      <w:rFonts w:ascii="Times New Roman" w:hAnsi="Times New Roman"/>
      <w:sz w:val="24"/>
      <w:lang w:eastAsia="en-US"/>
    </w:rPr>
  </w:style>
  <w:style w:type="paragraph" w:customStyle="1" w:styleId="Rfrenceinterinstitutionnelle">
    <w:name w:val="Référence interinstitutionnelle"/>
    <w:basedOn w:val="Normalny"/>
    <w:next w:val="Statut"/>
    <w:rsid w:val="000D2D0B"/>
    <w:pPr>
      <w:ind w:left="5103"/>
    </w:pPr>
    <w:rPr>
      <w:rFonts w:ascii="Times New Roman" w:hAnsi="Times New Roman"/>
      <w:sz w:val="24"/>
      <w:lang w:eastAsia="en-US"/>
    </w:rPr>
  </w:style>
  <w:style w:type="paragraph" w:customStyle="1" w:styleId="Rfrenceinterne">
    <w:name w:val="Référence interne"/>
    <w:basedOn w:val="Normalny"/>
    <w:next w:val="Rfrenceinterinstitutionnelle"/>
    <w:rsid w:val="000D2D0B"/>
    <w:pPr>
      <w:ind w:left="5103"/>
    </w:pPr>
    <w:rPr>
      <w:rFonts w:ascii="Times New Roman" w:hAnsi="Times New Roman"/>
      <w:sz w:val="24"/>
      <w:lang w:eastAsia="en-US"/>
    </w:rPr>
  </w:style>
  <w:style w:type="paragraph" w:customStyle="1" w:styleId="Sous-titreobjet">
    <w:name w:val="Sous-titre objet"/>
    <w:basedOn w:val="Normalny"/>
    <w:rsid w:val="000D2D0B"/>
    <w:pPr>
      <w:jc w:val="center"/>
    </w:pPr>
    <w:rPr>
      <w:rFonts w:ascii="Times New Roman" w:hAnsi="Times New Roman"/>
      <w:b/>
      <w:sz w:val="24"/>
      <w:lang w:eastAsia="en-US"/>
    </w:rPr>
  </w:style>
  <w:style w:type="paragraph" w:customStyle="1" w:styleId="Statut">
    <w:name w:val="Statut"/>
    <w:basedOn w:val="Normalny"/>
    <w:next w:val="Typedudocument"/>
    <w:rsid w:val="000D2D0B"/>
    <w:pPr>
      <w:spacing w:before="360"/>
      <w:jc w:val="center"/>
    </w:pPr>
    <w:rPr>
      <w:rFonts w:ascii="Times New Roman" w:hAnsi="Times New Roman"/>
      <w:sz w:val="24"/>
      <w:lang w:eastAsia="en-US"/>
    </w:rPr>
  </w:style>
  <w:style w:type="character" w:customStyle="1" w:styleId="Added">
    <w:name w:val="Added"/>
    <w:rsid w:val="000D2D0B"/>
    <w:rPr>
      <w:b/>
      <w:u w:val="single"/>
      <w:shd w:val="clear" w:color="auto" w:fill="auto"/>
    </w:rPr>
  </w:style>
  <w:style w:type="character" w:customStyle="1" w:styleId="Deleted">
    <w:name w:val="Deleted"/>
    <w:rsid w:val="000D2D0B"/>
    <w:rPr>
      <w:strike/>
      <w:shd w:val="clear" w:color="auto" w:fill="auto"/>
    </w:rPr>
  </w:style>
  <w:style w:type="paragraph" w:customStyle="1" w:styleId="Address">
    <w:name w:val="Address"/>
    <w:basedOn w:val="Normalny"/>
    <w:next w:val="Normalny"/>
    <w:rsid w:val="000D2D0B"/>
    <w:pPr>
      <w:keepLines/>
      <w:spacing w:before="120" w:after="120" w:line="360" w:lineRule="auto"/>
      <w:ind w:left="3402"/>
    </w:pPr>
    <w:rPr>
      <w:rFonts w:ascii="Times New Roman" w:hAnsi="Times New Roman"/>
      <w:sz w:val="24"/>
      <w:lang w:eastAsia="en-US"/>
    </w:rPr>
  </w:style>
  <w:style w:type="paragraph" w:customStyle="1" w:styleId="Objetexterne">
    <w:name w:val="Objet externe"/>
    <w:basedOn w:val="Normalny"/>
    <w:next w:val="Normalny"/>
    <w:rsid w:val="000D2D0B"/>
    <w:pPr>
      <w:spacing w:before="120" w:after="120"/>
      <w:jc w:val="both"/>
    </w:pPr>
    <w:rPr>
      <w:rFonts w:ascii="Times New Roman" w:hAnsi="Times New Roman"/>
      <w:i/>
      <w:caps/>
      <w:sz w:val="24"/>
      <w:lang w:eastAsia="en-US"/>
    </w:rPr>
  </w:style>
  <w:style w:type="paragraph" w:customStyle="1" w:styleId="Pagedecouverture">
    <w:name w:val="Page de couverture"/>
    <w:basedOn w:val="Normalny"/>
    <w:next w:val="Normalny"/>
    <w:rsid w:val="000D2D0B"/>
    <w:pPr>
      <w:spacing w:before="120" w:after="120"/>
      <w:jc w:val="both"/>
    </w:pPr>
    <w:rPr>
      <w:rFonts w:ascii="Times New Roman" w:hAnsi="Times New Roman"/>
      <w:sz w:val="24"/>
      <w:lang w:eastAsia="en-US"/>
    </w:rPr>
  </w:style>
  <w:style w:type="paragraph" w:customStyle="1" w:styleId="Supertitre">
    <w:name w:val="Supertitre"/>
    <w:basedOn w:val="Normalny"/>
    <w:next w:val="Normalny"/>
    <w:rsid w:val="000D2D0B"/>
    <w:pPr>
      <w:spacing w:after="600"/>
      <w:jc w:val="center"/>
    </w:pPr>
    <w:rPr>
      <w:rFonts w:ascii="Times New Roman" w:hAnsi="Times New Roman"/>
      <w:b/>
      <w:sz w:val="24"/>
      <w:lang w:eastAsia="en-US"/>
    </w:rPr>
  </w:style>
  <w:style w:type="paragraph" w:customStyle="1" w:styleId="Languesfaisantfoi">
    <w:name w:val="Langues faisant foi"/>
    <w:basedOn w:val="Normalny"/>
    <w:next w:val="Normalny"/>
    <w:rsid w:val="000D2D0B"/>
    <w:pPr>
      <w:spacing w:before="360"/>
      <w:jc w:val="center"/>
    </w:pPr>
    <w:rPr>
      <w:rFonts w:ascii="Times New Roman" w:hAnsi="Times New Roman"/>
      <w:sz w:val="24"/>
      <w:lang w:eastAsia="en-US"/>
    </w:rPr>
  </w:style>
  <w:style w:type="paragraph" w:customStyle="1" w:styleId="Rfrencecroise">
    <w:name w:val="Référence croisée"/>
    <w:basedOn w:val="Normalny"/>
    <w:rsid w:val="000D2D0B"/>
    <w:pPr>
      <w:jc w:val="center"/>
    </w:pPr>
    <w:rPr>
      <w:rFonts w:ascii="Times New Roman" w:hAnsi="Times New Roman"/>
      <w:sz w:val="24"/>
      <w:lang w:eastAsia="en-US"/>
    </w:rPr>
  </w:style>
  <w:style w:type="paragraph" w:customStyle="1" w:styleId="Fichefinanciretitre">
    <w:name w:val="Fiche financière titre"/>
    <w:basedOn w:val="Normalny"/>
    <w:next w:val="Normalny"/>
    <w:rsid w:val="000D2D0B"/>
    <w:pPr>
      <w:spacing w:before="120" w:after="120"/>
      <w:jc w:val="center"/>
    </w:pPr>
    <w:rPr>
      <w:rFonts w:ascii="Times New Roman" w:hAnsi="Times New Roman"/>
      <w:b/>
      <w:sz w:val="24"/>
      <w:u w:val="single"/>
      <w:lang w:eastAsia="en-US"/>
    </w:rPr>
  </w:style>
  <w:style w:type="paragraph" w:customStyle="1" w:styleId="DatedadoptionPagedecouverture">
    <w:name w:val="Date d'adoption (Page de couverture)"/>
    <w:basedOn w:val="Datedadoption"/>
    <w:next w:val="TitreobjetPagedecouverture"/>
    <w:rsid w:val="000D2D0B"/>
  </w:style>
  <w:style w:type="paragraph" w:customStyle="1" w:styleId="RfrenceinterinstitutionnellePagedecouverture">
    <w:name w:val="Référence interinstitutionnelle (Page de couverture)"/>
    <w:basedOn w:val="Rfrenceinterinstitutionnelle"/>
    <w:next w:val="Confidentialit"/>
    <w:rsid w:val="000D2D0B"/>
  </w:style>
  <w:style w:type="paragraph" w:customStyle="1" w:styleId="Sous-titreobjetPagedecouverture">
    <w:name w:val="Sous-titre objet (Page de couverture)"/>
    <w:basedOn w:val="Sous-titreobjet"/>
    <w:rsid w:val="000D2D0B"/>
  </w:style>
  <w:style w:type="paragraph" w:customStyle="1" w:styleId="StatutPagedecouverture">
    <w:name w:val="Statut (Page de couverture)"/>
    <w:basedOn w:val="Statut"/>
    <w:next w:val="TypedudocumentPagedecouverture"/>
    <w:rsid w:val="000D2D0B"/>
  </w:style>
  <w:style w:type="paragraph" w:customStyle="1" w:styleId="TitreobjetPagedecouverture">
    <w:name w:val="Titre objet (Page de couverture)"/>
    <w:basedOn w:val="Titreobjet"/>
    <w:next w:val="Sous-titreobjetPagedecouverture"/>
    <w:rsid w:val="000D2D0B"/>
  </w:style>
  <w:style w:type="paragraph" w:customStyle="1" w:styleId="TypedudocumentPagedecouverture">
    <w:name w:val="Type du document (Page de couverture)"/>
    <w:basedOn w:val="Typedudocument"/>
    <w:next w:val="TitreobjetPagedecouverture"/>
    <w:rsid w:val="000D2D0B"/>
  </w:style>
  <w:style w:type="paragraph" w:customStyle="1" w:styleId="Volume">
    <w:name w:val="Volume"/>
    <w:basedOn w:val="Normalny"/>
    <w:next w:val="Confidentialit"/>
    <w:rsid w:val="000D2D0B"/>
    <w:pPr>
      <w:spacing w:after="240"/>
      <w:ind w:left="5103"/>
    </w:pPr>
    <w:rPr>
      <w:rFonts w:ascii="Times New Roman" w:hAnsi="Times New Roman"/>
      <w:sz w:val="24"/>
      <w:lang w:eastAsia="en-US"/>
    </w:rPr>
  </w:style>
  <w:style w:type="paragraph" w:customStyle="1" w:styleId="IntrtEEE">
    <w:name w:val="Intérêt EEE"/>
    <w:basedOn w:val="Languesfaisantfoi"/>
    <w:next w:val="Normalny"/>
    <w:rsid w:val="000D2D0B"/>
    <w:pPr>
      <w:spacing w:after="240"/>
    </w:pPr>
  </w:style>
  <w:style w:type="paragraph" w:customStyle="1" w:styleId="Accompagnant">
    <w:name w:val="Accompagnant"/>
    <w:basedOn w:val="Normalny"/>
    <w:next w:val="Typeacteprincipal"/>
    <w:rsid w:val="000D2D0B"/>
    <w:pPr>
      <w:spacing w:after="240"/>
      <w:jc w:val="center"/>
    </w:pPr>
    <w:rPr>
      <w:rFonts w:ascii="Times New Roman" w:hAnsi="Times New Roman"/>
      <w:b/>
      <w:i/>
      <w:sz w:val="24"/>
      <w:lang w:eastAsia="en-US"/>
    </w:rPr>
  </w:style>
  <w:style w:type="paragraph" w:customStyle="1" w:styleId="Typeacteprincipal">
    <w:name w:val="Type acte principal"/>
    <w:basedOn w:val="Normalny"/>
    <w:next w:val="Objetacteprincipal"/>
    <w:rsid w:val="000D2D0B"/>
    <w:pPr>
      <w:spacing w:after="240"/>
      <w:jc w:val="center"/>
    </w:pPr>
    <w:rPr>
      <w:rFonts w:ascii="Times New Roman" w:hAnsi="Times New Roman"/>
      <w:b/>
      <w:sz w:val="24"/>
      <w:lang w:eastAsia="en-US"/>
    </w:rPr>
  </w:style>
  <w:style w:type="paragraph" w:customStyle="1" w:styleId="Objetacteprincipal">
    <w:name w:val="Objet acte principal"/>
    <w:basedOn w:val="Normalny"/>
    <w:next w:val="Titrearticle"/>
    <w:rsid w:val="000D2D0B"/>
    <w:pPr>
      <w:spacing w:after="360"/>
      <w:jc w:val="center"/>
    </w:pPr>
    <w:rPr>
      <w:rFonts w:ascii="Times New Roman" w:hAnsi="Times New Roman"/>
      <w:b/>
      <w:sz w:val="24"/>
      <w:lang w:eastAsia="en-US"/>
    </w:rPr>
  </w:style>
  <w:style w:type="paragraph" w:customStyle="1" w:styleId="IntrtEEEPagedecouverture">
    <w:name w:val="Intérêt EEE (Page de couverture)"/>
    <w:basedOn w:val="IntrtEEE"/>
    <w:next w:val="Rfrencecroise"/>
    <w:rsid w:val="000D2D0B"/>
  </w:style>
  <w:style w:type="paragraph" w:customStyle="1" w:styleId="AccompagnantPagedecouverture">
    <w:name w:val="Accompagnant (Page de couverture)"/>
    <w:basedOn w:val="Accompagnant"/>
    <w:next w:val="TypeacteprincipalPagedecouverture"/>
    <w:rsid w:val="000D2D0B"/>
  </w:style>
  <w:style w:type="paragraph" w:customStyle="1" w:styleId="TypeacteprincipalPagedecouverture">
    <w:name w:val="Type acte principal (Page de couverture)"/>
    <w:basedOn w:val="Typeacteprincipal"/>
    <w:next w:val="ObjetacteprincipalPagedecouverture"/>
    <w:rsid w:val="000D2D0B"/>
  </w:style>
  <w:style w:type="paragraph" w:customStyle="1" w:styleId="ObjetacteprincipalPagedecouverture">
    <w:name w:val="Objet acte principal (Page de couverture)"/>
    <w:basedOn w:val="Objetacteprincipal"/>
    <w:next w:val="Rfrencecroise"/>
    <w:rsid w:val="000D2D0B"/>
  </w:style>
  <w:style w:type="paragraph" w:customStyle="1" w:styleId="LanguesfaisantfoiPagedecouverture">
    <w:name w:val="Langues faisant foi (Page de couverture)"/>
    <w:basedOn w:val="Normalny"/>
    <w:next w:val="Normalny"/>
    <w:rsid w:val="000D2D0B"/>
    <w:pPr>
      <w:spacing w:before="360"/>
      <w:jc w:val="center"/>
    </w:pPr>
    <w:rPr>
      <w:rFonts w:ascii="Times New Roman" w:hAnsi="Times New Roman"/>
      <w:sz w:val="24"/>
      <w:lang w:eastAsia="en-US"/>
    </w:rPr>
  </w:style>
  <w:style w:type="paragraph" w:styleId="Listanumerowana2">
    <w:name w:val="List Number 2"/>
    <w:basedOn w:val="Normalny"/>
    <w:rsid w:val="000D2D0B"/>
    <w:pPr>
      <w:tabs>
        <w:tab w:val="num" w:pos="643"/>
      </w:tabs>
      <w:spacing w:before="120" w:after="120"/>
      <w:ind w:left="643" w:hanging="360"/>
      <w:jc w:val="both"/>
    </w:pPr>
    <w:rPr>
      <w:rFonts w:ascii="Times New Roman" w:hAnsi="Times New Roman"/>
      <w:sz w:val="24"/>
      <w:lang w:eastAsia="en-US"/>
    </w:rPr>
  </w:style>
  <w:style w:type="paragraph" w:styleId="Listanumerowana3">
    <w:name w:val="List Number 3"/>
    <w:basedOn w:val="Normalny"/>
    <w:rsid w:val="000D2D0B"/>
    <w:pPr>
      <w:tabs>
        <w:tab w:val="num" w:pos="926"/>
      </w:tabs>
      <w:spacing w:before="120" w:after="120"/>
      <w:ind w:left="926" w:hanging="360"/>
      <w:jc w:val="both"/>
    </w:pPr>
    <w:rPr>
      <w:rFonts w:ascii="Times New Roman" w:hAnsi="Times New Roman"/>
      <w:sz w:val="24"/>
      <w:lang w:eastAsia="en-US"/>
    </w:rPr>
  </w:style>
  <w:style w:type="paragraph" w:styleId="Listanumerowana4">
    <w:name w:val="List Number 4"/>
    <w:basedOn w:val="Normalny"/>
    <w:rsid w:val="000D2D0B"/>
    <w:pPr>
      <w:tabs>
        <w:tab w:val="num" w:pos="1209"/>
        <w:tab w:val="num" w:pos="1417"/>
      </w:tabs>
      <w:spacing w:before="120" w:after="120"/>
      <w:ind w:left="1209" w:hanging="360"/>
      <w:jc w:val="both"/>
    </w:pPr>
    <w:rPr>
      <w:rFonts w:ascii="Times New Roman" w:hAnsi="Times New Roman"/>
      <w:sz w:val="24"/>
      <w:lang w:eastAsia="en-US"/>
    </w:rPr>
  </w:style>
  <w:style w:type="paragraph" w:styleId="Listapunktowana">
    <w:name w:val="List Bullet"/>
    <w:basedOn w:val="Normalny"/>
    <w:rsid w:val="000D2D0B"/>
    <w:pPr>
      <w:numPr>
        <w:numId w:val="15"/>
      </w:numPr>
      <w:tabs>
        <w:tab w:val="num" w:pos="360"/>
      </w:tabs>
      <w:spacing w:before="120" w:after="120"/>
      <w:ind w:left="360" w:hanging="360"/>
      <w:jc w:val="both"/>
    </w:pPr>
    <w:rPr>
      <w:rFonts w:ascii="Times New Roman" w:hAnsi="Times New Roman"/>
      <w:sz w:val="24"/>
      <w:lang w:eastAsia="en-US"/>
    </w:rPr>
  </w:style>
  <w:style w:type="paragraph" w:styleId="Listapunktowana2">
    <w:name w:val="List Bullet 2"/>
    <w:basedOn w:val="Normalny"/>
    <w:rsid w:val="000D2D0B"/>
    <w:pPr>
      <w:tabs>
        <w:tab w:val="num" w:pos="643"/>
        <w:tab w:val="num" w:pos="851"/>
      </w:tabs>
      <w:spacing w:before="120" w:after="120"/>
      <w:ind w:left="643" w:hanging="360"/>
      <w:jc w:val="both"/>
    </w:pPr>
    <w:rPr>
      <w:rFonts w:ascii="Times New Roman" w:hAnsi="Times New Roman"/>
      <w:sz w:val="24"/>
      <w:lang w:eastAsia="en-US"/>
    </w:rPr>
  </w:style>
  <w:style w:type="paragraph" w:styleId="Listapunktowana3">
    <w:name w:val="List Bullet 3"/>
    <w:basedOn w:val="Normalny"/>
    <w:rsid w:val="000D2D0B"/>
    <w:pPr>
      <w:numPr>
        <w:numId w:val="17"/>
      </w:numPr>
      <w:tabs>
        <w:tab w:val="num" w:pos="926"/>
      </w:tabs>
      <w:spacing w:before="120" w:after="120"/>
      <w:ind w:left="926"/>
      <w:jc w:val="both"/>
    </w:pPr>
    <w:rPr>
      <w:rFonts w:ascii="Times New Roman" w:hAnsi="Times New Roman"/>
      <w:sz w:val="24"/>
      <w:lang w:eastAsia="en-US"/>
    </w:rPr>
  </w:style>
  <w:style w:type="paragraph" w:styleId="Listapunktowana4">
    <w:name w:val="List Bullet 4"/>
    <w:basedOn w:val="Normalny"/>
    <w:rsid w:val="000D2D0B"/>
    <w:pPr>
      <w:numPr>
        <w:numId w:val="18"/>
      </w:numPr>
      <w:tabs>
        <w:tab w:val="num" w:pos="1209"/>
      </w:tabs>
      <w:spacing w:before="120" w:after="120"/>
      <w:ind w:left="1209"/>
      <w:jc w:val="both"/>
    </w:pPr>
    <w:rPr>
      <w:rFonts w:ascii="Times New Roman" w:hAnsi="Times New Roman"/>
      <w:sz w:val="24"/>
      <w:lang w:eastAsia="en-US"/>
    </w:rPr>
  </w:style>
  <w:style w:type="paragraph" w:styleId="Spisilustracji">
    <w:name w:val="table of figures"/>
    <w:basedOn w:val="Normalny"/>
    <w:next w:val="Normalny"/>
    <w:rsid w:val="000D2D0B"/>
    <w:pPr>
      <w:spacing w:before="120" w:after="120"/>
      <w:jc w:val="both"/>
    </w:pPr>
    <w:rPr>
      <w:rFonts w:ascii="Times New Roman" w:hAnsi="Times New Roman"/>
      <w:sz w:val="24"/>
      <w:lang w:eastAsia="en-US"/>
    </w:rPr>
  </w:style>
  <w:style w:type="character" w:customStyle="1" w:styleId="CommentTextChar3">
    <w:name w:val="Comment Text Char3"/>
    <w:locked/>
    <w:rsid w:val="000D2D0B"/>
    <w:rPr>
      <w:rFonts w:ascii="Arial" w:hAnsi="Arial" w:cs="Times New Roman"/>
      <w:lang w:val="en-GB" w:eastAsia="en-GB" w:bidi="ar-SA"/>
    </w:rPr>
  </w:style>
  <w:style w:type="paragraph" w:customStyle="1" w:styleId="Paragrafoelenco3">
    <w:name w:val="Paragrafo elenco3"/>
    <w:basedOn w:val="Normalny"/>
    <w:rsid w:val="000D2D0B"/>
    <w:pPr>
      <w:ind w:left="720"/>
      <w:contextualSpacing/>
    </w:pPr>
    <w:rPr>
      <w:rFonts w:ascii="Cambria" w:hAnsi="Cambria"/>
      <w:sz w:val="24"/>
      <w:lang w:val="en-US" w:eastAsia="en-US"/>
    </w:rPr>
  </w:style>
  <w:style w:type="paragraph" w:customStyle="1" w:styleId="Listeavsnitt1">
    <w:name w:val="Listeavsnitt1"/>
    <w:basedOn w:val="Normalny"/>
    <w:rsid w:val="000D2D0B"/>
    <w:pPr>
      <w:spacing w:line="252" w:lineRule="auto"/>
      <w:ind w:left="720"/>
      <w:contextualSpacing/>
    </w:pPr>
    <w:rPr>
      <w:rFonts w:ascii="Times New Roman" w:hAnsi="Times New Roman"/>
      <w:sz w:val="24"/>
      <w:lang w:val="nb-NO" w:eastAsia="en-US"/>
    </w:rPr>
  </w:style>
  <w:style w:type="character" w:customStyle="1" w:styleId="PlainTextChar1">
    <w:name w:val="Plain Text Char1"/>
    <w:rsid w:val="000D2D0B"/>
    <w:rPr>
      <w:rFonts w:ascii="Consolas" w:hAnsi="Consolas" w:cs="Consolas"/>
      <w:sz w:val="21"/>
      <w:szCs w:val="21"/>
      <w:lang w:eastAsia="de-DE"/>
    </w:rPr>
  </w:style>
  <w:style w:type="character" w:customStyle="1" w:styleId="CharChar1">
    <w:name w:val="Char Char1"/>
    <w:semiHidden/>
    <w:locked/>
    <w:rsid w:val="000D2D0B"/>
    <w:rPr>
      <w:rFonts w:ascii="Arial" w:hAnsi="Arial"/>
      <w:lang w:val="en-GB" w:eastAsia="en-GB" w:bidi="ar-SA"/>
    </w:rPr>
  </w:style>
  <w:style w:type="character" w:customStyle="1" w:styleId="CharChar">
    <w:name w:val="Char Char"/>
    <w:semiHidden/>
    <w:locked/>
    <w:rsid w:val="000D2D0B"/>
    <w:rPr>
      <w:rFonts w:ascii="Arial" w:hAnsi="Arial"/>
      <w:lang w:val="en-GB" w:eastAsia="en-GB" w:bidi="ar-SA"/>
    </w:rPr>
  </w:style>
  <w:style w:type="character" w:customStyle="1" w:styleId="CharChar2">
    <w:name w:val="Char Char2"/>
    <w:semiHidden/>
    <w:locked/>
    <w:rsid w:val="000D2D0B"/>
    <w:rPr>
      <w:rFonts w:ascii="Arial" w:hAnsi="Arial"/>
      <w:lang w:val="en-GB" w:eastAsia="en-GB" w:bidi="ar-SA"/>
    </w:rPr>
  </w:style>
  <w:style w:type="character" w:customStyle="1" w:styleId="CharChar4">
    <w:name w:val="Char Char4"/>
    <w:semiHidden/>
    <w:locked/>
    <w:rsid w:val="000D2D0B"/>
    <w:rPr>
      <w:rFonts w:ascii="Arial" w:hAnsi="Arial" w:cs="Times New Roman"/>
      <w:lang w:val="en-GB" w:eastAsia="en-GB" w:bidi="ar-SA"/>
    </w:rPr>
  </w:style>
  <w:style w:type="numbering" w:customStyle="1" w:styleId="Formatvorlage1">
    <w:name w:val="Formatvorlage1"/>
    <w:uiPriority w:val="99"/>
    <w:rsid w:val="000D2D0B"/>
    <w:pPr>
      <w:numPr>
        <w:numId w:val="28"/>
      </w:numPr>
    </w:pPr>
  </w:style>
  <w:style w:type="character" w:customStyle="1" w:styleId="DeltaViewDeletion">
    <w:name w:val="DeltaView Deletion"/>
    <w:rsid w:val="000D2D0B"/>
    <w:rPr>
      <w:b/>
      <w:strike/>
      <w:color w:val="FFFFFF"/>
      <w:spacing w:val="0"/>
    </w:rPr>
  </w:style>
  <w:style w:type="paragraph" w:customStyle="1" w:styleId="Listenabsatz3">
    <w:name w:val="Listenabsatz3"/>
    <w:basedOn w:val="Normalny"/>
    <w:rsid w:val="000D2D0B"/>
    <w:pPr>
      <w:spacing w:before="120" w:after="120"/>
      <w:ind w:left="720"/>
      <w:contextualSpacing/>
      <w:jc w:val="both"/>
    </w:pPr>
    <w:rPr>
      <w:rFonts w:ascii="Times New Roman" w:hAnsi="Times New Roman"/>
      <w:sz w:val="24"/>
      <w:lang w:eastAsia="en-US"/>
    </w:rPr>
  </w:style>
  <w:style w:type="paragraph" w:customStyle="1" w:styleId="Paragrafoelenco2">
    <w:name w:val="Paragrafo elenco2"/>
    <w:basedOn w:val="Normalny"/>
    <w:uiPriority w:val="99"/>
    <w:rsid w:val="000D2D0B"/>
    <w:pPr>
      <w:ind w:left="720"/>
      <w:contextualSpacing/>
    </w:pPr>
    <w:rPr>
      <w:rFonts w:ascii="Cambria" w:hAnsi="Cambria"/>
      <w:sz w:val="24"/>
      <w:lang w:val="en-US" w:eastAsia="en-US"/>
    </w:rPr>
  </w:style>
  <w:style w:type="paragraph" w:customStyle="1" w:styleId="ListParagraph2">
    <w:name w:val="List Paragraph2"/>
    <w:basedOn w:val="Normalny"/>
    <w:rsid w:val="000D2D0B"/>
    <w:pPr>
      <w:spacing w:line="252" w:lineRule="auto"/>
      <w:ind w:left="720"/>
      <w:contextualSpacing/>
    </w:pPr>
    <w:rPr>
      <w:rFonts w:ascii="Times New Roman" w:hAnsi="Times New Roman"/>
      <w:sz w:val="24"/>
      <w:lang w:val="nb-NO" w:eastAsia="en-US"/>
    </w:rPr>
  </w:style>
  <w:style w:type="paragraph" w:customStyle="1" w:styleId="Inhaltsverzeichnisberschrift1">
    <w:name w:val="Inhaltsverzeichnisüberschrift1"/>
    <w:basedOn w:val="Nagwek1"/>
    <w:next w:val="Normalny"/>
    <w:rsid w:val="000D2D0B"/>
    <w:pPr>
      <w:keepNext w:val="0"/>
      <w:numPr>
        <w:numId w:val="0"/>
      </w:numPr>
      <w:tabs>
        <w:tab w:val="left" w:pos="397"/>
      </w:tabs>
      <w:suppressAutoHyphens/>
      <w:spacing w:before="0" w:after="280"/>
      <w:jc w:val="both"/>
      <w:outlineLvl w:val="9"/>
    </w:pPr>
    <w:rPr>
      <w:rFonts w:ascii="Cambria" w:hAnsi="Cambria" w:cs="Times New Roman"/>
      <w:bCs w:val="0"/>
      <w:color w:val="000000"/>
      <w:kern w:val="0"/>
      <w:sz w:val="20"/>
      <w:szCs w:val="20"/>
      <w:lang w:eastAsia="en-US"/>
    </w:rPr>
  </w:style>
  <w:style w:type="paragraph" w:customStyle="1" w:styleId="berarbeitung1">
    <w:name w:val="Überarbeitung1"/>
    <w:hidden/>
    <w:semiHidden/>
    <w:rsid w:val="000D2D0B"/>
    <w:rPr>
      <w:sz w:val="24"/>
      <w:szCs w:val="24"/>
      <w:lang w:eastAsia="en-US"/>
    </w:rPr>
  </w:style>
  <w:style w:type="paragraph" w:customStyle="1" w:styleId="CODParagraphes">
    <w:name w:val="COD Paragraphes"/>
    <w:basedOn w:val="Normalny"/>
    <w:rsid w:val="000D2D0B"/>
    <w:pPr>
      <w:tabs>
        <w:tab w:val="left" w:pos="709"/>
      </w:tabs>
      <w:spacing w:after="240"/>
      <w:jc w:val="both"/>
    </w:pPr>
    <w:rPr>
      <w:rFonts w:ascii="Times New Roman" w:hAnsi="Times New Roman"/>
      <w:sz w:val="24"/>
      <w:szCs w:val="22"/>
      <w:lang w:val="fr-FR" w:eastAsia="en-GB"/>
    </w:rPr>
  </w:style>
  <w:style w:type="character" w:customStyle="1" w:styleId="TitrearticleChar">
    <w:name w:val="Titre article Char"/>
    <w:link w:val="Titrearticle"/>
    <w:uiPriority w:val="99"/>
    <w:locked/>
    <w:rsid w:val="000D2D0B"/>
    <w:rPr>
      <w:i/>
      <w:sz w:val="24"/>
      <w:szCs w:val="24"/>
      <w:lang w:val="x-none" w:eastAsia="x-none"/>
    </w:rPr>
  </w:style>
  <w:style w:type="paragraph" w:customStyle="1" w:styleId="CODArticle12">
    <w:name w:val="COD Article + 12"/>
    <w:basedOn w:val="Normalny"/>
    <w:uiPriority w:val="99"/>
    <w:rsid w:val="000D2D0B"/>
    <w:pPr>
      <w:spacing w:after="240"/>
      <w:jc w:val="center"/>
    </w:pPr>
    <w:rPr>
      <w:rFonts w:ascii="Times New Roman" w:hAnsi="Times New Roman"/>
      <w:sz w:val="24"/>
      <w:szCs w:val="20"/>
      <w:lang w:val="fr-FR" w:eastAsia="en-GB"/>
    </w:rPr>
  </w:style>
  <w:style w:type="paragraph" w:customStyle="1" w:styleId="TableContents">
    <w:name w:val="Table Contents"/>
    <w:basedOn w:val="Normalny"/>
    <w:rsid w:val="000D2D0B"/>
    <w:pPr>
      <w:widowControl w:val="0"/>
      <w:suppressLineNumbers/>
      <w:suppressAutoHyphens/>
    </w:pPr>
    <w:rPr>
      <w:rFonts w:ascii="Liberation Serif" w:hAnsi="Liberation Serif"/>
      <w:kern w:val="1"/>
      <w:sz w:val="24"/>
      <w:lang w:eastAsia="en-GB"/>
    </w:rPr>
  </w:style>
  <w:style w:type="paragraph" w:customStyle="1" w:styleId="Listeavsnitt">
    <w:name w:val="Listeavsnitt"/>
    <w:basedOn w:val="Normalny"/>
    <w:uiPriority w:val="34"/>
    <w:qFormat/>
    <w:rsid w:val="000D2D0B"/>
    <w:pPr>
      <w:ind w:left="720"/>
      <w:contextualSpacing/>
    </w:pPr>
    <w:rPr>
      <w:rFonts w:ascii="Times New Roman" w:hAnsi="Times New Roman"/>
      <w:sz w:val="24"/>
      <w:lang w:eastAsia="en-GB"/>
    </w:rPr>
  </w:style>
  <w:style w:type="paragraph" w:customStyle="1" w:styleId="Listenabsatz4">
    <w:name w:val="Listenabsatz4"/>
    <w:basedOn w:val="Normalny"/>
    <w:qFormat/>
    <w:rsid w:val="000D2D0B"/>
    <w:pPr>
      <w:ind w:left="720"/>
      <w:contextualSpacing/>
    </w:pPr>
    <w:rPr>
      <w:rFonts w:ascii="Times New Roman" w:hAnsi="Times New Roman"/>
      <w:sz w:val="24"/>
      <w:lang w:eastAsia="en-GB"/>
    </w:rPr>
  </w:style>
  <w:style w:type="character" w:customStyle="1" w:styleId="04BodyTextChar">
    <w:name w:val="04_Body Text Char"/>
    <w:link w:val="04BodyText"/>
    <w:rsid w:val="000D2D0B"/>
    <w:rPr>
      <w:rFonts w:ascii="Georgia" w:hAnsi="Georgia"/>
      <w:szCs w:val="24"/>
      <w:lang w:eastAsia="de-DE"/>
    </w:rPr>
  </w:style>
  <w:style w:type="paragraph" w:customStyle="1" w:styleId="05dHeadline1line">
    <w:name w:val="05d_Headline 1 line"/>
    <w:basedOn w:val="05cHeadline1"/>
    <w:next w:val="04fBodytextline"/>
    <w:rsid w:val="000D2D0B"/>
    <w:pPr>
      <w:numPr>
        <w:numId w:val="0"/>
      </w:numPr>
      <w:pBdr>
        <w:top w:val="single" w:sz="4" w:space="10" w:color="000000"/>
      </w:pBdr>
      <w:tabs>
        <w:tab w:val="num" w:pos="851"/>
      </w:tabs>
      <w:ind w:left="720" w:hanging="360"/>
    </w:pPr>
    <w:rPr>
      <w:color w:val="000000"/>
      <w:lang w:val="x-none"/>
    </w:rPr>
  </w:style>
  <w:style w:type="paragraph" w:customStyle="1" w:styleId="04fBodytextline">
    <w:name w:val="04f_Body text line"/>
    <w:basedOn w:val="04BodyText"/>
    <w:rsid w:val="000D2D0B"/>
    <w:pPr>
      <w:pBdr>
        <w:bottom w:val="single" w:sz="4" w:space="12" w:color="000000"/>
      </w:pBdr>
      <w:tabs>
        <w:tab w:val="left" w:pos="454"/>
      </w:tabs>
    </w:pPr>
    <w:rPr>
      <w:color w:val="000000"/>
      <w:lang w:val="x-none"/>
    </w:rPr>
  </w:style>
  <w:style w:type="paragraph" w:customStyle="1" w:styleId="Annex">
    <w:name w:val="Annex"/>
    <w:basedOn w:val="04aNumeration"/>
    <w:link w:val="AnnexChar"/>
    <w:qFormat/>
    <w:rsid w:val="000D2D0B"/>
    <w:pPr>
      <w:tabs>
        <w:tab w:val="clear" w:pos="454"/>
        <w:tab w:val="left" w:pos="397"/>
      </w:tabs>
      <w:suppressAutoHyphens/>
      <w:ind w:left="0" w:firstLine="0"/>
    </w:pPr>
    <w:rPr>
      <w:b/>
      <w:color w:val="000000"/>
      <w:lang w:val="x-none"/>
    </w:rPr>
  </w:style>
  <w:style w:type="character" w:customStyle="1" w:styleId="04RunningTextChar">
    <w:name w:val="04_Running Text Char"/>
    <w:link w:val="04RunningText"/>
    <w:rsid w:val="000D2D0B"/>
    <w:rPr>
      <w:rFonts w:ascii="Georgia" w:hAnsi="Georgia"/>
      <w:szCs w:val="24"/>
      <w:lang w:val="x-none" w:eastAsia="de-DE"/>
    </w:rPr>
  </w:style>
  <w:style w:type="character" w:customStyle="1" w:styleId="AnnexChar">
    <w:name w:val="Annex Char"/>
    <w:link w:val="Annex"/>
    <w:rsid w:val="000D2D0B"/>
    <w:rPr>
      <w:rFonts w:ascii="Georgia" w:hAnsi="Georgia"/>
      <w:b/>
      <w:color w:val="000000"/>
      <w:szCs w:val="24"/>
      <w:lang w:val="x-none" w:eastAsia="de-DE"/>
    </w:rPr>
  </w:style>
  <w:style w:type="paragraph" w:customStyle="1" w:styleId="CM1">
    <w:name w:val="CM1"/>
    <w:basedOn w:val="Default"/>
    <w:next w:val="Default"/>
    <w:uiPriority w:val="99"/>
    <w:rsid w:val="000D2D0B"/>
    <w:rPr>
      <w:rFonts w:ascii="EUAlbertina" w:hAnsi="EUAlbertina" w:cs="Times New Roman"/>
      <w:color w:val="auto"/>
      <w:lang w:val="de-DE" w:eastAsia="de-DE"/>
    </w:rPr>
  </w:style>
  <w:style w:type="paragraph" w:customStyle="1" w:styleId="aStyle1">
    <w:name w:val="a. Style1"/>
    <w:basedOn w:val="Normalny"/>
    <w:link w:val="aStyle1Char"/>
    <w:qFormat/>
    <w:rsid w:val="000D2D0B"/>
    <w:pPr>
      <w:numPr>
        <w:numId w:val="30"/>
      </w:numPr>
      <w:suppressAutoHyphens/>
      <w:spacing w:after="250" w:line="276" w:lineRule="auto"/>
      <w:jc w:val="both"/>
    </w:pPr>
    <w:rPr>
      <w:sz w:val="20"/>
      <w:szCs w:val="20"/>
      <w:lang w:val="x-none" w:eastAsia="x-none"/>
    </w:rPr>
  </w:style>
  <w:style w:type="character" w:customStyle="1" w:styleId="aStyle1Char">
    <w:name w:val="a. Style1 Char"/>
    <w:link w:val="aStyle1"/>
    <w:rsid w:val="000D2D0B"/>
    <w:rPr>
      <w:rFonts w:ascii="Arial" w:hAnsi="Arial"/>
      <w:lang w:val="x-none" w:eastAsia="x-none"/>
    </w:rPr>
  </w:style>
  <w:style w:type="paragraph" w:styleId="Tytu">
    <w:name w:val="Title"/>
    <w:basedOn w:val="Normalny"/>
    <w:next w:val="Normalny"/>
    <w:link w:val="TytuZnak"/>
    <w:uiPriority w:val="10"/>
    <w:qFormat/>
    <w:rsid w:val="000D2D0B"/>
    <w:pPr>
      <w:overflowPunct w:val="0"/>
      <w:autoSpaceDE w:val="0"/>
      <w:autoSpaceDN w:val="0"/>
      <w:adjustRightInd w:val="0"/>
      <w:spacing w:before="240" w:after="60"/>
      <w:jc w:val="center"/>
      <w:textAlignment w:val="baseline"/>
      <w:outlineLvl w:val="0"/>
    </w:pPr>
    <w:rPr>
      <w:rFonts w:ascii="Cambria" w:hAnsi="Cambria"/>
      <w:b/>
      <w:kern w:val="28"/>
      <w:sz w:val="32"/>
      <w:szCs w:val="20"/>
      <w:lang w:val="fr-FR" w:eastAsia="fr-FR"/>
    </w:rPr>
  </w:style>
  <w:style w:type="character" w:customStyle="1" w:styleId="TytuZnak">
    <w:name w:val="Tytuł Znak"/>
    <w:link w:val="Tytu"/>
    <w:uiPriority w:val="10"/>
    <w:rsid w:val="000D2D0B"/>
    <w:rPr>
      <w:rFonts w:ascii="Cambria" w:hAnsi="Cambria"/>
      <w:b/>
      <w:kern w:val="28"/>
      <w:sz w:val="32"/>
      <w:lang w:val="fr-FR" w:eastAsia="fr-FR"/>
    </w:rPr>
  </w:style>
  <w:style w:type="paragraph" w:customStyle="1" w:styleId="32LadilloosubtitulonotadeprensaCNMV">
    <w:name w:val="3.2. Ladillo o subtitulo nota de prensa CNMV"/>
    <w:basedOn w:val="Normalny"/>
    <w:rsid w:val="000D2D0B"/>
    <w:pPr>
      <w:spacing w:before="320" w:line="260" w:lineRule="exact"/>
      <w:jc w:val="both"/>
    </w:pPr>
    <w:rPr>
      <w:rFonts w:ascii="Myriad Pro Light" w:hAnsi="Myriad Pro Light"/>
      <w:b/>
      <w:sz w:val="21"/>
      <w:szCs w:val="20"/>
      <w:lang w:val="es-ES" w:eastAsia="es-ES"/>
    </w:rPr>
  </w:style>
  <w:style w:type="character" w:customStyle="1" w:styleId="PoprawkaZnak">
    <w:name w:val="Poprawka Znak"/>
    <w:link w:val="Poprawka"/>
    <w:uiPriority w:val="99"/>
    <w:semiHidden/>
    <w:locked/>
    <w:rsid w:val="000D2D0B"/>
    <w:rPr>
      <w:rFonts w:ascii="Georgia" w:hAnsi="Georgia"/>
      <w:sz w:val="22"/>
      <w:szCs w:val="24"/>
      <w:lang w:eastAsia="de-DE"/>
    </w:rPr>
  </w:style>
  <w:style w:type="table" w:customStyle="1" w:styleId="TableGrid2">
    <w:name w:val="Table Grid2"/>
    <w:basedOn w:val="Standardowy"/>
    <w:next w:val="Tabela-Siatka"/>
    <w:uiPriority w:val="59"/>
    <w:rsid w:val="000D2D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Wyrnieniedelikatne">
    <w:name w:val="Subtle Emphasis"/>
    <w:aliases w:val="Question"/>
    <w:uiPriority w:val="19"/>
    <w:qFormat/>
    <w:rsid w:val="003A6E9A"/>
    <w:rPr>
      <w:b/>
      <w:i w:val="0"/>
      <w:iCs/>
      <w:sz w:val="20"/>
    </w:rPr>
  </w:style>
  <w:style w:type="paragraph" w:customStyle="1" w:styleId="NEW-Paragraph-Level1">
    <w:name w:val="NEW-Paragraph-Level1"/>
    <w:basedOn w:val="Normalny"/>
    <w:rsid w:val="003A6E9A"/>
    <w:pPr>
      <w:tabs>
        <w:tab w:val="num" w:pos="284"/>
      </w:tabs>
      <w:spacing w:after="250" w:line="276" w:lineRule="auto"/>
      <w:ind w:left="284" w:hanging="284"/>
      <w:jc w:val="both"/>
    </w:pPr>
    <w:rPr>
      <w:sz w:val="20"/>
      <w:szCs w:val="20"/>
    </w:rPr>
  </w:style>
  <w:style w:type="paragraph" w:customStyle="1" w:styleId="NEW-Paragraph-level2">
    <w:name w:val="NEW-Paragraph-level2"/>
    <w:basedOn w:val="Normalny"/>
    <w:link w:val="NEW-Paragraph-level2Char"/>
    <w:rsid w:val="00F90EF4"/>
    <w:pPr>
      <w:numPr>
        <w:ilvl w:val="1"/>
        <w:numId w:val="2"/>
      </w:numPr>
      <w:tabs>
        <w:tab w:val="clear" w:pos="1361"/>
        <w:tab w:val="num" w:pos="1276"/>
      </w:tabs>
      <w:spacing w:after="250" w:line="276" w:lineRule="auto"/>
      <w:ind w:left="567" w:hanging="283"/>
      <w:jc w:val="both"/>
    </w:pPr>
    <w:rPr>
      <w:sz w:val="20"/>
      <w:szCs w:val="20"/>
    </w:rPr>
  </w:style>
  <w:style w:type="paragraph" w:customStyle="1" w:styleId="NEW-Paragraph-level3">
    <w:name w:val="NEW-Paragraph-level3"/>
    <w:basedOn w:val="Normalny"/>
    <w:link w:val="NEW-Paragraph-level3Char"/>
    <w:rsid w:val="00F90EF4"/>
    <w:pPr>
      <w:numPr>
        <w:ilvl w:val="2"/>
        <w:numId w:val="32"/>
      </w:numPr>
      <w:tabs>
        <w:tab w:val="clear" w:pos="1031"/>
      </w:tabs>
      <w:spacing w:after="250" w:line="276" w:lineRule="auto"/>
      <w:ind w:left="851" w:hanging="284"/>
      <w:jc w:val="both"/>
    </w:pPr>
    <w:rPr>
      <w:sz w:val="20"/>
      <w:szCs w:val="20"/>
    </w:rPr>
  </w:style>
  <w:style w:type="character" w:customStyle="1" w:styleId="NEW-Paragraph-level2Char">
    <w:name w:val="NEW-Paragraph-level2 Char"/>
    <w:link w:val="NEW-Paragraph-level2"/>
    <w:rsid w:val="00F90EF4"/>
    <w:rPr>
      <w:rFonts w:ascii="Arial" w:hAnsi="Arial"/>
      <w:lang w:eastAsia="de-DE"/>
    </w:rPr>
  </w:style>
  <w:style w:type="character" w:customStyle="1" w:styleId="NEW-Paragraph-level3Char">
    <w:name w:val="NEW-Paragraph-level3 Char"/>
    <w:link w:val="NEW-Paragraph-level3"/>
    <w:rsid w:val="00F90EF4"/>
    <w:rPr>
      <w:rFonts w:ascii="Arial" w:hAnsi="Arial"/>
      <w:lang w:eastAsia="de-DE"/>
    </w:rPr>
  </w:style>
  <w:style w:type="paragraph" w:customStyle="1" w:styleId="NEW-Level0">
    <w:name w:val="NEW-Level0"/>
    <w:basedOn w:val="Normalny"/>
    <w:rsid w:val="003A6E9A"/>
    <w:pPr>
      <w:keepNext/>
      <w:numPr>
        <w:numId w:val="31"/>
      </w:numPr>
      <w:spacing w:before="240" w:after="250" w:line="276" w:lineRule="auto"/>
      <w:outlineLvl w:val="0"/>
    </w:pPr>
    <w:rPr>
      <w:rFonts w:cs="Arial"/>
      <w:b/>
      <w:bCs/>
      <w:kern w:val="32"/>
      <w:sz w:val="28"/>
      <w:szCs w:val="28"/>
    </w:rPr>
  </w:style>
  <w:style w:type="paragraph" w:customStyle="1" w:styleId="NEW-Level1">
    <w:name w:val="NEW-Level1"/>
    <w:basedOn w:val="Normalny"/>
    <w:rsid w:val="003A6E9A"/>
    <w:pPr>
      <w:keepNext/>
      <w:numPr>
        <w:ilvl w:val="1"/>
        <w:numId w:val="31"/>
      </w:numPr>
      <w:spacing w:before="240" w:after="250" w:line="276" w:lineRule="auto"/>
      <w:outlineLvl w:val="0"/>
    </w:pPr>
    <w:rPr>
      <w:rFonts w:cs="Arial"/>
      <w:b/>
      <w:bCs/>
      <w:kern w:val="32"/>
      <w:sz w:val="24"/>
      <w:szCs w:val="32"/>
    </w:rPr>
  </w:style>
  <w:style w:type="paragraph" w:customStyle="1" w:styleId="NEW-Level2">
    <w:name w:val="NEW-Level2"/>
    <w:basedOn w:val="Normalny"/>
    <w:link w:val="NEW-Level2Char"/>
    <w:rsid w:val="003A6E9A"/>
    <w:pPr>
      <w:autoSpaceDE w:val="0"/>
      <w:autoSpaceDN w:val="0"/>
      <w:adjustRightInd w:val="0"/>
      <w:spacing w:after="250" w:line="276" w:lineRule="auto"/>
      <w:jc w:val="both"/>
    </w:pPr>
    <w:rPr>
      <w:rFonts w:cs="Georgia"/>
      <w:b/>
      <w:bCs/>
      <w:color w:val="000000"/>
      <w:sz w:val="20"/>
      <w:szCs w:val="20"/>
      <w:u w:val="single"/>
      <w:lang w:eastAsia="en-GB"/>
    </w:rPr>
  </w:style>
  <w:style w:type="character" w:customStyle="1" w:styleId="NEW-Level2Char">
    <w:name w:val="NEW-Level2 Char"/>
    <w:link w:val="NEW-Level2"/>
    <w:rsid w:val="003A6E9A"/>
    <w:rPr>
      <w:rFonts w:ascii="Georgia" w:hAnsi="Georgia" w:cs="Georgia"/>
      <w:b/>
      <w:bCs/>
      <w:color w:val="000000"/>
      <w:u w:val="single"/>
    </w:rPr>
  </w:style>
  <w:style w:type="paragraph" w:customStyle="1" w:styleId="aNEW-Level0">
    <w:name w:val="aNEW-Level0"/>
    <w:basedOn w:val="NEW-Level0"/>
    <w:link w:val="aNEW-Level0Char"/>
    <w:qFormat/>
    <w:rsid w:val="004E76A1"/>
    <w:pPr>
      <w:spacing w:before="120" w:after="120"/>
      <w:ind w:left="425" w:hanging="425"/>
    </w:pPr>
  </w:style>
  <w:style w:type="paragraph" w:customStyle="1" w:styleId="aNEW-Level1">
    <w:name w:val="aNEW-Level1"/>
    <w:basedOn w:val="NEW-Level1"/>
    <w:link w:val="aNEW-Level1Char"/>
    <w:qFormat/>
    <w:rsid w:val="000636A1"/>
    <w:pPr>
      <w:spacing w:before="120" w:after="120"/>
      <w:ind w:left="431" w:hanging="431"/>
    </w:pPr>
  </w:style>
  <w:style w:type="character" w:customStyle="1" w:styleId="aNEW-Level0Char">
    <w:name w:val="aNEW-Level0 Char"/>
    <w:link w:val="aNEW-Level0"/>
    <w:rsid w:val="004E76A1"/>
    <w:rPr>
      <w:rFonts w:ascii="Arial" w:hAnsi="Arial" w:cs="Arial"/>
      <w:b/>
      <w:bCs/>
      <w:kern w:val="32"/>
      <w:sz w:val="28"/>
      <w:szCs w:val="28"/>
      <w:lang w:eastAsia="de-DE"/>
    </w:rPr>
  </w:style>
  <w:style w:type="character" w:customStyle="1" w:styleId="aNEW-Level1Char">
    <w:name w:val="aNEW-Level1 Char"/>
    <w:link w:val="aNEW-Level1"/>
    <w:rsid w:val="000636A1"/>
    <w:rPr>
      <w:rFonts w:ascii="Arial" w:hAnsi="Arial" w:cs="Arial"/>
      <w:b/>
      <w:bCs/>
      <w:kern w:val="32"/>
      <w:sz w:val="24"/>
      <w:szCs w:val="32"/>
      <w:lang w:eastAsia="de-DE"/>
    </w:rPr>
  </w:style>
  <w:style w:type="paragraph" w:customStyle="1" w:styleId="aNEW-Level2">
    <w:name w:val="aNEW-Level2"/>
    <w:basedOn w:val="NEW-Level2"/>
    <w:link w:val="aNEW-Level2Char"/>
    <w:qFormat/>
    <w:rsid w:val="00176982"/>
  </w:style>
  <w:style w:type="paragraph" w:customStyle="1" w:styleId="aNEW-Level4">
    <w:name w:val="aNEW-Level4"/>
    <w:basedOn w:val="Normalny"/>
    <w:link w:val="aNEW-Level4Char"/>
    <w:qFormat/>
    <w:rsid w:val="003A6E9A"/>
    <w:pPr>
      <w:tabs>
        <w:tab w:val="left" w:pos="720"/>
      </w:tabs>
      <w:spacing w:after="250" w:line="276" w:lineRule="auto"/>
      <w:jc w:val="both"/>
    </w:pPr>
    <w:rPr>
      <w:i/>
      <w:sz w:val="20"/>
      <w:szCs w:val="20"/>
    </w:rPr>
  </w:style>
  <w:style w:type="character" w:customStyle="1" w:styleId="aNEW-Level2Char">
    <w:name w:val="aNEW-Level2 Char"/>
    <w:link w:val="aNEW-Level2"/>
    <w:rsid w:val="00176982"/>
    <w:rPr>
      <w:rFonts w:ascii="Georgia" w:hAnsi="Georgia" w:cs="Georgia"/>
      <w:b/>
      <w:bCs/>
      <w:color w:val="000000"/>
      <w:u w:val="single"/>
    </w:rPr>
  </w:style>
  <w:style w:type="paragraph" w:customStyle="1" w:styleId="aNEW-Questions">
    <w:name w:val="aNEW-Questions"/>
    <w:basedOn w:val="Normalny"/>
    <w:link w:val="aNEW-QuestionsChar"/>
    <w:qFormat/>
    <w:rsid w:val="003A6E9A"/>
    <w:pPr>
      <w:numPr>
        <w:numId w:val="8"/>
      </w:numPr>
      <w:spacing w:after="250" w:line="276" w:lineRule="auto"/>
      <w:ind w:left="850" w:hanging="425"/>
      <w:jc w:val="both"/>
      <w:outlineLvl w:val="0"/>
    </w:pPr>
    <w:rPr>
      <w:rFonts w:eastAsia="Calibri"/>
      <w:b/>
      <w:bCs/>
      <w:kern w:val="28"/>
      <w:sz w:val="20"/>
      <w:szCs w:val="32"/>
      <w:lang w:eastAsia="en-US"/>
    </w:rPr>
  </w:style>
  <w:style w:type="character" w:customStyle="1" w:styleId="aNEW-Level4Char">
    <w:name w:val="aNEW-Level4 Char"/>
    <w:link w:val="aNEW-Level4"/>
    <w:rsid w:val="003A6E9A"/>
    <w:rPr>
      <w:rFonts w:ascii="Georgia" w:hAnsi="Georgia"/>
      <w:i/>
      <w:lang w:eastAsia="de-DE"/>
    </w:rPr>
  </w:style>
  <w:style w:type="paragraph" w:customStyle="1" w:styleId="aNEW-Paragraph">
    <w:name w:val="aNEW-Paragraph"/>
    <w:basedOn w:val="NEW-Paragraph-Level1"/>
    <w:link w:val="aNEW-ParagraphChar"/>
    <w:qFormat/>
    <w:rsid w:val="001244CD"/>
    <w:pPr>
      <w:numPr>
        <w:numId w:val="2"/>
      </w:numPr>
      <w:tabs>
        <w:tab w:val="clear" w:pos="851"/>
        <w:tab w:val="num" w:pos="426"/>
      </w:tabs>
      <w:ind w:left="426" w:hanging="426"/>
    </w:pPr>
    <w:rPr>
      <w:rFonts w:eastAsia="Calibri"/>
    </w:rPr>
  </w:style>
  <w:style w:type="character" w:customStyle="1" w:styleId="aNEW-QuestionsChar">
    <w:name w:val="aNEW-Questions Char"/>
    <w:link w:val="aNEW-Questions"/>
    <w:rsid w:val="003A6E9A"/>
    <w:rPr>
      <w:rFonts w:ascii="Arial" w:eastAsia="Calibri" w:hAnsi="Arial"/>
      <w:b/>
      <w:bCs/>
      <w:kern w:val="28"/>
      <w:szCs w:val="32"/>
      <w:lang w:eastAsia="en-US"/>
    </w:rPr>
  </w:style>
  <w:style w:type="character" w:customStyle="1" w:styleId="aNEW-ParagraphChar">
    <w:name w:val="aNEW-Paragraph Char"/>
    <w:link w:val="aNEW-Paragraph"/>
    <w:rsid w:val="001244CD"/>
    <w:rPr>
      <w:rFonts w:ascii="Arial" w:eastAsia="Calibri" w:hAnsi="Arial"/>
      <w:lang w:eastAsia="de-DE"/>
    </w:rPr>
  </w:style>
  <w:style w:type="paragraph" w:customStyle="1" w:styleId="aNew-Level33">
    <w:name w:val="aNew-Level33"/>
    <w:basedOn w:val="Normalny"/>
    <w:link w:val="aNew-Level33Char"/>
    <w:qFormat/>
    <w:rsid w:val="004C14E7"/>
    <w:pPr>
      <w:spacing w:after="250" w:line="276" w:lineRule="auto"/>
      <w:ind w:left="426" w:hanging="426"/>
      <w:jc w:val="both"/>
    </w:pPr>
    <w:rPr>
      <w:b/>
      <w:sz w:val="20"/>
    </w:rPr>
  </w:style>
  <w:style w:type="paragraph" w:customStyle="1" w:styleId="aNew-BoxTitle">
    <w:name w:val="aNew-BoxTitle"/>
    <w:basedOn w:val="04aNumbering"/>
    <w:link w:val="aNew-BoxTitleChar"/>
    <w:qFormat/>
    <w:rsid w:val="003A6E9A"/>
    <w:pPr>
      <w:shd w:val="clear" w:color="auto" w:fill="D9D9D9"/>
      <w:tabs>
        <w:tab w:val="clear" w:pos="851"/>
        <w:tab w:val="left" w:pos="720"/>
      </w:tabs>
      <w:ind w:left="284"/>
    </w:pPr>
    <w:rPr>
      <w:b/>
    </w:rPr>
  </w:style>
  <w:style w:type="character" w:customStyle="1" w:styleId="aNew-Level33Char">
    <w:name w:val="aNew-Level33 Char"/>
    <w:link w:val="aNew-Level33"/>
    <w:rsid w:val="004C14E7"/>
    <w:rPr>
      <w:rFonts w:ascii="Georgia" w:hAnsi="Georgia"/>
      <w:b/>
      <w:szCs w:val="24"/>
      <w:lang w:eastAsia="de-DE"/>
    </w:rPr>
  </w:style>
  <w:style w:type="character" w:customStyle="1" w:styleId="aNew-BoxTitleChar">
    <w:name w:val="aNew-BoxTitle Char"/>
    <w:link w:val="aNew-BoxTitle"/>
    <w:rsid w:val="003A6E9A"/>
    <w:rPr>
      <w:rFonts w:ascii="Georgia" w:hAnsi="Georgia"/>
      <w:b/>
      <w:szCs w:val="24"/>
      <w:shd w:val="clear" w:color="auto" w:fill="D9D9D9"/>
      <w:lang w:eastAsia="de-DE"/>
    </w:rPr>
  </w:style>
  <w:style w:type="paragraph" w:customStyle="1" w:styleId="aNEW-Paragraph-level2">
    <w:name w:val="aNEW-Paragraph-level2"/>
    <w:basedOn w:val="NEW-Paragraph-level2"/>
    <w:link w:val="aNEW-Paragraph-level2Char"/>
    <w:qFormat/>
    <w:rsid w:val="0061478E"/>
    <w:pPr>
      <w:ind w:left="851" w:hanging="425"/>
    </w:pPr>
  </w:style>
  <w:style w:type="paragraph" w:customStyle="1" w:styleId="aNEW-Paragraph-level3">
    <w:name w:val="aNEW-Paragraph-level3"/>
    <w:basedOn w:val="NEW-Paragraph-level3"/>
    <w:link w:val="aNEW-Paragraph-level3Char"/>
    <w:qFormat/>
    <w:rsid w:val="00566D36"/>
    <w:pPr>
      <w:ind w:left="1276" w:hanging="426"/>
    </w:pPr>
  </w:style>
  <w:style w:type="character" w:customStyle="1" w:styleId="aNEW-Paragraph-level2Char">
    <w:name w:val="aNEW-Paragraph-level2 Char"/>
    <w:link w:val="aNEW-Paragraph-level2"/>
    <w:rsid w:val="0061478E"/>
    <w:rPr>
      <w:rFonts w:ascii="Arial" w:hAnsi="Arial"/>
      <w:lang w:eastAsia="de-DE"/>
    </w:rPr>
  </w:style>
  <w:style w:type="character" w:customStyle="1" w:styleId="aNEW-Paragraph-level3Char">
    <w:name w:val="aNEW-Paragraph-level3 Char"/>
    <w:link w:val="aNEW-Paragraph-level3"/>
    <w:rsid w:val="00566D36"/>
    <w:rPr>
      <w:rFonts w:ascii="Arial" w:hAnsi="Arial"/>
      <w:lang w:eastAsia="de-DE"/>
    </w:rPr>
  </w:style>
  <w:style w:type="paragraph" w:customStyle="1" w:styleId="aNew-Level5">
    <w:name w:val="aNew-Level5"/>
    <w:basedOn w:val="Normalny"/>
    <w:link w:val="aNew-Level5Char"/>
    <w:qFormat/>
    <w:rsid w:val="0096528F"/>
    <w:pPr>
      <w:tabs>
        <w:tab w:val="left" w:pos="720"/>
      </w:tabs>
      <w:spacing w:after="250" w:line="276" w:lineRule="auto"/>
      <w:jc w:val="both"/>
    </w:pPr>
    <w:rPr>
      <w:i/>
      <w:sz w:val="20"/>
      <w:szCs w:val="20"/>
      <w:u w:val="single"/>
    </w:rPr>
  </w:style>
  <w:style w:type="character" w:customStyle="1" w:styleId="aNew-Level5Char">
    <w:name w:val="aNew-Level5 Char"/>
    <w:link w:val="aNew-Level5"/>
    <w:rsid w:val="0096528F"/>
    <w:rPr>
      <w:rFonts w:ascii="Georgia" w:hAnsi="Georgia"/>
      <w:i/>
      <w:u w:val="single"/>
      <w:lang w:eastAsia="de-DE"/>
    </w:rPr>
  </w:style>
  <w:style w:type="paragraph" w:customStyle="1" w:styleId="Questions-ESMA">
    <w:name w:val="Questions-ESMA"/>
    <w:basedOn w:val="Normalny"/>
    <w:link w:val="Questions-ESMAChar"/>
    <w:qFormat/>
    <w:rsid w:val="00A35728"/>
    <w:pPr>
      <w:spacing w:after="120" w:line="264" w:lineRule="auto"/>
      <w:ind w:left="705" w:hanging="705"/>
      <w:jc w:val="both"/>
    </w:pPr>
    <w:rPr>
      <w:rFonts w:ascii="Calibri" w:hAnsi="Calibri"/>
      <w:b/>
      <w:szCs w:val="20"/>
      <w:lang w:eastAsia="en-US"/>
    </w:rPr>
  </w:style>
  <w:style w:type="character" w:customStyle="1" w:styleId="Questions-ESMAChar">
    <w:name w:val="Questions-ESMA Char"/>
    <w:link w:val="Questions-ESMA"/>
    <w:rsid w:val="00A35728"/>
    <w:rPr>
      <w:rFonts w:ascii="Calibri" w:hAnsi="Calibri"/>
      <w:b/>
      <w:sz w:val="22"/>
      <w:lang w:eastAsia="en-US"/>
    </w:rPr>
  </w:style>
  <w:style w:type="paragraph" w:customStyle="1" w:styleId="QST">
    <w:name w:val="QST"/>
    <w:basedOn w:val="Normalny"/>
    <w:link w:val="QSTChar"/>
    <w:qFormat/>
    <w:rsid w:val="00335027"/>
    <w:pPr>
      <w:spacing w:after="250" w:line="276" w:lineRule="auto"/>
      <w:jc w:val="both"/>
    </w:pPr>
    <w:rPr>
      <w:rFonts w:ascii="Calibri" w:hAnsi="Calibri"/>
      <w:szCs w:val="20"/>
      <w:lang w:eastAsia="en-US"/>
    </w:rPr>
  </w:style>
  <w:style w:type="character" w:customStyle="1" w:styleId="QSTChar">
    <w:name w:val="QST Char"/>
    <w:link w:val="QST"/>
    <w:rsid w:val="00335027"/>
    <w:rPr>
      <w:rFonts w:ascii="Calibri" w:hAnsi="Calibri"/>
      <w:sz w:val="22"/>
      <w:lang w:eastAsia="en-US"/>
    </w:rPr>
  </w:style>
  <w:style w:type="character" w:customStyle="1" w:styleId="shorttext">
    <w:name w:val="short_text"/>
    <w:basedOn w:val="Domylnaczcionkaakapitu"/>
    <w:rsid w:val="00017D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347517">
      <w:bodyDiv w:val="1"/>
      <w:marLeft w:val="0"/>
      <w:marRight w:val="0"/>
      <w:marTop w:val="0"/>
      <w:marBottom w:val="0"/>
      <w:divBdr>
        <w:top w:val="none" w:sz="0" w:space="0" w:color="auto"/>
        <w:left w:val="none" w:sz="0" w:space="0" w:color="auto"/>
        <w:bottom w:val="none" w:sz="0" w:space="0" w:color="auto"/>
        <w:right w:val="none" w:sz="0" w:space="0" w:color="auto"/>
      </w:divBdr>
    </w:div>
    <w:div w:id="17854397">
      <w:bodyDiv w:val="1"/>
      <w:marLeft w:val="0"/>
      <w:marRight w:val="0"/>
      <w:marTop w:val="0"/>
      <w:marBottom w:val="0"/>
      <w:divBdr>
        <w:top w:val="none" w:sz="0" w:space="0" w:color="auto"/>
        <w:left w:val="none" w:sz="0" w:space="0" w:color="auto"/>
        <w:bottom w:val="none" w:sz="0" w:space="0" w:color="auto"/>
        <w:right w:val="none" w:sz="0" w:space="0" w:color="auto"/>
      </w:divBdr>
    </w:div>
    <w:div w:id="57823182">
      <w:bodyDiv w:val="1"/>
      <w:marLeft w:val="0"/>
      <w:marRight w:val="0"/>
      <w:marTop w:val="0"/>
      <w:marBottom w:val="0"/>
      <w:divBdr>
        <w:top w:val="none" w:sz="0" w:space="0" w:color="auto"/>
        <w:left w:val="none" w:sz="0" w:space="0" w:color="auto"/>
        <w:bottom w:val="none" w:sz="0" w:space="0" w:color="auto"/>
        <w:right w:val="none" w:sz="0" w:space="0" w:color="auto"/>
      </w:divBdr>
    </w:div>
    <w:div w:id="158081255">
      <w:bodyDiv w:val="1"/>
      <w:marLeft w:val="0"/>
      <w:marRight w:val="0"/>
      <w:marTop w:val="0"/>
      <w:marBottom w:val="0"/>
      <w:divBdr>
        <w:top w:val="none" w:sz="0" w:space="0" w:color="auto"/>
        <w:left w:val="none" w:sz="0" w:space="0" w:color="auto"/>
        <w:bottom w:val="none" w:sz="0" w:space="0" w:color="auto"/>
        <w:right w:val="none" w:sz="0" w:space="0" w:color="auto"/>
      </w:divBdr>
    </w:div>
    <w:div w:id="190606614">
      <w:bodyDiv w:val="1"/>
      <w:marLeft w:val="0"/>
      <w:marRight w:val="0"/>
      <w:marTop w:val="0"/>
      <w:marBottom w:val="0"/>
      <w:divBdr>
        <w:top w:val="none" w:sz="0" w:space="0" w:color="auto"/>
        <w:left w:val="none" w:sz="0" w:space="0" w:color="auto"/>
        <w:bottom w:val="none" w:sz="0" w:space="0" w:color="auto"/>
        <w:right w:val="none" w:sz="0" w:space="0" w:color="auto"/>
      </w:divBdr>
    </w:div>
    <w:div w:id="224268557">
      <w:bodyDiv w:val="1"/>
      <w:marLeft w:val="0"/>
      <w:marRight w:val="0"/>
      <w:marTop w:val="0"/>
      <w:marBottom w:val="0"/>
      <w:divBdr>
        <w:top w:val="none" w:sz="0" w:space="0" w:color="auto"/>
        <w:left w:val="none" w:sz="0" w:space="0" w:color="auto"/>
        <w:bottom w:val="none" w:sz="0" w:space="0" w:color="auto"/>
        <w:right w:val="none" w:sz="0" w:space="0" w:color="auto"/>
      </w:divBdr>
    </w:div>
    <w:div w:id="281232644">
      <w:bodyDiv w:val="1"/>
      <w:marLeft w:val="0"/>
      <w:marRight w:val="0"/>
      <w:marTop w:val="0"/>
      <w:marBottom w:val="0"/>
      <w:divBdr>
        <w:top w:val="none" w:sz="0" w:space="0" w:color="auto"/>
        <w:left w:val="none" w:sz="0" w:space="0" w:color="auto"/>
        <w:bottom w:val="none" w:sz="0" w:space="0" w:color="auto"/>
        <w:right w:val="none" w:sz="0" w:space="0" w:color="auto"/>
      </w:divBdr>
    </w:div>
    <w:div w:id="296954131">
      <w:bodyDiv w:val="1"/>
      <w:marLeft w:val="0"/>
      <w:marRight w:val="0"/>
      <w:marTop w:val="0"/>
      <w:marBottom w:val="0"/>
      <w:divBdr>
        <w:top w:val="none" w:sz="0" w:space="0" w:color="auto"/>
        <w:left w:val="none" w:sz="0" w:space="0" w:color="auto"/>
        <w:bottom w:val="none" w:sz="0" w:space="0" w:color="auto"/>
        <w:right w:val="none" w:sz="0" w:space="0" w:color="auto"/>
      </w:divBdr>
    </w:div>
    <w:div w:id="303509157">
      <w:bodyDiv w:val="1"/>
      <w:marLeft w:val="0"/>
      <w:marRight w:val="0"/>
      <w:marTop w:val="0"/>
      <w:marBottom w:val="0"/>
      <w:divBdr>
        <w:top w:val="none" w:sz="0" w:space="0" w:color="auto"/>
        <w:left w:val="none" w:sz="0" w:space="0" w:color="auto"/>
        <w:bottom w:val="none" w:sz="0" w:space="0" w:color="auto"/>
        <w:right w:val="none" w:sz="0" w:space="0" w:color="auto"/>
      </w:divBdr>
    </w:div>
    <w:div w:id="356543969">
      <w:bodyDiv w:val="1"/>
      <w:marLeft w:val="0"/>
      <w:marRight w:val="0"/>
      <w:marTop w:val="0"/>
      <w:marBottom w:val="0"/>
      <w:divBdr>
        <w:top w:val="none" w:sz="0" w:space="0" w:color="auto"/>
        <w:left w:val="none" w:sz="0" w:space="0" w:color="auto"/>
        <w:bottom w:val="none" w:sz="0" w:space="0" w:color="auto"/>
        <w:right w:val="none" w:sz="0" w:space="0" w:color="auto"/>
      </w:divBdr>
    </w:div>
    <w:div w:id="422921667">
      <w:bodyDiv w:val="1"/>
      <w:marLeft w:val="0"/>
      <w:marRight w:val="0"/>
      <w:marTop w:val="0"/>
      <w:marBottom w:val="0"/>
      <w:divBdr>
        <w:top w:val="none" w:sz="0" w:space="0" w:color="auto"/>
        <w:left w:val="none" w:sz="0" w:space="0" w:color="auto"/>
        <w:bottom w:val="none" w:sz="0" w:space="0" w:color="auto"/>
        <w:right w:val="none" w:sz="0" w:space="0" w:color="auto"/>
      </w:divBdr>
    </w:div>
    <w:div w:id="471335066">
      <w:bodyDiv w:val="1"/>
      <w:marLeft w:val="0"/>
      <w:marRight w:val="0"/>
      <w:marTop w:val="0"/>
      <w:marBottom w:val="0"/>
      <w:divBdr>
        <w:top w:val="none" w:sz="0" w:space="0" w:color="auto"/>
        <w:left w:val="none" w:sz="0" w:space="0" w:color="auto"/>
        <w:bottom w:val="none" w:sz="0" w:space="0" w:color="auto"/>
        <w:right w:val="none" w:sz="0" w:space="0" w:color="auto"/>
      </w:divBdr>
    </w:div>
    <w:div w:id="513423986">
      <w:bodyDiv w:val="1"/>
      <w:marLeft w:val="0"/>
      <w:marRight w:val="0"/>
      <w:marTop w:val="0"/>
      <w:marBottom w:val="0"/>
      <w:divBdr>
        <w:top w:val="none" w:sz="0" w:space="0" w:color="auto"/>
        <w:left w:val="none" w:sz="0" w:space="0" w:color="auto"/>
        <w:bottom w:val="none" w:sz="0" w:space="0" w:color="auto"/>
        <w:right w:val="none" w:sz="0" w:space="0" w:color="auto"/>
      </w:divBdr>
    </w:div>
    <w:div w:id="558515657">
      <w:bodyDiv w:val="1"/>
      <w:marLeft w:val="0"/>
      <w:marRight w:val="0"/>
      <w:marTop w:val="0"/>
      <w:marBottom w:val="0"/>
      <w:divBdr>
        <w:top w:val="none" w:sz="0" w:space="0" w:color="auto"/>
        <w:left w:val="none" w:sz="0" w:space="0" w:color="auto"/>
        <w:bottom w:val="none" w:sz="0" w:space="0" w:color="auto"/>
        <w:right w:val="none" w:sz="0" w:space="0" w:color="auto"/>
      </w:divBdr>
    </w:div>
    <w:div w:id="586503352">
      <w:bodyDiv w:val="1"/>
      <w:marLeft w:val="0"/>
      <w:marRight w:val="0"/>
      <w:marTop w:val="0"/>
      <w:marBottom w:val="0"/>
      <w:divBdr>
        <w:top w:val="none" w:sz="0" w:space="0" w:color="auto"/>
        <w:left w:val="none" w:sz="0" w:space="0" w:color="auto"/>
        <w:bottom w:val="none" w:sz="0" w:space="0" w:color="auto"/>
        <w:right w:val="none" w:sz="0" w:space="0" w:color="auto"/>
      </w:divBdr>
    </w:div>
    <w:div w:id="737753478">
      <w:bodyDiv w:val="1"/>
      <w:marLeft w:val="0"/>
      <w:marRight w:val="0"/>
      <w:marTop w:val="0"/>
      <w:marBottom w:val="0"/>
      <w:divBdr>
        <w:top w:val="none" w:sz="0" w:space="0" w:color="auto"/>
        <w:left w:val="none" w:sz="0" w:space="0" w:color="auto"/>
        <w:bottom w:val="none" w:sz="0" w:space="0" w:color="auto"/>
        <w:right w:val="none" w:sz="0" w:space="0" w:color="auto"/>
      </w:divBdr>
    </w:div>
    <w:div w:id="757751132">
      <w:bodyDiv w:val="1"/>
      <w:marLeft w:val="0"/>
      <w:marRight w:val="0"/>
      <w:marTop w:val="0"/>
      <w:marBottom w:val="0"/>
      <w:divBdr>
        <w:top w:val="none" w:sz="0" w:space="0" w:color="auto"/>
        <w:left w:val="none" w:sz="0" w:space="0" w:color="auto"/>
        <w:bottom w:val="none" w:sz="0" w:space="0" w:color="auto"/>
        <w:right w:val="none" w:sz="0" w:space="0" w:color="auto"/>
      </w:divBdr>
    </w:div>
    <w:div w:id="842477076">
      <w:bodyDiv w:val="1"/>
      <w:marLeft w:val="0"/>
      <w:marRight w:val="0"/>
      <w:marTop w:val="0"/>
      <w:marBottom w:val="0"/>
      <w:divBdr>
        <w:top w:val="none" w:sz="0" w:space="0" w:color="auto"/>
        <w:left w:val="none" w:sz="0" w:space="0" w:color="auto"/>
        <w:bottom w:val="none" w:sz="0" w:space="0" w:color="auto"/>
        <w:right w:val="none" w:sz="0" w:space="0" w:color="auto"/>
      </w:divBdr>
    </w:div>
    <w:div w:id="857616854">
      <w:bodyDiv w:val="1"/>
      <w:marLeft w:val="0"/>
      <w:marRight w:val="0"/>
      <w:marTop w:val="0"/>
      <w:marBottom w:val="0"/>
      <w:divBdr>
        <w:top w:val="none" w:sz="0" w:space="0" w:color="auto"/>
        <w:left w:val="none" w:sz="0" w:space="0" w:color="auto"/>
        <w:bottom w:val="none" w:sz="0" w:space="0" w:color="auto"/>
        <w:right w:val="none" w:sz="0" w:space="0" w:color="auto"/>
      </w:divBdr>
    </w:div>
    <w:div w:id="964964126">
      <w:bodyDiv w:val="1"/>
      <w:marLeft w:val="0"/>
      <w:marRight w:val="0"/>
      <w:marTop w:val="0"/>
      <w:marBottom w:val="0"/>
      <w:divBdr>
        <w:top w:val="none" w:sz="0" w:space="0" w:color="auto"/>
        <w:left w:val="none" w:sz="0" w:space="0" w:color="auto"/>
        <w:bottom w:val="none" w:sz="0" w:space="0" w:color="auto"/>
        <w:right w:val="none" w:sz="0" w:space="0" w:color="auto"/>
      </w:divBdr>
    </w:div>
    <w:div w:id="1114903504">
      <w:bodyDiv w:val="1"/>
      <w:marLeft w:val="0"/>
      <w:marRight w:val="0"/>
      <w:marTop w:val="0"/>
      <w:marBottom w:val="0"/>
      <w:divBdr>
        <w:top w:val="none" w:sz="0" w:space="0" w:color="auto"/>
        <w:left w:val="none" w:sz="0" w:space="0" w:color="auto"/>
        <w:bottom w:val="none" w:sz="0" w:space="0" w:color="auto"/>
        <w:right w:val="none" w:sz="0" w:space="0" w:color="auto"/>
      </w:divBdr>
    </w:div>
    <w:div w:id="1191528169">
      <w:bodyDiv w:val="1"/>
      <w:marLeft w:val="0"/>
      <w:marRight w:val="0"/>
      <w:marTop w:val="0"/>
      <w:marBottom w:val="0"/>
      <w:divBdr>
        <w:top w:val="none" w:sz="0" w:space="0" w:color="auto"/>
        <w:left w:val="none" w:sz="0" w:space="0" w:color="auto"/>
        <w:bottom w:val="none" w:sz="0" w:space="0" w:color="auto"/>
        <w:right w:val="none" w:sz="0" w:space="0" w:color="auto"/>
      </w:divBdr>
    </w:div>
    <w:div w:id="1194613964">
      <w:bodyDiv w:val="1"/>
      <w:marLeft w:val="0"/>
      <w:marRight w:val="0"/>
      <w:marTop w:val="0"/>
      <w:marBottom w:val="0"/>
      <w:divBdr>
        <w:top w:val="none" w:sz="0" w:space="0" w:color="auto"/>
        <w:left w:val="none" w:sz="0" w:space="0" w:color="auto"/>
        <w:bottom w:val="none" w:sz="0" w:space="0" w:color="auto"/>
        <w:right w:val="none" w:sz="0" w:space="0" w:color="auto"/>
      </w:divBdr>
    </w:div>
    <w:div w:id="1242056670">
      <w:bodyDiv w:val="1"/>
      <w:marLeft w:val="0"/>
      <w:marRight w:val="0"/>
      <w:marTop w:val="0"/>
      <w:marBottom w:val="0"/>
      <w:divBdr>
        <w:top w:val="none" w:sz="0" w:space="0" w:color="auto"/>
        <w:left w:val="none" w:sz="0" w:space="0" w:color="auto"/>
        <w:bottom w:val="none" w:sz="0" w:space="0" w:color="auto"/>
        <w:right w:val="none" w:sz="0" w:space="0" w:color="auto"/>
      </w:divBdr>
    </w:div>
    <w:div w:id="1362826946">
      <w:bodyDiv w:val="1"/>
      <w:marLeft w:val="0"/>
      <w:marRight w:val="0"/>
      <w:marTop w:val="0"/>
      <w:marBottom w:val="0"/>
      <w:divBdr>
        <w:top w:val="none" w:sz="0" w:space="0" w:color="auto"/>
        <w:left w:val="none" w:sz="0" w:space="0" w:color="auto"/>
        <w:bottom w:val="none" w:sz="0" w:space="0" w:color="auto"/>
        <w:right w:val="none" w:sz="0" w:space="0" w:color="auto"/>
      </w:divBdr>
    </w:div>
    <w:div w:id="1386684057">
      <w:bodyDiv w:val="1"/>
      <w:marLeft w:val="0"/>
      <w:marRight w:val="0"/>
      <w:marTop w:val="0"/>
      <w:marBottom w:val="0"/>
      <w:divBdr>
        <w:top w:val="none" w:sz="0" w:space="0" w:color="auto"/>
        <w:left w:val="none" w:sz="0" w:space="0" w:color="auto"/>
        <w:bottom w:val="none" w:sz="0" w:space="0" w:color="auto"/>
        <w:right w:val="none" w:sz="0" w:space="0" w:color="auto"/>
      </w:divBdr>
    </w:div>
    <w:div w:id="1567841197">
      <w:bodyDiv w:val="1"/>
      <w:marLeft w:val="0"/>
      <w:marRight w:val="0"/>
      <w:marTop w:val="0"/>
      <w:marBottom w:val="0"/>
      <w:divBdr>
        <w:top w:val="none" w:sz="0" w:space="0" w:color="auto"/>
        <w:left w:val="none" w:sz="0" w:space="0" w:color="auto"/>
        <w:bottom w:val="none" w:sz="0" w:space="0" w:color="auto"/>
        <w:right w:val="none" w:sz="0" w:space="0" w:color="auto"/>
      </w:divBdr>
    </w:div>
    <w:div w:id="1615332089">
      <w:bodyDiv w:val="1"/>
      <w:marLeft w:val="0"/>
      <w:marRight w:val="0"/>
      <w:marTop w:val="0"/>
      <w:marBottom w:val="0"/>
      <w:divBdr>
        <w:top w:val="none" w:sz="0" w:space="0" w:color="auto"/>
        <w:left w:val="none" w:sz="0" w:space="0" w:color="auto"/>
        <w:bottom w:val="none" w:sz="0" w:space="0" w:color="auto"/>
        <w:right w:val="none" w:sz="0" w:space="0" w:color="auto"/>
      </w:divBdr>
    </w:div>
    <w:div w:id="1695645049">
      <w:bodyDiv w:val="1"/>
      <w:marLeft w:val="0"/>
      <w:marRight w:val="0"/>
      <w:marTop w:val="0"/>
      <w:marBottom w:val="0"/>
      <w:divBdr>
        <w:top w:val="none" w:sz="0" w:space="0" w:color="auto"/>
        <w:left w:val="none" w:sz="0" w:space="0" w:color="auto"/>
        <w:bottom w:val="none" w:sz="0" w:space="0" w:color="auto"/>
        <w:right w:val="none" w:sz="0" w:space="0" w:color="auto"/>
      </w:divBdr>
    </w:div>
    <w:div w:id="1802725509">
      <w:bodyDiv w:val="1"/>
      <w:marLeft w:val="0"/>
      <w:marRight w:val="0"/>
      <w:marTop w:val="0"/>
      <w:marBottom w:val="0"/>
      <w:divBdr>
        <w:top w:val="none" w:sz="0" w:space="0" w:color="auto"/>
        <w:left w:val="none" w:sz="0" w:space="0" w:color="auto"/>
        <w:bottom w:val="none" w:sz="0" w:space="0" w:color="auto"/>
        <w:right w:val="none" w:sz="0" w:space="0" w:color="auto"/>
      </w:divBdr>
    </w:div>
    <w:div w:id="1806435111">
      <w:bodyDiv w:val="1"/>
      <w:marLeft w:val="0"/>
      <w:marRight w:val="0"/>
      <w:marTop w:val="0"/>
      <w:marBottom w:val="0"/>
      <w:divBdr>
        <w:top w:val="none" w:sz="0" w:space="0" w:color="auto"/>
        <w:left w:val="none" w:sz="0" w:space="0" w:color="auto"/>
        <w:bottom w:val="none" w:sz="0" w:space="0" w:color="auto"/>
        <w:right w:val="none" w:sz="0" w:space="0" w:color="auto"/>
      </w:divBdr>
    </w:div>
    <w:div w:id="1899977937">
      <w:bodyDiv w:val="1"/>
      <w:marLeft w:val="0"/>
      <w:marRight w:val="0"/>
      <w:marTop w:val="0"/>
      <w:marBottom w:val="0"/>
      <w:divBdr>
        <w:top w:val="none" w:sz="0" w:space="0" w:color="auto"/>
        <w:left w:val="none" w:sz="0" w:space="0" w:color="auto"/>
        <w:bottom w:val="none" w:sz="0" w:space="0" w:color="auto"/>
        <w:right w:val="none" w:sz="0" w:space="0" w:color="auto"/>
      </w:divBdr>
    </w:div>
    <w:div w:id="1926573545">
      <w:bodyDiv w:val="1"/>
      <w:marLeft w:val="0"/>
      <w:marRight w:val="0"/>
      <w:marTop w:val="0"/>
      <w:marBottom w:val="0"/>
      <w:divBdr>
        <w:top w:val="none" w:sz="0" w:space="0" w:color="auto"/>
        <w:left w:val="none" w:sz="0" w:space="0" w:color="auto"/>
        <w:bottom w:val="none" w:sz="0" w:space="0" w:color="auto"/>
        <w:right w:val="none" w:sz="0" w:space="0" w:color="auto"/>
      </w:divBdr>
    </w:div>
    <w:div w:id="2066952188">
      <w:bodyDiv w:val="1"/>
      <w:marLeft w:val="0"/>
      <w:marRight w:val="0"/>
      <w:marTop w:val="0"/>
      <w:marBottom w:val="0"/>
      <w:divBdr>
        <w:top w:val="none" w:sz="0" w:space="0" w:color="auto"/>
        <w:left w:val="none" w:sz="0" w:space="0" w:color="auto"/>
        <w:bottom w:val="none" w:sz="0" w:space="0" w:color="auto"/>
        <w:right w:val="none" w:sz="0" w:space="0" w:color="auto"/>
      </w:divBdr>
    </w:div>
    <w:div w:id="2071028652">
      <w:bodyDiv w:val="1"/>
      <w:marLeft w:val="0"/>
      <w:marRight w:val="0"/>
      <w:marTop w:val="0"/>
      <w:marBottom w:val="0"/>
      <w:divBdr>
        <w:top w:val="none" w:sz="0" w:space="0" w:color="auto"/>
        <w:left w:val="none" w:sz="0" w:space="0" w:color="auto"/>
        <w:bottom w:val="none" w:sz="0" w:space="0" w:color="auto"/>
        <w:right w:val="none" w:sz="0" w:space="0" w:color="auto"/>
      </w:divBdr>
    </w:div>
    <w:div w:id="2097969875">
      <w:bodyDiv w:val="1"/>
      <w:marLeft w:val="0"/>
      <w:marRight w:val="0"/>
      <w:marTop w:val="0"/>
      <w:marBottom w:val="0"/>
      <w:divBdr>
        <w:top w:val="none" w:sz="0" w:space="0" w:color="auto"/>
        <w:left w:val="none" w:sz="0" w:space="0" w:color="auto"/>
        <w:bottom w:val="none" w:sz="0" w:space="0" w:color="auto"/>
        <w:right w:val="none" w:sz="0" w:space="0" w:color="auto"/>
      </w:divBdr>
    </w:div>
    <w:div w:id="2100251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esma.europa.eu" TargetMode="Externa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microsoft.com/office/2007/relationships/stylesWithEffects" Target="stylesWithEffect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glossaryDocument" Target="glossary/document.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http://www.esma.europa.eu"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www.financialstabilityboard.org/2014/10/r_141015/" TargetMode="External"/><Relationship Id="rId1" Type="http://schemas.openxmlformats.org/officeDocument/2006/relationships/hyperlink" Target="http://www.bis.org/cpmi/publ/d101.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4.xml.rels><?xml version="1.0" encoding="UTF-8" standalone="yes"?>
<Relationships xmlns="http://schemas.openxmlformats.org/package/2006/relationships"><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65E85BD11FA34C35ABE725446C5BAEC5"/>
        <w:category>
          <w:name w:val="General"/>
          <w:gallery w:val="placeholder"/>
        </w:category>
        <w:types>
          <w:type w:val="bbPlcHdr"/>
        </w:types>
        <w:behaviors>
          <w:behavior w:val="content"/>
        </w:behaviors>
        <w:guid w:val="{58B88D84-326A-40AF-A15B-47C410EA3821}"/>
      </w:docPartPr>
      <w:docPartBody>
        <w:p w:rsidR="008917E2" w:rsidRDefault="006A5A0A" w:rsidP="006A5A0A">
          <w:pPr>
            <w:pStyle w:val="65E85BD11FA34C35ABE725446C5BAEC5"/>
          </w:pPr>
          <w:r w:rsidRPr="000E3791">
            <w:rPr>
              <w:rStyle w:val="Tekstzastpczy"/>
            </w:rPr>
            <w:t>Choose an item.</w:t>
          </w:r>
        </w:p>
      </w:docPartBody>
    </w:docPart>
    <w:docPart>
      <w:docPartPr>
        <w:name w:val="98048A7DD8DF4A6B8C6CF00D9B1940F8"/>
        <w:category>
          <w:name w:val="General"/>
          <w:gallery w:val="placeholder"/>
        </w:category>
        <w:types>
          <w:type w:val="bbPlcHdr"/>
        </w:types>
        <w:behaviors>
          <w:behavior w:val="content"/>
        </w:behaviors>
        <w:guid w:val="{61EC2123-8C0C-4584-B757-952EBCA8739B}"/>
      </w:docPartPr>
      <w:docPartBody>
        <w:p w:rsidR="008917E2" w:rsidRDefault="006A5A0A" w:rsidP="006A5A0A">
          <w:pPr>
            <w:pStyle w:val="98048A7DD8DF4A6B8C6CF00D9B1940F8"/>
          </w:pPr>
          <w:r w:rsidRPr="000E3791">
            <w:rPr>
              <w:rStyle w:val="Tekstzastpczy"/>
            </w:rPr>
            <w:t>Choose an item.</w:t>
          </w:r>
        </w:p>
      </w:docPartBody>
    </w:docPart>
    <w:docPart>
      <w:docPartPr>
        <w:name w:val="5EAC301EA3224F67909AA00721C3F8B7"/>
        <w:category>
          <w:name w:val="General"/>
          <w:gallery w:val="placeholder"/>
        </w:category>
        <w:types>
          <w:type w:val="bbPlcHdr"/>
        </w:types>
        <w:behaviors>
          <w:behavior w:val="content"/>
        </w:behaviors>
        <w:guid w:val="{46FF2BF0-777C-4B97-B3E4-17DE1AA19E86}"/>
      </w:docPartPr>
      <w:docPartBody>
        <w:p w:rsidR="008917E2" w:rsidRDefault="006A5A0A" w:rsidP="006A5A0A">
          <w:pPr>
            <w:pStyle w:val="5EAC301EA3224F67909AA00721C3F8B7"/>
          </w:pPr>
          <w:r w:rsidRPr="000E3791">
            <w:rPr>
              <w:rStyle w:val="Tekstzastpczy"/>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Georgia">
    <w:panose1 w:val="02040502050405020303"/>
    <w:charset w:val="EE"/>
    <w:family w:val="roman"/>
    <w:pitch w:val="variable"/>
    <w:sig w:usb0="00000287" w:usb1="00000000" w:usb2="00000000" w:usb3="00000000" w:csb0="0000009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Lucida Grande">
    <w:charset w:val="00"/>
    <w:family w:val="auto"/>
    <w:pitch w:val="variable"/>
    <w:sig w:usb0="00000003" w:usb1="00000000" w:usb2="00000000" w:usb3="00000000" w:csb0="00000001" w:csb1="00000000"/>
  </w:font>
  <w:font w:name="EUAlbertina">
    <w:altName w:val="Times New Roman"/>
    <w:panose1 w:val="00000000000000000000"/>
    <w:charset w:val="00"/>
    <w:family w:val="roman"/>
    <w:notTrueType/>
    <w:pitch w:val="default"/>
    <w:sig w:usb0="00000001" w:usb1="00000000" w:usb2="00000000" w:usb3="00000000" w:csb0="00000003" w:csb1="00000000"/>
  </w:font>
  <w:font w:name="Consolas">
    <w:panose1 w:val="020B0609020204030204"/>
    <w:charset w:val="EE"/>
    <w:family w:val="modern"/>
    <w:pitch w:val="fixed"/>
    <w:sig w:usb0="E10002FF" w:usb1="4000FCFF" w:usb2="00000009" w:usb3="00000000" w:csb0="0000019F" w:csb1="00000000"/>
  </w:font>
  <w:font w:name="Verdana">
    <w:panose1 w:val="020B0604030504040204"/>
    <w:charset w:val="EE"/>
    <w:family w:val="swiss"/>
    <w:pitch w:val="variable"/>
    <w:sig w:usb0="A10006FF" w:usb1="4000205B" w:usb2="00000010" w:usb3="00000000" w:csb0="0000019F" w:csb1="00000000"/>
  </w:font>
  <w:font w:name="Celeste">
    <w:altName w:val="Times New Roman"/>
    <w:panose1 w:val="00000000000000000000"/>
    <w:charset w:val="00"/>
    <w:family w:val="swiss"/>
    <w:notTrueType/>
    <w:pitch w:val="variable"/>
    <w:sig w:usb0="00000003" w:usb1="00000000" w:usb2="00000000" w:usb3="00000000" w:csb0="00000001" w:csb1="00000000"/>
  </w:font>
  <w:font w:name="Century Schoolbook">
    <w:panose1 w:val="02040604050505020304"/>
    <w:charset w:val="EE"/>
    <w:family w:val="roman"/>
    <w:pitch w:val="variable"/>
    <w:sig w:usb0="00000287" w:usb1="00000000" w:usb2="00000000" w:usb3="00000000" w:csb0="0000009F" w:csb1="00000000"/>
  </w:font>
  <w:font w:name="Garamond">
    <w:panose1 w:val="02020404030301010803"/>
    <w:charset w:val="EE"/>
    <w:family w:val="roman"/>
    <w:pitch w:val="variable"/>
    <w:sig w:usb0="00000287" w:usb1="00000000" w:usb2="00000000" w:usb3="00000000" w:csb0="0000009F" w:csb1="00000000"/>
  </w:font>
  <w:font w:name="Liberation Serif">
    <w:altName w:val="Times New Roman"/>
    <w:charset w:val="00"/>
    <w:family w:val="roman"/>
    <w:pitch w:val="variable"/>
  </w:font>
  <w:font w:name="Myriad Pro Light">
    <w:altName w:val="Corbel"/>
    <w:panose1 w:val="00000000000000000000"/>
    <w:charset w:val="00"/>
    <w:family w:val="roman"/>
    <w:notTrueType/>
    <w:pitch w:val="default"/>
    <w:sig w:usb0="00000003" w:usb1="00000000" w:usb2="00000000" w:usb3="00000000" w:csb0="00000001" w:csb1="00000000"/>
  </w:font>
  <w:font w:name="Meta Offc Pro Book">
    <w:panose1 w:val="020B0604030101020102"/>
    <w:charset w:val="EE"/>
    <w:family w:val="swiss"/>
    <w:pitch w:val="variable"/>
    <w:sig w:usb0="A00002BF" w:usb1="4000207B" w:usb2="00000000" w:usb3="00000000" w:csb0="0000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insDel="0" w:formatting="0"/>
  <w:defaultTabStop w:val="720"/>
  <w:hyphenationZone w:val="425"/>
  <w:characterSpacingControl w:val="doNotCompress"/>
  <w:compat>
    <w:useFELayout/>
    <w:compatSetting w:name="compatibilityMode" w:uri="http://schemas.microsoft.com/office/word" w:val="12"/>
  </w:compat>
  <w:rsids>
    <w:rsidRoot w:val="00B4208E"/>
    <w:rsid w:val="00064A17"/>
    <w:rsid w:val="00115F64"/>
    <w:rsid w:val="00263CBC"/>
    <w:rsid w:val="004B2C78"/>
    <w:rsid w:val="006A5A0A"/>
    <w:rsid w:val="008437E4"/>
    <w:rsid w:val="008917E2"/>
    <w:rsid w:val="00953A5F"/>
    <w:rsid w:val="00A45FEF"/>
    <w:rsid w:val="00AB2142"/>
    <w:rsid w:val="00AF2479"/>
    <w:rsid w:val="00B4208E"/>
    <w:rsid w:val="00F17409"/>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A45FEF"/>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Tekstzastpczy">
    <w:name w:val="Placeholder Text"/>
    <w:basedOn w:val="Domylnaczcionkaakapitu"/>
    <w:uiPriority w:val="99"/>
    <w:semiHidden/>
    <w:rsid w:val="006A5A0A"/>
    <w:rPr>
      <w:color w:val="808080"/>
    </w:rPr>
  </w:style>
  <w:style w:type="paragraph" w:customStyle="1" w:styleId="E40A493F144E41ECA62BDE647316E137">
    <w:name w:val="E40A493F144E41ECA62BDE647316E137"/>
    <w:rsid w:val="00B4208E"/>
  </w:style>
  <w:style w:type="paragraph" w:customStyle="1" w:styleId="F2B292245666475AA3044F6299247043">
    <w:name w:val="F2B292245666475AA3044F6299247043"/>
    <w:rsid w:val="00B4208E"/>
  </w:style>
  <w:style w:type="paragraph" w:customStyle="1" w:styleId="5ED4348BFAEF449DB6E13134DA79834C">
    <w:name w:val="5ED4348BFAEF449DB6E13134DA79834C"/>
    <w:rsid w:val="00B4208E"/>
  </w:style>
  <w:style w:type="paragraph" w:customStyle="1" w:styleId="E105B5D91C05477A868B8E1049464E56">
    <w:name w:val="E105B5D91C05477A868B8E1049464E56"/>
    <w:rsid w:val="00B4208E"/>
  </w:style>
  <w:style w:type="paragraph" w:customStyle="1" w:styleId="04BA6A02474A4CB4826A2A1E06A5D98D">
    <w:name w:val="04BA6A02474A4CB4826A2A1E06A5D98D"/>
    <w:rsid w:val="00B4208E"/>
  </w:style>
  <w:style w:type="paragraph" w:customStyle="1" w:styleId="564C2A51B86347C5BEACA9504F673FB9">
    <w:name w:val="564C2A51B86347C5BEACA9504F673FB9"/>
    <w:rsid w:val="00B4208E"/>
  </w:style>
  <w:style w:type="paragraph" w:customStyle="1" w:styleId="65E85BD11FA34C35ABE725446C5BAEC5">
    <w:name w:val="65E85BD11FA34C35ABE725446C5BAEC5"/>
    <w:rsid w:val="006A5A0A"/>
  </w:style>
  <w:style w:type="paragraph" w:customStyle="1" w:styleId="98048A7DD8DF4A6B8C6CF00D9B1940F8">
    <w:name w:val="98048A7DD8DF4A6B8C6CF00D9B1940F8"/>
    <w:rsid w:val="006A5A0A"/>
  </w:style>
  <w:style w:type="paragraph" w:customStyle="1" w:styleId="5EAC301EA3224F67909AA00721C3F8B7">
    <w:name w:val="5EAC301EA3224F67909AA00721C3F8B7"/>
    <w:rsid w:val="006A5A0A"/>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098AE5-9143-4B72-885B-3B9BC967F8A8}">
  <ds:schemaRefs>
    <ds:schemaRef ds:uri="http://schemas.openxmlformats.org/officeDocument/2006/bibliography"/>
  </ds:schemaRefs>
</ds:datastoreItem>
</file>

<file path=customXml/itemProps2.xml><?xml version="1.0" encoding="utf-8"?>
<ds:datastoreItem xmlns:ds="http://schemas.openxmlformats.org/officeDocument/2006/customXml" ds:itemID="{FBE1A0B2-31D3-4FB8-83C3-5A186B6275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517</TotalTime>
  <Pages>27</Pages>
  <Words>10917</Words>
  <Characters>65506</Characters>
  <Application>Microsoft Office Word</Application>
  <DocSecurity>8</DocSecurity>
  <Lines>545</Lines>
  <Paragraphs>152</Paragraphs>
  <ScaleCrop>false</ScaleCrop>
  <HeadingPairs>
    <vt:vector size="12" baseType="variant">
      <vt:variant>
        <vt:lpstr>Tytuł</vt:lpstr>
      </vt:variant>
      <vt:variant>
        <vt:i4>1</vt:i4>
      </vt:variant>
      <vt:variant>
        <vt:lpstr>Title</vt:lpstr>
      </vt:variant>
      <vt:variant>
        <vt:i4>1</vt:i4>
      </vt:variant>
      <vt:variant>
        <vt:lpstr>Título</vt:lpstr>
      </vt:variant>
      <vt:variant>
        <vt:i4>1</vt:i4>
      </vt:variant>
      <vt:variant>
        <vt:lpstr>Titolo</vt:lpstr>
      </vt:variant>
      <vt:variant>
        <vt:i4>1</vt:i4>
      </vt:variant>
      <vt:variant>
        <vt:lpstr>Titre</vt:lpstr>
      </vt:variant>
      <vt:variant>
        <vt:i4>1</vt:i4>
      </vt:variant>
      <vt:variant>
        <vt:lpstr>Titel</vt:lpstr>
      </vt:variant>
      <vt:variant>
        <vt:i4>1</vt:i4>
      </vt:variant>
    </vt:vector>
  </HeadingPairs>
  <TitlesOfParts>
    <vt:vector size="6" baseType="lpstr">
      <vt:lpstr>Reply form for the MiFID II/MiFIR Consultation Paper</vt:lpstr>
      <vt:lpstr>Reply form for the MiFID II/MiFIR Consultation Paper</vt:lpstr>
      <vt:lpstr>20110000</vt:lpstr>
      <vt:lpstr>20110000</vt:lpstr>
      <vt:lpstr>20110000</vt:lpstr>
      <vt:lpstr>20110000</vt:lpstr>
    </vt:vector>
  </TitlesOfParts>
  <Company>ESMA</Company>
  <LinksUpToDate>false</LinksUpToDate>
  <CharactersWithSpaces>76271</CharactersWithSpaces>
  <SharedDoc>false</SharedDoc>
  <HLinks>
    <vt:vector size="18" baseType="variant">
      <vt:variant>
        <vt:i4>3932286</vt:i4>
      </vt:variant>
      <vt:variant>
        <vt:i4>6</vt:i4>
      </vt:variant>
      <vt:variant>
        <vt:i4>0</vt:i4>
      </vt:variant>
      <vt:variant>
        <vt:i4>5</vt:i4>
      </vt:variant>
      <vt:variant>
        <vt:lpwstr>http://www.esma.europa.eu/</vt:lpwstr>
      </vt:variant>
      <vt:variant>
        <vt:lpwstr/>
      </vt:variant>
      <vt:variant>
        <vt:i4>3932286</vt:i4>
      </vt:variant>
      <vt:variant>
        <vt:i4>3</vt:i4>
      </vt:variant>
      <vt:variant>
        <vt:i4>0</vt:i4>
      </vt:variant>
      <vt:variant>
        <vt:i4>5</vt:i4>
      </vt:variant>
      <vt:variant>
        <vt:lpwstr>http://www.esma.europa.eu/</vt:lpwstr>
      </vt:variant>
      <vt:variant>
        <vt:lpwstr/>
      </vt:variant>
      <vt:variant>
        <vt:i4>8192101</vt:i4>
      </vt:variant>
      <vt:variant>
        <vt:i4>0</vt:i4>
      </vt:variant>
      <vt:variant>
        <vt:i4>0</vt:i4>
      </vt:variant>
      <vt:variant>
        <vt:i4>5</vt:i4>
      </vt:variant>
      <vt:variant>
        <vt:lpwstr>http://www.esma.europa.eu/consultation/Consultation-Paper-Draft-technical-advice-possible-delegated-acts-concerning-Market-Abu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Reply form for the MiFID II/MiFIR Consultation Paper</dc:title>
  <dc:creator>ESMA</dc:creator>
  <cp:lastModifiedBy>Zielińska Anna</cp:lastModifiedBy>
  <cp:revision>29</cp:revision>
  <cp:lastPrinted>2015-02-17T08:40:00Z</cp:lastPrinted>
  <dcterms:created xsi:type="dcterms:W3CDTF">2015-02-17T07:56:00Z</dcterms:created>
  <dcterms:modified xsi:type="dcterms:W3CDTF">2015-02-18T15:34:00Z</dcterms:modified>
</cp:coreProperties>
</file>