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E679BA" w:rsidTr="00315E96">
        <w:trPr>
          <w:trHeight w:val="284"/>
        </w:trPr>
        <w:tc>
          <w:tcPr>
            <w:tcW w:w="9412" w:type="dxa"/>
          </w:tcPr>
          <w:p w:rsidR="00C2094B" w:rsidRPr="00376B02" w:rsidRDefault="001260DB" w:rsidP="004D3364">
            <w:pPr>
              <w:pStyle w:val="00bDBInfo"/>
            </w:pPr>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0"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bookmarkStart w:id="1" w:name="_GoBack"/>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 xml:space="preserve">1&gt; - i.e. the response to one </w:t>
      </w:r>
      <w:bookmarkEnd w:id="1"/>
      <w:r w:rsidR="00F574D0" w:rsidRPr="00295156">
        <w:rPr>
          <w:szCs w:val="20"/>
        </w:rPr>
        <w:t>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w:t>
      </w:r>
      <w:r w:rsidRPr="00295156">
        <w:rPr>
          <w:szCs w:val="20"/>
        </w:rPr>
        <w:t>S</w:t>
      </w:r>
      <w:r w:rsidRPr="00295156">
        <w:rPr>
          <w:szCs w:val="20"/>
        </w:rPr>
        <w:t>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3" w:history="1">
        <w:r w:rsidRPr="00295156">
          <w:rPr>
            <w:rStyle w:val="Hipervnculo"/>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4"/>
      <w:r w:rsidRPr="00295156">
        <w:rPr>
          <w:rFonts w:cs="Georgia"/>
          <w:b/>
          <w:bCs/>
          <w:i/>
          <w:color w:val="000000"/>
          <w:sz w:val="20"/>
          <w:szCs w:val="20"/>
          <w:lang w:eastAsia="en-GB"/>
        </w:rPr>
        <w:t>Publication of responses</w:t>
      </w:r>
      <w:bookmarkEnd w:id="2"/>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3" w:name="_Toc335141335"/>
      <w:r w:rsidRPr="00295156">
        <w:rPr>
          <w:rFonts w:cs="Georgia"/>
          <w:b/>
          <w:bCs/>
          <w:i/>
          <w:color w:val="000000"/>
          <w:sz w:val="20"/>
          <w:szCs w:val="20"/>
          <w:lang w:eastAsia="en-GB"/>
        </w:rPr>
        <w:t>Data protection</w:t>
      </w:r>
      <w:bookmarkEnd w:id="3"/>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4" w:history="1">
        <w:r w:rsidRPr="00295156">
          <w:rPr>
            <w:rStyle w:val="Hipervnculo"/>
            <w:sz w:val="20"/>
            <w:szCs w:val="20"/>
          </w:rPr>
          <w:t>www.esma.europa.eu</w:t>
        </w:r>
      </w:hyperlink>
      <w:r w:rsidRPr="00295156">
        <w:rPr>
          <w:sz w:val="20"/>
          <w:szCs w:val="20"/>
        </w:rPr>
        <w:t xml:space="preserve"> under the heading ‘Disclaimer’.</w:t>
      </w:r>
    </w:p>
    <w:bookmarkEnd w:id="0"/>
    <w:p w:rsidR="00473916" w:rsidRDefault="00473916" w:rsidP="00473916"/>
    <w:p w:rsidR="00473916" w:rsidRPr="00473916" w:rsidRDefault="00473916" w:rsidP="00473916"/>
    <w:p w:rsidR="00473916" w:rsidRPr="0026621B" w:rsidRDefault="00473916" w:rsidP="00473916">
      <w:pPr>
        <w:pStyle w:val="Ttulo1"/>
        <w:numPr>
          <w:ilvl w:val="0"/>
          <w:numId w:val="0"/>
        </w:numPr>
        <w:rPr>
          <w:sz w:val="22"/>
          <w:szCs w:val="22"/>
        </w:rPr>
      </w:pPr>
      <w:r w:rsidRPr="0026621B">
        <w:rPr>
          <w:sz w:val="22"/>
          <w:szCs w:val="22"/>
        </w:rPr>
        <w:lastRenderedPageBreak/>
        <w:t>General information about respondent</w:t>
      </w:r>
    </w:p>
    <w:tbl>
      <w:tblPr>
        <w:tblStyle w:val="Tablaconcuadrcula"/>
        <w:tblW w:w="0" w:type="auto"/>
        <w:tblLook w:val="04A0" w:firstRow="1" w:lastRow="0" w:firstColumn="1" w:lastColumn="0" w:noHBand="0" w:noVBand="1"/>
      </w:tblPr>
      <w:tblGrid>
        <w:gridCol w:w="3510"/>
        <w:gridCol w:w="6118"/>
      </w:tblGrid>
      <w:tr w:rsidR="00473916" w:rsidRPr="0026621B" w:rsidTr="008127AB">
        <w:tc>
          <w:tcPr>
            <w:tcW w:w="3510" w:type="dxa"/>
          </w:tcPr>
          <w:p w:rsidR="00473916" w:rsidRPr="0026621B" w:rsidRDefault="00473916" w:rsidP="008127AB">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3721A3" w:rsidP="008127AB">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EndPr/>
              <w:sdtContent>
                <w:permStart w:id="1404391494" w:edGrp="everyone"/>
                <w:r w:rsidR="00F24FF5">
                  <w:rPr>
                    <w:rFonts w:cs="Arial"/>
                    <w:szCs w:val="22"/>
                  </w:rPr>
                  <w:t>No</w:t>
                </w:r>
                <w:permEnd w:id="1404391494"/>
              </w:sdtContent>
            </w:sdt>
          </w:p>
        </w:tc>
      </w:tr>
      <w:tr w:rsidR="00473916" w:rsidRPr="0026621B" w:rsidTr="008127AB">
        <w:tc>
          <w:tcPr>
            <w:tcW w:w="3510" w:type="dxa"/>
          </w:tcPr>
          <w:p w:rsidR="00473916" w:rsidRPr="0026621B" w:rsidRDefault="00473916" w:rsidP="008127AB">
            <w:pPr>
              <w:rPr>
                <w:rFonts w:cs="Arial"/>
                <w:szCs w:val="22"/>
              </w:rPr>
            </w:pPr>
            <w:r w:rsidRPr="0026621B">
              <w:rPr>
                <w:rFonts w:cs="Arial"/>
                <w:szCs w:val="22"/>
              </w:rPr>
              <w:t>Activity:</w:t>
            </w:r>
          </w:p>
        </w:tc>
        <w:tc>
          <w:tcPr>
            <w:tcW w:w="6118" w:type="dxa"/>
          </w:tcPr>
          <w:p w:rsidR="00473916" w:rsidRPr="0026621B" w:rsidRDefault="003721A3" w:rsidP="008127AB">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1268937003" w:edGrp="everyone"/>
                <w:r w:rsidR="00F24FF5">
                  <w:rPr>
                    <w:rFonts w:cs="Arial"/>
                    <w:szCs w:val="22"/>
                  </w:rPr>
                  <w:t>Government, Regulatory and Enforcement</w:t>
                </w:r>
                <w:permEnd w:id="1268937003"/>
              </w:sdtContent>
            </w:sdt>
          </w:p>
        </w:tc>
      </w:tr>
      <w:tr w:rsidR="00473916" w:rsidRPr="0026621B" w:rsidTr="008127AB">
        <w:tc>
          <w:tcPr>
            <w:tcW w:w="3510" w:type="dxa"/>
          </w:tcPr>
          <w:p w:rsidR="00473916" w:rsidRPr="0026621B" w:rsidRDefault="00473916" w:rsidP="008127AB">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688817114" w:edGrp="everyone" w:displacedByCustomXml="prev"/>
            <w:tc>
              <w:tcPr>
                <w:tcW w:w="6118" w:type="dxa"/>
              </w:tcPr>
              <w:p w:rsidR="00473916" w:rsidRPr="0026621B" w:rsidRDefault="00F24FF5" w:rsidP="008127AB">
                <w:pPr>
                  <w:rPr>
                    <w:rFonts w:cs="Arial"/>
                    <w:szCs w:val="22"/>
                  </w:rPr>
                </w:pPr>
                <w:r>
                  <w:rPr>
                    <w:rFonts w:cs="Arial"/>
                    <w:szCs w:val="22"/>
                  </w:rPr>
                  <w:t>Spain</w:t>
                </w:r>
              </w:p>
            </w:tc>
            <w:permEnd w:id="1688817114" w:displacedByCustomXml="next"/>
          </w:sdtContent>
        </w:sdt>
      </w:tr>
    </w:tbl>
    <w:p w:rsidR="007F4106" w:rsidRDefault="007F4106">
      <w:pPr>
        <w:rPr>
          <w:b/>
        </w:rPr>
      </w:pPr>
      <w:r>
        <w:br w:type="page"/>
      </w:r>
    </w:p>
    <w:p w:rsidR="00D12AFD" w:rsidRDefault="00D12AFD" w:rsidP="00965B03">
      <w:pPr>
        <w:pStyle w:val="Ttulo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Ttulo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Ttulo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A31536" w:rsidRDefault="00A31536" w:rsidP="00A31536">
      <w:pPr>
        <w:jc w:val="both"/>
        <w:rPr>
          <w:rFonts w:cs="Arial"/>
          <w:color w:val="1F4E79"/>
          <w:lang w:val="en-US"/>
        </w:rPr>
      </w:pPr>
      <w:permStart w:id="345776096" w:edGrp="everyone"/>
      <w:r w:rsidRPr="00867F7E">
        <w:rPr>
          <w:rFonts w:cs="Arial"/>
          <w:color w:val="1F4E79"/>
          <w:lang w:val="en-US"/>
        </w:rPr>
        <w:t>We support this requirement because it is the best way to ensure that matching at the CSD takes place before the intended settlement date.</w:t>
      </w:r>
    </w:p>
    <w:p w:rsidR="00F24FF5" w:rsidRPr="00867F7E" w:rsidRDefault="00F24FF5" w:rsidP="00A31536">
      <w:pPr>
        <w:jc w:val="both"/>
        <w:rPr>
          <w:rFonts w:cs="Arial"/>
          <w:color w:val="1F4E79"/>
          <w:lang w:val="en-US"/>
        </w:rPr>
      </w:pPr>
    </w:p>
    <w:p w:rsidR="00A31536" w:rsidRPr="00867F7E" w:rsidRDefault="00A31536" w:rsidP="00A31536">
      <w:pPr>
        <w:jc w:val="both"/>
        <w:rPr>
          <w:rFonts w:cs="Arial"/>
          <w:color w:val="1F4E79"/>
          <w:lang w:val="en-US"/>
        </w:rPr>
      </w:pPr>
      <w:r w:rsidRPr="00867F7E">
        <w:rPr>
          <w:rFonts w:cs="Arial"/>
          <w:color w:val="1F4E79"/>
          <w:lang w:val="en-US"/>
        </w:rPr>
        <w:t>We would also like to support the communication of the transaction type within the transaction data, in order to ensure the correct understanding of the nature of the transaction from trading to settlement. We also support the inclusion of the trade date in order to facilitate the correct pr</w:t>
      </w:r>
      <w:r w:rsidRPr="00867F7E">
        <w:rPr>
          <w:rFonts w:cs="Arial"/>
          <w:color w:val="1F4E79"/>
          <w:lang w:val="en-US"/>
        </w:rPr>
        <w:t>o</w:t>
      </w:r>
      <w:r w:rsidRPr="00867F7E">
        <w:rPr>
          <w:rFonts w:cs="Arial"/>
          <w:color w:val="1F4E79"/>
          <w:lang w:val="en-US"/>
        </w:rPr>
        <w:t xml:space="preserve">cessing of corporate actions. </w:t>
      </w:r>
    </w:p>
    <w:permEnd w:id="345776096"/>
    <w:p w:rsidR="00D12AFD" w:rsidRDefault="00D12AFD" w:rsidP="00D12AFD">
      <w:r>
        <w:t>&lt;ESMA_QUESTION_TS_CSDR_1&gt;</w:t>
      </w:r>
    </w:p>
    <w:p w:rsidR="00D12AFD" w:rsidRDefault="00D12AFD" w:rsidP="00B874B2">
      <w:pPr>
        <w:pStyle w:val="Ttulo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Ttulo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A31536" w:rsidRDefault="00A31536" w:rsidP="00A31536">
      <w:pPr>
        <w:jc w:val="both"/>
        <w:rPr>
          <w:rFonts w:cs="Arial"/>
          <w:color w:val="1F4E79"/>
          <w:lang w:val="en-US"/>
        </w:rPr>
      </w:pPr>
      <w:permStart w:id="76041400" w:edGrp="everyone"/>
      <w:r w:rsidRPr="00867F7E">
        <w:rPr>
          <w:rFonts w:cs="Arial"/>
          <w:color w:val="1F4E79"/>
          <w:lang w:val="en-US"/>
        </w:rPr>
        <w:t>It is our understanding that instructions generated by the CSD are out of the scope of mandatory matching, as the text refers only to “instructions sent by participants”.</w:t>
      </w:r>
    </w:p>
    <w:p w:rsidR="00F24FF5" w:rsidRPr="00867F7E" w:rsidRDefault="00F24FF5" w:rsidP="00A31536">
      <w:pPr>
        <w:jc w:val="both"/>
        <w:rPr>
          <w:rFonts w:cs="Arial"/>
          <w:color w:val="1F4E79"/>
          <w:lang w:val="en-US"/>
        </w:rPr>
      </w:pPr>
    </w:p>
    <w:p w:rsidR="00A31536" w:rsidRDefault="00A31536" w:rsidP="00A31536">
      <w:pPr>
        <w:jc w:val="both"/>
        <w:rPr>
          <w:rFonts w:cs="Arial"/>
          <w:color w:val="1F4E79"/>
          <w:lang w:val="en-US"/>
        </w:rPr>
      </w:pPr>
      <w:r w:rsidRPr="00867F7E">
        <w:rPr>
          <w:rFonts w:cs="Arial"/>
          <w:color w:val="1F4E79"/>
          <w:lang w:val="en-US"/>
        </w:rPr>
        <w:t>Should this not be the case, then it would be necessary to take into account the instructions generated by the CSDs. The CSD must have the capacity to send unilateral instructions already matched that will automatically qualify for settlement. Some examples are the management of corporate events and the collateral management instructions, where the CSD is entitled by the counterparties to select and transfer securities between their accounts. However, we believe that the first interpretation should be applied. Therefore, all the activity managed by the CSD should be exempted from matching.</w:t>
      </w:r>
    </w:p>
    <w:p w:rsidR="00F24FF5" w:rsidRPr="00867F7E" w:rsidRDefault="00F24FF5" w:rsidP="00A31536">
      <w:pPr>
        <w:jc w:val="both"/>
        <w:rPr>
          <w:rFonts w:cs="Arial"/>
          <w:color w:val="1F4E79"/>
          <w:lang w:val="en-US"/>
        </w:rPr>
      </w:pPr>
    </w:p>
    <w:p w:rsidR="00A31536" w:rsidRDefault="00A31536" w:rsidP="00A31536">
      <w:pPr>
        <w:jc w:val="both"/>
        <w:rPr>
          <w:rFonts w:cs="Arial"/>
          <w:color w:val="1F4E79"/>
          <w:lang w:val="en-US"/>
        </w:rPr>
      </w:pPr>
      <w:r w:rsidRPr="00867F7E">
        <w:rPr>
          <w:rFonts w:cs="Arial"/>
          <w:color w:val="1F4E79"/>
          <w:lang w:val="en-US"/>
        </w:rPr>
        <w:t>It is also necessary to take into account that T2S does not allow already matched transactions from CCPs concerning two CSDs. This could also be the case for transactions between two interoperable CCPs within one single CSD. Therefore, CCPs will not be able to send already matched instructions when the counterparty is another CCP.</w:t>
      </w:r>
    </w:p>
    <w:p w:rsidR="00F24FF5" w:rsidRPr="00867F7E" w:rsidRDefault="00F24FF5" w:rsidP="00A31536">
      <w:pPr>
        <w:jc w:val="both"/>
        <w:rPr>
          <w:rFonts w:cs="Arial"/>
          <w:color w:val="1F4E79"/>
          <w:lang w:val="en-US"/>
        </w:rPr>
      </w:pPr>
    </w:p>
    <w:p w:rsidR="00A31536" w:rsidRDefault="00A31536" w:rsidP="00A31536">
      <w:pPr>
        <w:jc w:val="both"/>
        <w:rPr>
          <w:rFonts w:cs="Arial"/>
          <w:color w:val="1F4E79"/>
          <w:lang w:val="en-US"/>
        </w:rPr>
      </w:pPr>
      <w:r w:rsidRPr="00867F7E">
        <w:rPr>
          <w:rFonts w:cs="Arial"/>
          <w:color w:val="1F4E79"/>
          <w:lang w:val="en-US"/>
        </w:rPr>
        <w:t>We propose the rewording of article 3.2.b to exempt from mandatory matching the movement between accounts managed by the same participant, and not only in the name of the same participant. When a participant opens an individual third party client account at the CSD, this participant is managing this account on behalf of the client, and matching between the different accounts managed by this participant should not be mandatory.</w:t>
      </w:r>
    </w:p>
    <w:p w:rsidR="00F24FF5" w:rsidRPr="00867F7E" w:rsidRDefault="00F24FF5" w:rsidP="00A31536">
      <w:pPr>
        <w:jc w:val="both"/>
        <w:rPr>
          <w:rFonts w:cs="Arial"/>
          <w:color w:val="1F4E79"/>
          <w:lang w:val="en-US"/>
        </w:rPr>
      </w:pPr>
    </w:p>
    <w:p w:rsidR="00A31536" w:rsidRPr="00867F7E" w:rsidRDefault="00A31536" w:rsidP="00A31536">
      <w:pPr>
        <w:jc w:val="both"/>
        <w:rPr>
          <w:rFonts w:cs="Arial"/>
          <w:color w:val="1F4E79"/>
          <w:lang w:val="en-US"/>
        </w:rPr>
      </w:pPr>
      <w:r w:rsidRPr="00867F7E">
        <w:rPr>
          <w:rFonts w:cs="Arial"/>
          <w:color w:val="1F4E79"/>
          <w:lang w:val="en-US"/>
        </w:rPr>
        <w:t>It would be convenient to include a provision for generic exceptions provided these are approved by the competent authority.</w:t>
      </w:r>
    </w:p>
    <w:permEnd w:id="76041400"/>
    <w:p w:rsidR="00D12AFD" w:rsidRDefault="00D12AFD" w:rsidP="00D12AFD">
      <w:r>
        <w:t>&lt;ESMA_QUESTION_TS_CSDR_2&gt;</w:t>
      </w:r>
    </w:p>
    <w:p w:rsidR="00D12AFD" w:rsidRDefault="00D12AFD" w:rsidP="00965B03">
      <w:pPr>
        <w:pStyle w:val="Ttulo5"/>
        <w:ind w:left="567" w:hanging="567"/>
      </w:pPr>
      <w:r w:rsidRPr="002C4F00">
        <w:lastRenderedPageBreak/>
        <w:t xml:space="preserve">What are your views on the proposed approach under Article 3(11) of the draft RTS included in Chapter II of Annex I? </w:t>
      </w:r>
    </w:p>
    <w:p w:rsidR="00D12AFD" w:rsidRDefault="00D12AFD" w:rsidP="00BA1DEE">
      <w:pPr>
        <w:pStyle w:val="Ttulo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Ttulo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A31536" w:rsidRDefault="00A31536" w:rsidP="00A31536">
      <w:pPr>
        <w:jc w:val="both"/>
        <w:rPr>
          <w:rFonts w:cs="Arial"/>
          <w:color w:val="1F4E79"/>
          <w:lang w:val="en-US"/>
        </w:rPr>
      </w:pPr>
      <w:permStart w:id="680329786" w:edGrp="everyone"/>
      <w:r w:rsidRPr="00867F7E">
        <w:rPr>
          <w:rFonts w:cs="Arial"/>
          <w:color w:val="1F4E79"/>
          <w:lang w:val="en-US"/>
        </w:rPr>
        <w:t xml:space="preserve">We appreciate the restrictive threshold, although it would be better not to have any exemption at all, as this could be a source of competitive issues especially in cross CSD transactions. </w:t>
      </w:r>
    </w:p>
    <w:p w:rsidR="00F24FF5" w:rsidRPr="00867F7E" w:rsidRDefault="00F24FF5" w:rsidP="00A31536">
      <w:pPr>
        <w:jc w:val="both"/>
        <w:rPr>
          <w:rFonts w:cs="Arial"/>
          <w:color w:val="1F4E79"/>
          <w:lang w:val="en-US"/>
        </w:rPr>
      </w:pPr>
    </w:p>
    <w:p w:rsidR="00A31536" w:rsidRDefault="00A31536" w:rsidP="00A31536">
      <w:pPr>
        <w:jc w:val="both"/>
        <w:rPr>
          <w:rFonts w:cs="Arial"/>
          <w:color w:val="1F4E79"/>
          <w:lang w:val="en-US"/>
        </w:rPr>
      </w:pPr>
      <w:r w:rsidRPr="00867F7E">
        <w:rPr>
          <w:rFonts w:cs="Arial"/>
          <w:color w:val="1F4E79"/>
          <w:lang w:val="en-US"/>
        </w:rPr>
        <w:t>In case it is stated, the ratio of failed should be closer to 0%, and considering that it is very co</w:t>
      </w:r>
      <w:r w:rsidRPr="00867F7E">
        <w:rPr>
          <w:rFonts w:cs="Arial"/>
          <w:color w:val="1F4E79"/>
          <w:lang w:val="en-US"/>
        </w:rPr>
        <w:t>m</w:t>
      </w:r>
      <w:r w:rsidRPr="00867F7E">
        <w:rPr>
          <w:rFonts w:cs="Arial"/>
          <w:color w:val="1F4E79"/>
          <w:lang w:val="en-US"/>
        </w:rPr>
        <w:t>plicated it could be 0.1%. The volume of failed would be considered appropriate.</w:t>
      </w:r>
    </w:p>
    <w:p w:rsidR="00F24FF5" w:rsidRPr="00867F7E" w:rsidRDefault="00F24FF5" w:rsidP="00A31536">
      <w:pPr>
        <w:jc w:val="both"/>
        <w:rPr>
          <w:rFonts w:cs="Arial"/>
          <w:color w:val="1F4E79"/>
          <w:lang w:val="en-US"/>
        </w:rPr>
      </w:pPr>
    </w:p>
    <w:p w:rsidR="00A31536" w:rsidRPr="00867F7E" w:rsidRDefault="00A31536" w:rsidP="00A31536">
      <w:pPr>
        <w:jc w:val="both"/>
        <w:rPr>
          <w:rFonts w:cs="Arial"/>
          <w:color w:val="1F4E79"/>
          <w:lang w:val="en-US"/>
        </w:rPr>
      </w:pPr>
      <w:r w:rsidRPr="00867F7E">
        <w:rPr>
          <w:rFonts w:cs="Arial"/>
          <w:color w:val="1F4E79"/>
          <w:lang w:val="en-US"/>
        </w:rPr>
        <w:t>On the other hand, we would like to propose that the text clarifies that even when a CSD co</w:t>
      </w:r>
      <w:r w:rsidRPr="00867F7E">
        <w:rPr>
          <w:rFonts w:cs="Arial"/>
          <w:color w:val="1F4E79"/>
          <w:lang w:val="en-US"/>
        </w:rPr>
        <w:t>m</w:t>
      </w:r>
      <w:r w:rsidRPr="00867F7E">
        <w:rPr>
          <w:rFonts w:cs="Arial"/>
          <w:color w:val="1F4E79"/>
          <w:lang w:val="en-US"/>
        </w:rPr>
        <w:t>plies with these ratios, they should not be allowed to opt out from this settlement features.</w:t>
      </w:r>
    </w:p>
    <w:permEnd w:id="680329786"/>
    <w:p w:rsidR="00D12AFD" w:rsidRDefault="00D12AFD" w:rsidP="00D12AFD">
      <w:r>
        <w:t>&lt;ESMA_QUESTION_TS_CSDR_3&gt;</w:t>
      </w:r>
    </w:p>
    <w:p w:rsidR="00D12AFD" w:rsidRPr="002C4F00" w:rsidRDefault="00D12AFD" w:rsidP="00965B03">
      <w:pPr>
        <w:pStyle w:val="Ttulo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A31536" w:rsidRDefault="00A31536" w:rsidP="00A31536">
      <w:pPr>
        <w:jc w:val="both"/>
        <w:rPr>
          <w:rFonts w:cs="Arial"/>
          <w:color w:val="1F4E79"/>
          <w:lang w:val="en-US"/>
        </w:rPr>
      </w:pPr>
      <w:permStart w:id="732131289" w:edGrp="everyone"/>
      <w:r w:rsidRPr="00867F7E">
        <w:rPr>
          <w:rFonts w:cs="Arial"/>
          <w:color w:val="1F4E79"/>
          <w:lang w:val="en-US"/>
        </w:rPr>
        <w:t xml:space="preserve">Regarding the requirement to inform the competent authority about manual interventions, we propose that the text expressly allows for the use of user-applications (U2A) without having to inform the competent authority and rather focus on the manual handling of processes that have been designed to be automatic. These applications may be used by participants and by the CSD in certain processes or as a back-up for automated messaging flows. </w:t>
      </w:r>
    </w:p>
    <w:p w:rsidR="00F24FF5" w:rsidRPr="00867F7E" w:rsidRDefault="00F24FF5" w:rsidP="00A31536">
      <w:pPr>
        <w:jc w:val="both"/>
        <w:rPr>
          <w:rFonts w:cs="Arial"/>
          <w:color w:val="1F4E79"/>
          <w:lang w:val="en-US"/>
        </w:rPr>
      </w:pPr>
    </w:p>
    <w:p w:rsidR="00A31536" w:rsidRDefault="00A31536" w:rsidP="00A31536">
      <w:pPr>
        <w:jc w:val="both"/>
        <w:rPr>
          <w:rFonts w:cs="Arial"/>
          <w:color w:val="1F4E79"/>
          <w:lang w:val="en-US"/>
        </w:rPr>
      </w:pPr>
      <w:r w:rsidRPr="00867F7E">
        <w:rPr>
          <w:rFonts w:cs="Arial"/>
          <w:color w:val="1F4E79"/>
          <w:lang w:val="en-US"/>
        </w:rPr>
        <w:t>Additionally, the requirement to report “without any delay”, together with the ambiguity of the definition of manual intervention, could result in an overwhelming amount of reports being done on a daily basis to the supervisor. We propose the removal of the sentence “without undue delay”, and either leave the frequency to be agreed with the competent authority, or include a provision to exclude from reporting any manual interventions previously agreed with the comp</w:t>
      </w:r>
      <w:r w:rsidRPr="00867F7E">
        <w:rPr>
          <w:rFonts w:cs="Arial"/>
          <w:color w:val="1F4E79"/>
          <w:lang w:val="en-US"/>
        </w:rPr>
        <w:t>e</w:t>
      </w:r>
      <w:r w:rsidRPr="00867F7E">
        <w:rPr>
          <w:rFonts w:cs="Arial"/>
          <w:color w:val="1F4E79"/>
          <w:lang w:val="en-US"/>
        </w:rPr>
        <w:t xml:space="preserve">tent authority.  </w:t>
      </w:r>
    </w:p>
    <w:p w:rsidR="00F24FF5" w:rsidRPr="00867F7E" w:rsidRDefault="00F24FF5" w:rsidP="00A31536">
      <w:pPr>
        <w:jc w:val="both"/>
        <w:rPr>
          <w:rFonts w:cs="Arial"/>
          <w:color w:val="1F4E79"/>
          <w:lang w:val="en-US"/>
        </w:rPr>
      </w:pPr>
    </w:p>
    <w:p w:rsidR="00A31536" w:rsidRPr="00867F7E" w:rsidRDefault="00A31536" w:rsidP="00A31536">
      <w:pPr>
        <w:jc w:val="both"/>
        <w:rPr>
          <w:rFonts w:cs="Arial"/>
          <w:b/>
          <w:lang w:val="en-US"/>
        </w:rPr>
      </w:pPr>
      <w:r w:rsidRPr="00867F7E">
        <w:rPr>
          <w:rFonts w:cs="Arial"/>
          <w:color w:val="1F4E79"/>
          <w:lang w:val="en-US"/>
        </w:rPr>
        <w:t>Regarding the article 3.3 on matching fields, we believe that the word “mandatory” is too pr</w:t>
      </w:r>
      <w:r w:rsidRPr="00867F7E">
        <w:rPr>
          <w:rFonts w:cs="Arial"/>
          <w:color w:val="1F4E79"/>
          <w:lang w:val="en-US"/>
        </w:rPr>
        <w:t>e</w:t>
      </w:r>
      <w:r w:rsidRPr="00867F7E">
        <w:rPr>
          <w:rFonts w:cs="Arial"/>
          <w:color w:val="1F4E79"/>
          <w:lang w:val="en-US"/>
        </w:rPr>
        <w:t>scriptive and that a list of matching fields would be enough. The removal of the word “mandat</w:t>
      </w:r>
      <w:r w:rsidRPr="00867F7E">
        <w:rPr>
          <w:rFonts w:cs="Arial"/>
          <w:color w:val="1F4E79"/>
          <w:lang w:val="en-US"/>
        </w:rPr>
        <w:t>o</w:t>
      </w:r>
      <w:r w:rsidRPr="00867F7E">
        <w:rPr>
          <w:rFonts w:cs="Arial"/>
          <w:color w:val="1F4E79"/>
          <w:lang w:val="en-US"/>
        </w:rPr>
        <w:t xml:space="preserve">ry” would allow for a more flexible implementation of the market practices. </w:t>
      </w:r>
    </w:p>
    <w:p w:rsidR="00A31536" w:rsidRDefault="00A31536" w:rsidP="00A31536">
      <w:pPr>
        <w:jc w:val="both"/>
        <w:rPr>
          <w:rFonts w:cs="Arial"/>
          <w:color w:val="1F4E79"/>
          <w:lang w:val="en-US"/>
        </w:rPr>
      </w:pPr>
      <w:r w:rsidRPr="00867F7E">
        <w:rPr>
          <w:rFonts w:cs="Arial"/>
          <w:color w:val="1F4E79"/>
          <w:lang w:val="en-US"/>
        </w:rPr>
        <w:t xml:space="preserve">Regarding the inclusion of the transaction type as a matching field, we support ESMA’s decision to enforce matching of this information in the settlement instruction in order to ensure consistent reporting per type of transaction. </w:t>
      </w:r>
    </w:p>
    <w:p w:rsidR="00F24FF5" w:rsidRPr="00867F7E" w:rsidRDefault="00F24FF5" w:rsidP="00A31536">
      <w:pPr>
        <w:jc w:val="both"/>
        <w:rPr>
          <w:rFonts w:cs="Arial"/>
          <w:color w:val="1F4E79"/>
          <w:lang w:val="en-US"/>
        </w:rPr>
      </w:pPr>
    </w:p>
    <w:p w:rsidR="00A31536" w:rsidRDefault="00A31536" w:rsidP="00A31536">
      <w:pPr>
        <w:jc w:val="both"/>
        <w:rPr>
          <w:rFonts w:cs="Arial"/>
          <w:color w:val="1F4E79"/>
          <w:lang w:val="en-US"/>
        </w:rPr>
      </w:pPr>
      <w:r w:rsidRPr="00867F7E">
        <w:rPr>
          <w:rFonts w:cs="Arial"/>
          <w:color w:val="1F4E79"/>
          <w:lang w:val="en-US"/>
        </w:rPr>
        <w:t xml:space="preserve">Regarding article 3.9, please note that the CSD is not aware of the process or outcome of the buy-in process. If settlement or cancellation takes place, the CSD can’t know if it is because a buy-in was done, or because securities were finally delivered, or a cash compensation was agreed. </w:t>
      </w:r>
    </w:p>
    <w:p w:rsidR="00F24FF5" w:rsidRPr="00867F7E" w:rsidRDefault="00F24FF5" w:rsidP="00A31536">
      <w:pPr>
        <w:jc w:val="both"/>
        <w:rPr>
          <w:rFonts w:cs="Arial"/>
          <w:color w:val="1F4E79"/>
          <w:lang w:val="en-US"/>
        </w:rPr>
      </w:pPr>
    </w:p>
    <w:p w:rsidR="00A31536" w:rsidRPr="00867F7E" w:rsidRDefault="00A31536" w:rsidP="00A31536">
      <w:pPr>
        <w:jc w:val="both"/>
        <w:rPr>
          <w:rFonts w:cs="Arial"/>
          <w:color w:val="1F4E79"/>
          <w:lang w:val="en-US"/>
        </w:rPr>
      </w:pPr>
      <w:r w:rsidRPr="00867F7E">
        <w:rPr>
          <w:rFonts w:cs="Arial"/>
          <w:color w:val="1F4E79"/>
          <w:lang w:val="en-US"/>
        </w:rPr>
        <w:t xml:space="preserve">As an alternative solution, CSD could propose to report to the competent authority the data that can be objectively defined such as the definition of the periods and the final out-come of the </w:t>
      </w:r>
      <w:r w:rsidRPr="00867F7E">
        <w:rPr>
          <w:rFonts w:cs="Arial"/>
          <w:color w:val="1F4E79"/>
          <w:lang w:val="en-US"/>
        </w:rPr>
        <w:lastRenderedPageBreak/>
        <w:t>failed transaction: initiation of buy-in (if after ISD+X the transaction is still pending, it would a</w:t>
      </w:r>
      <w:r w:rsidRPr="00867F7E">
        <w:rPr>
          <w:rFonts w:cs="Arial"/>
          <w:color w:val="1F4E79"/>
          <w:lang w:val="en-US"/>
        </w:rPr>
        <w:t>u</w:t>
      </w:r>
      <w:r w:rsidRPr="00867F7E">
        <w:rPr>
          <w:rFonts w:cs="Arial"/>
          <w:color w:val="1F4E79"/>
          <w:lang w:val="en-US"/>
        </w:rPr>
        <w:t>tomatically be flagged for buy-in), final status settled or cancelled and information on penalties.</w:t>
      </w:r>
    </w:p>
    <w:permEnd w:id="732131289"/>
    <w:p w:rsidR="00D12AFD" w:rsidRDefault="00D12AFD" w:rsidP="00D12AFD">
      <w:r>
        <w:t>&lt;ESMA_QUESTION_TS_CSDR_4&gt;</w:t>
      </w:r>
    </w:p>
    <w:p w:rsidR="00D12AFD" w:rsidRPr="002C4F00" w:rsidRDefault="00D12AFD" w:rsidP="00965B03">
      <w:pPr>
        <w:pStyle w:val="Ttulo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A31536" w:rsidRDefault="00A31536" w:rsidP="00A31536">
      <w:pPr>
        <w:jc w:val="both"/>
        <w:rPr>
          <w:rFonts w:cs="Arial"/>
          <w:color w:val="1F4E79"/>
          <w:lang w:val="en-US"/>
        </w:rPr>
      </w:pPr>
      <w:permStart w:id="136531816" w:edGrp="everyone"/>
      <w:r w:rsidRPr="00867F7E">
        <w:rPr>
          <w:rFonts w:cs="Arial"/>
          <w:color w:val="1F4E79"/>
          <w:lang w:val="en-US"/>
        </w:rPr>
        <w:t xml:space="preserve">Regarding the information on buy-ins, please see the answer of Q4. </w:t>
      </w:r>
    </w:p>
    <w:p w:rsidR="00F24FF5" w:rsidRPr="00867F7E" w:rsidRDefault="00F24FF5" w:rsidP="00A31536">
      <w:pPr>
        <w:jc w:val="both"/>
        <w:rPr>
          <w:rFonts w:cs="Arial"/>
          <w:color w:val="1F4E79"/>
          <w:lang w:val="en-US"/>
        </w:rPr>
      </w:pPr>
    </w:p>
    <w:p w:rsidR="00A31536" w:rsidRDefault="00A31536" w:rsidP="00A31536">
      <w:pPr>
        <w:jc w:val="both"/>
        <w:rPr>
          <w:rFonts w:cs="Arial"/>
          <w:color w:val="1F4E79"/>
          <w:lang w:val="en-US"/>
        </w:rPr>
      </w:pPr>
      <w:r w:rsidRPr="00867F7E">
        <w:rPr>
          <w:rFonts w:cs="Arial"/>
          <w:color w:val="1F4E79"/>
          <w:lang w:val="en-US"/>
        </w:rPr>
        <w:t>ESMA’s proposal to set-up a working flow with the top ten participants with the highest failing rates (article 4.3.), is too restrictive. The list of 10 may not be stable, particularly for very efficient markets. It may also prove to be too many or too few depending on the size of the market. We would suggest to remove “top-ten” from the text, and leave it up to the CSD to decide how many and select among the most representative participants.</w:t>
      </w:r>
    </w:p>
    <w:p w:rsidR="00F24FF5" w:rsidRPr="00867F7E" w:rsidRDefault="00F24FF5" w:rsidP="00A31536">
      <w:pPr>
        <w:jc w:val="both"/>
        <w:rPr>
          <w:rFonts w:cs="Arial"/>
          <w:color w:val="1F4E79"/>
          <w:lang w:val="en-US"/>
        </w:rPr>
      </w:pPr>
    </w:p>
    <w:p w:rsidR="00A31536" w:rsidRDefault="00A31536" w:rsidP="00A31536">
      <w:pPr>
        <w:jc w:val="both"/>
        <w:rPr>
          <w:rFonts w:cs="Arial"/>
          <w:color w:val="1F4E79"/>
          <w:lang w:val="en-US"/>
        </w:rPr>
      </w:pPr>
      <w:r w:rsidRPr="00867F7E">
        <w:rPr>
          <w:rFonts w:cs="Arial"/>
          <w:color w:val="1F4E79"/>
          <w:lang w:val="en-US"/>
        </w:rPr>
        <w:t xml:space="preserve">In relation to article 4.2.b it has to be considered the complexity of identifying the reason for a failure beyond the lack of cash or securities. A possible way to simplify it could be to identify whether the fault is on the deliverer, on the receiver or both. </w:t>
      </w:r>
    </w:p>
    <w:p w:rsidR="00F24FF5" w:rsidRPr="00867F7E" w:rsidRDefault="00F24FF5" w:rsidP="00A31536">
      <w:pPr>
        <w:jc w:val="both"/>
        <w:rPr>
          <w:rFonts w:cs="Arial"/>
          <w:color w:val="1F4E79"/>
          <w:lang w:val="en-US"/>
        </w:rPr>
      </w:pPr>
    </w:p>
    <w:p w:rsidR="00A31536" w:rsidRDefault="00A31536" w:rsidP="00A31536">
      <w:pPr>
        <w:jc w:val="both"/>
        <w:rPr>
          <w:rFonts w:cs="Arial"/>
          <w:color w:val="1F4E79"/>
          <w:lang w:val="en-US"/>
        </w:rPr>
      </w:pPr>
      <w:r w:rsidRPr="00867F7E">
        <w:rPr>
          <w:rFonts w:cs="Arial"/>
          <w:color w:val="1F4E79"/>
          <w:lang w:val="en-US"/>
        </w:rPr>
        <w:t>In regards to the annual report mandated in article 5.3, we would propose a longer period of time, such as 15 working days (instead of 10) or a natural month (end of January). There are many requirements coinciding with the change of year and providing the CSD with more time to prepare this report would ensure higher quality.</w:t>
      </w:r>
    </w:p>
    <w:p w:rsidR="00F24FF5" w:rsidRPr="00867F7E" w:rsidRDefault="00F24FF5" w:rsidP="00A31536">
      <w:pPr>
        <w:jc w:val="both"/>
        <w:rPr>
          <w:rFonts w:cs="Arial"/>
          <w:color w:val="1F4E79"/>
          <w:lang w:val="en-US"/>
        </w:rPr>
      </w:pPr>
    </w:p>
    <w:p w:rsidR="00A31536" w:rsidRPr="00867F7E" w:rsidRDefault="00A31536" w:rsidP="00A31536">
      <w:pPr>
        <w:jc w:val="both"/>
        <w:rPr>
          <w:rFonts w:cs="Arial"/>
          <w:color w:val="1F4E79"/>
          <w:lang w:val="en-US"/>
        </w:rPr>
      </w:pPr>
      <w:r w:rsidRPr="00867F7E">
        <w:rPr>
          <w:rFonts w:cs="Arial"/>
          <w:color w:val="1F4E79"/>
          <w:lang w:val="en-US"/>
        </w:rPr>
        <w:t>From the participating entities point of view, the proposed measures are considered adequate.</w:t>
      </w:r>
    </w:p>
    <w:permEnd w:id="136531816"/>
    <w:p w:rsidR="00D12AFD" w:rsidRDefault="00D12AFD" w:rsidP="00D12AFD">
      <w:r>
        <w:t>&lt;ESMA_QUESTION_TS_CSDR_5&gt;</w:t>
      </w:r>
    </w:p>
    <w:p w:rsidR="00D12AFD" w:rsidRPr="002C4F00" w:rsidRDefault="00D12AFD" w:rsidP="00965B03">
      <w:pPr>
        <w:pStyle w:val="Ttulo5"/>
        <w:ind w:left="567" w:hanging="567"/>
      </w:pPr>
      <w:r w:rsidRPr="002C4F00">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A31536" w:rsidRDefault="00A31536" w:rsidP="00A31536">
      <w:pPr>
        <w:jc w:val="both"/>
        <w:rPr>
          <w:rFonts w:cs="Arial"/>
          <w:color w:val="1F4E79"/>
          <w:lang w:val="en-US"/>
        </w:rPr>
      </w:pPr>
      <w:permStart w:id="2061458114" w:edGrp="everyone"/>
      <w:r w:rsidRPr="00867F7E">
        <w:rPr>
          <w:rFonts w:cs="Arial"/>
          <w:color w:val="1F4E79"/>
          <w:lang w:val="en-US"/>
        </w:rPr>
        <w:t>We believe that the penalties should be harmonized to the maximum among the different  Eur</w:t>
      </w:r>
      <w:r w:rsidRPr="00867F7E">
        <w:rPr>
          <w:rFonts w:cs="Arial"/>
          <w:color w:val="1F4E79"/>
          <w:lang w:val="en-US"/>
        </w:rPr>
        <w:t>o</w:t>
      </w:r>
      <w:r w:rsidRPr="00867F7E">
        <w:rPr>
          <w:rFonts w:cs="Arial"/>
          <w:color w:val="1F4E79"/>
          <w:lang w:val="en-US"/>
        </w:rPr>
        <w:t>pean markets to avoid arbitration in case of failure. Any harmonization in this respect is consi</w:t>
      </w:r>
      <w:r w:rsidRPr="00867F7E">
        <w:rPr>
          <w:rFonts w:cs="Arial"/>
          <w:color w:val="1F4E79"/>
          <w:lang w:val="en-US"/>
        </w:rPr>
        <w:t>d</w:t>
      </w:r>
      <w:r w:rsidRPr="00867F7E">
        <w:rPr>
          <w:rFonts w:cs="Arial"/>
          <w:color w:val="1F4E79"/>
          <w:lang w:val="en-US"/>
        </w:rPr>
        <w:t>ered very positive.</w:t>
      </w:r>
    </w:p>
    <w:p w:rsidR="00F24FF5" w:rsidRPr="00867F7E" w:rsidRDefault="00F24FF5" w:rsidP="00A31536">
      <w:pPr>
        <w:jc w:val="both"/>
        <w:rPr>
          <w:rFonts w:cs="Arial"/>
          <w:color w:val="1F4E79"/>
          <w:lang w:val="en-US"/>
        </w:rPr>
      </w:pPr>
    </w:p>
    <w:p w:rsidR="00A31536" w:rsidRPr="00867F7E" w:rsidRDefault="00A31536" w:rsidP="00A31536">
      <w:pPr>
        <w:jc w:val="both"/>
        <w:rPr>
          <w:rFonts w:cs="Arial"/>
          <w:color w:val="1F4E79"/>
          <w:lang w:val="en-US"/>
        </w:rPr>
      </w:pPr>
      <w:r w:rsidRPr="00867F7E">
        <w:rPr>
          <w:rFonts w:cs="Arial"/>
          <w:color w:val="1F4E79"/>
          <w:lang w:val="en-US"/>
        </w:rPr>
        <w:t>Regarding article 7, there are a few scenarios that need clarification:</w:t>
      </w:r>
    </w:p>
    <w:p w:rsidR="00A31536" w:rsidRDefault="00A31536" w:rsidP="00A31536">
      <w:pPr>
        <w:jc w:val="both"/>
        <w:rPr>
          <w:rFonts w:cs="Arial"/>
          <w:color w:val="1F4E79"/>
          <w:lang w:val="en-US"/>
        </w:rPr>
      </w:pPr>
      <w:r w:rsidRPr="00867F7E">
        <w:rPr>
          <w:rFonts w:cs="Arial"/>
          <w:color w:val="1F4E79"/>
          <w:lang w:val="en-US"/>
        </w:rPr>
        <w:t>-</w:t>
      </w:r>
      <w:r w:rsidRPr="00867F7E">
        <w:rPr>
          <w:rFonts w:cs="Arial"/>
          <w:color w:val="1F4E79"/>
          <w:lang w:val="en-US"/>
        </w:rPr>
        <w:tab/>
        <w:t>What would happen if both the buyer and the seller fail? Should the penalty not be a</w:t>
      </w:r>
      <w:r w:rsidRPr="00867F7E">
        <w:rPr>
          <w:rFonts w:cs="Arial"/>
          <w:color w:val="1F4E79"/>
          <w:lang w:val="en-US"/>
        </w:rPr>
        <w:t>p</w:t>
      </w:r>
      <w:r w:rsidRPr="00867F7E">
        <w:rPr>
          <w:rFonts w:cs="Arial"/>
          <w:color w:val="1F4E79"/>
          <w:lang w:val="en-US"/>
        </w:rPr>
        <w:t xml:space="preserve">plied or should it be applied to both and then netted with the reciprocal compensation? Due to the fact that the penalty rates are different, the buyer would normally have a positive outcome with the fail (because cash penalty is lower than the securities penalty). </w:t>
      </w:r>
    </w:p>
    <w:p w:rsidR="00F24FF5" w:rsidRPr="00867F7E" w:rsidRDefault="00F24FF5" w:rsidP="00A31536">
      <w:pPr>
        <w:jc w:val="both"/>
        <w:rPr>
          <w:rFonts w:cs="Arial"/>
          <w:color w:val="1F4E79"/>
          <w:lang w:val="en-US"/>
        </w:rPr>
      </w:pPr>
    </w:p>
    <w:p w:rsidR="00A31536" w:rsidRDefault="00A31536" w:rsidP="00A31536">
      <w:pPr>
        <w:jc w:val="both"/>
        <w:rPr>
          <w:rFonts w:cs="Arial"/>
          <w:color w:val="1F4E79"/>
          <w:lang w:val="en-US"/>
        </w:rPr>
      </w:pPr>
      <w:r w:rsidRPr="00867F7E">
        <w:rPr>
          <w:rFonts w:cs="Arial"/>
          <w:color w:val="1F4E79"/>
          <w:lang w:val="en-US"/>
        </w:rPr>
        <w:t>-</w:t>
      </w:r>
      <w:r w:rsidRPr="00867F7E">
        <w:rPr>
          <w:rFonts w:cs="Arial"/>
          <w:color w:val="1F4E79"/>
          <w:lang w:val="en-US"/>
        </w:rPr>
        <w:tab/>
        <w:t xml:space="preserve">If a transaction is introduced after ISD, the penalty applies backwards, this point is made clear in article 7.3. We understand that this would also be the case if it matches after ISD (if it is not matched it will not be considered a fail; so if it matches after ISD, then it will be treated in a similar way as a late input). </w:t>
      </w:r>
    </w:p>
    <w:p w:rsidR="00F24FF5" w:rsidRPr="00867F7E" w:rsidRDefault="00F24FF5" w:rsidP="00A31536">
      <w:pPr>
        <w:jc w:val="both"/>
        <w:rPr>
          <w:rFonts w:cs="Arial"/>
          <w:color w:val="1F4E79"/>
          <w:lang w:val="en-US"/>
        </w:rPr>
      </w:pPr>
    </w:p>
    <w:p w:rsidR="00A31536" w:rsidRDefault="00A31536" w:rsidP="00A31536">
      <w:pPr>
        <w:jc w:val="both"/>
        <w:rPr>
          <w:rFonts w:cs="Arial"/>
          <w:color w:val="1F4E79"/>
          <w:lang w:val="en-US"/>
        </w:rPr>
      </w:pPr>
      <w:r w:rsidRPr="00867F7E">
        <w:rPr>
          <w:rFonts w:cs="Arial"/>
          <w:color w:val="1F4E79"/>
          <w:lang w:val="en-US"/>
        </w:rPr>
        <w:t>-</w:t>
      </w:r>
      <w:r w:rsidRPr="00867F7E">
        <w:rPr>
          <w:rFonts w:cs="Arial"/>
          <w:color w:val="1F4E79"/>
          <w:lang w:val="en-US"/>
        </w:rPr>
        <w:tab/>
        <w:t>How is the CSD going to apply back-wards penalties for late input or late matching tran</w:t>
      </w:r>
      <w:r w:rsidRPr="00867F7E">
        <w:rPr>
          <w:rFonts w:cs="Arial"/>
          <w:color w:val="1F4E79"/>
          <w:lang w:val="en-US"/>
        </w:rPr>
        <w:t>s</w:t>
      </w:r>
      <w:r w:rsidRPr="00867F7E">
        <w:rPr>
          <w:rFonts w:cs="Arial"/>
          <w:color w:val="1F4E79"/>
          <w:lang w:val="en-US"/>
        </w:rPr>
        <w:t>actions? Particularly when both participants instruct late?</w:t>
      </w:r>
    </w:p>
    <w:p w:rsidR="00F24FF5" w:rsidRPr="00867F7E" w:rsidRDefault="00F24FF5" w:rsidP="00A31536">
      <w:pPr>
        <w:jc w:val="both"/>
        <w:rPr>
          <w:rFonts w:cs="Arial"/>
          <w:color w:val="1F4E79"/>
          <w:lang w:val="en-US"/>
        </w:rPr>
      </w:pPr>
    </w:p>
    <w:p w:rsidR="00A31536" w:rsidRDefault="00A31536" w:rsidP="00A31536">
      <w:pPr>
        <w:jc w:val="both"/>
        <w:rPr>
          <w:rFonts w:cs="Arial"/>
          <w:color w:val="1F4E79"/>
          <w:lang w:val="en-US"/>
        </w:rPr>
      </w:pPr>
      <w:r w:rsidRPr="00867F7E">
        <w:rPr>
          <w:rFonts w:cs="Arial"/>
          <w:color w:val="1F4E79"/>
          <w:lang w:val="en-US"/>
        </w:rPr>
        <w:lastRenderedPageBreak/>
        <w:t>-</w:t>
      </w:r>
      <w:r w:rsidRPr="00867F7E">
        <w:rPr>
          <w:rFonts w:cs="Arial"/>
          <w:color w:val="1F4E79"/>
          <w:lang w:val="en-US"/>
        </w:rPr>
        <w:tab/>
        <w:t>If a participant fails to pay the net penalty, which criteria should the CSD apply for selec</w:t>
      </w:r>
      <w:r w:rsidRPr="00867F7E">
        <w:rPr>
          <w:rFonts w:cs="Arial"/>
          <w:color w:val="1F4E79"/>
          <w:lang w:val="en-US"/>
        </w:rPr>
        <w:t>t</w:t>
      </w:r>
      <w:r w:rsidRPr="00867F7E">
        <w:rPr>
          <w:rFonts w:cs="Arial"/>
          <w:color w:val="1F4E79"/>
          <w:lang w:val="en-US"/>
        </w:rPr>
        <w:t>ing the participants that are going to be excluded from the compensation?</w:t>
      </w:r>
    </w:p>
    <w:p w:rsidR="00F24FF5" w:rsidRPr="00867F7E" w:rsidRDefault="00F24FF5" w:rsidP="00A31536">
      <w:pPr>
        <w:jc w:val="both"/>
        <w:rPr>
          <w:rFonts w:cs="Arial"/>
          <w:color w:val="1F4E79"/>
          <w:lang w:val="en-US"/>
        </w:rPr>
      </w:pPr>
    </w:p>
    <w:p w:rsidR="00A31536" w:rsidRDefault="00A31536" w:rsidP="00A31536">
      <w:pPr>
        <w:jc w:val="both"/>
        <w:rPr>
          <w:rFonts w:cs="Arial"/>
          <w:color w:val="1F4E79"/>
          <w:lang w:val="en-US"/>
        </w:rPr>
      </w:pPr>
      <w:r w:rsidRPr="00867F7E">
        <w:rPr>
          <w:rFonts w:cs="Arial"/>
          <w:color w:val="1F4E79"/>
          <w:lang w:val="en-US"/>
        </w:rPr>
        <w:t>As it has been mentioned before, we support the inclusion of the transaction type as a matching field in order to report consistently. See the answer to Q4.</w:t>
      </w:r>
    </w:p>
    <w:p w:rsidR="00F24FF5" w:rsidRPr="00867F7E" w:rsidRDefault="00F24FF5" w:rsidP="00A31536">
      <w:pPr>
        <w:jc w:val="both"/>
        <w:rPr>
          <w:rFonts w:cs="Arial"/>
          <w:color w:val="1F4E79"/>
          <w:lang w:val="en-US"/>
        </w:rPr>
      </w:pPr>
    </w:p>
    <w:p w:rsidR="00A31536" w:rsidRDefault="00A31536" w:rsidP="00A31536">
      <w:pPr>
        <w:jc w:val="both"/>
        <w:rPr>
          <w:rFonts w:cs="Arial"/>
          <w:color w:val="1F4E79"/>
          <w:lang w:val="en-US"/>
        </w:rPr>
      </w:pPr>
      <w:r w:rsidRPr="00867F7E">
        <w:rPr>
          <w:rFonts w:cs="Arial"/>
          <w:color w:val="1F4E79"/>
          <w:lang w:val="en-US"/>
        </w:rPr>
        <w:t>We also support the proposal to manage the penalty mechanism jointly at the level of the co</w:t>
      </w:r>
      <w:r w:rsidRPr="00867F7E">
        <w:rPr>
          <w:rFonts w:cs="Arial"/>
          <w:color w:val="1F4E79"/>
          <w:lang w:val="en-US"/>
        </w:rPr>
        <w:t>m</w:t>
      </w:r>
      <w:r w:rsidRPr="00867F7E">
        <w:rPr>
          <w:rFonts w:cs="Arial"/>
          <w:color w:val="1F4E79"/>
          <w:lang w:val="en-US"/>
        </w:rPr>
        <w:t xml:space="preserve">mon infrastructure. In addition to the benefits stemming from developing only one common system as well as ensuring harmonization on how the penalties would be applied across all the eligible CSDs, there would not be competitive distortions derived from the different ways that the cost of the penalty system would be passed on to participants. </w:t>
      </w:r>
    </w:p>
    <w:p w:rsidR="00F24FF5" w:rsidRPr="00867F7E" w:rsidRDefault="00F24FF5" w:rsidP="00A31536">
      <w:pPr>
        <w:jc w:val="both"/>
        <w:rPr>
          <w:rFonts w:cs="Arial"/>
          <w:b/>
          <w:lang w:val="en-US"/>
        </w:rPr>
      </w:pPr>
    </w:p>
    <w:p w:rsidR="00A31536" w:rsidRPr="00867F7E" w:rsidRDefault="00A31536" w:rsidP="00A31536">
      <w:pPr>
        <w:jc w:val="both"/>
        <w:rPr>
          <w:rFonts w:cs="Arial"/>
          <w:color w:val="1F4E79"/>
          <w:lang w:val="en-US"/>
        </w:rPr>
      </w:pPr>
      <w:r w:rsidRPr="00867F7E">
        <w:rPr>
          <w:rFonts w:cs="Arial"/>
          <w:color w:val="1F4E79"/>
          <w:lang w:val="en-US"/>
        </w:rPr>
        <w:t>Regarding article 9, we appreciate that the RTS clarify that it’s not only the CCP but also its counterparty who is exempted of the application of the penalty by the CSD.  Therefore, no co</w:t>
      </w:r>
      <w:r w:rsidRPr="00867F7E">
        <w:rPr>
          <w:rFonts w:cs="Arial"/>
          <w:color w:val="1F4E79"/>
          <w:lang w:val="en-US"/>
        </w:rPr>
        <w:t>m</w:t>
      </w:r>
      <w:r w:rsidRPr="00867F7E">
        <w:rPr>
          <w:rFonts w:cs="Arial"/>
          <w:color w:val="1F4E79"/>
          <w:lang w:val="en-US"/>
        </w:rPr>
        <w:t>pensation would be received by the CCP. However, we would like to ask for clarifications on two points:</w:t>
      </w:r>
    </w:p>
    <w:p w:rsidR="00A31536" w:rsidRPr="00867F7E" w:rsidRDefault="00A31536" w:rsidP="00A31536">
      <w:pPr>
        <w:numPr>
          <w:ilvl w:val="0"/>
          <w:numId w:val="42"/>
        </w:numPr>
        <w:spacing w:after="200" w:line="276" w:lineRule="auto"/>
        <w:jc w:val="both"/>
        <w:rPr>
          <w:rFonts w:cs="Arial"/>
          <w:color w:val="1F4E79"/>
          <w:lang w:val="en-US"/>
        </w:rPr>
      </w:pPr>
      <w:r w:rsidRPr="00867F7E">
        <w:rPr>
          <w:rFonts w:cs="Arial"/>
          <w:color w:val="1F4E79"/>
          <w:lang w:val="en-US"/>
        </w:rPr>
        <w:t xml:space="preserve">Are the RTS enforcing the CCPs to apply the same penalty/distribution scheme as the CSDs’ one? Or could CCPs have their own mechanism with different rates and different distribution arrangements? </w:t>
      </w:r>
    </w:p>
    <w:p w:rsidR="00A31536" w:rsidRPr="00867F7E" w:rsidRDefault="00A31536" w:rsidP="00A31536">
      <w:pPr>
        <w:numPr>
          <w:ilvl w:val="0"/>
          <w:numId w:val="42"/>
        </w:numPr>
        <w:spacing w:after="200" w:line="276" w:lineRule="auto"/>
        <w:jc w:val="both"/>
        <w:rPr>
          <w:rFonts w:cs="Arial"/>
          <w:color w:val="1F4E79"/>
          <w:lang w:val="en-US"/>
        </w:rPr>
      </w:pPr>
      <w:r w:rsidRPr="00867F7E">
        <w:rPr>
          <w:rFonts w:cs="Arial"/>
          <w:color w:val="1F4E79"/>
          <w:lang w:val="en-US"/>
        </w:rPr>
        <w:t xml:space="preserve">If CCPs were obliged to apply penalties according to the calculation provided by the CSDs, wouldn’t the exemption in Level 1 be in practice overridden? </w:t>
      </w:r>
    </w:p>
    <w:p w:rsidR="00A31536" w:rsidRPr="00867F7E" w:rsidRDefault="00A31536" w:rsidP="00A31536">
      <w:pPr>
        <w:numPr>
          <w:ilvl w:val="0"/>
          <w:numId w:val="42"/>
        </w:numPr>
        <w:spacing w:after="200" w:line="276" w:lineRule="auto"/>
        <w:jc w:val="both"/>
        <w:rPr>
          <w:rFonts w:cs="Arial"/>
          <w:color w:val="1F4E79"/>
          <w:lang w:val="en-US"/>
        </w:rPr>
      </w:pPr>
      <w:r w:rsidRPr="00867F7E">
        <w:rPr>
          <w:rFonts w:cs="Arial"/>
          <w:color w:val="1F4E79"/>
          <w:lang w:val="en-US"/>
        </w:rPr>
        <w:t>Our understanding is that some netting mechanisms such as Continuous Net Settlement are not compatible with CSD’s calculating the penalties because transactions are ca</w:t>
      </w:r>
      <w:r w:rsidRPr="00867F7E">
        <w:rPr>
          <w:rFonts w:cs="Arial"/>
          <w:color w:val="1F4E79"/>
          <w:lang w:val="en-US"/>
        </w:rPr>
        <w:t>n</w:t>
      </w:r>
      <w:r w:rsidRPr="00867F7E">
        <w:rPr>
          <w:rFonts w:cs="Arial"/>
          <w:color w:val="1F4E79"/>
          <w:lang w:val="en-US"/>
        </w:rPr>
        <w:t xml:space="preserve">celled if not settled on ISD. CSD would only be able to calculate penalties for basic trade date netting instructions. </w:t>
      </w:r>
    </w:p>
    <w:p w:rsidR="00A31536" w:rsidRPr="00867F7E" w:rsidRDefault="00A31536" w:rsidP="00A31536">
      <w:pPr>
        <w:numPr>
          <w:ilvl w:val="0"/>
          <w:numId w:val="42"/>
        </w:numPr>
        <w:spacing w:after="200" w:line="276" w:lineRule="auto"/>
        <w:jc w:val="both"/>
        <w:rPr>
          <w:rFonts w:cs="Arial"/>
          <w:color w:val="1F4E79"/>
          <w:lang w:val="en-US"/>
        </w:rPr>
      </w:pPr>
      <w:r w:rsidRPr="00867F7E">
        <w:rPr>
          <w:rFonts w:cs="Arial"/>
          <w:color w:val="1F4E79"/>
          <w:lang w:val="en-US"/>
        </w:rPr>
        <w:t xml:space="preserve">For basic trade date netting instructions where the CSD can calculate the penalties, would it be possible for the CCP to voluntarily submit to the penalty/compensation scheme of the CSD? We believe that it could be a convenient arrangement for all parties as CCPs would not need to put in place the process of charging penalties and paying compensations, and then having to report everything back to the CSD. </w:t>
      </w:r>
    </w:p>
    <w:permEnd w:id="2061458114"/>
    <w:p w:rsidR="00D12AFD" w:rsidRDefault="00D12AFD" w:rsidP="00D12AFD">
      <w:r>
        <w:t>&lt;ESMA_QUESTION_TS_CSDR_6&gt;</w:t>
      </w:r>
    </w:p>
    <w:p w:rsidR="00D12AFD" w:rsidRDefault="00D12AFD" w:rsidP="00965B03">
      <w:pPr>
        <w:pStyle w:val="Ttulo5"/>
        <w:ind w:left="567" w:hanging="567"/>
      </w:pPr>
      <w:r w:rsidRPr="002C4F00">
        <w:t>What are your views on the proposed draft RTS related to the buy-in process?</w:t>
      </w:r>
    </w:p>
    <w:p w:rsidR="00D12AFD" w:rsidRDefault="00D12AFD" w:rsidP="00BA1DEE">
      <w:pPr>
        <w:pStyle w:val="Ttulo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Ttulo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A31536" w:rsidRPr="00867F7E" w:rsidRDefault="00A31536" w:rsidP="00A31536">
      <w:pPr>
        <w:jc w:val="both"/>
        <w:rPr>
          <w:rFonts w:cs="Arial"/>
          <w:color w:val="1F4E79"/>
          <w:lang w:val="en-US"/>
        </w:rPr>
      </w:pPr>
      <w:permStart w:id="1288832678" w:edGrp="everyone"/>
      <w:r w:rsidRPr="00867F7E">
        <w:rPr>
          <w:rFonts w:cs="Arial"/>
          <w:color w:val="1F4E79"/>
          <w:lang w:val="en-US"/>
        </w:rPr>
        <w:t xml:space="preserve">Regarding the role of the CSDs in the buy-in process: </w:t>
      </w:r>
    </w:p>
    <w:p w:rsidR="00A31536" w:rsidRPr="00867F7E" w:rsidRDefault="00A31536" w:rsidP="00A31536">
      <w:pPr>
        <w:numPr>
          <w:ilvl w:val="0"/>
          <w:numId w:val="43"/>
        </w:numPr>
        <w:spacing w:after="200" w:line="276" w:lineRule="auto"/>
        <w:jc w:val="both"/>
        <w:rPr>
          <w:rFonts w:cs="Arial"/>
          <w:color w:val="1F4E79"/>
          <w:lang w:val="en-US"/>
        </w:rPr>
      </w:pPr>
      <w:r w:rsidRPr="00867F7E">
        <w:rPr>
          <w:rFonts w:cs="Arial"/>
          <w:color w:val="1F4E79"/>
          <w:lang w:val="en-US"/>
        </w:rPr>
        <w:t>Level 1 Regulation does not foresee any responsibilities for the CSD except having to “include in its internal rules an obligation for their participants to be subject to…”</w:t>
      </w:r>
    </w:p>
    <w:p w:rsidR="00A31536" w:rsidRPr="00867F7E" w:rsidRDefault="00A31536" w:rsidP="00A31536">
      <w:pPr>
        <w:numPr>
          <w:ilvl w:val="0"/>
          <w:numId w:val="43"/>
        </w:numPr>
        <w:spacing w:after="200" w:line="276" w:lineRule="auto"/>
        <w:jc w:val="both"/>
        <w:rPr>
          <w:rFonts w:cs="Arial"/>
          <w:color w:val="1F4E79"/>
          <w:lang w:val="en-US"/>
        </w:rPr>
      </w:pPr>
      <w:r w:rsidRPr="00867F7E">
        <w:rPr>
          <w:rFonts w:cs="Arial"/>
          <w:color w:val="1F4E79"/>
          <w:lang w:val="en-US"/>
        </w:rPr>
        <w:lastRenderedPageBreak/>
        <w:t>However, the RTS foresee that CSDs “shall appoint a buy-in agent or execute the buy-in by auction”.</w:t>
      </w:r>
    </w:p>
    <w:p w:rsidR="00A31536" w:rsidRPr="00867F7E" w:rsidRDefault="00A31536" w:rsidP="00A31536">
      <w:pPr>
        <w:numPr>
          <w:ilvl w:val="0"/>
          <w:numId w:val="43"/>
        </w:numPr>
        <w:spacing w:after="200" w:line="276" w:lineRule="auto"/>
        <w:jc w:val="both"/>
        <w:rPr>
          <w:rFonts w:cs="Arial"/>
          <w:b/>
          <w:lang w:val="en-US"/>
        </w:rPr>
      </w:pPr>
      <w:r w:rsidRPr="00867F7E">
        <w:rPr>
          <w:rFonts w:cs="Arial"/>
          <w:color w:val="1F4E79"/>
          <w:lang w:val="en-US"/>
        </w:rPr>
        <w:t>It seems that the draft RTS is not in line with what the Level 1 Regulation has esta</w:t>
      </w:r>
      <w:r w:rsidRPr="00867F7E">
        <w:rPr>
          <w:rFonts w:cs="Arial"/>
          <w:color w:val="1F4E79"/>
          <w:lang w:val="en-US"/>
        </w:rPr>
        <w:t>b</w:t>
      </w:r>
      <w:r w:rsidRPr="00867F7E">
        <w:rPr>
          <w:rFonts w:cs="Arial"/>
          <w:color w:val="1F4E79"/>
          <w:lang w:val="en-US"/>
        </w:rPr>
        <w:t>lished. Level 1 Regulation has deliberately left CSDs out of the buy-in process because this would add risk to the CSD’s profile. If CSDs are going to be involved and taking d</w:t>
      </w:r>
      <w:r w:rsidRPr="00867F7E">
        <w:rPr>
          <w:rFonts w:cs="Arial"/>
          <w:color w:val="1F4E79"/>
          <w:lang w:val="en-US"/>
        </w:rPr>
        <w:t>e</w:t>
      </w:r>
      <w:r w:rsidRPr="00867F7E">
        <w:rPr>
          <w:rFonts w:cs="Arial"/>
          <w:color w:val="1F4E79"/>
          <w:lang w:val="en-US"/>
        </w:rPr>
        <w:t>cisions about the buy-in process, then there should be certain mechanisms of guara</w:t>
      </w:r>
      <w:r w:rsidRPr="00867F7E">
        <w:rPr>
          <w:rFonts w:cs="Arial"/>
          <w:color w:val="1F4E79"/>
          <w:lang w:val="en-US"/>
        </w:rPr>
        <w:t>n</w:t>
      </w:r>
      <w:r w:rsidRPr="00867F7E">
        <w:rPr>
          <w:rFonts w:cs="Arial"/>
          <w:color w:val="1F4E79"/>
          <w:lang w:val="en-US"/>
        </w:rPr>
        <w:t>tees to ensure that the system is covering the risk borned by the CSD. Additionally, the appointment of an agent, the management of an auction or the execution of a buy-in i</w:t>
      </w:r>
      <w:r w:rsidRPr="00867F7E">
        <w:rPr>
          <w:rFonts w:cs="Arial"/>
          <w:color w:val="1F4E79"/>
          <w:lang w:val="en-US"/>
        </w:rPr>
        <w:t>t</w:t>
      </w:r>
      <w:r w:rsidRPr="00867F7E">
        <w:rPr>
          <w:rFonts w:cs="Arial"/>
          <w:color w:val="1F4E79"/>
          <w:lang w:val="en-US"/>
        </w:rPr>
        <w:t>self have to be managed at the level of trading parties, as the CSD doesn’t have any d</w:t>
      </w:r>
      <w:r w:rsidRPr="00867F7E">
        <w:rPr>
          <w:rFonts w:cs="Arial"/>
          <w:color w:val="1F4E79"/>
          <w:lang w:val="en-US"/>
        </w:rPr>
        <w:t>i</w:t>
      </w:r>
      <w:r w:rsidRPr="00867F7E">
        <w:rPr>
          <w:rFonts w:cs="Arial"/>
          <w:color w:val="1F4E79"/>
          <w:lang w:val="en-US"/>
        </w:rPr>
        <w:t xml:space="preserve">rect relationship with market agents or trading venues. Having to decide when, or how, a buy-in has to be done, at what price, how to process it and link it with the original failing transaction are far beyond the responsibilities that a CSD is ready to cope with. </w:t>
      </w:r>
    </w:p>
    <w:p w:rsidR="00A31536" w:rsidRPr="00867F7E" w:rsidRDefault="00A31536" w:rsidP="00A31536">
      <w:pPr>
        <w:jc w:val="both"/>
        <w:rPr>
          <w:rFonts w:cs="Arial"/>
          <w:color w:val="1F4E79"/>
          <w:lang w:val="en-US"/>
        </w:rPr>
      </w:pPr>
      <w:r w:rsidRPr="00867F7E">
        <w:rPr>
          <w:rFonts w:cs="Arial"/>
          <w:color w:val="1F4E79"/>
          <w:lang w:val="en-US"/>
        </w:rPr>
        <w:t>A possible solution for the compliance of the buy-in requirement for OTC transactions, would be that the rules and regulations of the CSD foresee that OTC transactions have to be bought in accordance to the following procedure:</w:t>
      </w:r>
    </w:p>
    <w:p w:rsidR="00A31536" w:rsidRPr="00867F7E" w:rsidRDefault="00A31536" w:rsidP="00A31536">
      <w:pPr>
        <w:numPr>
          <w:ilvl w:val="0"/>
          <w:numId w:val="44"/>
        </w:numPr>
        <w:spacing w:after="200" w:line="276" w:lineRule="auto"/>
        <w:jc w:val="both"/>
        <w:rPr>
          <w:rFonts w:cs="Arial"/>
          <w:color w:val="1F4E79"/>
          <w:lang w:val="en-US"/>
        </w:rPr>
      </w:pPr>
      <w:r w:rsidRPr="00867F7E">
        <w:rPr>
          <w:rFonts w:cs="Arial"/>
          <w:color w:val="1F4E79"/>
          <w:lang w:val="en-US"/>
        </w:rPr>
        <w:t>When the buy-in date arrives, the CSD will flag the transaction as “initiation of buy-in”. The receiving party has to trigger the process if they want/agree to buy-in with their cou</w:t>
      </w:r>
      <w:r w:rsidRPr="00867F7E">
        <w:rPr>
          <w:rFonts w:cs="Arial"/>
          <w:color w:val="1F4E79"/>
          <w:lang w:val="en-US"/>
        </w:rPr>
        <w:t>n</w:t>
      </w:r>
      <w:r w:rsidRPr="00867F7E">
        <w:rPr>
          <w:rFonts w:cs="Arial"/>
          <w:color w:val="1F4E79"/>
          <w:lang w:val="en-US"/>
        </w:rPr>
        <w:t>terparty. They can ask via the participant that the CSD broadcasts an auction notice to the market with their contact details. Alternatively, they can directly get in contact with a buy-in agent.</w:t>
      </w:r>
    </w:p>
    <w:p w:rsidR="00A31536" w:rsidRPr="00867F7E" w:rsidRDefault="00A31536" w:rsidP="00A31536">
      <w:pPr>
        <w:numPr>
          <w:ilvl w:val="0"/>
          <w:numId w:val="44"/>
        </w:numPr>
        <w:spacing w:after="200" w:line="276" w:lineRule="auto"/>
        <w:jc w:val="both"/>
        <w:rPr>
          <w:rFonts w:cs="Arial"/>
          <w:color w:val="1F4E79"/>
          <w:lang w:val="en-US"/>
        </w:rPr>
      </w:pPr>
      <w:r w:rsidRPr="00867F7E">
        <w:rPr>
          <w:rFonts w:cs="Arial"/>
          <w:color w:val="1F4E79"/>
          <w:lang w:val="en-US"/>
        </w:rPr>
        <w:t xml:space="preserve">If the transaction was not settled or was cancelled by the participants by the end of the buy-in period, the CSD would send a notice of cancellation of the instruction as long as it would be understood that a cash compensation had taken place. </w:t>
      </w:r>
    </w:p>
    <w:p w:rsidR="00A31536" w:rsidRPr="00867F7E" w:rsidRDefault="00A31536" w:rsidP="00A31536">
      <w:pPr>
        <w:jc w:val="both"/>
        <w:rPr>
          <w:rFonts w:cs="Arial"/>
          <w:color w:val="1F4E79"/>
          <w:lang w:val="en-US"/>
        </w:rPr>
      </w:pPr>
      <w:r w:rsidRPr="00867F7E">
        <w:rPr>
          <w:rFonts w:cs="Arial"/>
          <w:color w:val="1F4E79"/>
          <w:lang w:val="en-US"/>
        </w:rPr>
        <w:t>Regarding the requirement of the CSD to “test consistency” of the information of buy-ins:</w:t>
      </w:r>
    </w:p>
    <w:p w:rsidR="00A31536" w:rsidRPr="00867F7E" w:rsidRDefault="00A31536" w:rsidP="00A31536">
      <w:pPr>
        <w:numPr>
          <w:ilvl w:val="0"/>
          <w:numId w:val="45"/>
        </w:numPr>
        <w:spacing w:after="200" w:line="276" w:lineRule="auto"/>
        <w:jc w:val="both"/>
        <w:rPr>
          <w:rFonts w:cs="Arial"/>
          <w:color w:val="1F4E79"/>
          <w:lang w:val="en-US"/>
        </w:rPr>
      </w:pPr>
      <w:r w:rsidRPr="00867F7E">
        <w:rPr>
          <w:rFonts w:cs="Arial"/>
          <w:color w:val="1F4E79"/>
          <w:lang w:val="en-US"/>
        </w:rPr>
        <w:t>The Regulation says that “CSDs may monitor the execution of buy-ins”, but the RTS is imposing an obligation on the CSD that goes beyond monitoring as CSDs are requested to “test consistency”. We would also like to point out that our understanding is that Reg</w:t>
      </w:r>
      <w:r w:rsidRPr="00867F7E">
        <w:rPr>
          <w:rFonts w:cs="Arial"/>
          <w:color w:val="1F4E79"/>
          <w:lang w:val="en-US"/>
        </w:rPr>
        <w:t>u</w:t>
      </w:r>
      <w:r w:rsidRPr="00867F7E">
        <w:rPr>
          <w:rFonts w:cs="Arial"/>
          <w:color w:val="1F4E79"/>
          <w:lang w:val="en-US"/>
        </w:rPr>
        <w:t>lation is not requesting the development of technical standards in this specific point.</w:t>
      </w:r>
    </w:p>
    <w:p w:rsidR="00A31536" w:rsidRPr="00867F7E" w:rsidRDefault="00A31536" w:rsidP="00A31536">
      <w:pPr>
        <w:numPr>
          <w:ilvl w:val="0"/>
          <w:numId w:val="45"/>
        </w:numPr>
        <w:spacing w:after="200" w:line="276" w:lineRule="auto"/>
        <w:jc w:val="both"/>
        <w:rPr>
          <w:rFonts w:cs="Arial"/>
          <w:color w:val="1F4E79"/>
          <w:lang w:val="en-US"/>
        </w:rPr>
      </w:pPr>
      <w:r w:rsidRPr="00867F7E">
        <w:rPr>
          <w:rFonts w:cs="Arial"/>
          <w:color w:val="1F4E79"/>
          <w:lang w:val="en-US"/>
        </w:rPr>
        <w:t>It is not possible for CSDs to properly test consistency of the buy-ins performed by CCPs and TVs for the following reasons: securities are fungible, the information on settlement chains is not available and CSDs do not have the information on the ultimate beneficia</w:t>
      </w:r>
      <w:r w:rsidRPr="00867F7E">
        <w:rPr>
          <w:rFonts w:cs="Arial"/>
          <w:color w:val="1F4E79"/>
          <w:lang w:val="en-US"/>
        </w:rPr>
        <w:t>r</w:t>
      </w:r>
      <w:r w:rsidRPr="00867F7E">
        <w:rPr>
          <w:rFonts w:cs="Arial"/>
          <w:color w:val="1F4E79"/>
          <w:lang w:val="en-US"/>
        </w:rPr>
        <w:t>ies. Therefore, this task would have to be totally manual, trying to gather information from participants, incurring in huge costs and higher risks. CSDs would surely be making mi</w:t>
      </w:r>
      <w:r w:rsidRPr="00867F7E">
        <w:rPr>
          <w:rFonts w:cs="Arial"/>
          <w:color w:val="1F4E79"/>
          <w:lang w:val="en-US"/>
        </w:rPr>
        <w:t>s</w:t>
      </w:r>
      <w:r w:rsidRPr="00867F7E">
        <w:rPr>
          <w:rFonts w:cs="Arial"/>
          <w:color w:val="1F4E79"/>
          <w:lang w:val="en-US"/>
        </w:rPr>
        <w:t>takes which they could be accounted for (allowing for or preventing buy-ins incorrectly).</w:t>
      </w:r>
    </w:p>
    <w:p w:rsidR="00A31536" w:rsidRPr="00867F7E" w:rsidRDefault="00A31536" w:rsidP="00A31536">
      <w:pPr>
        <w:numPr>
          <w:ilvl w:val="0"/>
          <w:numId w:val="45"/>
        </w:numPr>
        <w:spacing w:after="200" w:line="276" w:lineRule="auto"/>
        <w:jc w:val="both"/>
        <w:rPr>
          <w:rFonts w:cs="Arial"/>
          <w:color w:val="1F4E79"/>
          <w:lang w:val="en-US"/>
        </w:rPr>
      </w:pPr>
      <w:r w:rsidRPr="00867F7E">
        <w:rPr>
          <w:rFonts w:cs="Arial"/>
          <w:color w:val="1F4E79"/>
          <w:lang w:val="en-US"/>
        </w:rPr>
        <w:t xml:space="preserve">We would therefore kindly suggest that ESMA reconsiders this last paragraph of article 11. </w:t>
      </w:r>
    </w:p>
    <w:p w:rsidR="00A31536" w:rsidRPr="00867F7E" w:rsidRDefault="00A31536" w:rsidP="00A31536">
      <w:pPr>
        <w:jc w:val="both"/>
        <w:rPr>
          <w:rFonts w:cs="Arial"/>
          <w:color w:val="1F4E79"/>
          <w:lang w:val="en-US"/>
        </w:rPr>
      </w:pPr>
      <w:r w:rsidRPr="00867F7E">
        <w:rPr>
          <w:rFonts w:cs="Arial"/>
          <w:color w:val="1F4E79"/>
          <w:lang w:val="en-US"/>
        </w:rPr>
        <w:t>Regarding the application of the partial settlement at the end of the extension period, we support an earlier application of partialling, ideally from ISD+1 in order to increase liquidity in the security and ensure that chained transactions are capable of benefiting from partial settlement before the buy-in deadline.</w:t>
      </w:r>
    </w:p>
    <w:p w:rsidR="00A31536" w:rsidRDefault="00A31536" w:rsidP="00A31536">
      <w:pPr>
        <w:jc w:val="both"/>
        <w:rPr>
          <w:rFonts w:cs="Arial"/>
          <w:color w:val="1F4E79"/>
          <w:lang w:val="en-US"/>
        </w:rPr>
      </w:pPr>
      <w:r w:rsidRPr="00867F7E">
        <w:rPr>
          <w:rFonts w:cs="Arial"/>
          <w:color w:val="1F4E79"/>
          <w:lang w:val="en-US"/>
        </w:rPr>
        <w:lastRenderedPageBreak/>
        <w:t>We also believe that, if it had not been possible to partially implement the operation and rebuy period is complete, it seems more appropriate to settle in cash.</w:t>
      </w:r>
    </w:p>
    <w:p w:rsidR="00F24FF5" w:rsidRPr="00867F7E" w:rsidRDefault="00F24FF5" w:rsidP="00A31536">
      <w:pPr>
        <w:jc w:val="both"/>
        <w:rPr>
          <w:rFonts w:cs="Arial"/>
          <w:color w:val="1F4E79"/>
          <w:lang w:val="en-US"/>
        </w:rPr>
      </w:pPr>
    </w:p>
    <w:p w:rsidR="00A31536" w:rsidRPr="00867F7E" w:rsidRDefault="00A31536" w:rsidP="00A31536">
      <w:pPr>
        <w:jc w:val="both"/>
        <w:rPr>
          <w:rFonts w:cs="Arial"/>
          <w:color w:val="1F4E79"/>
          <w:lang w:val="en-US"/>
        </w:rPr>
      </w:pPr>
      <w:r w:rsidRPr="00867F7E">
        <w:rPr>
          <w:rFonts w:cs="Arial"/>
          <w:color w:val="1F4E79"/>
          <w:lang w:val="en-US"/>
        </w:rPr>
        <w:t>Regarding the scope of buy-ins, we would like ESMA to clarify the definition of transactions submitted to the buy-in obligation. We understand that not all the securities movements that enter into the settlement system should be subject to the settlement discipline. We are referring for instance to transactions related to corporate events, to collateral management services, portfolio transfers, automatic lending, or intra-account movements. As we believe that settlement discipline does not make sense in these cases and actually this is not in the spirit of the Regul</w:t>
      </w:r>
      <w:r w:rsidRPr="00867F7E">
        <w:rPr>
          <w:rFonts w:cs="Arial"/>
          <w:color w:val="1F4E79"/>
          <w:lang w:val="en-US"/>
        </w:rPr>
        <w:t>a</w:t>
      </w:r>
      <w:r w:rsidRPr="00867F7E">
        <w:rPr>
          <w:rFonts w:cs="Arial"/>
          <w:color w:val="1F4E79"/>
          <w:lang w:val="en-US"/>
        </w:rPr>
        <w:t>tion, we support industry suggestions whereby a definition of the transaction in relation to the underlying economic agreement is proposed. A proper definition of what is defined as a transa</w:t>
      </w:r>
      <w:r w:rsidRPr="00867F7E">
        <w:rPr>
          <w:rFonts w:cs="Arial"/>
          <w:color w:val="1F4E79"/>
          <w:lang w:val="en-US"/>
        </w:rPr>
        <w:t>c</w:t>
      </w:r>
      <w:r w:rsidRPr="00867F7E">
        <w:rPr>
          <w:rFonts w:cs="Arial"/>
          <w:color w:val="1F4E79"/>
          <w:lang w:val="en-US"/>
        </w:rPr>
        <w:t>tion would probably solve all concerns above mentioned.</w:t>
      </w:r>
    </w:p>
    <w:permEnd w:id="1288832678"/>
    <w:p w:rsidR="00D12AFD" w:rsidRDefault="00D12AFD" w:rsidP="00D12AFD">
      <w:r>
        <w:t>&lt;ESMA_QUESTION_TS_CSDR_7&gt;</w:t>
      </w:r>
    </w:p>
    <w:p w:rsidR="00D12AFD" w:rsidRPr="002C4F00" w:rsidRDefault="00D12AFD" w:rsidP="00965B03">
      <w:pPr>
        <w:pStyle w:val="Ttulo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A31536" w:rsidRDefault="00A31536" w:rsidP="00A31536">
      <w:pPr>
        <w:jc w:val="both"/>
        <w:rPr>
          <w:rFonts w:cs="Arial"/>
          <w:color w:val="1F4E79"/>
          <w:lang w:val="en-US"/>
        </w:rPr>
      </w:pPr>
      <w:permStart w:id="1715495194" w:edGrp="everyone"/>
      <w:r w:rsidRPr="00867F7E">
        <w:rPr>
          <w:rFonts w:cs="Arial"/>
          <w:color w:val="1F4E79"/>
          <w:lang w:val="en-US"/>
        </w:rPr>
        <w:t xml:space="preserve">The definition of the extension period and timeframe to deliver the buy-in is complex. As a result of the additional time for the extension period envisaged for illiquid securities, there are going to exist three different extension periods. </w:t>
      </w:r>
    </w:p>
    <w:p w:rsidR="00F24FF5" w:rsidRPr="00867F7E" w:rsidRDefault="00F24FF5" w:rsidP="00A31536">
      <w:pPr>
        <w:jc w:val="both"/>
        <w:rPr>
          <w:rFonts w:cs="Arial"/>
          <w:color w:val="1F4E79"/>
          <w:lang w:val="en-US"/>
        </w:rPr>
      </w:pPr>
    </w:p>
    <w:p w:rsidR="00A31536" w:rsidRPr="00867F7E" w:rsidRDefault="00A31536" w:rsidP="00A31536">
      <w:pPr>
        <w:jc w:val="both"/>
        <w:rPr>
          <w:rFonts w:cs="Arial"/>
          <w:color w:val="1F4E79"/>
          <w:lang w:val="en-US"/>
        </w:rPr>
      </w:pPr>
      <w:r w:rsidRPr="00867F7E">
        <w:rPr>
          <w:rFonts w:cs="Arial"/>
          <w:color w:val="1F4E79"/>
          <w:lang w:val="en-US"/>
        </w:rPr>
        <w:t>Regarding the criteria for defining liquid/illiquid securities, we understand that CSDs will be able to feed on ESMA’s public information and ESMA will maintain the list of illiquid securities. Also the frequency that markets need to update the information on illiquid securities would be a bu</w:t>
      </w:r>
      <w:r w:rsidRPr="00867F7E">
        <w:rPr>
          <w:rFonts w:cs="Arial"/>
          <w:color w:val="1F4E79"/>
          <w:lang w:val="en-US"/>
        </w:rPr>
        <w:t>r</w:t>
      </w:r>
      <w:r w:rsidRPr="00867F7E">
        <w:rPr>
          <w:rFonts w:cs="Arial"/>
          <w:color w:val="1F4E79"/>
          <w:lang w:val="en-US"/>
        </w:rPr>
        <w:t>den if the feed could not be automated.</w:t>
      </w:r>
    </w:p>
    <w:permEnd w:id="1715495194"/>
    <w:p w:rsidR="00D12AFD" w:rsidRDefault="00D12AFD" w:rsidP="00D12AFD">
      <w:r>
        <w:t>&lt;ESMA_QUESTION_TS_CSDR_8&gt;</w:t>
      </w:r>
    </w:p>
    <w:p w:rsidR="00D12AFD" w:rsidRPr="002C4F00" w:rsidRDefault="00D12AFD" w:rsidP="00965B03">
      <w:pPr>
        <w:pStyle w:val="Ttulo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A31536" w:rsidRDefault="00A31536" w:rsidP="00A31536">
      <w:pPr>
        <w:jc w:val="both"/>
        <w:rPr>
          <w:rFonts w:cs="Arial"/>
          <w:color w:val="1F4E79"/>
          <w:lang w:val="en-US"/>
        </w:rPr>
      </w:pPr>
      <w:permStart w:id="1369072828" w:edGrp="everyone"/>
      <w:r w:rsidRPr="00867F7E">
        <w:rPr>
          <w:rFonts w:cs="Arial"/>
          <w:color w:val="1F4E79"/>
          <w:lang w:val="en-US"/>
        </w:rPr>
        <w:t xml:space="preserve">With the current T2S specifications, the CSDs cannot apply the exemption for short-term repos. There is currently no way in T2S to know the length of the repo because there is no link between the two transactions or any reference in the first leg to the date of the second leg. </w:t>
      </w:r>
    </w:p>
    <w:p w:rsidR="00F24FF5" w:rsidRPr="00867F7E" w:rsidRDefault="00F24FF5" w:rsidP="00A31536">
      <w:pPr>
        <w:jc w:val="both"/>
        <w:rPr>
          <w:rFonts w:cs="Arial"/>
          <w:color w:val="1F4E79"/>
          <w:lang w:val="en-US"/>
        </w:rPr>
      </w:pPr>
    </w:p>
    <w:p w:rsidR="00A31536" w:rsidRDefault="00A31536" w:rsidP="00A31536">
      <w:pPr>
        <w:jc w:val="both"/>
        <w:rPr>
          <w:rFonts w:cs="Arial"/>
          <w:color w:val="1F4E79"/>
          <w:lang w:val="en-US"/>
        </w:rPr>
      </w:pPr>
      <w:r w:rsidRPr="00867F7E">
        <w:rPr>
          <w:rFonts w:cs="Arial"/>
          <w:color w:val="1F4E79"/>
          <w:lang w:val="en-US"/>
        </w:rPr>
        <w:t xml:space="preserve">An alternative way to differentiate short-term repos may be by creating two different types of transactions, which participants had to match them. One transaction type for short time repo and another one for longer term repos would allow CSDs to apply the buy-in regime properly. </w:t>
      </w:r>
    </w:p>
    <w:p w:rsidR="00F24FF5" w:rsidRPr="00867F7E" w:rsidRDefault="00F24FF5" w:rsidP="00A31536">
      <w:pPr>
        <w:jc w:val="both"/>
        <w:rPr>
          <w:rFonts w:cs="Arial"/>
          <w:color w:val="1F4E79"/>
          <w:lang w:val="en-US"/>
        </w:rPr>
      </w:pPr>
    </w:p>
    <w:p w:rsidR="00A31536" w:rsidRPr="00867F7E" w:rsidRDefault="00A31536" w:rsidP="00A31536">
      <w:pPr>
        <w:jc w:val="both"/>
        <w:rPr>
          <w:rFonts w:cs="Arial"/>
          <w:b/>
          <w:lang w:val="en-US"/>
        </w:rPr>
      </w:pPr>
      <w:r w:rsidRPr="00867F7E">
        <w:rPr>
          <w:rFonts w:cs="Arial"/>
          <w:color w:val="1F4E79"/>
          <w:lang w:val="en-US"/>
        </w:rPr>
        <w:t xml:space="preserve">Any agreed solution will necessarily require some changes in T2S, whether it is by including a new matching transaction type or the information on the date of the return leg. </w:t>
      </w:r>
    </w:p>
    <w:permEnd w:id="1369072828"/>
    <w:p w:rsidR="00D12AFD" w:rsidRDefault="00D12AFD" w:rsidP="00D12AFD">
      <w:r>
        <w:t>&lt;ESMA_QUESTION_TS_CSDR_9&gt;</w:t>
      </w:r>
    </w:p>
    <w:p w:rsidR="00D12AFD" w:rsidRPr="002C4F00" w:rsidRDefault="00D12AFD" w:rsidP="00965B03">
      <w:pPr>
        <w:pStyle w:val="Ttulo5"/>
        <w:ind w:left="567" w:hanging="567"/>
      </w:pPr>
      <w:r w:rsidRPr="002C4F00">
        <w:t>What are your views on the proposed draft RTS related to the calculation of the cash compensation?</w:t>
      </w:r>
    </w:p>
    <w:p w:rsidR="00D12AFD" w:rsidRDefault="00D12AFD" w:rsidP="00D12AFD"/>
    <w:p w:rsidR="00D12AFD" w:rsidRDefault="00D12AFD" w:rsidP="00D12AFD">
      <w:r>
        <w:t>&lt;ESMA_QUESTION_TS_CSDR_10&gt;</w:t>
      </w:r>
    </w:p>
    <w:p w:rsidR="00A31536" w:rsidRPr="00867F7E" w:rsidRDefault="00A31536" w:rsidP="00A31536">
      <w:pPr>
        <w:jc w:val="both"/>
        <w:rPr>
          <w:rFonts w:cs="Arial"/>
          <w:color w:val="1F4E79"/>
          <w:lang w:val="en-US"/>
        </w:rPr>
      </w:pPr>
      <w:permStart w:id="903956886" w:edGrp="everyone"/>
      <w:r w:rsidRPr="00867F7E">
        <w:rPr>
          <w:rFonts w:cs="Arial"/>
          <w:color w:val="1F4E79"/>
          <w:lang w:val="en-US"/>
        </w:rPr>
        <w:t>We understand that the prices used to calculate the compensation should always refer to the latest prices that have been settled in the market or the closing price of the previous day. Neg</w:t>
      </w:r>
      <w:r w:rsidRPr="00867F7E">
        <w:rPr>
          <w:rFonts w:cs="Arial"/>
          <w:color w:val="1F4E79"/>
          <w:lang w:val="en-US"/>
        </w:rPr>
        <w:t>a</w:t>
      </w:r>
      <w:r w:rsidRPr="00867F7E">
        <w:rPr>
          <w:rFonts w:cs="Arial"/>
          <w:color w:val="1F4E79"/>
          <w:lang w:val="en-US"/>
        </w:rPr>
        <w:t>tive amounts should never be settled to the entity that has failed.</w:t>
      </w:r>
    </w:p>
    <w:permEnd w:id="903956886"/>
    <w:p w:rsidR="00D12AFD" w:rsidRDefault="00D12AFD" w:rsidP="00D12AFD">
      <w:r>
        <w:t>&lt;ESMA_QUESTION_TS_CSDR_10&gt;</w:t>
      </w:r>
    </w:p>
    <w:p w:rsidR="00D12AFD" w:rsidRPr="002C4F00" w:rsidRDefault="00D12AFD" w:rsidP="00965B03">
      <w:pPr>
        <w:pStyle w:val="Ttulo5"/>
        <w:ind w:left="567" w:hanging="567"/>
      </w:pPr>
      <w:r w:rsidRPr="002C4F00">
        <w:lastRenderedPageBreak/>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A31536" w:rsidRDefault="00A31536" w:rsidP="00A31536">
      <w:pPr>
        <w:jc w:val="both"/>
        <w:rPr>
          <w:rFonts w:cs="Arial"/>
          <w:color w:val="1F4E79"/>
          <w:lang w:val="en-US"/>
        </w:rPr>
      </w:pPr>
      <w:permStart w:id="1800358432" w:edGrp="everyone"/>
      <w:r w:rsidRPr="00867F7E">
        <w:rPr>
          <w:rFonts w:cs="Arial"/>
          <w:color w:val="1F4E79"/>
          <w:lang w:val="en-US"/>
        </w:rPr>
        <w:t>We believe that the conditions for a participant to consistently and systematically fail, are too restrictive. Important distortions could be created, especially for small participants. If a partic</w:t>
      </w:r>
      <w:r w:rsidRPr="00867F7E">
        <w:rPr>
          <w:rFonts w:cs="Arial"/>
          <w:color w:val="1F4E79"/>
          <w:lang w:val="en-US"/>
        </w:rPr>
        <w:t>i</w:t>
      </w:r>
      <w:r w:rsidRPr="00867F7E">
        <w:rPr>
          <w:rFonts w:cs="Arial"/>
          <w:color w:val="1F4E79"/>
          <w:lang w:val="en-US"/>
        </w:rPr>
        <w:t xml:space="preserve">pant sends only two transactions and one of them fails, as a matter of fact the participant will have a 50% failing rate. </w:t>
      </w:r>
    </w:p>
    <w:p w:rsidR="00F24FF5" w:rsidRPr="00867F7E" w:rsidRDefault="00F24FF5" w:rsidP="00A31536">
      <w:pPr>
        <w:jc w:val="both"/>
        <w:rPr>
          <w:rFonts w:cs="Arial"/>
          <w:color w:val="1F4E79"/>
          <w:lang w:val="en-US"/>
        </w:rPr>
      </w:pPr>
    </w:p>
    <w:p w:rsidR="00A31536" w:rsidRDefault="00A31536" w:rsidP="00A31536">
      <w:pPr>
        <w:jc w:val="both"/>
        <w:rPr>
          <w:rFonts w:cs="Arial"/>
          <w:color w:val="1F4E79"/>
          <w:lang w:val="en-US"/>
        </w:rPr>
      </w:pPr>
      <w:r w:rsidRPr="00867F7E">
        <w:rPr>
          <w:rFonts w:cs="Arial"/>
          <w:color w:val="1F4E79"/>
          <w:lang w:val="en-US"/>
        </w:rPr>
        <w:t>We also believe that the calculation is too complex, taking into account that automatic suspe</w:t>
      </w:r>
      <w:r w:rsidRPr="00867F7E">
        <w:rPr>
          <w:rFonts w:cs="Arial"/>
          <w:color w:val="1F4E79"/>
          <w:lang w:val="en-US"/>
        </w:rPr>
        <w:t>n</w:t>
      </w:r>
      <w:r w:rsidRPr="00867F7E">
        <w:rPr>
          <w:rFonts w:cs="Arial"/>
          <w:color w:val="1F4E79"/>
          <w:lang w:val="en-US"/>
        </w:rPr>
        <w:t xml:space="preserve">sions will never be triggered. The proposed formula requires the CSD to take into account not only the fail rate, but also the number of days that has failed as well as the number of days that operates.  </w:t>
      </w:r>
    </w:p>
    <w:p w:rsidR="00F24FF5" w:rsidRPr="00867F7E" w:rsidRDefault="00F24FF5" w:rsidP="00A31536">
      <w:pPr>
        <w:jc w:val="both"/>
        <w:rPr>
          <w:rFonts w:cs="Arial"/>
          <w:color w:val="1F4E79"/>
          <w:lang w:val="en-US"/>
        </w:rPr>
      </w:pPr>
    </w:p>
    <w:p w:rsidR="00A31536" w:rsidRPr="00867F7E" w:rsidRDefault="00A31536" w:rsidP="00A31536">
      <w:pPr>
        <w:jc w:val="both"/>
        <w:rPr>
          <w:rFonts w:cs="Arial"/>
          <w:color w:val="1F4E79"/>
          <w:lang w:val="en-US"/>
        </w:rPr>
      </w:pPr>
      <w:r w:rsidRPr="00867F7E">
        <w:rPr>
          <w:rFonts w:cs="Arial"/>
          <w:color w:val="1F4E79"/>
          <w:lang w:val="en-US"/>
        </w:rPr>
        <w:t>The following approach would simplify the identification of systematically failing participants:</w:t>
      </w:r>
    </w:p>
    <w:p w:rsidR="00A31536" w:rsidRPr="00867F7E" w:rsidRDefault="00A31536" w:rsidP="00A31536">
      <w:pPr>
        <w:numPr>
          <w:ilvl w:val="0"/>
          <w:numId w:val="46"/>
        </w:numPr>
        <w:spacing w:after="200" w:line="276" w:lineRule="auto"/>
        <w:jc w:val="both"/>
        <w:rPr>
          <w:rFonts w:cs="Arial"/>
          <w:color w:val="1F4E79"/>
          <w:lang w:val="en-US"/>
        </w:rPr>
      </w:pPr>
      <w:r w:rsidRPr="00867F7E">
        <w:rPr>
          <w:rFonts w:cs="Arial"/>
          <w:color w:val="1F4E79"/>
          <w:lang w:val="en-US"/>
        </w:rPr>
        <w:t>Excluding participants under certain thresholds of activity measured in cash or number of transactions.</w:t>
      </w:r>
    </w:p>
    <w:p w:rsidR="00A31536" w:rsidRPr="00867F7E" w:rsidRDefault="00A31536" w:rsidP="00A31536">
      <w:pPr>
        <w:numPr>
          <w:ilvl w:val="0"/>
          <w:numId w:val="46"/>
        </w:numPr>
        <w:spacing w:after="200" w:line="276" w:lineRule="auto"/>
        <w:jc w:val="both"/>
        <w:rPr>
          <w:rFonts w:cs="Arial"/>
          <w:color w:val="1F4E79"/>
          <w:lang w:val="en-US"/>
        </w:rPr>
      </w:pPr>
      <w:r w:rsidRPr="00867F7E">
        <w:rPr>
          <w:rFonts w:cs="Arial"/>
          <w:color w:val="1F4E79"/>
          <w:lang w:val="en-US"/>
        </w:rPr>
        <w:t>Allowing for a yearly calculation: once excluded small participants, the consideration of the number of days is not relevant.</w:t>
      </w:r>
    </w:p>
    <w:p w:rsidR="00A31536" w:rsidRPr="00867F7E" w:rsidRDefault="00A31536" w:rsidP="00A31536">
      <w:pPr>
        <w:numPr>
          <w:ilvl w:val="0"/>
          <w:numId w:val="46"/>
        </w:numPr>
        <w:spacing w:after="200" w:line="276" w:lineRule="auto"/>
        <w:jc w:val="both"/>
        <w:rPr>
          <w:rFonts w:cs="Arial"/>
          <w:color w:val="1F4E79"/>
          <w:lang w:val="en-US"/>
        </w:rPr>
      </w:pPr>
      <w:r w:rsidRPr="00867F7E">
        <w:rPr>
          <w:rFonts w:cs="Arial"/>
          <w:color w:val="1F4E79"/>
          <w:lang w:val="en-US"/>
        </w:rPr>
        <w:t>Envisaging certain flexibility to be agreed between the CSD and the competent authority.</w:t>
      </w:r>
    </w:p>
    <w:p w:rsidR="00A31536" w:rsidRPr="00867F7E" w:rsidRDefault="00A31536" w:rsidP="00A31536">
      <w:pPr>
        <w:jc w:val="both"/>
        <w:rPr>
          <w:rFonts w:cs="Arial"/>
          <w:color w:val="1F4E79"/>
          <w:lang w:val="en-US"/>
        </w:rPr>
      </w:pPr>
      <w:r w:rsidRPr="00867F7E">
        <w:rPr>
          <w:rFonts w:cs="Arial"/>
          <w:color w:val="1F4E79"/>
          <w:lang w:val="en-US"/>
        </w:rPr>
        <w:t>We also understand that the most important thing should be the volume of failures and not the number of failed operations, although the latter should be considered.</w:t>
      </w:r>
    </w:p>
    <w:permEnd w:id="1800358432"/>
    <w:p w:rsidR="00D12AFD" w:rsidRDefault="00D12AFD" w:rsidP="00D12AFD">
      <w:r>
        <w:t>&lt;ESMA_QUESTION_TS_CSDR_11&gt;</w:t>
      </w:r>
    </w:p>
    <w:p w:rsidR="00D12AFD" w:rsidRPr="002C4F00" w:rsidRDefault="00D12AFD" w:rsidP="00965B03">
      <w:pPr>
        <w:pStyle w:val="Ttulo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A31536" w:rsidRPr="00867F7E" w:rsidRDefault="00A31536" w:rsidP="00A31536">
      <w:pPr>
        <w:jc w:val="both"/>
        <w:rPr>
          <w:rFonts w:cs="Arial"/>
          <w:color w:val="1F4E79"/>
          <w:lang w:val="en-US"/>
        </w:rPr>
      </w:pPr>
      <w:permStart w:id="883819507" w:edGrp="everyone"/>
      <w:r w:rsidRPr="00867F7E">
        <w:rPr>
          <w:rFonts w:cs="Arial"/>
          <w:color w:val="1F4E79"/>
          <w:lang w:val="en-US"/>
        </w:rPr>
        <w:t xml:space="preserve">Regarding the information related to the buy-in process, please refer to the answer to Q4. The rest of the information on the result of the settlement process is already foreseen.  We would just like to clarify the following: Whenever a TV is involved, if the TV doesn’t send the instructions directly to the CSD, but participants do it; then this will be treated as an OTC. No information can be sent to the TV as there is no relationship between the CSD and the TV. </w:t>
      </w:r>
    </w:p>
    <w:permEnd w:id="883819507"/>
    <w:p w:rsidR="00D12AFD" w:rsidRDefault="00D12AFD" w:rsidP="00D12AFD">
      <w:r>
        <w:t>&lt;ESMA_QUESTION_TS_CSDR_12&gt;</w:t>
      </w:r>
    </w:p>
    <w:p w:rsidR="00D12AFD" w:rsidRPr="002C4F00" w:rsidRDefault="00D12AFD" w:rsidP="00965B03">
      <w:pPr>
        <w:pStyle w:val="Ttulo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A31536" w:rsidRPr="00867F7E" w:rsidRDefault="00A31536" w:rsidP="00A31536">
      <w:pPr>
        <w:jc w:val="both"/>
        <w:rPr>
          <w:rFonts w:cs="Arial"/>
          <w:color w:val="1F4E79"/>
          <w:lang w:val="en-US"/>
        </w:rPr>
      </w:pPr>
      <w:permStart w:id="872097355" w:edGrp="everyone"/>
      <w:r w:rsidRPr="00867F7E">
        <w:rPr>
          <w:rFonts w:cs="Arial"/>
          <w:color w:val="1F4E79"/>
          <w:lang w:val="en-US"/>
        </w:rPr>
        <w:t>The scope of the settlement discipline needs to be very well defined, so that misinterpretations may not be understood as a circumvention.</w:t>
      </w:r>
    </w:p>
    <w:permEnd w:id="872097355"/>
    <w:p w:rsidR="00D12AFD" w:rsidRDefault="00D12AFD" w:rsidP="00D12AFD">
      <w:r>
        <w:t>&lt;ESMA_QUESTION_TS_CSDR_13&gt;</w:t>
      </w:r>
    </w:p>
    <w:p w:rsidR="00D12AFD" w:rsidRPr="002C4F00" w:rsidRDefault="00D12AFD" w:rsidP="00965B03">
      <w:pPr>
        <w:pStyle w:val="Ttulo5"/>
        <w:ind w:left="567" w:hanging="567"/>
      </w:pPr>
      <w:r w:rsidRPr="002C4F00">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lastRenderedPageBreak/>
        <w:t>&lt;ESMA_QUESTION_TS_CSDR_14&gt;</w:t>
      </w:r>
    </w:p>
    <w:p w:rsidR="00A31536" w:rsidRDefault="00A31536" w:rsidP="00A31536">
      <w:pPr>
        <w:jc w:val="both"/>
        <w:rPr>
          <w:rFonts w:cs="Arial"/>
          <w:color w:val="1F4E79"/>
          <w:lang w:val="en-US"/>
        </w:rPr>
      </w:pPr>
      <w:permStart w:id="677670389" w:edGrp="everyone"/>
      <w:r w:rsidRPr="00867F7E">
        <w:rPr>
          <w:rFonts w:cs="Arial"/>
          <w:color w:val="1F4E79"/>
          <w:lang w:val="en-US"/>
        </w:rPr>
        <w:t>From the point of view of the entities, the 18 months’ timeframe for the implementation seems reasonable. However, the Spanish CSD supports the proposal for a phased-in implementation of the settlement discipline regime and it would like to request for a longer delay of at least 24 months.</w:t>
      </w:r>
    </w:p>
    <w:p w:rsidR="00F24FF5" w:rsidRPr="00867F7E" w:rsidRDefault="00F24FF5" w:rsidP="00A31536">
      <w:pPr>
        <w:jc w:val="both"/>
        <w:rPr>
          <w:rFonts w:cs="Arial"/>
          <w:color w:val="1F4E79"/>
          <w:lang w:val="en-US"/>
        </w:rPr>
      </w:pPr>
    </w:p>
    <w:p w:rsidR="00A31536" w:rsidRDefault="00A31536" w:rsidP="00A31536">
      <w:pPr>
        <w:jc w:val="both"/>
        <w:rPr>
          <w:rFonts w:cs="Arial"/>
          <w:color w:val="1F4E79"/>
          <w:lang w:val="en-US"/>
        </w:rPr>
      </w:pPr>
      <w:r w:rsidRPr="00867F7E">
        <w:rPr>
          <w:rFonts w:cs="Arial"/>
          <w:color w:val="1F4E79"/>
          <w:lang w:val="en-US"/>
        </w:rPr>
        <w:t xml:space="preserve">Some CSDs are joining T2S in the last implementation wave, scheduled for February 2017. Therefore, an 18 months period would be almost over by the time these CSDs conclude their migration. </w:t>
      </w:r>
    </w:p>
    <w:p w:rsidR="00F24FF5" w:rsidRPr="00867F7E" w:rsidRDefault="00F24FF5" w:rsidP="00A31536">
      <w:pPr>
        <w:jc w:val="both"/>
        <w:rPr>
          <w:rFonts w:cs="Arial"/>
          <w:color w:val="1F4E79"/>
          <w:lang w:val="en-US"/>
        </w:rPr>
      </w:pPr>
    </w:p>
    <w:p w:rsidR="00A31536" w:rsidRPr="00867F7E" w:rsidRDefault="00A31536" w:rsidP="00A31536">
      <w:pPr>
        <w:jc w:val="both"/>
        <w:rPr>
          <w:rFonts w:cs="Arial"/>
          <w:color w:val="1F4E79"/>
          <w:lang w:val="en-US"/>
        </w:rPr>
      </w:pPr>
      <w:r w:rsidRPr="00867F7E">
        <w:rPr>
          <w:rFonts w:cs="Arial"/>
          <w:color w:val="1F4E79"/>
          <w:lang w:val="en-US"/>
        </w:rPr>
        <w:t>The first part of the standards (measures to prevent settlement fails) could start in 18 months, as most of these requirements are already under development and will be ready by the time we conclude migration to T2S. For the penalty and buy-in regime, we would support a longer dea</w:t>
      </w:r>
      <w:r w:rsidRPr="00867F7E">
        <w:rPr>
          <w:rFonts w:cs="Arial"/>
          <w:color w:val="1F4E79"/>
          <w:lang w:val="en-US"/>
        </w:rPr>
        <w:t>d</w:t>
      </w:r>
      <w:r w:rsidRPr="00867F7E">
        <w:rPr>
          <w:rFonts w:cs="Arial"/>
          <w:color w:val="1F4E79"/>
          <w:lang w:val="en-US"/>
        </w:rPr>
        <w:t>line.</w:t>
      </w:r>
    </w:p>
    <w:permEnd w:id="677670389"/>
    <w:p w:rsidR="00D12AFD" w:rsidRDefault="00D12AFD" w:rsidP="00D12AFD">
      <w:r>
        <w:t>&lt;ESMA_QUESTION_TS_CSDR_14&gt;</w:t>
      </w:r>
    </w:p>
    <w:p w:rsidR="00D12AFD" w:rsidRPr="002C4F00" w:rsidRDefault="00D12AFD" w:rsidP="00965B03">
      <w:pPr>
        <w:pStyle w:val="Ttulo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A94667" w:rsidRDefault="00A94667" w:rsidP="00A94667">
      <w:pPr>
        <w:jc w:val="both"/>
        <w:rPr>
          <w:rFonts w:cs="Arial"/>
          <w:color w:val="1F4E79"/>
        </w:rPr>
      </w:pPr>
      <w:permStart w:id="547244417" w:edGrp="everyone"/>
      <w:r w:rsidRPr="00867F7E">
        <w:rPr>
          <w:rFonts w:cs="Arial"/>
          <w:color w:val="1F4E79"/>
        </w:rPr>
        <w:t>Regarding the review period (article 1): d</w:t>
      </w:r>
      <w:r w:rsidRPr="00867F7E">
        <w:rPr>
          <w:rFonts w:cs="Arial"/>
          <w:color w:val="1F4E79"/>
          <w:lang w:val="en-US"/>
        </w:rPr>
        <w:t>ue to the overwhelming task of passing reviews on an annual basis, it is important to have a balanced approach by all competent authorities. Additio</w:t>
      </w:r>
      <w:r w:rsidRPr="00867F7E">
        <w:rPr>
          <w:rFonts w:cs="Arial"/>
          <w:color w:val="1F4E79"/>
          <w:lang w:val="en-US"/>
        </w:rPr>
        <w:t>n</w:t>
      </w:r>
      <w:r w:rsidRPr="00867F7E">
        <w:rPr>
          <w:rFonts w:cs="Arial"/>
          <w:color w:val="1F4E79"/>
          <w:lang w:val="en-US"/>
        </w:rPr>
        <w:t>ally, on condition</w:t>
      </w:r>
      <w:r w:rsidRPr="00867F7E">
        <w:rPr>
          <w:rFonts w:cs="Arial"/>
          <w:color w:val="1F4E79"/>
        </w:rPr>
        <w:t xml:space="preserve"> that CSDs will be granted authorisation at different points in time, it could be considered to find a way to harmonise the review periods so that all CSDs have the same cale</w:t>
      </w:r>
      <w:r w:rsidRPr="00867F7E">
        <w:rPr>
          <w:rFonts w:cs="Arial"/>
          <w:color w:val="1F4E79"/>
        </w:rPr>
        <w:t>n</w:t>
      </w:r>
      <w:r w:rsidRPr="00867F7E">
        <w:rPr>
          <w:rFonts w:cs="Arial"/>
          <w:color w:val="1F4E79"/>
        </w:rPr>
        <w:t>dar. For instance, the review could take place at the end of the next natural year after the autho</w:t>
      </w:r>
      <w:r w:rsidRPr="00867F7E">
        <w:rPr>
          <w:rFonts w:cs="Arial"/>
          <w:color w:val="1F4E79"/>
        </w:rPr>
        <w:t>r</w:t>
      </w:r>
      <w:r w:rsidRPr="00867F7E">
        <w:rPr>
          <w:rFonts w:cs="Arial"/>
          <w:color w:val="1F4E79"/>
        </w:rPr>
        <w:t>isation has been granted. This would have the advantage of matching with the statistical data period referred to in article 42.2 in Chapter III of Annex II.</w:t>
      </w:r>
    </w:p>
    <w:p w:rsidR="00F24FF5" w:rsidRPr="00867F7E" w:rsidRDefault="00F24FF5" w:rsidP="00A94667">
      <w:pPr>
        <w:jc w:val="both"/>
        <w:rPr>
          <w:rFonts w:cs="Arial"/>
          <w:color w:val="1F4E79"/>
        </w:rPr>
      </w:pPr>
    </w:p>
    <w:p w:rsidR="00A94667" w:rsidRDefault="00A94667" w:rsidP="00A94667">
      <w:pPr>
        <w:jc w:val="both"/>
        <w:rPr>
          <w:rFonts w:cs="Arial"/>
          <w:color w:val="1F4E79"/>
          <w:lang w:val="en-US"/>
        </w:rPr>
      </w:pPr>
      <w:r w:rsidRPr="00867F7E">
        <w:rPr>
          <w:rFonts w:cs="Arial"/>
          <w:color w:val="1F4E79"/>
          <w:lang w:val="en-US"/>
        </w:rPr>
        <w:t xml:space="preserve">As regards article 2.2 (p), we consider that the information to be provided by CSDs should focus on those procedures related to tax and insolvency matters in order to be consistent with the wording of article 41.1 (e) RTS. </w:t>
      </w:r>
    </w:p>
    <w:p w:rsidR="00F24FF5" w:rsidRPr="00867F7E" w:rsidRDefault="00F24FF5" w:rsidP="00A94667">
      <w:pPr>
        <w:jc w:val="both"/>
        <w:rPr>
          <w:rFonts w:cs="Arial"/>
          <w:i/>
          <w:color w:val="1F4E79"/>
          <w:lang w:val="en-US"/>
        </w:rPr>
      </w:pPr>
    </w:p>
    <w:p w:rsidR="00A94667" w:rsidRPr="00867F7E" w:rsidRDefault="00A94667" w:rsidP="00A94667">
      <w:pPr>
        <w:jc w:val="both"/>
        <w:rPr>
          <w:rFonts w:cs="Arial"/>
          <w:color w:val="1F4E79"/>
        </w:rPr>
      </w:pPr>
      <w:r w:rsidRPr="00867F7E">
        <w:rPr>
          <w:rFonts w:cs="Arial"/>
          <w:color w:val="1F4E79"/>
        </w:rPr>
        <w:t>In regards to article 3, about policies and procedures, this requirement is redundant with other articles where the responsibilities of the Risk Officers, Technology Officer, Compliance Officers, Management Body, etc. are described. The RTS already allocate the responsibility of the diffe</w:t>
      </w:r>
      <w:r w:rsidRPr="00867F7E">
        <w:rPr>
          <w:rFonts w:cs="Arial"/>
          <w:color w:val="1F4E79"/>
        </w:rPr>
        <w:t>r</w:t>
      </w:r>
      <w:r w:rsidRPr="00867F7E">
        <w:rPr>
          <w:rFonts w:cs="Arial"/>
          <w:color w:val="1F4E79"/>
        </w:rPr>
        <w:t>ent members in relation to the compliance with the policies and procedures, and obliges them to specify the measures to control and ensure compliance. We would rather support a top-down approach than having to mention, in each policy or procedure, who the person responsible is and what the measures to adopt in case of a breach are. This would also make easier to update the information in case of a change or responsibilities of a particular individual and inform the competent authority. We would therefore kindly propose to delete the first paragraph of article 3.</w:t>
      </w:r>
    </w:p>
    <w:p w:rsidR="00A94667" w:rsidRDefault="00A94667" w:rsidP="00A94667">
      <w:pPr>
        <w:jc w:val="both"/>
        <w:rPr>
          <w:rFonts w:cs="Arial"/>
          <w:color w:val="1F4E79"/>
        </w:rPr>
      </w:pPr>
      <w:r w:rsidRPr="00867F7E">
        <w:rPr>
          <w:rFonts w:cs="Arial"/>
          <w:color w:val="1F4E79"/>
        </w:rPr>
        <w:t>If however, ESMA decides to keep the requirement, we will propose to assign the responsibility to a department rather than to an individual.</w:t>
      </w:r>
    </w:p>
    <w:p w:rsidR="00F24FF5" w:rsidRPr="00867F7E" w:rsidRDefault="00F24FF5" w:rsidP="00A94667">
      <w:pPr>
        <w:jc w:val="both"/>
        <w:rPr>
          <w:rFonts w:cs="Arial"/>
          <w:color w:val="1F4E79"/>
        </w:rPr>
      </w:pPr>
    </w:p>
    <w:p w:rsidR="00A94667" w:rsidRDefault="00A94667" w:rsidP="00A94667">
      <w:pPr>
        <w:jc w:val="both"/>
        <w:rPr>
          <w:rFonts w:cs="Arial"/>
          <w:color w:val="1F4E79"/>
        </w:rPr>
      </w:pPr>
      <w:r w:rsidRPr="00867F7E">
        <w:rPr>
          <w:rFonts w:cs="Arial"/>
          <w:color w:val="1F4E79"/>
        </w:rPr>
        <w:t xml:space="preserve">Regarding article 5, we would like ESMA to reconsider the minimum three year period for the business plan. The business of CSDs is very limited in scope and very stable. Projects do not usually result in dramatic changes on income, and there is little capacity to foresee changes derived from market trends and participants decisions. The chances that the plans are not met and subsequent explanations to be required by authorities might be very high.  This would add up more unnecessary workload to the supervisory tasks. </w:t>
      </w:r>
    </w:p>
    <w:p w:rsidR="00F24FF5" w:rsidRPr="00867F7E" w:rsidRDefault="00F24FF5" w:rsidP="00A94667">
      <w:pPr>
        <w:jc w:val="both"/>
        <w:rPr>
          <w:rFonts w:cs="Arial"/>
          <w:color w:val="1F4E79"/>
        </w:rPr>
      </w:pPr>
    </w:p>
    <w:p w:rsidR="00A94667" w:rsidRDefault="00A94667" w:rsidP="00A94667">
      <w:pPr>
        <w:jc w:val="both"/>
        <w:rPr>
          <w:rFonts w:cs="Arial"/>
          <w:color w:val="1F4E79"/>
        </w:rPr>
      </w:pPr>
      <w:r w:rsidRPr="00867F7E">
        <w:rPr>
          <w:rFonts w:cs="Arial"/>
          <w:color w:val="1F4E79"/>
        </w:rPr>
        <w:lastRenderedPageBreak/>
        <w:t>We also believe that the drafting and maintenance of the resolution plan is responsibility of the resolution authority.</w:t>
      </w:r>
    </w:p>
    <w:p w:rsidR="00F24FF5" w:rsidRPr="00867F7E" w:rsidRDefault="00F24FF5" w:rsidP="00A94667">
      <w:pPr>
        <w:jc w:val="both"/>
        <w:rPr>
          <w:rFonts w:cs="Arial"/>
          <w:color w:val="1F4E79"/>
        </w:rPr>
      </w:pPr>
    </w:p>
    <w:p w:rsidR="00A94667" w:rsidRDefault="00A94667" w:rsidP="00A94667">
      <w:pPr>
        <w:jc w:val="both"/>
        <w:rPr>
          <w:rFonts w:cs="Arial"/>
          <w:color w:val="1F4E79"/>
        </w:rPr>
      </w:pPr>
      <w:r w:rsidRPr="00867F7E">
        <w:rPr>
          <w:rFonts w:cs="Arial"/>
          <w:color w:val="1F4E79"/>
        </w:rPr>
        <w:t>The requirements in terms of internal control and management of conflict of interests are exce</w:t>
      </w:r>
      <w:r w:rsidRPr="00867F7E">
        <w:rPr>
          <w:rFonts w:cs="Arial"/>
          <w:color w:val="1F4E79"/>
        </w:rPr>
        <w:t>s</w:t>
      </w:r>
      <w:r w:rsidRPr="00867F7E">
        <w:rPr>
          <w:rFonts w:cs="Arial"/>
          <w:color w:val="1F4E79"/>
        </w:rPr>
        <w:t>sive in relation to the risk profile of a CSD.</w:t>
      </w:r>
    </w:p>
    <w:p w:rsidR="00F24FF5" w:rsidRPr="00867F7E" w:rsidRDefault="00F24FF5" w:rsidP="00A94667">
      <w:pPr>
        <w:jc w:val="both"/>
        <w:rPr>
          <w:rFonts w:cs="Arial"/>
          <w:color w:val="1F4E79"/>
        </w:rPr>
      </w:pPr>
    </w:p>
    <w:p w:rsidR="00A94667" w:rsidRDefault="00A94667" w:rsidP="00A94667">
      <w:pPr>
        <w:jc w:val="both"/>
        <w:rPr>
          <w:rFonts w:cs="Arial"/>
          <w:color w:val="1F4E79"/>
        </w:rPr>
      </w:pPr>
      <w:r w:rsidRPr="00867F7E">
        <w:rPr>
          <w:rFonts w:cs="Arial"/>
          <w:color w:val="1F4E79"/>
        </w:rPr>
        <w:t>We believe that the consideration of the internal control policies and procedures in which the CSD will provide the information of their dealing with the internal audit, how the findings are reported, escalated and followed-up, might be enough for the competent authorities to evaluate the compliance with internal audit requirements. In any case, ESMA could consider taking a minimum approach here, as it has been done with other requirements, so that it could be up to the CA to ask for more information if they were not satisfied. In our opinion, the monitoring and evaluation tools, the safeguard for information processing systems, the definition of the internal audit methodology and how it is applied and the 3-years work plan will put a costly burden on CSDs and should not be mandated. The approach taken for the compliance arrangements in article 8.3 seems to be more reasonable and we would propose ESMA to consider the same approach for the internal audit function.</w:t>
      </w:r>
    </w:p>
    <w:p w:rsidR="00F24FF5" w:rsidRPr="00867F7E" w:rsidRDefault="00F24FF5" w:rsidP="00A94667">
      <w:pPr>
        <w:jc w:val="both"/>
        <w:rPr>
          <w:rFonts w:cs="Arial"/>
          <w:color w:val="1F4E79"/>
        </w:rPr>
      </w:pPr>
    </w:p>
    <w:p w:rsidR="00A94667" w:rsidRDefault="00A94667" w:rsidP="00A94667">
      <w:pPr>
        <w:jc w:val="both"/>
        <w:rPr>
          <w:rFonts w:cs="Arial"/>
          <w:color w:val="1F4E79"/>
        </w:rPr>
      </w:pPr>
      <w:r w:rsidRPr="00867F7E">
        <w:rPr>
          <w:rFonts w:cs="Arial"/>
          <w:color w:val="1F4E79"/>
        </w:rPr>
        <w:t>As far as article 11 on management of conflict of interests is concerned, it is mentioned “possible conflicts of interest” in paragraph 1.c). This could result in a theoretical consideration of all po</w:t>
      </w:r>
      <w:r w:rsidRPr="00867F7E">
        <w:rPr>
          <w:rFonts w:cs="Arial"/>
          <w:color w:val="1F4E79"/>
        </w:rPr>
        <w:t>s</w:t>
      </w:r>
      <w:r w:rsidRPr="00867F7E">
        <w:rPr>
          <w:rFonts w:cs="Arial"/>
          <w:color w:val="1F4E79"/>
        </w:rPr>
        <w:t xml:space="preserve">sible conflicts of interest. We would therefore suggest to eliminate the word “possible” so that the resolution procedures refer to real conflicts of interests. </w:t>
      </w:r>
    </w:p>
    <w:p w:rsidR="00F24FF5" w:rsidRPr="00867F7E" w:rsidRDefault="00F24FF5" w:rsidP="00A94667">
      <w:pPr>
        <w:jc w:val="both"/>
        <w:rPr>
          <w:rFonts w:cs="Arial"/>
          <w:color w:val="1F4E79"/>
        </w:rPr>
      </w:pPr>
    </w:p>
    <w:p w:rsidR="00A94667" w:rsidRDefault="00A94667" w:rsidP="00A94667">
      <w:pPr>
        <w:jc w:val="both"/>
        <w:rPr>
          <w:rFonts w:cs="Arial"/>
          <w:color w:val="1F4E79"/>
          <w:lang w:val="en-US"/>
        </w:rPr>
      </w:pPr>
      <w:r w:rsidRPr="00867F7E">
        <w:rPr>
          <w:rFonts w:cs="Arial"/>
          <w:color w:val="1F4E79"/>
        </w:rPr>
        <w:t xml:space="preserve">Regarding the article 18, we would like to comment on the requirement to provide “evidence that the CSD services are unbundled” and ask for clarification on what this evidence should be. </w:t>
      </w:r>
      <w:r w:rsidRPr="00867F7E">
        <w:rPr>
          <w:rFonts w:cs="Arial"/>
          <w:color w:val="1F4E79"/>
          <w:lang w:val="en-US"/>
        </w:rPr>
        <w:t>With the CSDR, unbundling is an obligation, established in a legal provision, and supervised by the competent authority. CSDs will have to provide their competent authorities with confidential information (the analytical accounting) in order to prove the unbundling of services. On the one side, we cannot be requested to make public this information to clients and prospects, therefore, we would suggest to replace the “evidence” by a “self-statement” in compliance with the relevant article of the CSDR.</w:t>
      </w:r>
    </w:p>
    <w:p w:rsidR="00F24FF5" w:rsidRPr="00867F7E" w:rsidRDefault="00F24FF5" w:rsidP="00A94667">
      <w:pPr>
        <w:jc w:val="both"/>
        <w:rPr>
          <w:rFonts w:cs="Arial"/>
          <w:color w:val="1F4E79"/>
          <w:lang w:val="en-US"/>
        </w:rPr>
      </w:pPr>
    </w:p>
    <w:p w:rsidR="00A94667" w:rsidRDefault="00A94667" w:rsidP="00A94667">
      <w:pPr>
        <w:jc w:val="both"/>
        <w:rPr>
          <w:rFonts w:cs="Arial"/>
          <w:color w:val="1F4E79"/>
        </w:rPr>
      </w:pPr>
      <w:r w:rsidRPr="00867F7E">
        <w:rPr>
          <w:rFonts w:cs="Arial"/>
          <w:color w:val="1F4E79"/>
        </w:rPr>
        <w:t xml:space="preserve">In relation to article 27 on “portability” applied in the draft RTS to CSDs, we believe that this concept that stems from the clearing scope doesn’t work for CSDs. </w:t>
      </w:r>
      <w:r w:rsidRPr="00867F7E">
        <w:rPr>
          <w:rFonts w:cs="Arial"/>
          <w:color w:val="1F4E79"/>
          <w:lang w:val="en-US"/>
        </w:rPr>
        <w:t xml:space="preserve">Within the CSDs framework, the notion of portability will only make sense in those jurisdictions where the securities holder is entitled vis-a-vis the account holder (book-entry confers contractual rights or claims against the CSD), but never in the cases where the owner of securities held by means of book-entry has an ownership right, enforceable erga omnes. The portability of a property right is defined by the rules of property, and the depository cannot alter this rules. </w:t>
      </w:r>
      <w:r w:rsidRPr="00867F7E">
        <w:rPr>
          <w:rFonts w:cs="Arial"/>
          <w:color w:val="1F4E79"/>
        </w:rPr>
        <w:t>CSDs should only be required to ensure that participants and clients with segregated accounts would be capable of transferring their assets to any other provider. But automatic and massive transfers wouldn’t work either way (from the point of view of the transferring CSD or from the point of view of the receiver CSD). In the event of withdrawal of authorisation, it should be up to the participants to choose where to and under which conditions the CSD of origin should transfer their assets. Additionally, we would like to point out that such a concept is not present in the Level 1 Regulation. As a result, in our opinion, there is no mandate given to ESMA to define it.</w:t>
      </w:r>
    </w:p>
    <w:p w:rsidR="00F24FF5" w:rsidRPr="00867F7E" w:rsidRDefault="00F24FF5" w:rsidP="00A94667">
      <w:pPr>
        <w:jc w:val="both"/>
        <w:rPr>
          <w:rFonts w:cs="Arial"/>
          <w:color w:val="1F4E79"/>
        </w:rPr>
      </w:pPr>
    </w:p>
    <w:p w:rsidR="00A94667" w:rsidRDefault="00A94667" w:rsidP="00A94667">
      <w:pPr>
        <w:jc w:val="both"/>
        <w:rPr>
          <w:rFonts w:cs="Arial"/>
          <w:color w:val="1F4E79"/>
          <w:lang w:val="en-US"/>
        </w:rPr>
      </w:pPr>
      <w:r w:rsidRPr="00867F7E">
        <w:rPr>
          <w:rFonts w:cs="Arial"/>
          <w:color w:val="1F4E79"/>
        </w:rPr>
        <w:t xml:space="preserve">In relation to article 30.2 on the information required on outsourcing agreements in relation to management of operational risks, it is necessary to clarify </w:t>
      </w:r>
      <w:r w:rsidRPr="00867F7E">
        <w:rPr>
          <w:rFonts w:cs="Arial"/>
          <w:color w:val="1F4E79"/>
          <w:lang w:val="en-US"/>
        </w:rPr>
        <w:t xml:space="preserve">that CSDs should only be required to provide information about those outsourcing agreements related to core services, since only such agreements are subject to the authorization of the Competent Authority (article 30.4 Level </w:t>
      </w:r>
      <w:r w:rsidRPr="00867F7E">
        <w:rPr>
          <w:rFonts w:cs="Arial"/>
          <w:color w:val="1F4E79"/>
          <w:lang w:val="en-US"/>
        </w:rPr>
        <w:lastRenderedPageBreak/>
        <w:t xml:space="preserve">1 Regulation), all without prejudice to provide the Competent Authority, at its request, with all necessary information about outsourcing agreements related to ancillary services. </w:t>
      </w:r>
    </w:p>
    <w:p w:rsidR="00F24FF5" w:rsidRPr="00867F7E" w:rsidRDefault="00F24FF5" w:rsidP="00A94667">
      <w:pPr>
        <w:jc w:val="both"/>
        <w:rPr>
          <w:rFonts w:cs="Arial"/>
          <w:color w:val="1F4E79"/>
          <w:lang w:val="en-US"/>
        </w:rPr>
      </w:pPr>
    </w:p>
    <w:p w:rsidR="00A94667" w:rsidRPr="00867F7E" w:rsidRDefault="00A94667" w:rsidP="00A94667">
      <w:pPr>
        <w:jc w:val="both"/>
        <w:rPr>
          <w:rFonts w:cs="Arial"/>
          <w:color w:val="1F4E79"/>
        </w:rPr>
      </w:pPr>
      <w:r w:rsidRPr="00867F7E">
        <w:rPr>
          <w:rFonts w:cs="Arial"/>
          <w:color w:val="1F4E79"/>
          <w:lang w:val="en-US"/>
        </w:rPr>
        <w:t xml:space="preserve">We would like to draw attention </w:t>
      </w:r>
      <w:r w:rsidRPr="00867F7E">
        <w:rPr>
          <w:rFonts w:cs="Arial"/>
          <w:color w:val="1F4E79"/>
        </w:rPr>
        <w:t>to draft ITS in article 1 of Chapter I of Annex VI whereby a co</w:t>
      </w:r>
      <w:r w:rsidRPr="00867F7E">
        <w:rPr>
          <w:rFonts w:cs="Arial"/>
          <w:color w:val="1F4E79"/>
        </w:rPr>
        <w:t>m</w:t>
      </w:r>
      <w:r w:rsidRPr="00867F7E">
        <w:rPr>
          <w:rFonts w:cs="Arial"/>
          <w:color w:val="1F4E79"/>
        </w:rPr>
        <w:t>petent authority may request the CSD to submit the same information in more than one la</w:t>
      </w:r>
      <w:r w:rsidRPr="00867F7E">
        <w:rPr>
          <w:rFonts w:cs="Arial"/>
          <w:color w:val="1F4E79"/>
        </w:rPr>
        <w:t>n</w:t>
      </w:r>
      <w:r w:rsidRPr="00867F7E">
        <w:rPr>
          <w:rFonts w:cs="Arial"/>
          <w:color w:val="1F4E79"/>
        </w:rPr>
        <w:t xml:space="preserve">guage. Having to translate specific documentation related to the Authorisation or Review is completely unfair for that CSD in regards to other CSDs who can report everything in one single language. Translation costs are extremely high. </w:t>
      </w:r>
    </w:p>
    <w:permEnd w:id="547244417"/>
    <w:p w:rsidR="00D12AFD" w:rsidRDefault="00D12AFD" w:rsidP="00D12AFD">
      <w:r>
        <w:t>&lt;ESMA_QUESTION_TS_CSDR_15&gt;</w:t>
      </w:r>
    </w:p>
    <w:p w:rsidR="00D12AFD" w:rsidRPr="002C4F00" w:rsidRDefault="00D12AFD" w:rsidP="00965B03">
      <w:pPr>
        <w:pStyle w:val="Ttulo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A94667" w:rsidRPr="00867F7E" w:rsidRDefault="00A94667" w:rsidP="00A94667">
      <w:pPr>
        <w:jc w:val="both"/>
        <w:rPr>
          <w:rFonts w:cs="Arial"/>
          <w:color w:val="1F4E79"/>
        </w:rPr>
      </w:pPr>
      <w:permStart w:id="2046693199" w:edGrp="everyone"/>
      <w:r w:rsidRPr="00867F7E">
        <w:rPr>
          <w:rFonts w:cs="Arial"/>
          <w:color w:val="1F4E79"/>
        </w:rPr>
        <w:t xml:space="preserve">We would like ESMA to reconsider the requirements for CSDs to provide a self-assessment on the CSD’s activities’ compliance with the Regulation for the purpose of a yearly review. We understand that the self-assessment can be required when material changes occur (article 37), but not for regular activities over processes that have already been evaluated and approved. </w:t>
      </w:r>
    </w:p>
    <w:p w:rsidR="00A94667" w:rsidRPr="00867F7E" w:rsidRDefault="00A94667" w:rsidP="00A94667">
      <w:pPr>
        <w:jc w:val="both"/>
        <w:rPr>
          <w:rFonts w:cs="Arial"/>
          <w:color w:val="1F4E79"/>
        </w:rPr>
      </w:pPr>
      <w:r w:rsidRPr="00867F7E">
        <w:rPr>
          <w:rFonts w:cs="Arial"/>
          <w:color w:val="1F4E79"/>
        </w:rPr>
        <w:t>We would make some comments to article 42 on “Statistical data to be delivered for each review and evaluation:</w:t>
      </w:r>
    </w:p>
    <w:p w:rsidR="00A94667" w:rsidRPr="00867F7E" w:rsidRDefault="00A94667" w:rsidP="00A94667">
      <w:pPr>
        <w:numPr>
          <w:ilvl w:val="0"/>
          <w:numId w:val="47"/>
        </w:numPr>
        <w:spacing w:after="200" w:line="276" w:lineRule="auto"/>
        <w:jc w:val="both"/>
        <w:rPr>
          <w:rFonts w:cs="Arial"/>
          <w:color w:val="1F4E79"/>
        </w:rPr>
      </w:pPr>
      <w:r w:rsidRPr="00867F7E">
        <w:rPr>
          <w:rFonts w:cs="Arial"/>
          <w:color w:val="1F4E79"/>
        </w:rPr>
        <w:t>In letter e) of paragraph 1, the value of settlement instructions should be provided in market value or nominal value, depending on whether the securities are fixed income or other.</w:t>
      </w:r>
    </w:p>
    <w:p w:rsidR="00A94667" w:rsidRPr="00867F7E" w:rsidRDefault="00A94667" w:rsidP="00A94667">
      <w:pPr>
        <w:numPr>
          <w:ilvl w:val="0"/>
          <w:numId w:val="47"/>
        </w:numPr>
        <w:spacing w:after="200" w:line="276" w:lineRule="auto"/>
        <w:jc w:val="both"/>
        <w:rPr>
          <w:rFonts w:cs="Arial"/>
          <w:color w:val="1F4E79"/>
        </w:rPr>
      </w:pPr>
      <w:r w:rsidRPr="00867F7E">
        <w:rPr>
          <w:rFonts w:cs="Arial"/>
          <w:color w:val="1F4E79"/>
        </w:rPr>
        <w:t>In our opinion, paragraph 2 provides ground for an unlevel playing field. We understand that certain discretionarity has to be left to the competent authority, but we would appr</w:t>
      </w:r>
      <w:r w:rsidRPr="00867F7E">
        <w:rPr>
          <w:rFonts w:cs="Arial"/>
          <w:color w:val="1F4E79"/>
        </w:rPr>
        <w:t>e</w:t>
      </w:r>
      <w:r w:rsidRPr="00867F7E">
        <w:rPr>
          <w:rFonts w:cs="Arial"/>
          <w:color w:val="1F4E79"/>
        </w:rPr>
        <w:t>ciate a reference to a risk or business justification before asking for more close superv</w:t>
      </w:r>
      <w:r w:rsidRPr="00867F7E">
        <w:rPr>
          <w:rFonts w:cs="Arial"/>
          <w:color w:val="1F4E79"/>
        </w:rPr>
        <w:t>i</w:t>
      </w:r>
      <w:r w:rsidRPr="00867F7E">
        <w:rPr>
          <w:rFonts w:cs="Arial"/>
          <w:color w:val="1F4E79"/>
        </w:rPr>
        <w:t>sion than the general regime established by the RTS.</w:t>
      </w:r>
    </w:p>
    <w:p w:rsidR="00A94667" w:rsidRPr="00867F7E" w:rsidRDefault="00A94667" w:rsidP="00A94667">
      <w:pPr>
        <w:jc w:val="both"/>
        <w:rPr>
          <w:rFonts w:cs="Arial"/>
          <w:color w:val="1F4E79"/>
        </w:rPr>
      </w:pPr>
      <w:r w:rsidRPr="00867F7E">
        <w:rPr>
          <w:rFonts w:cs="Arial"/>
          <w:color w:val="1F4E79"/>
        </w:rPr>
        <w:t>Regarding article 43, it could be advisable for practical reasons to foresee that documents which remain unmodified do not need to be resent to the CA in the review.</w:t>
      </w:r>
    </w:p>
    <w:permEnd w:id="2046693199"/>
    <w:p w:rsidR="00D12AFD" w:rsidRDefault="00D12AFD" w:rsidP="00D12AFD">
      <w:r>
        <w:t>&lt;ESMA_QUESTION_TS_CSDR_16&gt;</w:t>
      </w:r>
    </w:p>
    <w:p w:rsidR="00D12AFD" w:rsidRPr="002C4F00" w:rsidRDefault="00D12AFD" w:rsidP="00965B03">
      <w:pPr>
        <w:pStyle w:val="Ttulo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A94667" w:rsidRPr="00867F7E" w:rsidRDefault="00A94667" w:rsidP="00A94667">
      <w:pPr>
        <w:jc w:val="both"/>
        <w:rPr>
          <w:rFonts w:cs="Arial"/>
          <w:color w:val="1F4E79"/>
        </w:rPr>
      </w:pPr>
      <w:permStart w:id="874340799" w:edGrp="everyone"/>
      <w:r w:rsidRPr="00867F7E">
        <w:rPr>
          <w:rFonts w:cs="Arial"/>
          <w:color w:val="1F4E79"/>
        </w:rPr>
        <w:t xml:space="preserve">We do not have any comments. </w:t>
      </w:r>
    </w:p>
    <w:permEnd w:id="874340799"/>
    <w:p w:rsidR="00D12AFD" w:rsidRDefault="00D12AFD" w:rsidP="00D12AFD">
      <w:r>
        <w:t>&lt;ESMA_QUESTION_TS_CSDR_17&gt;</w:t>
      </w:r>
    </w:p>
    <w:p w:rsidR="00D12AFD" w:rsidRPr="002C4F00" w:rsidRDefault="00D12AFD" w:rsidP="00965B03">
      <w:pPr>
        <w:pStyle w:val="Ttulo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A94667" w:rsidRPr="00867F7E" w:rsidRDefault="00A94667" w:rsidP="00A94667">
      <w:pPr>
        <w:jc w:val="both"/>
        <w:rPr>
          <w:rFonts w:cs="Arial"/>
          <w:color w:val="1F4E79"/>
        </w:rPr>
      </w:pPr>
      <w:permStart w:id="1289583265" w:edGrp="everyone"/>
      <w:r w:rsidRPr="00867F7E">
        <w:rPr>
          <w:rFonts w:cs="Arial"/>
          <w:color w:val="1F4E79"/>
        </w:rPr>
        <w:t>We agree with the proposed draft RTS on CSD recognition.</w:t>
      </w:r>
    </w:p>
    <w:permEnd w:id="1289583265"/>
    <w:p w:rsidR="00D12AFD" w:rsidRDefault="00D12AFD" w:rsidP="00D12AFD">
      <w:r>
        <w:t>&lt;ESMA_QUESTION_TS_CSDR_18&gt;</w:t>
      </w:r>
    </w:p>
    <w:p w:rsidR="00D12AFD" w:rsidRPr="002C4F00" w:rsidRDefault="00D12AFD" w:rsidP="00965B03">
      <w:pPr>
        <w:pStyle w:val="Ttulo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A94667" w:rsidRPr="00867F7E" w:rsidRDefault="00A94667" w:rsidP="00A94667">
      <w:pPr>
        <w:jc w:val="both"/>
        <w:rPr>
          <w:rFonts w:cs="Arial"/>
          <w:color w:val="1F4E79"/>
        </w:rPr>
      </w:pPr>
      <w:permStart w:id="614628124" w:edGrp="everyone"/>
      <w:r w:rsidRPr="00867F7E">
        <w:rPr>
          <w:rFonts w:cs="Arial"/>
          <w:color w:val="1F4E79"/>
        </w:rPr>
        <w:t xml:space="preserve">We do not have any comment. </w:t>
      </w:r>
    </w:p>
    <w:permEnd w:id="614628124"/>
    <w:p w:rsidR="00D12AFD" w:rsidRDefault="00D12AFD" w:rsidP="00D12AFD">
      <w:r>
        <w:lastRenderedPageBreak/>
        <w:t>&lt;ESMA_QUESTION_TS_CSDR_19&gt;</w:t>
      </w:r>
    </w:p>
    <w:p w:rsidR="00D12AFD" w:rsidRPr="002C4F00" w:rsidRDefault="00D12AFD" w:rsidP="00965B03">
      <w:pPr>
        <w:pStyle w:val="Ttulo5"/>
        <w:ind w:left="567" w:hanging="567"/>
      </w:pPr>
      <w:r w:rsidRPr="002C4F00">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A94667" w:rsidRPr="00867F7E" w:rsidRDefault="00A94667" w:rsidP="00A94667">
      <w:pPr>
        <w:jc w:val="both"/>
        <w:rPr>
          <w:rFonts w:cs="Arial"/>
          <w:color w:val="1F4E79"/>
        </w:rPr>
      </w:pPr>
      <w:permStart w:id="45228744" w:edGrp="everyone"/>
      <w:r w:rsidRPr="00867F7E">
        <w:rPr>
          <w:rFonts w:cs="Arial"/>
          <w:color w:val="1F4E79"/>
        </w:rPr>
        <w:t>We have no comments on the proposed draft RTS and ITS on banking services.</w:t>
      </w:r>
    </w:p>
    <w:permEnd w:id="45228744"/>
    <w:p w:rsidR="00D12AFD" w:rsidRDefault="00D12AFD" w:rsidP="00D12AFD">
      <w:r>
        <w:t>&lt;ESMA_QUESTION_TS_CSDR_20&gt;</w:t>
      </w:r>
    </w:p>
    <w:p w:rsidR="00D12AFD" w:rsidRPr="002C4F00" w:rsidRDefault="00D12AFD" w:rsidP="00965B03">
      <w:pPr>
        <w:pStyle w:val="Ttulo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A94667" w:rsidRPr="00867F7E" w:rsidRDefault="00A94667" w:rsidP="00A94667">
      <w:pPr>
        <w:jc w:val="both"/>
        <w:rPr>
          <w:rFonts w:cs="Arial"/>
          <w:color w:val="1F4E79"/>
        </w:rPr>
      </w:pPr>
      <w:permStart w:id="386337205" w:edGrp="everyone"/>
      <w:r w:rsidRPr="00867F7E">
        <w:rPr>
          <w:rFonts w:cs="Arial"/>
          <w:color w:val="1F4E79"/>
        </w:rPr>
        <w:t>We agree with ESMA proposed RTS on CSD participations.</w:t>
      </w:r>
    </w:p>
    <w:permEnd w:id="386337205"/>
    <w:p w:rsidR="00D12AFD" w:rsidRDefault="00D12AFD" w:rsidP="00D12AFD">
      <w:r>
        <w:t>&lt;ESMA_QUESTION_TS_CSDR_21&gt;</w:t>
      </w:r>
    </w:p>
    <w:p w:rsidR="00D12AFD" w:rsidRDefault="00D12AFD" w:rsidP="00965B03">
      <w:pPr>
        <w:pStyle w:val="Ttulo5"/>
        <w:ind w:left="567" w:hanging="567"/>
      </w:pPr>
      <w:r w:rsidRPr="00C8467F">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A94667" w:rsidRDefault="00A94667" w:rsidP="00A94667">
      <w:pPr>
        <w:jc w:val="both"/>
        <w:rPr>
          <w:rFonts w:cs="Arial"/>
          <w:color w:val="1F4E79"/>
          <w:lang w:val="en-US"/>
        </w:rPr>
      </w:pPr>
      <w:permStart w:id="1378816806" w:edGrp="everyone"/>
      <w:r w:rsidRPr="00867F7E">
        <w:rPr>
          <w:rFonts w:cs="Arial"/>
          <w:color w:val="1F4E79"/>
          <w:lang w:val="en-US"/>
        </w:rPr>
        <w:t>In relation to article 5 RTS, we would like to stress that the obligation of establishing an audit committee, a remuneration committee and a risk committee is not foreseen in article 26 Regul</w:t>
      </w:r>
      <w:r w:rsidRPr="00867F7E">
        <w:rPr>
          <w:rFonts w:cs="Arial"/>
          <w:color w:val="1F4E79"/>
          <w:lang w:val="en-US"/>
        </w:rPr>
        <w:t>a</w:t>
      </w:r>
      <w:r w:rsidRPr="00867F7E">
        <w:rPr>
          <w:rFonts w:cs="Arial"/>
          <w:color w:val="1F4E79"/>
          <w:lang w:val="en-US"/>
        </w:rPr>
        <w:t>tion (EU) No 909/2014, so RTS should not impose additional requirements. We suggest that the requirement for these three committees is waived.</w:t>
      </w:r>
    </w:p>
    <w:p w:rsidR="00F24FF5" w:rsidRPr="00867F7E" w:rsidRDefault="00F24FF5" w:rsidP="00A94667">
      <w:pPr>
        <w:jc w:val="both"/>
        <w:rPr>
          <w:rFonts w:cs="Arial"/>
          <w:color w:val="1F4E79"/>
          <w:lang w:val="en-US"/>
        </w:rPr>
      </w:pPr>
    </w:p>
    <w:p w:rsidR="00A94667" w:rsidRPr="00867F7E" w:rsidRDefault="00A94667" w:rsidP="00A94667">
      <w:pPr>
        <w:jc w:val="both"/>
        <w:rPr>
          <w:rFonts w:cs="Arial"/>
          <w:color w:val="1F4E79"/>
          <w:lang w:val="en-US"/>
        </w:rPr>
      </w:pPr>
      <w:r w:rsidRPr="00867F7E">
        <w:rPr>
          <w:rFonts w:cs="Arial"/>
          <w:color w:val="1F4E79"/>
          <w:lang w:val="en-US"/>
        </w:rPr>
        <w:t>However, if ESMA decides to maintain this obligation, we will at least suggest some amen</w:t>
      </w:r>
      <w:r w:rsidRPr="00867F7E">
        <w:rPr>
          <w:rFonts w:cs="Arial"/>
          <w:color w:val="1F4E79"/>
          <w:lang w:val="en-US"/>
        </w:rPr>
        <w:t>d</w:t>
      </w:r>
      <w:r w:rsidRPr="00867F7E">
        <w:rPr>
          <w:rFonts w:cs="Arial"/>
          <w:color w:val="1F4E79"/>
          <w:lang w:val="en-US"/>
        </w:rPr>
        <w:t xml:space="preserve">ments: </w:t>
      </w:r>
    </w:p>
    <w:p w:rsidR="00A94667" w:rsidRPr="00867F7E" w:rsidRDefault="00A94667" w:rsidP="00A94667">
      <w:pPr>
        <w:numPr>
          <w:ilvl w:val="0"/>
          <w:numId w:val="48"/>
        </w:numPr>
        <w:spacing w:after="200" w:line="276" w:lineRule="auto"/>
        <w:jc w:val="both"/>
        <w:rPr>
          <w:rFonts w:cs="Arial"/>
          <w:color w:val="1F4E79"/>
          <w:lang w:val="en-US"/>
        </w:rPr>
      </w:pPr>
      <w:r w:rsidRPr="00867F7E">
        <w:rPr>
          <w:rFonts w:cs="Arial"/>
          <w:color w:val="1F4E79"/>
          <w:lang w:val="en-US"/>
        </w:rPr>
        <w:t>Article 5 of the RTS only specifies the composition of the risk committee but doesn’t regulate the composition of the audit committee nor the remuneration committee. In this sense, if the existence of these committees were mandatory it would be necessary to specify their composition. As regards risk committee, it would also be convenient to clar</w:t>
      </w:r>
      <w:r w:rsidRPr="00867F7E">
        <w:rPr>
          <w:rFonts w:cs="Arial"/>
          <w:color w:val="1F4E79"/>
          <w:lang w:val="en-US"/>
        </w:rPr>
        <w:t>i</w:t>
      </w:r>
      <w:r w:rsidRPr="00867F7E">
        <w:rPr>
          <w:rFonts w:cs="Arial"/>
          <w:color w:val="1F4E79"/>
          <w:lang w:val="en-US"/>
        </w:rPr>
        <w:t>fy how many management body members will have to be part of it.</w:t>
      </w:r>
    </w:p>
    <w:p w:rsidR="00A94667" w:rsidRPr="00867F7E" w:rsidRDefault="00A94667" w:rsidP="00A94667">
      <w:pPr>
        <w:numPr>
          <w:ilvl w:val="0"/>
          <w:numId w:val="48"/>
        </w:numPr>
        <w:spacing w:after="200" w:line="276" w:lineRule="auto"/>
        <w:jc w:val="both"/>
        <w:rPr>
          <w:rFonts w:cs="Arial"/>
          <w:color w:val="1F4E79"/>
          <w:lang w:val="en-US"/>
        </w:rPr>
      </w:pPr>
      <w:r w:rsidRPr="00867F7E">
        <w:rPr>
          <w:rFonts w:cs="Arial"/>
          <w:color w:val="1F4E79"/>
          <w:lang w:val="en-US"/>
        </w:rPr>
        <w:t>We would also kindly ask ESMA to bear in mind that some CSDs have small manag</w:t>
      </w:r>
      <w:r w:rsidRPr="00867F7E">
        <w:rPr>
          <w:rFonts w:cs="Arial"/>
          <w:color w:val="1F4E79"/>
          <w:lang w:val="en-US"/>
        </w:rPr>
        <w:t>e</w:t>
      </w:r>
      <w:r w:rsidRPr="00867F7E">
        <w:rPr>
          <w:rFonts w:cs="Arial"/>
          <w:color w:val="1F4E79"/>
          <w:lang w:val="en-US"/>
        </w:rPr>
        <w:t xml:space="preserve">ment bodies and may be forced to increase the number of members significantly only to have enough people to participate in all these committees. </w:t>
      </w:r>
    </w:p>
    <w:p w:rsidR="00A94667" w:rsidRPr="00867F7E" w:rsidRDefault="00A94667" w:rsidP="00A94667">
      <w:pPr>
        <w:numPr>
          <w:ilvl w:val="0"/>
          <w:numId w:val="48"/>
        </w:numPr>
        <w:spacing w:after="200" w:line="276" w:lineRule="auto"/>
        <w:jc w:val="both"/>
        <w:rPr>
          <w:rFonts w:cs="Arial"/>
          <w:color w:val="1F4E79"/>
          <w:lang w:val="en-US"/>
        </w:rPr>
      </w:pPr>
      <w:r w:rsidRPr="00867F7E">
        <w:rPr>
          <w:rFonts w:cs="Arial"/>
          <w:color w:val="1F4E79"/>
          <w:lang w:val="en-US"/>
        </w:rPr>
        <w:t xml:space="preserve">We would recommend, that should these committees be mandated, they were at least not required to be subcommittees of the management body but of the CSD. </w:t>
      </w:r>
    </w:p>
    <w:p w:rsidR="00A94667" w:rsidRPr="00867F7E" w:rsidRDefault="00A94667" w:rsidP="00A94667">
      <w:pPr>
        <w:numPr>
          <w:ilvl w:val="0"/>
          <w:numId w:val="48"/>
        </w:numPr>
        <w:spacing w:after="200" w:line="276" w:lineRule="auto"/>
        <w:jc w:val="both"/>
        <w:rPr>
          <w:rFonts w:cs="Arial"/>
          <w:color w:val="1F4E79"/>
          <w:lang w:val="en-US"/>
        </w:rPr>
      </w:pPr>
      <w:r w:rsidRPr="00867F7E">
        <w:rPr>
          <w:rFonts w:cs="Arial"/>
          <w:color w:val="1F4E79"/>
          <w:lang w:val="en-US"/>
        </w:rPr>
        <w:t>There is no provision related to the responsibilities/functions of the audit committee and the remuneration committee because only the functions of the risk committee are spec</w:t>
      </w:r>
      <w:r w:rsidRPr="00867F7E">
        <w:rPr>
          <w:rFonts w:cs="Arial"/>
          <w:color w:val="1F4E79"/>
          <w:lang w:val="en-US"/>
        </w:rPr>
        <w:t>i</w:t>
      </w:r>
      <w:r w:rsidRPr="00867F7E">
        <w:rPr>
          <w:rFonts w:cs="Arial"/>
          <w:color w:val="1F4E79"/>
          <w:lang w:val="en-US"/>
        </w:rPr>
        <w:t>fied (art. 5.5 RTS).</w:t>
      </w:r>
    </w:p>
    <w:p w:rsidR="00A94667" w:rsidRPr="00867F7E" w:rsidRDefault="00A94667" w:rsidP="00A94667">
      <w:pPr>
        <w:numPr>
          <w:ilvl w:val="0"/>
          <w:numId w:val="48"/>
        </w:numPr>
        <w:spacing w:after="200" w:line="276" w:lineRule="auto"/>
        <w:jc w:val="both"/>
        <w:rPr>
          <w:rFonts w:cs="Arial"/>
          <w:color w:val="1F4E79"/>
          <w:lang w:val="en-US"/>
        </w:rPr>
      </w:pPr>
      <w:r w:rsidRPr="00867F7E">
        <w:rPr>
          <w:rFonts w:cs="Arial"/>
          <w:color w:val="1F4E79"/>
          <w:lang w:val="en-US"/>
        </w:rPr>
        <w:t>In addition, it would be convenient to include a provision related to those CDS that are part of a group in the sense that if the parent company of the group has already an audit committee, a remuneration committee and a risk committee, it will be considered that the CSD complies with the requirement specified in article 5.1. Please note that an equiv</w:t>
      </w:r>
      <w:r w:rsidRPr="00867F7E">
        <w:rPr>
          <w:rFonts w:cs="Arial"/>
          <w:color w:val="1F4E79"/>
          <w:lang w:val="en-US"/>
        </w:rPr>
        <w:t>a</w:t>
      </w:r>
      <w:r w:rsidRPr="00867F7E">
        <w:rPr>
          <w:rFonts w:cs="Arial"/>
          <w:color w:val="1F4E79"/>
          <w:lang w:val="en-US"/>
        </w:rPr>
        <w:t xml:space="preserve">lent provision is already set out in article 3.4 RTS (referred to chief risk officer, chief </w:t>
      </w:r>
      <w:r w:rsidRPr="00867F7E">
        <w:rPr>
          <w:rFonts w:cs="Arial"/>
          <w:color w:val="1F4E79"/>
          <w:lang w:val="en-US"/>
        </w:rPr>
        <w:lastRenderedPageBreak/>
        <w:t xml:space="preserve">compliance officer and chief technology officer) and article 7.2 RTS (referred to internal audit). </w:t>
      </w:r>
    </w:p>
    <w:p w:rsidR="00A94667" w:rsidRPr="00867F7E" w:rsidRDefault="00A94667" w:rsidP="00A94667">
      <w:pPr>
        <w:jc w:val="both"/>
        <w:rPr>
          <w:rFonts w:cs="Arial"/>
          <w:color w:val="1F4E79"/>
          <w:lang w:val="en-US"/>
        </w:rPr>
      </w:pPr>
      <w:r w:rsidRPr="00867F7E">
        <w:rPr>
          <w:rFonts w:cs="Arial"/>
          <w:color w:val="1F4E79"/>
          <w:lang w:val="en-US"/>
        </w:rPr>
        <w:t>Finally, we consider that it is not a responsibility of the management body neither to establish procedures by which the management body and senior management should operate nor to enable the independence and adequate resources of internal control functions. In this sense, the responsibility of the management body will be to monitor senior management in order to guara</w:t>
      </w:r>
      <w:r w:rsidRPr="00867F7E">
        <w:rPr>
          <w:rFonts w:cs="Arial"/>
          <w:color w:val="1F4E79"/>
          <w:lang w:val="en-US"/>
        </w:rPr>
        <w:t>n</w:t>
      </w:r>
      <w:r w:rsidRPr="00867F7E">
        <w:rPr>
          <w:rFonts w:cs="Arial"/>
          <w:color w:val="1F4E79"/>
          <w:lang w:val="en-US"/>
        </w:rPr>
        <w:t>tee that its development is in line with the objectives defined by the management body; and the senior management would be eventually responsible for ensuring the independence and ad</w:t>
      </w:r>
      <w:r w:rsidRPr="00867F7E">
        <w:rPr>
          <w:rFonts w:cs="Arial"/>
          <w:color w:val="1F4E79"/>
          <w:lang w:val="en-US"/>
        </w:rPr>
        <w:t>e</w:t>
      </w:r>
      <w:r w:rsidRPr="00867F7E">
        <w:rPr>
          <w:rFonts w:cs="Arial"/>
          <w:color w:val="1F4E79"/>
          <w:lang w:val="en-US"/>
        </w:rPr>
        <w:t>quate resources of internal control functions. Being this so, we propose to delete the letter (a) and (f) of article 5.1 RTS.</w:t>
      </w:r>
    </w:p>
    <w:permEnd w:id="1378816806"/>
    <w:p w:rsidR="00D12AFD" w:rsidRDefault="00D12AFD" w:rsidP="00D12AFD">
      <w:r>
        <w:t>&lt;ESMA_QUESTION_TS_CSDR_22&gt;</w:t>
      </w:r>
    </w:p>
    <w:p w:rsidR="00D12AFD" w:rsidRDefault="00D12AFD" w:rsidP="00965B03">
      <w:pPr>
        <w:pStyle w:val="Ttulo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A94667" w:rsidRPr="00867F7E" w:rsidRDefault="00A94667" w:rsidP="00A94667">
      <w:pPr>
        <w:jc w:val="both"/>
        <w:rPr>
          <w:rFonts w:cs="Arial"/>
          <w:color w:val="1F4E79"/>
        </w:rPr>
      </w:pPr>
      <w:permStart w:id="841092284" w:edGrp="everyone"/>
      <w:r w:rsidRPr="00867F7E">
        <w:rPr>
          <w:rFonts w:cs="Arial"/>
          <w:color w:val="1F4E79"/>
        </w:rPr>
        <w:t>We are especially concerned with the following issues:</w:t>
      </w:r>
    </w:p>
    <w:p w:rsidR="00A94667" w:rsidRPr="00867F7E" w:rsidRDefault="00A94667" w:rsidP="00A94667">
      <w:pPr>
        <w:numPr>
          <w:ilvl w:val="0"/>
          <w:numId w:val="49"/>
        </w:numPr>
        <w:spacing w:after="200" w:line="276" w:lineRule="auto"/>
        <w:jc w:val="both"/>
        <w:rPr>
          <w:rFonts w:cs="Arial"/>
          <w:color w:val="1F4E79"/>
        </w:rPr>
      </w:pPr>
      <w:r w:rsidRPr="00867F7E">
        <w:rPr>
          <w:rFonts w:cs="Arial"/>
          <w:color w:val="1F4E79"/>
        </w:rPr>
        <w:t>The need to align with ISO standards, in particular to transaction types and status types.</w:t>
      </w:r>
    </w:p>
    <w:p w:rsidR="00A94667" w:rsidRPr="00867F7E" w:rsidRDefault="00A94667" w:rsidP="00A94667">
      <w:pPr>
        <w:numPr>
          <w:ilvl w:val="0"/>
          <w:numId w:val="49"/>
        </w:numPr>
        <w:spacing w:after="200" w:line="276" w:lineRule="auto"/>
        <w:jc w:val="both"/>
        <w:rPr>
          <w:rFonts w:cs="Arial"/>
          <w:color w:val="1F4E79"/>
        </w:rPr>
      </w:pPr>
      <w:r w:rsidRPr="00867F7E">
        <w:rPr>
          <w:rFonts w:cs="Arial"/>
          <w:color w:val="1F4E79"/>
        </w:rPr>
        <w:t>The need to differentiate between the record-keeping requirements for supervisory pu</w:t>
      </w:r>
      <w:r w:rsidRPr="00867F7E">
        <w:rPr>
          <w:rFonts w:cs="Arial"/>
          <w:color w:val="1F4E79"/>
        </w:rPr>
        <w:t>r</w:t>
      </w:r>
      <w:r w:rsidRPr="00867F7E">
        <w:rPr>
          <w:rFonts w:cs="Arial"/>
          <w:color w:val="1F4E79"/>
        </w:rPr>
        <w:t>poses, from the record-keeping requirements for business continuity purposes.</w:t>
      </w:r>
    </w:p>
    <w:p w:rsidR="00A94667" w:rsidRPr="00867F7E" w:rsidRDefault="00A94667" w:rsidP="00A94667">
      <w:pPr>
        <w:numPr>
          <w:ilvl w:val="0"/>
          <w:numId w:val="49"/>
        </w:numPr>
        <w:spacing w:after="200" w:line="276" w:lineRule="auto"/>
        <w:jc w:val="both"/>
        <w:rPr>
          <w:rFonts w:cs="Arial"/>
          <w:color w:val="1F4E79"/>
        </w:rPr>
      </w:pPr>
      <w:r w:rsidRPr="00867F7E">
        <w:rPr>
          <w:rFonts w:cs="Arial"/>
          <w:color w:val="1F4E79"/>
        </w:rPr>
        <w:t>The implementation timing of record-keeping requirements should be aligned with the implementation timeline for Chapter II of Annex I, at least for those related to buy-ins and settlement discipline. If a phased implementation is foreseen for the latter, it must also apply to the record-keeping requirements.</w:t>
      </w:r>
    </w:p>
    <w:p w:rsidR="00A94667" w:rsidRDefault="00A94667" w:rsidP="00A94667">
      <w:pPr>
        <w:jc w:val="both"/>
        <w:rPr>
          <w:rFonts w:cs="Arial"/>
          <w:color w:val="1F4E79"/>
        </w:rPr>
      </w:pPr>
      <w:r w:rsidRPr="00867F7E">
        <w:rPr>
          <w:rFonts w:cs="Arial"/>
          <w:color w:val="1F4E79"/>
        </w:rPr>
        <w:t>The record-keeping requirements as defined in the RTS would apply from the time of the impl</w:t>
      </w:r>
      <w:r w:rsidRPr="00867F7E">
        <w:rPr>
          <w:rFonts w:cs="Arial"/>
          <w:color w:val="1F4E79"/>
        </w:rPr>
        <w:t>e</w:t>
      </w:r>
      <w:r w:rsidRPr="00867F7E">
        <w:rPr>
          <w:rFonts w:cs="Arial"/>
          <w:color w:val="1F4E79"/>
        </w:rPr>
        <w:t>mentation or the CSD approval, going forward in line with the article 69 of the CSDR and clar</w:t>
      </w:r>
      <w:r w:rsidRPr="00867F7E">
        <w:rPr>
          <w:rFonts w:cs="Arial"/>
          <w:color w:val="1F4E79"/>
        </w:rPr>
        <w:t>i</w:t>
      </w:r>
      <w:r w:rsidRPr="00867F7E">
        <w:rPr>
          <w:rFonts w:cs="Arial"/>
          <w:color w:val="1F4E79"/>
        </w:rPr>
        <w:t>fied in the FAQs published by the European Commission. This means that they will not have retrospective effect.</w:t>
      </w:r>
    </w:p>
    <w:p w:rsidR="00F24FF5" w:rsidRPr="00867F7E" w:rsidRDefault="00F24FF5" w:rsidP="00A94667">
      <w:pPr>
        <w:jc w:val="both"/>
        <w:rPr>
          <w:rFonts w:cs="Arial"/>
          <w:color w:val="1F4E79"/>
        </w:rPr>
      </w:pPr>
    </w:p>
    <w:p w:rsidR="00F24FF5" w:rsidRDefault="00A94667" w:rsidP="00A94667">
      <w:pPr>
        <w:jc w:val="both"/>
        <w:rPr>
          <w:rFonts w:cs="Arial"/>
          <w:color w:val="1F4E79"/>
        </w:rPr>
      </w:pPr>
      <w:r w:rsidRPr="00867F7E">
        <w:rPr>
          <w:rFonts w:cs="Arial"/>
          <w:color w:val="1F4E79"/>
        </w:rPr>
        <w:t>Additionally, we would like to express that the requirement in article 8.8 whereby” a CSD shall provide with a direct data feed (…) when requested by the competent authority”, could be a source for unlevel playing field between CSDs and should be harmonised across the EU.</w:t>
      </w:r>
    </w:p>
    <w:p w:rsidR="00A94667" w:rsidRPr="00867F7E" w:rsidRDefault="00A94667" w:rsidP="00A94667">
      <w:pPr>
        <w:jc w:val="both"/>
        <w:rPr>
          <w:rFonts w:cs="Arial"/>
          <w:color w:val="1F4E79"/>
        </w:rPr>
      </w:pPr>
      <w:r w:rsidRPr="00867F7E">
        <w:rPr>
          <w:rFonts w:cs="Arial"/>
          <w:color w:val="1F4E79"/>
        </w:rPr>
        <w:t xml:space="preserve"> </w:t>
      </w:r>
    </w:p>
    <w:p w:rsidR="00A94667" w:rsidRPr="00867F7E" w:rsidRDefault="00A94667" w:rsidP="00A94667">
      <w:pPr>
        <w:jc w:val="both"/>
        <w:rPr>
          <w:rFonts w:cs="Arial"/>
          <w:color w:val="1F4E79"/>
        </w:rPr>
      </w:pPr>
      <w:r w:rsidRPr="00867F7E">
        <w:rPr>
          <w:rFonts w:cs="Arial"/>
          <w:color w:val="1F4E79"/>
        </w:rPr>
        <w:t>The same comments apply to requirement 13.2 on additional records. This total flexibility to ask for further record-keeping request will be a source for uncertainty and unlevel competitive cond</w:t>
      </w:r>
      <w:r w:rsidRPr="00867F7E">
        <w:rPr>
          <w:rFonts w:cs="Arial"/>
          <w:color w:val="1F4E79"/>
        </w:rPr>
        <w:t>i</w:t>
      </w:r>
      <w:r w:rsidRPr="00867F7E">
        <w:rPr>
          <w:rFonts w:cs="Arial"/>
          <w:color w:val="1F4E79"/>
        </w:rPr>
        <w:t>tions.</w:t>
      </w:r>
    </w:p>
    <w:permEnd w:id="841092284"/>
    <w:p w:rsidR="00D12AFD" w:rsidRDefault="00D12AFD" w:rsidP="00D12AFD">
      <w:r>
        <w:t>&lt;ESMA_QUESTION_TS_CSDR_23&gt;</w:t>
      </w:r>
    </w:p>
    <w:p w:rsidR="00D12AFD" w:rsidRPr="002C4F00" w:rsidRDefault="00D12AFD" w:rsidP="00965B03">
      <w:pPr>
        <w:pStyle w:val="Ttulo5"/>
        <w:ind w:left="567" w:hanging="567"/>
      </w:pPr>
      <w:r w:rsidRPr="002C4F00">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A94667" w:rsidRDefault="00A94667" w:rsidP="00A94667">
      <w:pPr>
        <w:jc w:val="both"/>
        <w:rPr>
          <w:rFonts w:cs="Arial"/>
          <w:color w:val="1F4E79"/>
        </w:rPr>
      </w:pPr>
      <w:permStart w:id="594939918" w:edGrp="everyone"/>
      <w:r w:rsidRPr="00867F7E">
        <w:rPr>
          <w:rFonts w:cs="Arial"/>
          <w:color w:val="1F4E79"/>
        </w:rPr>
        <w:t xml:space="preserve">It is difficult to segregate some of these ancillary services from core services for record-keeping or reporting. This is more evident with ancillary services related to settlement (matching and routing). This information is linked to the settlement transaction. This information is available in </w:t>
      </w:r>
      <w:r w:rsidRPr="00867F7E">
        <w:rPr>
          <w:rFonts w:cs="Arial"/>
          <w:color w:val="1F4E79"/>
        </w:rPr>
        <w:lastRenderedPageBreak/>
        <w:t>the audit trail of the transaction: processed, matched, settled… Segregated information should of course be available for statistical purposes, accounting and billing, but record-keeping will ne</w:t>
      </w:r>
      <w:r w:rsidRPr="00867F7E">
        <w:rPr>
          <w:rFonts w:cs="Arial"/>
          <w:color w:val="1F4E79"/>
        </w:rPr>
        <w:t>c</w:t>
      </w:r>
      <w:r w:rsidRPr="00867F7E">
        <w:rPr>
          <w:rFonts w:cs="Arial"/>
          <w:color w:val="1F4E79"/>
        </w:rPr>
        <w:t xml:space="preserve">essarily be mingled. </w:t>
      </w:r>
    </w:p>
    <w:p w:rsidR="00F24FF5" w:rsidRPr="00867F7E" w:rsidRDefault="00F24FF5" w:rsidP="00A94667">
      <w:pPr>
        <w:jc w:val="both"/>
        <w:rPr>
          <w:rFonts w:cs="Arial"/>
          <w:color w:val="1F4E79"/>
        </w:rPr>
      </w:pPr>
    </w:p>
    <w:p w:rsidR="00A94667" w:rsidRPr="00867F7E" w:rsidRDefault="00A94667" w:rsidP="00A94667">
      <w:pPr>
        <w:jc w:val="both"/>
        <w:rPr>
          <w:rFonts w:cs="Arial"/>
          <w:color w:val="1F4E79"/>
        </w:rPr>
      </w:pPr>
      <w:r w:rsidRPr="00867F7E">
        <w:rPr>
          <w:rFonts w:cs="Arial"/>
          <w:color w:val="1F4E79"/>
        </w:rPr>
        <w:t>In relation to collateral management services, there is information at two levels: at the level of the collateral management service (collateral management instructions), and at the level of settlement (settlement instructions generated automatically in the settlement system as a result of the collateral management instructions previously received from the participant). We believe that only the information related to settlement is necessary, as it is the one that effectively moves the securities and the cash in the settlement systems, and it contains all the required info</w:t>
      </w:r>
      <w:r w:rsidRPr="00867F7E">
        <w:rPr>
          <w:rFonts w:cs="Arial"/>
          <w:color w:val="1F4E79"/>
        </w:rPr>
        <w:t>r</w:t>
      </w:r>
      <w:r w:rsidRPr="00867F7E">
        <w:rPr>
          <w:rFonts w:cs="Arial"/>
          <w:color w:val="1F4E79"/>
        </w:rPr>
        <w:t>mation: counterparties, collateral, amount, and final status. Regarding the purpose of the colla</w:t>
      </w:r>
      <w:r w:rsidRPr="00867F7E">
        <w:rPr>
          <w:rFonts w:cs="Arial"/>
          <w:color w:val="1F4E79"/>
        </w:rPr>
        <w:t>t</w:t>
      </w:r>
      <w:r w:rsidRPr="00867F7E">
        <w:rPr>
          <w:rFonts w:cs="Arial"/>
          <w:color w:val="1F4E79"/>
        </w:rPr>
        <w:t>eral management instruction, please note that this is not always known to the CSD. Outside of triparty repo or monetary policy operations, the purpose used is a generic one: the parties r</w:t>
      </w:r>
      <w:r w:rsidRPr="00867F7E">
        <w:rPr>
          <w:rFonts w:cs="Arial"/>
          <w:color w:val="1F4E79"/>
        </w:rPr>
        <w:t>e</w:t>
      </w:r>
      <w:r w:rsidRPr="00867F7E">
        <w:rPr>
          <w:rFonts w:cs="Arial"/>
          <w:color w:val="1F4E79"/>
        </w:rPr>
        <w:t xml:space="preserve">quest to mobilise collateral but the CSD doesn’t need to be aware of the nature of the underlying exposure. </w:t>
      </w:r>
    </w:p>
    <w:permEnd w:id="594939918"/>
    <w:p w:rsidR="00D12AFD" w:rsidRDefault="00D12AFD" w:rsidP="00D12AFD">
      <w:r>
        <w:t>&lt;ESMA_QUESTION_TS_CSDR_25&gt;</w:t>
      </w:r>
    </w:p>
    <w:p w:rsidR="00D12AFD" w:rsidRPr="002C4F00" w:rsidRDefault="00D12AFD" w:rsidP="00965B03">
      <w:pPr>
        <w:pStyle w:val="Ttulo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A94667" w:rsidRDefault="00A94667" w:rsidP="00A94667">
      <w:pPr>
        <w:jc w:val="both"/>
        <w:rPr>
          <w:rFonts w:cs="Arial"/>
          <w:color w:val="1F4E79"/>
        </w:rPr>
      </w:pPr>
      <w:permStart w:id="922819743" w:edGrp="everyone"/>
      <w:r w:rsidRPr="00867F7E">
        <w:rPr>
          <w:rFonts w:cs="Arial"/>
          <w:color w:val="1F4E79"/>
        </w:rPr>
        <w:t>Especially in the scope of T2S, we believe that imposing the second reconciliation process to the CSDs will be meaningless if the settlement platform doesn’t do it itself. Additionally, imposing settlement restrictions based on this reconciliation is extremely risky for CSDs.</w:t>
      </w:r>
    </w:p>
    <w:p w:rsidR="00F24FF5" w:rsidRPr="00867F7E" w:rsidRDefault="00F24FF5" w:rsidP="00A94667">
      <w:pPr>
        <w:jc w:val="both"/>
        <w:rPr>
          <w:rFonts w:cs="Arial"/>
          <w:color w:val="1F4E79"/>
        </w:rPr>
      </w:pPr>
    </w:p>
    <w:p w:rsidR="00A94667" w:rsidRDefault="00A94667" w:rsidP="00A94667">
      <w:pPr>
        <w:jc w:val="both"/>
        <w:rPr>
          <w:rFonts w:cs="Arial"/>
          <w:color w:val="1F4E79"/>
        </w:rPr>
      </w:pPr>
      <w:r w:rsidRPr="00867F7E">
        <w:rPr>
          <w:rFonts w:cs="Arial"/>
          <w:color w:val="1F4E79"/>
        </w:rPr>
        <w:t>In any case, we consider that additional amendments are necessary on article 17, on “Problems related to reconciliation”. Automatic suspension of settlement is not a proportionate approach and may provoke too much damage. The regulator should be aware that a suspension of se</w:t>
      </w:r>
      <w:r w:rsidRPr="00867F7E">
        <w:rPr>
          <w:rFonts w:cs="Arial"/>
          <w:color w:val="1F4E79"/>
        </w:rPr>
        <w:t>t</w:t>
      </w:r>
      <w:r w:rsidRPr="00867F7E">
        <w:rPr>
          <w:rFonts w:cs="Arial"/>
          <w:color w:val="1F4E79"/>
        </w:rPr>
        <w:t>tlement would also imply a suspension of trading with a huge impact, not only to the issuer, but also to final investors. Therefore, we would strongly advice for a more flexible approach. A su</w:t>
      </w:r>
      <w:r w:rsidRPr="00867F7E">
        <w:rPr>
          <w:rFonts w:cs="Arial"/>
          <w:color w:val="1F4E79"/>
        </w:rPr>
        <w:t>s</w:t>
      </w:r>
      <w:r w:rsidRPr="00867F7E">
        <w:rPr>
          <w:rFonts w:cs="Arial"/>
          <w:color w:val="1F4E79"/>
        </w:rPr>
        <w:t xml:space="preserve">pension of settlement could also have systemic consequences (for instance: a CCP would not receive the relevant security as collateral, a bank using the security to receive central bank liquidity would not have access to the liquidity when required, suspension of trading…). As a result of this consequences CSD would be in a position of risk since it will be the one receiving claims and responsible for the damages so caused. </w:t>
      </w:r>
    </w:p>
    <w:p w:rsidR="00F24FF5" w:rsidRPr="00867F7E" w:rsidRDefault="00F24FF5" w:rsidP="00A94667">
      <w:pPr>
        <w:jc w:val="both"/>
        <w:rPr>
          <w:rFonts w:cs="Arial"/>
          <w:color w:val="1F4E79"/>
        </w:rPr>
      </w:pPr>
    </w:p>
    <w:p w:rsidR="00A94667" w:rsidRPr="00867F7E" w:rsidRDefault="00A94667" w:rsidP="00A94667">
      <w:pPr>
        <w:jc w:val="both"/>
        <w:rPr>
          <w:rFonts w:cs="Arial"/>
          <w:color w:val="1F4E79"/>
        </w:rPr>
      </w:pPr>
      <w:r w:rsidRPr="00867F7E">
        <w:rPr>
          <w:rFonts w:cs="Arial"/>
          <w:color w:val="1F4E79"/>
        </w:rPr>
        <w:t xml:space="preserve">Furthermore, we would like to point out that the undue creation of securities would require a stronger action from the CSD than the one to be followed in case of deletion of securities. The consequences of both situations are very different so the measures to be taken should also be different. In any case, the suspension of settlement is excessive and counterproductive when a deletion of securities arises. </w:t>
      </w:r>
    </w:p>
    <w:permEnd w:id="922819743"/>
    <w:p w:rsidR="00D12AFD" w:rsidRDefault="00D12AFD" w:rsidP="00D12AFD">
      <w:r>
        <w:t>&lt;ESMA_QUESTION_TS_CSDR_25&gt;</w:t>
      </w:r>
    </w:p>
    <w:p w:rsidR="00D12AFD" w:rsidRPr="002C4F00" w:rsidRDefault="00D12AFD" w:rsidP="00965B03">
      <w:pPr>
        <w:pStyle w:val="Ttulo5"/>
        <w:ind w:left="567" w:hanging="567"/>
      </w:pPr>
      <w:r w:rsidRPr="002C4F00">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A94667" w:rsidRPr="00867F7E" w:rsidRDefault="00A94667" w:rsidP="00A94667">
      <w:pPr>
        <w:jc w:val="both"/>
        <w:rPr>
          <w:rFonts w:cs="Arial"/>
          <w:color w:val="1F4E79"/>
        </w:rPr>
      </w:pPr>
      <w:permStart w:id="390225015" w:edGrp="everyone"/>
      <w:r w:rsidRPr="00867F7E">
        <w:rPr>
          <w:rFonts w:cs="Arial"/>
          <w:color w:val="1F4E79"/>
        </w:rPr>
        <w:t>We have no comments.</w:t>
      </w:r>
    </w:p>
    <w:permEnd w:id="390225015"/>
    <w:p w:rsidR="00D12AFD" w:rsidRDefault="00D12AFD" w:rsidP="00D12AFD">
      <w:r>
        <w:lastRenderedPageBreak/>
        <w:t>&lt;ESMA_QUESTION_TS_CSDR_26&gt;</w:t>
      </w:r>
    </w:p>
    <w:p w:rsidR="00F1314C" w:rsidRDefault="00F1314C" w:rsidP="00F1314C">
      <w:pPr>
        <w:pStyle w:val="Ttulo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A94667" w:rsidRPr="00867F7E" w:rsidRDefault="00A94667" w:rsidP="00A94667">
      <w:pPr>
        <w:jc w:val="both"/>
        <w:rPr>
          <w:rFonts w:cs="Arial"/>
          <w:color w:val="1F4E79"/>
        </w:rPr>
      </w:pPr>
      <w:permStart w:id="1833174739" w:edGrp="everyone"/>
      <w:r w:rsidRPr="00867F7E">
        <w:rPr>
          <w:rFonts w:cs="Arial"/>
          <w:color w:val="1F4E79"/>
        </w:rPr>
        <w:t>We have no comments.</w:t>
      </w:r>
    </w:p>
    <w:permEnd w:id="1833174739"/>
    <w:p w:rsidR="00252063" w:rsidRDefault="00252063" w:rsidP="00252063">
      <w:r>
        <w:t>&lt;ESMA_QUESTION_TS_CSDR_27&gt;</w:t>
      </w:r>
    </w:p>
    <w:p w:rsidR="00F1314C" w:rsidRPr="00F1314C" w:rsidRDefault="00F1314C" w:rsidP="00F1314C"/>
    <w:p w:rsidR="00D12AFD" w:rsidRPr="002C4F00" w:rsidRDefault="00D12AFD" w:rsidP="00965B03">
      <w:pPr>
        <w:pStyle w:val="Ttulo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A94667" w:rsidRPr="00867F7E" w:rsidRDefault="00A94667" w:rsidP="00A94667">
      <w:pPr>
        <w:jc w:val="both"/>
        <w:rPr>
          <w:rFonts w:cs="Arial"/>
          <w:color w:val="1F4E79"/>
        </w:rPr>
      </w:pPr>
      <w:permStart w:id="1186403" w:edGrp="everyone"/>
      <w:r w:rsidRPr="00867F7E">
        <w:rPr>
          <w:rFonts w:cs="Arial"/>
          <w:color w:val="1F4E79"/>
        </w:rPr>
        <w:t>Regarding IT internal audits we have doubts that IT audits on T2S will be possible as per article 26 on “Examination of T2S Services and records retention” of the framework agreement signed between the CSDs and T2S. No internal audits are allowed by the CSDs, only the “external examination” by an examiner appointed by the Governing Council.</w:t>
      </w:r>
    </w:p>
    <w:permEnd w:id="1186403"/>
    <w:p w:rsidR="00D12AFD" w:rsidRDefault="00D12AFD" w:rsidP="00D12AFD">
      <w:r>
        <w:t>&lt;ESMA_QUESTION_TS_CSDR_2</w:t>
      </w:r>
      <w:r w:rsidR="00252063">
        <w:t>8</w:t>
      </w:r>
      <w:r>
        <w:t>&gt;</w:t>
      </w:r>
    </w:p>
    <w:p w:rsidR="00D12AFD" w:rsidRPr="002C4F00" w:rsidRDefault="00D12AFD" w:rsidP="00965B03">
      <w:pPr>
        <w:pStyle w:val="Ttulo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A94667" w:rsidRDefault="00A94667" w:rsidP="00A94667">
      <w:pPr>
        <w:jc w:val="both"/>
        <w:rPr>
          <w:rFonts w:cs="Arial"/>
          <w:color w:val="1F4E79"/>
        </w:rPr>
      </w:pPr>
      <w:permStart w:id="1164996540" w:edGrp="everyone"/>
      <w:r w:rsidRPr="00867F7E">
        <w:rPr>
          <w:rFonts w:cs="Arial"/>
          <w:color w:val="1F4E79"/>
        </w:rPr>
        <w:t>The draft RTS on CSD investment policy in Chapter VII of Annex III should be limited to the amount of minimum capital required to the CSDs. Any capital held over that minimum capital requirement should be allowed to be invested in other assets such as equities or corporate bonds, and in longer terms.</w:t>
      </w:r>
    </w:p>
    <w:p w:rsidR="00F24FF5" w:rsidRPr="00867F7E" w:rsidRDefault="00F24FF5" w:rsidP="00A94667">
      <w:pPr>
        <w:jc w:val="both"/>
        <w:rPr>
          <w:rFonts w:cs="Arial"/>
          <w:color w:val="1F4E79"/>
        </w:rPr>
      </w:pPr>
    </w:p>
    <w:p w:rsidR="00A94667" w:rsidRPr="00867F7E" w:rsidRDefault="00A94667" w:rsidP="00A94667">
      <w:pPr>
        <w:jc w:val="both"/>
        <w:rPr>
          <w:rFonts w:cs="Arial"/>
          <w:color w:val="1F4E79"/>
        </w:rPr>
      </w:pPr>
      <w:r w:rsidRPr="00867F7E">
        <w:rPr>
          <w:rFonts w:cs="Arial"/>
          <w:color w:val="1F4E79"/>
        </w:rPr>
        <w:t>Additionally, we have some concerns with the required portfolio diversification. CSDs usually use their own infrastructure to keep their own assets, as this eliminates custody risk. CSDs should not be required to increase their custody network just for compliance with geographical diversif</w:t>
      </w:r>
      <w:r w:rsidRPr="00867F7E">
        <w:rPr>
          <w:rFonts w:cs="Arial"/>
          <w:color w:val="1F4E79"/>
        </w:rPr>
        <w:t>i</w:t>
      </w:r>
      <w:r w:rsidRPr="00867F7E">
        <w:rPr>
          <w:rFonts w:cs="Arial"/>
          <w:color w:val="1F4E79"/>
        </w:rPr>
        <w:t>cation.</w:t>
      </w:r>
    </w:p>
    <w:permEnd w:id="1164996540"/>
    <w:p w:rsidR="00D12AFD" w:rsidRDefault="00D12AFD" w:rsidP="00D12AFD">
      <w:r>
        <w:t>&lt;ESMA_QUESTION_TS_CSDR_2</w:t>
      </w:r>
      <w:r w:rsidR="00252063">
        <w:t>9</w:t>
      </w:r>
      <w:r>
        <w:t>&gt;</w:t>
      </w:r>
    </w:p>
    <w:p w:rsidR="00D12AFD" w:rsidRPr="002C4F00" w:rsidRDefault="00D12AFD" w:rsidP="00965B03">
      <w:pPr>
        <w:pStyle w:val="Ttulo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924BF1" w:rsidRPr="00867F7E" w:rsidRDefault="00924BF1" w:rsidP="00924BF1">
      <w:pPr>
        <w:jc w:val="both"/>
        <w:rPr>
          <w:rFonts w:cs="Arial"/>
          <w:color w:val="1F4E79"/>
        </w:rPr>
      </w:pPr>
      <w:permStart w:id="740239730" w:edGrp="everyone"/>
      <w:r w:rsidRPr="00867F7E">
        <w:rPr>
          <w:rFonts w:cs="Arial"/>
          <w:color w:val="1F4E79"/>
        </w:rPr>
        <w:t>We have no comments.</w:t>
      </w:r>
    </w:p>
    <w:permEnd w:id="740239730"/>
    <w:p w:rsidR="00D12AFD" w:rsidRDefault="00D12AFD" w:rsidP="00D12AFD">
      <w:r>
        <w:t>&lt;ESMA_QUESTION_TS_CSDR_</w:t>
      </w:r>
      <w:r w:rsidR="00252063">
        <w:t>30</w:t>
      </w:r>
      <w:r>
        <w:t>&gt;</w:t>
      </w:r>
    </w:p>
    <w:p w:rsidR="00D12AFD" w:rsidRPr="002C4F00" w:rsidRDefault="00D12AFD" w:rsidP="00965B03">
      <w:pPr>
        <w:pStyle w:val="Ttulo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924BF1" w:rsidRDefault="00924BF1" w:rsidP="00924BF1">
      <w:pPr>
        <w:jc w:val="both"/>
        <w:rPr>
          <w:rFonts w:cs="Arial"/>
          <w:color w:val="1F4E79"/>
        </w:rPr>
      </w:pPr>
      <w:permStart w:id="946891730" w:edGrp="everyone"/>
      <w:r w:rsidRPr="00867F7E">
        <w:rPr>
          <w:rFonts w:cs="Arial"/>
          <w:color w:val="1F4E79"/>
        </w:rPr>
        <w:t>We would like to show especial concern in relation to the prohibition for non-banking CSDs to receive banking services from other CSDs, the commercial arrangements not being made pu</w:t>
      </w:r>
      <w:r w:rsidRPr="00867F7E">
        <w:rPr>
          <w:rFonts w:cs="Arial"/>
          <w:color w:val="1F4E79"/>
        </w:rPr>
        <w:t>b</w:t>
      </w:r>
      <w:r w:rsidRPr="00867F7E">
        <w:rPr>
          <w:rFonts w:cs="Arial"/>
          <w:color w:val="1F4E79"/>
        </w:rPr>
        <w:t>lic, the need to differentiate between indirect links and interoperable links and the fact that i</w:t>
      </w:r>
      <w:r w:rsidRPr="00867F7E">
        <w:rPr>
          <w:rFonts w:cs="Arial"/>
          <w:color w:val="1F4E79"/>
        </w:rPr>
        <w:t>m</w:t>
      </w:r>
      <w:r w:rsidRPr="00867F7E">
        <w:rPr>
          <w:rFonts w:cs="Arial"/>
          <w:color w:val="1F4E79"/>
        </w:rPr>
        <w:t>posing so many burdensome requirements to indirect links could result in the reduction of these links in favour of using custodian banks.</w:t>
      </w:r>
    </w:p>
    <w:p w:rsidR="00F24FF5" w:rsidRPr="00867F7E" w:rsidRDefault="00F24FF5" w:rsidP="00924BF1">
      <w:pPr>
        <w:jc w:val="both"/>
        <w:rPr>
          <w:rFonts w:cs="Arial"/>
          <w:color w:val="1F4E79"/>
        </w:rPr>
      </w:pPr>
    </w:p>
    <w:p w:rsidR="00924BF1" w:rsidRDefault="00924BF1" w:rsidP="00924BF1">
      <w:pPr>
        <w:jc w:val="both"/>
        <w:rPr>
          <w:rFonts w:cs="Arial"/>
          <w:color w:val="1F4E79"/>
        </w:rPr>
      </w:pPr>
      <w:r w:rsidRPr="00867F7E">
        <w:rPr>
          <w:rFonts w:cs="Arial"/>
          <w:color w:val="1F4E79"/>
        </w:rPr>
        <w:lastRenderedPageBreak/>
        <w:t>In addition to that, we would like to make the following remark in relation to the RTS on CSD links: The requirements to comply with the receiving CSD’s participation rules (article 4.1.a), should only be mandated for standard access. For instance, some CSDs require participants to be banks. In this case, non-banking CSDs would not be able to access. If standard access is requested by the investor CSD, then the receiving CSD may be obliged to request compliance with standard access regulations. But a different type of arrangements should be possible for customised or interoperable access whereby the receiving CSD may foresee specific provisions for peer access.</w:t>
      </w:r>
    </w:p>
    <w:p w:rsidR="00F24FF5" w:rsidRPr="00867F7E" w:rsidRDefault="00F24FF5" w:rsidP="00924BF1">
      <w:pPr>
        <w:jc w:val="both"/>
        <w:rPr>
          <w:rFonts w:cs="Arial"/>
          <w:color w:val="1F4E79"/>
        </w:rPr>
      </w:pPr>
    </w:p>
    <w:p w:rsidR="00924BF1" w:rsidRPr="00867F7E" w:rsidRDefault="00924BF1" w:rsidP="00924BF1">
      <w:pPr>
        <w:jc w:val="both"/>
        <w:rPr>
          <w:rFonts w:cs="Arial"/>
          <w:color w:val="1F4E79"/>
          <w:lang w:val="en-US"/>
        </w:rPr>
      </w:pPr>
      <w:r w:rsidRPr="00867F7E">
        <w:rPr>
          <w:rFonts w:cs="Arial"/>
          <w:color w:val="1F4E79"/>
          <w:lang w:val="en-US"/>
        </w:rPr>
        <w:t>Regarding the prohibition to receive banking services from another CSD if the receiving CSD doesn’t have an authorization to provide them itself, we would like to stress that CSDs may be requested to open a cash account as part of the standard access procedure or when establis</w:t>
      </w:r>
      <w:r w:rsidRPr="00867F7E">
        <w:rPr>
          <w:rFonts w:cs="Arial"/>
          <w:color w:val="1F4E79"/>
          <w:lang w:val="en-US"/>
        </w:rPr>
        <w:t>h</w:t>
      </w:r>
      <w:r w:rsidRPr="00867F7E">
        <w:rPr>
          <w:rFonts w:cs="Arial"/>
          <w:color w:val="1F4E79"/>
          <w:lang w:val="en-US"/>
        </w:rPr>
        <w:t xml:space="preserve">ing a link with another (I)CSD. This requirement would therefore de facto deny standard access to many CSDs which do not have a license for providing banking services. </w:t>
      </w:r>
    </w:p>
    <w:permEnd w:id="946891730"/>
    <w:p w:rsidR="00D12AFD" w:rsidRPr="002C4F00" w:rsidRDefault="00D12AFD" w:rsidP="00D12AFD">
      <w:r>
        <w:t>&lt;ESMA_QUESTION_TS_CSDR_3</w:t>
      </w:r>
      <w:r w:rsidR="00252063">
        <w:t>1</w:t>
      </w:r>
      <w:r>
        <w:t>&gt;</w:t>
      </w:r>
    </w:p>
    <w:p w:rsidR="00D12AFD" w:rsidRPr="002C4F00" w:rsidRDefault="00D12AFD" w:rsidP="00965B03">
      <w:pPr>
        <w:pStyle w:val="Ttulo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924BF1" w:rsidRPr="00867F7E" w:rsidRDefault="00924BF1" w:rsidP="00924BF1">
      <w:pPr>
        <w:jc w:val="both"/>
        <w:rPr>
          <w:rFonts w:cs="Arial"/>
          <w:color w:val="1F4E79"/>
          <w:lang w:val="en-US"/>
        </w:rPr>
      </w:pPr>
      <w:permStart w:id="486369280" w:edGrp="everyone"/>
      <w:r w:rsidRPr="00867F7E">
        <w:rPr>
          <w:rFonts w:cs="Arial"/>
          <w:color w:val="1F4E79"/>
          <w:lang w:val="en-US"/>
        </w:rPr>
        <w:t>We believe that the information requirements should include all necessary information. This information should be equivalent to that obtainable in the event that the settlement would take place on a CSD and that the rules regarding the execution of the settlement should be clear and common for all entities. Regarding the timeframes we think they are appropriate.</w:t>
      </w:r>
    </w:p>
    <w:permEnd w:id="486369280"/>
    <w:p w:rsidR="00F05A8C" w:rsidRDefault="00D12AFD" w:rsidP="00CE149D">
      <w:r>
        <w:t>&lt;ESMA_QUESTION_TS_CSDR_3</w:t>
      </w:r>
      <w:r w:rsidR="00252063">
        <w:t>2</w:t>
      </w:r>
      <w:r>
        <w:t>&gt;</w:t>
      </w:r>
    </w:p>
    <w:sectPr w:rsidR="00F05A8C"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07E1" w:rsidRDefault="004807E1">
      <w:r>
        <w:separator/>
      </w:r>
    </w:p>
    <w:p w:rsidR="004807E1" w:rsidRDefault="004807E1"/>
  </w:endnote>
  <w:endnote w:type="continuationSeparator" w:id="0">
    <w:p w:rsidR="004807E1" w:rsidRDefault="004807E1">
      <w:r>
        <w:continuationSeparator/>
      </w:r>
    </w:p>
    <w:p w:rsidR="004807E1" w:rsidRDefault="004807E1"/>
  </w:endnote>
  <w:endnote w:type="continuationNotice" w:id="1">
    <w:p w:rsidR="004807E1" w:rsidRDefault="004807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20B0403030403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315E96"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2C5B2D" w:rsidRDefault="00811EDA" w:rsidP="002C5B2D">
          <w:pPr>
            <w:pStyle w:val="00aPagenumber"/>
          </w:pPr>
          <w:r>
            <w:fldChar w:fldCharType="begin"/>
          </w:r>
          <w:r>
            <w:instrText xml:space="preserve"> PAGE </w:instrText>
          </w:r>
          <w:r>
            <w:fldChar w:fldCharType="separate"/>
          </w:r>
          <w:r w:rsidR="003721A3">
            <w:rPr>
              <w:noProof/>
            </w:rPr>
            <w:t>3</w:t>
          </w:r>
          <w:r>
            <w:rPr>
              <w:noProof/>
            </w:rPr>
            <w:fldChar w:fldCharType="end"/>
          </w:r>
        </w:p>
      </w:tc>
    </w:tr>
  </w:tbl>
  <w:p w:rsidR="00811EDA" w:rsidRDefault="00811ED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07E1" w:rsidRDefault="004807E1">
      <w:r>
        <w:separator/>
      </w:r>
    </w:p>
    <w:p w:rsidR="004807E1" w:rsidRDefault="004807E1"/>
  </w:footnote>
  <w:footnote w:type="continuationSeparator" w:id="0">
    <w:p w:rsidR="004807E1" w:rsidRDefault="004807E1">
      <w:r>
        <w:continuationSeparator/>
      </w:r>
    </w:p>
    <w:p w:rsidR="004807E1" w:rsidRDefault="004807E1"/>
  </w:footnote>
  <w:footnote w:type="continuationNotice" w:id="1">
    <w:p w:rsidR="004807E1" w:rsidRDefault="004807E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91EDE">
    <w:pPr>
      <w:pStyle w:val="Encabezado"/>
    </w:pPr>
    <w:r>
      <w:rPr>
        <w:noProof/>
        <w:lang w:val="es-ES" w:eastAsia="es-ES"/>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91EDE" w:rsidP="00013CCE">
    <w:pPr>
      <w:pStyle w:val="Encabezado"/>
      <w:jc w:val="right"/>
    </w:pPr>
    <w:r>
      <w:rPr>
        <w:noProof/>
        <w:lang w:val="es-ES" w:eastAsia="es-ES"/>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Encabezado"/>
      <w:rPr>
        <w:lang w:val="fr-FR"/>
      </w:rPr>
    </w:pPr>
  </w:p>
  <w:p w:rsidR="00811EDA" w:rsidRPr="002F4496" w:rsidRDefault="00811EDA" w:rsidP="000C06C9">
    <w:pPr>
      <w:pStyle w:val="Encabezado"/>
      <w:tabs>
        <w:tab w:val="clear" w:pos="4536"/>
        <w:tab w:val="clear" w:pos="9072"/>
        <w:tab w:val="left" w:pos="8227"/>
      </w:tabs>
      <w:rPr>
        <w:lang w:val="fr-FR"/>
      </w:rPr>
    </w:pPr>
  </w:p>
  <w:p w:rsidR="00811EDA" w:rsidRPr="002F4496" w:rsidRDefault="00811EDA" w:rsidP="000C06C9">
    <w:pPr>
      <w:pStyle w:val="Encabezado"/>
      <w:tabs>
        <w:tab w:val="clear" w:pos="4536"/>
        <w:tab w:val="clear" w:pos="9072"/>
        <w:tab w:val="left" w:pos="8227"/>
      </w:tabs>
      <w:rPr>
        <w:lang w:val="fr-FR"/>
      </w:rPr>
    </w:pPr>
  </w:p>
  <w:p w:rsidR="00811EDA" w:rsidRPr="002F4496" w:rsidRDefault="00811EDA">
    <w:pPr>
      <w:pStyle w:val="Encabezado"/>
      <w:rPr>
        <w:lang w:val="fr-FR"/>
      </w:rPr>
    </w:pPr>
  </w:p>
  <w:p w:rsidR="00811EDA" w:rsidRPr="002F4496" w:rsidRDefault="00811EDA">
    <w:pPr>
      <w:pStyle w:val="Encabezado"/>
      <w:rPr>
        <w:lang w:val="fr-FR"/>
      </w:rPr>
    </w:pPr>
  </w:p>
  <w:p w:rsidR="00811EDA" w:rsidRPr="002F4496" w:rsidRDefault="00811EDA">
    <w:pPr>
      <w:pStyle w:val="Encabezado"/>
      <w:rPr>
        <w:lang w:val="fr-FR"/>
      </w:rPr>
    </w:pPr>
  </w:p>
  <w:p w:rsidR="00811EDA" w:rsidRPr="002F4496" w:rsidRDefault="00811EDA">
    <w:pPr>
      <w:pStyle w:val="Encabezado"/>
      <w:rPr>
        <w:lang w:val="fr-FR"/>
      </w:rPr>
    </w:pPr>
  </w:p>
  <w:p w:rsidR="00811EDA" w:rsidRPr="002F4496" w:rsidRDefault="00811EDA">
    <w:pPr>
      <w:pStyle w:val="Encabezado"/>
      <w:rPr>
        <w:highlight w:val="yellow"/>
        <w:lang w:val="fr-FR"/>
      </w:rPr>
    </w:pPr>
  </w:p>
  <w:p w:rsidR="00811EDA" w:rsidRDefault="00891EDE">
    <w:pPr>
      <w:pStyle w:val="Encabezado"/>
    </w:pPr>
    <w:r>
      <w:rPr>
        <w:noProof/>
        <w:lang w:val="es-ES" w:eastAsia="es-ES"/>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es-ES" w:eastAsia="es-ES"/>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aconvietas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EB84932"/>
    <w:multiLevelType w:val="hybridMultilevel"/>
    <w:tmpl w:val="8E8E5F58"/>
    <w:lvl w:ilvl="0" w:tplc="A6CA0948">
      <w:start w:val="3"/>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8">
    <w:nsid w:val="1DAE53C8"/>
    <w:multiLevelType w:val="multilevel"/>
    <w:tmpl w:val="ACFA87A8"/>
    <w:lvl w:ilvl="0">
      <w:start w:val="1"/>
      <w:numFmt w:val="decimal"/>
      <w:pStyle w:val="Textoindependiente"/>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0FC2A53"/>
    <w:multiLevelType w:val="hybridMultilevel"/>
    <w:tmpl w:val="BCFEE002"/>
    <w:lvl w:ilvl="0" w:tplc="3002258C">
      <w:start w:val="1"/>
      <w:numFmt w:val="lowerLetter"/>
      <w:lvlText w:val="%1."/>
      <w:lvlJc w:val="left"/>
      <w:pPr>
        <w:ind w:left="720" w:hanging="360"/>
      </w:pPr>
      <w:rPr>
        <w:b w:val="0"/>
        <w:color w:val="1F4E79"/>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1">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4">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5">
    <w:nsid w:val="2FD962BC"/>
    <w:multiLevelType w:val="hybridMultilevel"/>
    <w:tmpl w:val="0A38570C"/>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8">
    <w:nsid w:val="3A841364"/>
    <w:multiLevelType w:val="hybridMultilevel"/>
    <w:tmpl w:val="21CCF614"/>
    <w:lvl w:ilvl="0" w:tplc="08090017">
      <w:start w:val="1"/>
      <w:numFmt w:val="lowerLetter"/>
      <w:pStyle w:val="Listaconvietas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2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2">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4">
    <w:nsid w:val="44F53407"/>
    <w:multiLevelType w:val="hybridMultilevel"/>
    <w:tmpl w:val="7DA80AF4"/>
    <w:lvl w:ilvl="0" w:tplc="FE325FEE">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482E5B4C"/>
    <w:multiLevelType w:val="hybridMultilevel"/>
    <w:tmpl w:val="26480566"/>
    <w:lvl w:ilvl="0" w:tplc="9C9ECAE8">
      <w:start w:val="1"/>
      <w:numFmt w:val="lowerLetter"/>
      <w:lvlText w:val="%1."/>
      <w:lvlJc w:val="left"/>
      <w:pPr>
        <w:ind w:left="720" w:hanging="360"/>
      </w:pPr>
      <w:rPr>
        <w:rFonts w:hint="default"/>
        <w:b w:val="0"/>
        <w:color w:val="1F4E79"/>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7">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8">
    <w:nsid w:val="4C7151D2"/>
    <w:multiLevelType w:val="hybridMultilevel"/>
    <w:tmpl w:val="DE90C632"/>
    <w:lvl w:ilvl="0" w:tplc="08090001">
      <w:start w:val="1"/>
      <w:numFmt w:val="bullet"/>
      <w:pStyle w:val="Listaconvietas"/>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9">
    <w:nsid w:val="4EBF349F"/>
    <w:multiLevelType w:val="hybridMultilevel"/>
    <w:tmpl w:val="C64E3308"/>
    <w:lvl w:ilvl="0" w:tplc="9C9ECAE8">
      <w:start w:val="1"/>
      <w:numFmt w:val="lowerLetter"/>
      <w:lvlText w:val="%1."/>
      <w:lvlJc w:val="left"/>
      <w:pPr>
        <w:ind w:left="720" w:hanging="360"/>
      </w:pPr>
      <w:rPr>
        <w:rFonts w:hint="default"/>
        <w:b w:val="0"/>
        <w:color w:val="1F4E79"/>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2">
    <w:nsid w:val="550A16D5"/>
    <w:multiLevelType w:val="hybridMultilevel"/>
    <w:tmpl w:val="35EE62D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55DE60E9"/>
    <w:multiLevelType w:val="hybridMultilevel"/>
    <w:tmpl w:val="1084069A"/>
    <w:lvl w:ilvl="0" w:tplc="B532C018">
      <w:start w:val="2"/>
      <w:numFmt w:val="upperRoman"/>
      <w:pStyle w:val="Ttulo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5">
    <w:nsid w:val="58EF1845"/>
    <w:multiLevelType w:val="hybridMultilevel"/>
    <w:tmpl w:val="26480566"/>
    <w:lvl w:ilvl="0" w:tplc="9C9ECAE8">
      <w:start w:val="1"/>
      <w:numFmt w:val="lowerLetter"/>
      <w:lvlText w:val="%1."/>
      <w:lvlJc w:val="left"/>
      <w:pPr>
        <w:ind w:left="720" w:hanging="360"/>
      </w:pPr>
      <w:rPr>
        <w:rFonts w:hint="default"/>
        <w:b w:val="0"/>
        <w:color w:val="1F4E79"/>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7">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8">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9">
    <w:nsid w:val="605735B9"/>
    <w:multiLevelType w:val="hybridMultilevel"/>
    <w:tmpl w:val="FE2226F2"/>
    <w:lvl w:ilvl="0" w:tplc="659EE572">
      <w:start w:val="1"/>
      <w:numFmt w:val="decimal"/>
      <w:pStyle w:val="Ttulo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2970F71"/>
    <w:multiLevelType w:val="singleLevel"/>
    <w:tmpl w:val="A8CADBFA"/>
    <w:name w:val="Bullet 0"/>
    <w:lvl w:ilvl="0">
      <w:start w:val="1"/>
      <w:numFmt w:val="bullet"/>
      <w:pStyle w:val="Listaconnmeros"/>
      <w:lvlText w:val="–"/>
      <w:lvlJc w:val="left"/>
      <w:pPr>
        <w:tabs>
          <w:tab w:val="num" w:pos="1417"/>
        </w:tabs>
        <w:ind w:left="1417" w:hanging="567"/>
      </w:pPr>
    </w:lvl>
  </w:abstractNum>
  <w:abstractNum w:abstractNumId="41">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2">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3">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4">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5">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20"/>
  </w:num>
  <w:num w:numId="2">
    <w:abstractNumId w:val="23"/>
  </w:num>
  <w:num w:numId="3">
    <w:abstractNumId w:val="16"/>
  </w:num>
  <w:num w:numId="4">
    <w:abstractNumId w:val="30"/>
  </w:num>
  <w:num w:numId="5">
    <w:abstractNumId w:val="3"/>
  </w:num>
  <w:num w:numId="6">
    <w:abstractNumId w:val="33"/>
  </w:num>
  <w:num w:numId="7">
    <w:abstractNumId w:val="0"/>
  </w:num>
  <w:num w:numId="8">
    <w:abstractNumId w:val="7"/>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0"/>
  </w:num>
  <w:num w:numId="1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num>
  <w:num w:numId="14">
    <w:abstractNumId w:val="39"/>
  </w:num>
  <w:num w:numId="15">
    <w:abstractNumId w:val="28"/>
  </w:num>
  <w:num w:numId="16">
    <w:abstractNumId w:val="13"/>
  </w:num>
  <w:num w:numId="17">
    <w:abstractNumId w:val="1"/>
  </w:num>
  <w:num w:numId="18">
    <w:abstractNumId w:val="18"/>
  </w:num>
  <w:num w:numId="19">
    <w:abstractNumId w:val="19"/>
  </w:num>
  <w:num w:numId="20">
    <w:abstractNumId w:val="21"/>
  </w:num>
  <w:num w:numId="21">
    <w:abstractNumId w:val="34"/>
  </w:num>
  <w:num w:numId="22">
    <w:abstractNumId w:val="42"/>
  </w:num>
  <w:num w:numId="23">
    <w:abstractNumId w:val="31"/>
  </w:num>
  <w:num w:numId="24">
    <w:abstractNumId w:val="12"/>
  </w:num>
  <w:num w:numId="25">
    <w:abstractNumId w:val="38"/>
  </w:num>
  <w:num w:numId="26">
    <w:abstractNumId w:val="37"/>
  </w:num>
  <w:num w:numId="27">
    <w:abstractNumId w:val="26"/>
  </w:num>
  <w:num w:numId="28">
    <w:abstractNumId w:val="41"/>
  </w:num>
  <w:num w:numId="29">
    <w:abstractNumId w:val="44"/>
  </w:num>
  <w:num w:numId="30">
    <w:abstractNumId w:val="10"/>
  </w:num>
  <w:num w:numId="31">
    <w:abstractNumId w:val="5"/>
  </w:num>
  <w:num w:numId="32">
    <w:abstractNumId w:val="27"/>
  </w:num>
  <w:num w:numId="33">
    <w:abstractNumId w:val="2"/>
  </w:num>
  <w:num w:numId="34">
    <w:abstractNumId w:val="5"/>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5"/>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4"/>
  </w:num>
  <w:num w:numId="37">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5"/>
  </w:num>
  <w:num w:numId="41">
    <w:abstractNumId w:val="6"/>
  </w:num>
  <w:num w:numId="42">
    <w:abstractNumId w:val="15"/>
  </w:num>
  <w:num w:numId="43">
    <w:abstractNumId w:val="9"/>
  </w:num>
  <w:num w:numId="44">
    <w:abstractNumId w:val="35"/>
  </w:num>
  <w:num w:numId="45">
    <w:abstractNumId w:val="25"/>
  </w:num>
  <w:num w:numId="46">
    <w:abstractNumId w:val="29"/>
  </w:num>
  <w:num w:numId="47">
    <w:abstractNumId w:val="32"/>
  </w:num>
  <w:num w:numId="48">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68IPXscLkNoz6f8cSWrvcDQ2IE8=" w:salt="vJSWgQEkbBNy9ANyilTFkg=="/>
  <w:defaultTabStop w:val="709"/>
  <w:autoHyphenation/>
  <w:hyphenationZone w:val="567"/>
  <w:characterSpacingControl w:val="doNotCompress"/>
  <w:hdrShapeDefaults>
    <o:shapedefaults v:ext="edit" spidmax="4097">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278"/>
    <w:rsid w:val="001244CD"/>
    <w:rsid w:val="0012566F"/>
    <w:rsid w:val="001260DB"/>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946"/>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97B"/>
    <w:rsid w:val="002005A6"/>
    <w:rsid w:val="00204CBC"/>
    <w:rsid w:val="002051F1"/>
    <w:rsid w:val="002067BA"/>
    <w:rsid w:val="0021058D"/>
    <w:rsid w:val="00211E2F"/>
    <w:rsid w:val="00211E9E"/>
    <w:rsid w:val="00214FB4"/>
    <w:rsid w:val="00215940"/>
    <w:rsid w:val="002164F6"/>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063"/>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0386"/>
    <w:rsid w:val="0033194F"/>
    <w:rsid w:val="00332406"/>
    <w:rsid w:val="00332D8D"/>
    <w:rsid w:val="00335027"/>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1A3"/>
    <w:rsid w:val="00372299"/>
    <w:rsid w:val="00372F02"/>
    <w:rsid w:val="00373729"/>
    <w:rsid w:val="00373C91"/>
    <w:rsid w:val="003748F0"/>
    <w:rsid w:val="00375AEF"/>
    <w:rsid w:val="00376367"/>
    <w:rsid w:val="00376B02"/>
    <w:rsid w:val="0037733A"/>
    <w:rsid w:val="003776DC"/>
    <w:rsid w:val="003779C1"/>
    <w:rsid w:val="00380FEC"/>
    <w:rsid w:val="00381226"/>
    <w:rsid w:val="00381FF6"/>
    <w:rsid w:val="00383D7D"/>
    <w:rsid w:val="00384CCE"/>
    <w:rsid w:val="003865E5"/>
    <w:rsid w:val="00390F5E"/>
    <w:rsid w:val="003926C1"/>
    <w:rsid w:val="00392900"/>
    <w:rsid w:val="00393357"/>
    <w:rsid w:val="00395E7B"/>
    <w:rsid w:val="00395F4C"/>
    <w:rsid w:val="003A6591"/>
    <w:rsid w:val="003A6E9A"/>
    <w:rsid w:val="003B08C8"/>
    <w:rsid w:val="003B2567"/>
    <w:rsid w:val="003B381A"/>
    <w:rsid w:val="003B4976"/>
    <w:rsid w:val="003B4B3F"/>
    <w:rsid w:val="003B4C4A"/>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916"/>
    <w:rsid w:val="00473E74"/>
    <w:rsid w:val="00473FEF"/>
    <w:rsid w:val="00475B8E"/>
    <w:rsid w:val="004807E1"/>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364"/>
    <w:rsid w:val="004D374D"/>
    <w:rsid w:val="004D42C8"/>
    <w:rsid w:val="004D4F57"/>
    <w:rsid w:val="004D50F6"/>
    <w:rsid w:val="004D5A0D"/>
    <w:rsid w:val="004D7910"/>
    <w:rsid w:val="004D7DEA"/>
    <w:rsid w:val="004E0A28"/>
    <w:rsid w:val="004E1A0F"/>
    <w:rsid w:val="004E2E89"/>
    <w:rsid w:val="004E33C2"/>
    <w:rsid w:val="004E3B9A"/>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A2ED1"/>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5F04"/>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3DCC"/>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3BCC"/>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4106"/>
    <w:rsid w:val="007F5066"/>
    <w:rsid w:val="007F621C"/>
    <w:rsid w:val="007F7155"/>
    <w:rsid w:val="00800C28"/>
    <w:rsid w:val="0080245E"/>
    <w:rsid w:val="00803480"/>
    <w:rsid w:val="0080359C"/>
    <w:rsid w:val="008037AE"/>
    <w:rsid w:val="008043F4"/>
    <w:rsid w:val="00804BB4"/>
    <w:rsid w:val="00805D9F"/>
    <w:rsid w:val="00805DF1"/>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EDE"/>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4BF1"/>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536"/>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4667"/>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874B2"/>
    <w:rsid w:val="00B91B86"/>
    <w:rsid w:val="00B927CA"/>
    <w:rsid w:val="00B928AE"/>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3046"/>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0D38"/>
    <w:rsid w:val="00C413FC"/>
    <w:rsid w:val="00C43D33"/>
    <w:rsid w:val="00C44407"/>
    <w:rsid w:val="00C456E8"/>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6F7"/>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49D"/>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2AF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2504"/>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BCC"/>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14C"/>
    <w:rsid w:val="00F13200"/>
    <w:rsid w:val="00F13411"/>
    <w:rsid w:val="00F143BA"/>
    <w:rsid w:val="00F14D98"/>
    <w:rsid w:val="00F16C25"/>
    <w:rsid w:val="00F2081B"/>
    <w:rsid w:val="00F20A43"/>
    <w:rsid w:val="00F20C51"/>
    <w:rsid w:val="00F21049"/>
    <w:rsid w:val="00F218AE"/>
    <w:rsid w:val="00F22232"/>
    <w:rsid w:val="00F2228E"/>
    <w:rsid w:val="00F22D3C"/>
    <w:rsid w:val="00F23D66"/>
    <w:rsid w:val="00F24E6F"/>
    <w:rsid w:val="00F24FF5"/>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6B11"/>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Ttulo1">
    <w:name w:val="heading 1"/>
    <w:basedOn w:val="Normal"/>
    <w:next w:val="Normal"/>
    <w:link w:val="Ttulo1Car"/>
    <w:qFormat/>
    <w:rsid w:val="009E7724"/>
    <w:pPr>
      <w:keepNext/>
      <w:numPr>
        <w:numId w:val="6"/>
      </w:numPr>
      <w:spacing w:before="240" w:after="60"/>
      <w:outlineLvl w:val="0"/>
    </w:pPr>
    <w:rPr>
      <w:rFonts w:cs="Arial"/>
      <w:b/>
      <w:bCs/>
      <w:kern w:val="32"/>
      <w:sz w:val="24"/>
      <w:szCs w:val="32"/>
    </w:rPr>
  </w:style>
  <w:style w:type="paragraph" w:styleId="Ttulo2">
    <w:name w:val="heading 2"/>
    <w:basedOn w:val="Normal"/>
    <w:next w:val="Normal"/>
    <w:link w:val="Ttulo2Car"/>
    <w:qFormat/>
    <w:rsid w:val="00886A60"/>
    <w:pPr>
      <w:keepNext/>
      <w:keepLines/>
      <w:spacing w:before="200" w:after="120"/>
      <w:outlineLvl w:val="1"/>
    </w:pPr>
    <w:rPr>
      <w:b/>
      <w:bCs/>
      <w:szCs w:val="26"/>
    </w:rPr>
  </w:style>
  <w:style w:type="paragraph" w:styleId="Ttulo3">
    <w:name w:val="heading 3"/>
    <w:basedOn w:val="Normal"/>
    <w:next w:val="Normal"/>
    <w:link w:val="Ttulo3Car"/>
    <w:qFormat/>
    <w:rsid w:val="003865E5"/>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Ttulo5">
    <w:name w:val="heading 5"/>
    <w:aliases w:val="Questions"/>
    <w:basedOn w:val="Normal"/>
    <w:next w:val="Normal"/>
    <w:link w:val="Ttulo5Car"/>
    <w:qFormat/>
    <w:rsid w:val="00E9344E"/>
    <w:pPr>
      <w:keepNext/>
      <w:keepLines/>
      <w:numPr>
        <w:numId w:val="14"/>
      </w:numPr>
      <w:spacing w:before="200"/>
      <w:jc w:val="both"/>
      <w:outlineLvl w:val="4"/>
    </w:pPr>
    <w:rPr>
      <w:b/>
    </w:rPr>
  </w:style>
  <w:style w:type="paragraph" w:styleId="Ttulo6">
    <w:name w:val="heading 6"/>
    <w:basedOn w:val="Normal"/>
    <w:next w:val="Normal"/>
    <w:link w:val="Ttulo6Car"/>
    <w:qFormat/>
    <w:rsid w:val="003609B6"/>
    <w:pPr>
      <w:numPr>
        <w:ilvl w:val="5"/>
        <w:numId w:val="4"/>
      </w:numPr>
      <w:spacing w:before="240" w:after="60"/>
      <w:outlineLvl w:val="5"/>
    </w:pPr>
    <w:rPr>
      <w:rFonts w:ascii="Times New Roman" w:hAnsi="Times New Roman"/>
      <w:b/>
      <w:bCs/>
      <w:szCs w:val="22"/>
    </w:rPr>
  </w:style>
  <w:style w:type="paragraph" w:styleId="Ttulo7">
    <w:name w:val="heading 7"/>
    <w:basedOn w:val="Normal"/>
    <w:next w:val="Normal"/>
    <w:link w:val="Ttulo7Car"/>
    <w:unhideWhenUsed/>
    <w:qFormat/>
    <w:rsid w:val="002D6E1A"/>
    <w:pPr>
      <w:spacing w:before="240" w:after="60"/>
      <w:ind w:left="1296" w:hanging="1296"/>
      <w:outlineLvl w:val="6"/>
    </w:pPr>
    <w:rPr>
      <w:rFonts w:ascii="Times New Roman" w:hAnsi="Times New Roman"/>
    </w:rPr>
  </w:style>
  <w:style w:type="paragraph" w:styleId="Ttulo8">
    <w:name w:val="heading 8"/>
    <w:basedOn w:val="Normal"/>
    <w:next w:val="Normal"/>
    <w:link w:val="Ttulo8Car"/>
    <w:qFormat/>
    <w:rsid w:val="003609B6"/>
    <w:pPr>
      <w:numPr>
        <w:ilvl w:val="7"/>
        <w:numId w:val="4"/>
      </w:numPr>
      <w:spacing w:before="240" w:after="60"/>
      <w:outlineLvl w:val="7"/>
    </w:pPr>
    <w:rPr>
      <w:rFonts w:ascii="Times New Roman" w:hAnsi="Times New Roman"/>
      <w:i/>
      <w:iCs/>
    </w:rPr>
  </w:style>
  <w:style w:type="paragraph" w:styleId="Ttulo9">
    <w:name w:val="heading 9"/>
    <w:basedOn w:val="Normal"/>
    <w:next w:val="Normal"/>
    <w:link w:val="Ttulo9Car"/>
    <w:qFormat/>
    <w:rsid w:val="00A06867"/>
    <w:pPr>
      <w:tabs>
        <w:tab w:val="num" w:pos="1584"/>
      </w:tabs>
      <w:spacing w:before="240" w:after="60"/>
      <w:ind w:left="1584" w:hanging="1584"/>
      <w:outlineLvl w:val="8"/>
    </w:pPr>
    <w:rPr>
      <w:rFonts w:cs="Arial"/>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5B64CB"/>
    <w:pPr>
      <w:tabs>
        <w:tab w:val="center" w:pos="4536"/>
        <w:tab w:val="right" w:pos="9072"/>
      </w:tabs>
    </w:pPr>
  </w:style>
  <w:style w:type="paragraph" w:styleId="Piedepgina">
    <w:name w:val="footer"/>
    <w:basedOn w:val="Normal"/>
    <w:link w:val="PiedepginaCar"/>
    <w:rsid w:val="005B64CB"/>
    <w:pPr>
      <w:tabs>
        <w:tab w:val="center" w:pos="4536"/>
        <w:tab w:val="right" w:pos="9072"/>
      </w:tabs>
    </w:pPr>
  </w:style>
  <w:style w:type="table" w:styleId="Tablaconcuadrcula">
    <w:name w:val="Table Grid"/>
    <w:basedOn w:val="Tabla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Nmerodepgina">
    <w:name w:val="page number"/>
    <w:basedOn w:val="Fuentedeprrafopredeter"/>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D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ipervnculo">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xtonotapie">
    <w:name w:val="footnote text"/>
    <w:aliases w:val="Char3, Char3,Fußnotentextf,Fußnotentextr,stile 1,Footnote1,Footnote2,Footnote3,Footnote4,Footnote5,Footnote6,Footnote7,Footnote8,Footnote9,Footnote10,Footnote11,Footnote21,Footnote31,Footnote41,Footnote51,Footnote61,Footnote71"/>
    <w:basedOn w:val="Normal"/>
    <w:link w:val="TextonotapieCar"/>
    <w:uiPriority w:val="99"/>
    <w:rsid w:val="001725A5"/>
    <w:pPr>
      <w:spacing w:line="200" w:lineRule="exact"/>
    </w:pPr>
    <w:rPr>
      <w:sz w:val="16"/>
      <w:szCs w:val="20"/>
    </w:rPr>
  </w:style>
  <w:style w:type="character" w:styleId="Refdenotaalpi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D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Refdecomentario">
    <w:name w:val="annotation reference"/>
    <w:rsid w:val="004B1E61"/>
    <w:rPr>
      <w:sz w:val="16"/>
      <w:szCs w:val="16"/>
    </w:rPr>
  </w:style>
  <w:style w:type="paragraph" w:styleId="Textocomentario">
    <w:name w:val="annotation text"/>
    <w:basedOn w:val="Normal"/>
    <w:link w:val="TextocomentarioCar"/>
    <w:rsid w:val="004B1E61"/>
    <w:rPr>
      <w:sz w:val="20"/>
      <w:szCs w:val="20"/>
    </w:rPr>
  </w:style>
  <w:style w:type="character" w:customStyle="1" w:styleId="TextocomentarioCar">
    <w:name w:val="Texto comentario Car"/>
    <w:link w:val="Textocomentario"/>
    <w:uiPriority w:val="99"/>
    <w:rsid w:val="004B1E61"/>
    <w:rPr>
      <w:rFonts w:ascii="Georgia" w:hAnsi="Georgia"/>
      <w:lang w:eastAsia="de-DE"/>
    </w:rPr>
  </w:style>
  <w:style w:type="paragraph" w:styleId="Asuntodelcomentario">
    <w:name w:val="annotation subject"/>
    <w:basedOn w:val="Textocomentario"/>
    <w:next w:val="Textocomentario"/>
    <w:link w:val="AsuntodelcomentarioCar"/>
    <w:rsid w:val="004B1E61"/>
    <w:rPr>
      <w:b/>
      <w:bCs/>
    </w:rPr>
  </w:style>
  <w:style w:type="character" w:customStyle="1" w:styleId="AsuntodelcomentarioCar">
    <w:name w:val="Asunto del comentario Car"/>
    <w:link w:val="Asuntodelcomentario"/>
    <w:rsid w:val="004B1E61"/>
    <w:rPr>
      <w:rFonts w:ascii="Georgia" w:hAnsi="Georgia"/>
      <w:b/>
      <w:bCs/>
      <w:lang w:eastAsia="de-DE"/>
    </w:rPr>
  </w:style>
  <w:style w:type="paragraph" w:styleId="Textodeglobo">
    <w:name w:val="Balloon Text"/>
    <w:basedOn w:val="Normal"/>
    <w:link w:val="TextodegloboCar"/>
    <w:rsid w:val="004B1E61"/>
    <w:rPr>
      <w:rFonts w:ascii="Tahoma" w:hAnsi="Tahoma" w:cs="Tahoma"/>
      <w:sz w:val="16"/>
      <w:szCs w:val="16"/>
    </w:rPr>
  </w:style>
  <w:style w:type="character" w:customStyle="1" w:styleId="TextodegloboCar">
    <w:name w:val="Texto de globo Car"/>
    <w:link w:val="Textodeglobo"/>
    <w:rsid w:val="004B1E61"/>
    <w:rPr>
      <w:rFonts w:ascii="Tahoma" w:hAnsi="Tahoma" w:cs="Tahoma"/>
      <w:sz w:val="16"/>
      <w:szCs w:val="16"/>
      <w:lang w:eastAsia="de-DE"/>
    </w:rPr>
  </w:style>
  <w:style w:type="paragraph" w:styleId="Prrafodelista">
    <w:name w:val="List Paragraph"/>
    <w:aliases w:val="Paragraphe EI,Paragraphe de liste1,EC"/>
    <w:basedOn w:val="Normal"/>
    <w:link w:val="PrrafodelistaCar"/>
    <w:uiPriority w:val="34"/>
    <w:qFormat/>
    <w:rsid w:val="002A0C82"/>
    <w:pPr>
      <w:ind w:left="720"/>
      <w:contextualSpacing/>
    </w:pPr>
  </w:style>
  <w:style w:type="paragraph" w:styleId="TtulodeTDC">
    <w:name w:val="TOC Heading"/>
    <w:basedOn w:val="Ttulo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xtonotapieCar">
    <w:name w:val="Texto nota pie Car"/>
    <w:aliases w:val="Char3 Car, Char3 Car,Fußnotentextf Car,Fußnotentextr Car,stile 1 Car,Footnote1 Car,Footnote2 Car,Footnote3 Car,Footnote4 Car,Footnote5 Car,Footnote6 Car,Footnote7 Car,Footnote8 Car,Footnote9 Car,Footnote10 Car,Footnote11 Car"/>
    <w:link w:val="Textonotapie"/>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Fuentedeprrafopredeter"/>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Ttulo1Car">
    <w:name w:val="Título 1 Car"/>
    <w:link w:val="Ttulo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nfasis">
    <w:name w:val="Emphasis"/>
    <w:uiPriority w:val="20"/>
    <w:qFormat/>
    <w:rsid w:val="005F028E"/>
    <w:rPr>
      <w:i/>
      <w:iCs/>
    </w:rPr>
  </w:style>
  <w:style w:type="paragraph" w:styleId="Revisin">
    <w:name w:val="Revision"/>
    <w:link w:val="RevisinCar"/>
    <w:hidden/>
    <w:uiPriority w:val="99"/>
    <w:semiHidden/>
    <w:rsid w:val="008E6A37"/>
    <w:rPr>
      <w:rFonts w:ascii="Georgia" w:hAnsi="Georgia"/>
      <w:sz w:val="22"/>
      <w:szCs w:val="24"/>
      <w:lang w:eastAsia="de-DE"/>
    </w:rPr>
  </w:style>
  <w:style w:type="paragraph" w:styleId="TD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D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D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D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D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D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D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Epgrafe">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Mapadeldocumento">
    <w:name w:val="Document Map"/>
    <w:basedOn w:val="Normal"/>
    <w:link w:val="MapadeldocumentoCar"/>
    <w:rsid w:val="00AA016B"/>
    <w:rPr>
      <w:rFonts w:ascii="Tahoma" w:hAnsi="Tahoma" w:cs="Tahoma"/>
      <w:sz w:val="16"/>
      <w:szCs w:val="16"/>
    </w:rPr>
  </w:style>
  <w:style w:type="character" w:customStyle="1" w:styleId="MapadeldocumentoCar">
    <w:name w:val="Mapa del documento Car"/>
    <w:link w:val="Mapadeldocumento"/>
    <w:rsid w:val="00AA016B"/>
    <w:rPr>
      <w:rFonts w:ascii="Tahoma" w:hAnsi="Tahoma" w:cs="Tahoma"/>
      <w:sz w:val="16"/>
      <w:szCs w:val="16"/>
      <w:lang w:eastAsia="de-DE"/>
    </w:rPr>
  </w:style>
  <w:style w:type="paragraph" w:styleId="Textosinformato">
    <w:name w:val="Plain Text"/>
    <w:basedOn w:val="Normal"/>
    <w:link w:val="TextosinformatoCar"/>
    <w:unhideWhenUsed/>
    <w:rsid w:val="00AA016B"/>
    <w:rPr>
      <w:rFonts w:ascii="Consolas" w:hAnsi="Consolas"/>
      <w:sz w:val="21"/>
      <w:szCs w:val="21"/>
      <w:lang w:val="de-DE"/>
    </w:rPr>
  </w:style>
  <w:style w:type="character" w:customStyle="1" w:styleId="TextosinformatoCar">
    <w:name w:val="Texto sin formato Car"/>
    <w:link w:val="Textosinformato"/>
    <w:rsid w:val="00AA016B"/>
    <w:rPr>
      <w:rFonts w:ascii="Consolas" w:hAnsi="Consolas"/>
      <w:sz w:val="21"/>
      <w:szCs w:val="21"/>
      <w:lang w:val="de-DE" w:eastAsia="de-DE"/>
    </w:rPr>
  </w:style>
  <w:style w:type="paragraph" w:styleId="Textoindependiente">
    <w:name w:val="Body Text"/>
    <w:basedOn w:val="Normal"/>
    <w:link w:val="TextoindependienteCar"/>
    <w:unhideWhenUsed/>
    <w:rsid w:val="00AA016B"/>
    <w:pPr>
      <w:numPr>
        <w:numId w:val="9"/>
      </w:numPr>
      <w:spacing w:after="240"/>
      <w:jc w:val="both"/>
    </w:pPr>
    <w:rPr>
      <w:rFonts w:ascii="Times New Roman" w:hAnsi="Times New Roman"/>
      <w:sz w:val="24"/>
      <w:szCs w:val="20"/>
      <w:lang w:eastAsia="en-GB"/>
    </w:rPr>
  </w:style>
  <w:style w:type="character" w:customStyle="1" w:styleId="TextoindependienteCar">
    <w:name w:val="Texto independiente Car"/>
    <w:link w:val="Textoindependiente"/>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Textoennegrita">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Ttulo2Car">
    <w:name w:val="Título 2 Car"/>
    <w:link w:val="Ttulo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Ttulo9Car">
    <w:name w:val="Título 9 Car"/>
    <w:link w:val="Ttulo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Ttulo7Car">
    <w:name w:val="Título 7 Car"/>
    <w:link w:val="Ttulo7"/>
    <w:rsid w:val="002D6E1A"/>
    <w:rPr>
      <w:sz w:val="22"/>
      <w:szCs w:val="24"/>
      <w:lang w:eastAsia="de-DE"/>
    </w:rPr>
  </w:style>
  <w:style w:type="character" w:customStyle="1" w:styleId="Ttulo6Car">
    <w:name w:val="Título 6 Car"/>
    <w:link w:val="Ttulo6"/>
    <w:rsid w:val="002D6E1A"/>
    <w:rPr>
      <w:b/>
      <w:bCs/>
      <w:szCs w:val="22"/>
      <w:lang w:eastAsia="de-DE"/>
    </w:rPr>
  </w:style>
  <w:style w:type="character" w:customStyle="1" w:styleId="Ttulo8Car">
    <w:name w:val="Título 8 Car"/>
    <w:link w:val="Ttulo8"/>
    <w:rsid w:val="002D6E1A"/>
    <w:rPr>
      <w:i/>
      <w:iCs/>
      <w:szCs w:val="24"/>
      <w:lang w:eastAsia="de-DE"/>
    </w:rPr>
  </w:style>
  <w:style w:type="numbering" w:customStyle="1" w:styleId="NoList1">
    <w:name w:val="No List1"/>
    <w:next w:val="Sinlista"/>
    <w:uiPriority w:val="99"/>
    <w:semiHidden/>
    <w:unhideWhenUsed/>
    <w:rsid w:val="002D6E1A"/>
  </w:style>
  <w:style w:type="character" w:styleId="Hipervnculovisitado">
    <w:name w:val="FollowedHyperlink"/>
    <w:unhideWhenUsed/>
    <w:rsid w:val="002D6E1A"/>
    <w:rPr>
      <w:color w:val="800080"/>
      <w:u w:val="single"/>
    </w:rPr>
  </w:style>
  <w:style w:type="character" w:customStyle="1" w:styleId="EncabezadoCar">
    <w:name w:val="Encabezado Car"/>
    <w:link w:val="Encabezado"/>
    <w:rsid w:val="002D6E1A"/>
    <w:rPr>
      <w:rFonts w:ascii="Georgia" w:hAnsi="Georgia"/>
      <w:sz w:val="22"/>
      <w:szCs w:val="24"/>
      <w:lang w:eastAsia="de-DE"/>
    </w:rPr>
  </w:style>
  <w:style w:type="character" w:customStyle="1" w:styleId="PiedepginaCar">
    <w:name w:val="Pie de página Car"/>
    <w:link w:val="Piedepgina"/>
    <w:rsid w:val="002D6E1A"/>
    <w:rPr>
      <w:rFonts w:ascii="Georgia" w:hAnsi="Georgia"/>
      <w:sz w:val="22"/>
      <w:szCs w:val="24"/>
      <w:lang w:eastAsia="de-DE"/>
    </w:rPr>
  </w:style>
  <w:style w:type="paragraph" w:styleId="Textonotaalfinal">
    <w:name w:val="endnote text"/>
    <w:basedOn w:val="Normal"/>
    <w:link w:val="TextonotaalfinalCar"/>
    <w:unhideWhenUsed/>
    <w:rsid w:val="002D6E1A"/>
    <w:rPr>
      <w:sz w:val="20"/>
      <w:szCs w:val="20"/>
    </w:rPr>
  </w:style>
  <w:style w:type="character" w:customStyle="1" w:styleId="TextonotaalfinalCar">
    <w:name w:val="Texto nota al final Car"/>
    <w:link w:val="Textonotaalfinal"/>
    <w:rsid w:val="002D6E1A"/>
    <w:rPr>
      <w:rFonts w:ascii="Georgia" w:hAnsi="Georgia"/>
      <w:lang w:eastAsia="de-DE"/>
    </w:rPr>
  </w:style>
  <w:style w:type="paragraph" w:styleId="Listaconnmeros">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PrrafodelistaCar">
    <w:name w:val="Párrafo de lista Car"/>
    <w:aliases w:val="Paragraphe EI Car,Paragraphe de liste1 Car,EC Car"/>
    <w:link w:val="Prrafodelista"/>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Prrafodelista"/>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Refdenotaalfinal">
    <w:name w:val="endnote reference"/>
    <w:unhideWhenUsed/>
    <w:rsid w:val="002D6E1A"/>
    <w:rPr>
      <w:vertAlign w:val="superscript"/>
    </w:rPr>
  </w:style>
  <w:style w:type="character" w:styleId="Textodelmarcadordeposicin">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a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inlista"/>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Nmerodelnea">
    <w:name w:val="line number"/>
    <w:basedOn w:val="Fuentedeprrafopredeter"/>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Epgrafe"/>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Ttulo5Car">
    <w:name w:val="Título 5 Car"/>
    <w:aliases w:val="Questions Car"/>
    <w:link w:val="Ttulo5"/>
    <w:rsid w:val="00E9344E"/>
    <w:rPr>
      <w:rFonts w:ascii="Arial" w:hAnsi="Arial"/>
      <w:b/>
      <w:sz w:val="22"/>
      <w:szCs w:val="24"/>
      <w:lang w:eastAsia="de-DE"/>
    </w:rPr>
  </w:style>
  <w:style w:type="character" w:customStyle="1" w:styleId="Ttulo3Car">
    <w:name w:val="Título 3 Car"/>
    <w:link w:val="Ttulo3"/>
    <w:rsid w:val="003865E5"/>
    <w:rPr>
      <w:rFonts w:ascii="Cambria" w:eastAsia="Times New Roman" w:hAnsi="Cambria" w:cs="Times New Roman"/>
      <w:b/>
      <w:bCs/>
      <w:color w:val="4F81BD"/>
      <w:sz w:val="22"/>
      <w:szCs w:val="24"/>
      <w:lang w:eastAsia="de-DE"/>
    </w:rPr>
  </w:style>
  <w:style w:type="character" w:customStyle="1" w:styleId="Ttulo4Car">
    <w:name w:val="Título 4 Car"/>
    <w:link w:val="Ttulo4"/>
    <w:rsid w:val="00CB7286"/>
    <w:rPr>
      <w:b/>
      <w:bCs/>
      <w:sz w:val="28"/>
      <w:szCs w:val="28"/>
      <w:lang w:eastAsia="de-DE"/>
    </w:rPr>
  </w:style>
  <w:style w:type="table" w:styleId="Listaclara-nfasis3">
    <w:name w:val="Light List Accent 3"/>
    <w:basedOn w:val="Tabla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a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Ttulo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Ttulo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Ttulo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aconnmeros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aconnmeros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aconnmeros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aconvietas">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aconvietas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aconvietas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aconvietas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adeilustracion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Ttulo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tulo">
    <w:name w:val="Title"/>
    <w:basedOn w:val="Normal"/>
    <w:next w:val="Normal"/>
    <w:link w:val="TtuloC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tuloCar">
    <w:name w:val="Título Car"/>
    <w:link w:val="Ttulo"/>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nCar">
    <w:name w:val="Revisión Car"/>
    <w:link w:val="Revisin"/>
    <w:uiPriority w:val="99"/>
    <w:semiHidden/>
    <w:locked/>
    <w:rsid w:val="000D2D0B"/>
    <w:rPr>
      <w:rFonts w:ascii="Georgia" w:hAnsi="Georgia"/>
      <w:sz w:val="22"/>
      <w:szCs w:val="24"/>
      <w:lang w:eastAsia="de-DE"/>
    </w:rPr>
  </w:style>
  <w:style w:type="table" w:customStyle="1" w:styleId="TableGrid2">
    <w:name w:val="Table Grid2"/>
    <w:basedOn w:val="Tablanormal"/>
    <w:next w:val="Tablaconcuadrcula"/>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sutil">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Ttulo1">
    <w:name w:val="heading 1"/>
    <w:basedOn w:val="Normal"/>
    <w:next w:val="Normal"/>
    <w:link w:val="Ttulo1Car"/>
    <w:qFormat/>
    <w:rsid w:val="009E7724"/>
    <w:pPr>
      <w:keepNext/>
      <w:numPr>
        <w:numId w:val="6"/>
      </w:numPr>
      <w:spacing w:before="240" w:after="60"/>
      <w:outlineLvl w:val="0"/>
    </w:pPr>
    <w:rPr>
      <w:rFonts w:cs="Arial"/>
      <w:b/>
      <w:bCs/>
      <w:kern w:val="32"/>
      <w:sz w:val="24"/>
      <w:szCs w:val="32"/>
    </w:rPr>
  </w:style>
  <w:style w:type="paragraph" w:styleId="Ttulo2">
    <w:name w:val="heading 2"/>
    <w:basedOn w:val="Normal"/>
    <w:next w:val="Normal"/>
    <w:link w:val="Ttulo2Car"/>
    <w:qFormat/>
    <w:rsid w:val="00886A60"/>
    <w:pPr>
      <w:keepNext/>
      <w:keepLines/>
      <w:spacing w:before="200" w:after="120"/>
      <w:outlineLvl w:val="1"/>
    </w:pPr>
    <w:rPr>
      <w:b/>
      <w:bCs/>
      <w:szCs w:val="26"/>
    </w:rPr>
  </w:style>
  <w:style w:type="paragraph" w:styleId="Ttulo3">
    <w:name w:val="heading 3"/>
    <w:basedOn w:val="Normal"/>
    <w:next w:val="Normal"/>
    <w:link w:val="Ttulo3Car"/>
    <w:qFormat/>
    <w:rsid w:val="003865E5"/>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Ttulo5">
    <w:name w:val="heading 5"/>
    <w:aliases w:val="Questions"/>
    <w:basedOn w:val="Normal"/>
    <w:next w:val="Normal"/>
    <w:link w:val="Ttulo5Car"/>
    <w:qFormat/>
    <w:rsid w:val="00E9344E"/>
    <w:pPr>
      <w:keepNext/>
      <w:keepLines/>
      <w:numPr>
        <w:numId w:val="14"/>
      </w:numPr>
      <w:spacing w:before="200"/>
      <w:jc w:val="both"/>
      <w:outlineLvl w:val="4"/>
    </w:pPr>
    <w:rPr>
      <w:b/>
    </w:rPr>
  </w:style>
  <w:style w:type="paragraph" w:styleId="Ttulo6">
    <w:name w:val="heading 6"/>
    <w:basedOn w:val="Normal"/>
    <w:next w:val="Normal"/>
    <w:link w:val="Ttulo6Car"/>
    <w:qFormat/>
    <w:rsid w:val="003609B6"/>
    <w:pPr>
      <w:numPr>
        <w:ilvl w:val="5"/>
        <w:numId w:val="4"/>
      </w:numPr>
      <w:spacing w:before="240" w:after="60"/>
      <w:outlineLvl w:val="5"/>
    </w:pPr>
    <w:rPr>
      <w:rFonts w:ascii="Times New Roman" w:hAnsi="Times New Roman"/>
      <w:b/>
      <w:bCs/>
      <w:szCs w:val="22"/>
    </w:rPr>
  </w:style>
  <w:style w:type="paragraph" w:styleId="Ttulo7">
    <w:name w:val="heading 7"/>
    <w:basedOn w:val="Normal"/>
    <w:next w:val="Normal"/>
    <w:link w:val="Ttulo7Car"/>
    <w:unhideWhenUsed/>
    <w:qFormat/>
    <w:rsid w:val="002D6E1A"/>
    <w:pPr>
      <w:spacing w:before="240" w:after="60"/>
      <w:ind w:left="1296" w:hanging="1296"/>
      <w:outlineLvl w:val="6"/>
    </w:pPr>
    <w:rPr>
      <w:rFonts w:ascii="Times New Roman" w:hAnsi="Times New Roman"/>
    </w:rPr>
  </w:style>
  <w:style w:type="paragraph" w:styleId="Ttulo8">
    <w:name w:val="heading 8"/>
    <w:basedOn w:val="Normal"/>
    <w:next w:val="Normal"/>
    <w:link w:val="Ttulo8Car"/>
    <w:qFormat/>
    <w:rsid w:val="003609B6"/>
    <w:pPr>
      <w:numPr>
        <w:ilvl w:val="7"/>
        <w:numId w:val="4"/>
      </w:numPr>
      <w:spacing w:before="240" w:after="60"/>
      <w:outlineLvl w:val="7"/>
    </w:pPr>
    <w:rPr>
      <w:rFonts w:ascii="Times New Roman" w:hAnsi="Times New Roman"/>
      <w:i/>
      <w:iCs/>
    </w:rPr>
  </w:style>
  <w:style w:type="paragraph" w:styleId="Ttulo9">
    <w:name w:val="heading 9"/>
    <w:basedOn w:val="Normal"/>
    <w:next w:val="Normal"/>
    <w:link w:val="Ttulo9Car"/>
    <w:qFormat/>
    <w:rsid w:val="00A06867"/>
    <w:pPr>
      <w:tabs>
        <w:tab w:val="num" w:pos="1584"/>
      </w:tabs>
      <w:spacing w:before="240" w:after="60"/>
      <w:ind w:left="1584" w:hanging="1584"/>
      <w:outlineLvl w:val="8"/>
    </w:pPr>
    <w:rPr>
      <w:rFonts w:cs="Arial"/>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5B64CB"/>
    <w:pPr>
      <w:tabs>
        <w:tab w:val="center" w:pos="4536"/>
        <w:tab w:val="right" w:pos="9072"/>
      </w:tabs>
    </w:pPr>
  </w:style>
  <w:style w:type="paragraph" w:styleId="Piedepgina">
    <w:name w:val="footer"/>
    <w:basedOn w:val="Normal"/>
    <w:link w:val="PiedepginaCar"/>
    <w:rsid w:val="005B64CB"/>
    <w:pPr>
      <w:tabs>
        <w:tab w:val="center" w:pos="4536"/>
        <w:tab w:val="right" w:pos="9072"/>
      </w:tabs>
    </w:pPr>
  </w:style>
  <w:style w:type="table" w:styleId="Tablaconcuadrcula">
    <w:name w:val="Table Grid"/>
    <w:basedOn w:val="Tabla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Nmerodepgina">
    <w:name w:val="page number"/>
    <w:basedOn w:val="Fuentedeprrafopredeter"/>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D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ipervnculo">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xtonotapie">
    <w:name w:val="footnote text"/>
    <w:aliases w:val="Char3, Char3,Fußnotentextf,Fußnotentextr,stile 1,Footnote1,Footnote2,Footnote3,Footnote4,Footnote5,Footnote6,Footnote7,Footnote8,Footnote9,Footnote10,Footnote11,Footnote21,Footnote31,Footnote41,Footnote51,Footnote61,Footnote71"/>
    <w:basedOn w:val="Normal"/>
    <w:link w:val="TextonotapieCar"/>
    <w:uiPriority w:val="99"/>
    <w:rsid w:val="001725A5"/>
    <w:pPr>
      <w:spacing w:line="200" w:lineRule="exact"/>
    </w:pPr>
    <w:rPr>
      <w:sz w:val="16"/>
      <w:szCs w:val="20"/>
    </w:rPr>
  </w:style>
  <w:style w:type="character" w:styleId="Refdenotaalpi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D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Refdecomentario">
    <w:name w:val="annotation reference"/>
    <w:rsid w:val="004B1E61"/>
    <w:rPr>
      <w:sz w:val="16"/>
      <w:szCs w:val="16"/>
    </w:rPr>
  </w:style>
  <w:style w:type="paragraph" w:styleId="Textocomentario">
    <w:name w:val="annotation text"/>
    <w:basedOn w:val="Normal"/>
    <w:link w:val="TextocomentarioCar"/>
    <w:rsid w:val="004B1E61"/>
    <w:rPr>
      <w:sz w:val="20"/>
      <w:szCs w:val="20"/>
    </w:rPr>
  </w:style>
  <w:style w:type="character" w:customStyle="1" w:styleId="TextocomentarioCar">
    <w:name w:val="Texto comentario Car"/>
    <w:link w:val="Textocomentario"/>
    <w:uiPriority w:val="99"/>
    <w:rsid w:val="004B1E61"/>
    <w:rPr>
      <w:rFonts w:ascii="Georgia" w:hAnsi="Georgia"/>
      <w:lang w:eastAsia="de-DE"/>
    </w:rPr>
  </w:style>
  <w:style w:type="paragraph" w:styleId="Asuntodelcomentario">
    <w:name w:val="annotation subject"/>
    <w:basedOn w:val="Textocomentario"/>
    <w:next w:val="Textocomentario"/>
    <w:link w:val="AsuntodelcomentarioCar"/>
    <w:rsid w:val="004B1E61"/>
    <w:rPr>
      <w:b/>
      <w:bCs/>
    </w:rPr>
  </w:style>
  <w:style w:type="character" w:customStyle="1" w:styleId="AsuntodelcomentarioCar">
    <w:name w:val="Asunto del comentario Car"/>
    <w:link w:val="Asuntodelcomentario"/>
    <w:rsid w:val="004B1E61"/>
    <w:rPr>
      <w:rFonts w:ascii="Georgia" w:hAnsi="Georgia"/>
      <w:b/>
      <w:bCs/>
      <w:lang w:eastAsia="de-DE"/>
    </w:rPr>
  </w:style>
  <w:style w:type="paragraph" w:styleId="Textodeglobo">
    <w:name w:val="Balloon Text"/>
    <w:basedOn w:val="Normal"/>
    <w:link w:val="TextodegloboCar"/>
    <w:rsid w:val="004B1E61"/>
    <w:rPr>
      <w:rFonts w:ascii="Tahoma" w:hAnsi="Tahoma" w:cs="Tahoma"/>
      <w:sz w:val="16"/>
      <w:szCs w:val="16"/>
    </w:rPr>
  </w:style>
  <w:style w:type="character" w:customStyle="1" w:styleId="TextodegloboCar">
    <w:name w:val="Texto de globo Car"/>
    <w:link w:val="Textodeglobo"/>
    <w:rsid w:val="004B1E61"/>
    <w:rPr>
      <w:rFonts w:ascii="Tahoma" w:hAnsi="Tahoma" w:cs="Tahoma"/>
      <w:sz w:val="16"/>
      <w:szCs w:val="16"/>
      <w:lang w:eastAsia="de-DE"/>
    </w:rPr>
  </w:style>
  <w:style w:type="paragraph" w:styleId="Prrafodelista">
    <w:name w:val="List Paragraph"/>
    <w:aliases w:val="Paragraphe EI,Paragraphe de liste1,EC"/>
    <w:basedOn w:val="Normal"/>
    <w:link w:val="PrrafodelistaCar"/>
    <w:uiPriority w:val="34"/>
    <w:qFormat/>
    <w:rsid w:val="002A0C82"/>
    <w:pPr>
      <w:ind w:left="720"/>
      <w:contextualSpacing/>
    </w:pPr>
  </w:style>
  <w:style w:type="paragraph" w:styleId="TtulodeTDC">
    <w:name w:val="TOC Heading"/>
    <w:basedOn w:val="Ttulo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xtonotapieCar">
    <w:name w:val="Texto nota pie Car"/>
    <w:aliases w:val="Char3 Car, Char3 Car,Fußnotentextf Car,Fußnotentextr Car,stile 1 Car,Footnote1 Car,Footnote2 Car,Footnote3 Car,Footnote4 Car,Footnote5 Car,Footnote6 Car,Footnote7 Car,Footnote8 Car,Footnote9 Car,Footnote10 Car,Footnote11 Car"/>
    <w:link w:val="Textonotapie"/>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Fuentedeprrafopredeter"/>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Ttulo1Car">
    <w:name w:val="Título 1 Car"/>
    <w:link w:val="Ttulo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nfasis">
    <w:name w:val="Emphasis"/>
    <w:uiPriority w:val="20"/>
    <w:qFormat/>
    <w:rsid w:val="005F028E"/>
    <w:rPr>
      <w:i/>
      <w:iCs/>
    </w:rPr>
  </w:style>
  <w:style w:type="paragraph" w:styleId="Revisin">
    <w:name w:val="Revision"/>
    <w:link w:val="RevisinCar"/>
    <w:hidden/>
    <w:uiPriority w:val="99"/>
    <w:semiHidden/>
    <w:rsid w:val="008E6A37"/>
    <w:rPr>
      <w:rFonts w:ascii="Georgia" w:hAnsi="Georgia"/>
      <w:sz w:val="22"/>
      <w:szCs w:val="24"/>
      <w:lang w:eastAsia="de-DE"/>
    </w:rPr>
  </w:style>
  <w:style w:type="paragraph" w:styleId="TD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D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D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D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D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D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D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Epgrafe">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Mapadeldocumento">
    <w:name w:val="Document Map"/>
    <w:basedOn w:val="Normal"/>
    <w:link w:val="MapadeldocumentoCar"/>
    <w:rsid w:val="00AA016B"/>
    <w:rPr>
      <w:rFonts w:ascii="Tahoma" w:hAnsi="Tahoma" w:cs="Tahoma"/>
      <w:sz w:val="16"/>
      <w:szCs w:val="16"/>
    </w:rPr>
  </w:style>
  <w:style w:type="character" w:customStyle="1" w:styleId="MapadeldocumentoCar">
    <w:name w:val="Mapa del documento Car"/>
    <w:link w:val="Mapadeldocumento"/>
    <w:rsid w:val="00AA016B"/>
    <w:rPr>
      <w:rFonts w:ascii="Tahoma" w:hAnsi="Tahoma" w:cs="Tahoma"/>
      <w:sz w:val="16"/>
      <w:szCs w:val="16"/>
      <w:lang w:eastAsia="de-DE"/>
    </w:rPr>
  </w:style>
  <w:style w:type="paragraph" w:styleId="Textosinformato">
    <w:name w:val="Plain Text"/>
    <w:basedOn w:val="Normal"/>
    <w:link w:val="TextosinformatoCar"/>
    <w:unhideWhenUsed/>
    <w:rsid w:val="00AA016B"/>
    <w:rPr>
      <w:rFonts w:ascii="Consolas" w:hAnsi="Consolas"/>
      <w:sz w:val="21"/>
      <w:szCs w:val="21"/>
      <w:lang w:val="de-DE"/>
    </w:rPr>
  </w:style>
  <w:style w:type="character" w:customStyle="1" w:styleId="TextosinformatoCar">
    <w:name w:val="Texto sin formato Car"/>
    <w:link w:val="Textosinformato"/>
    <w:rsid w:val="00AA016B"/>
    <w:rPr>
      <w:rFonts w:ascii="Consolas" w:hAnsi="Consolas"/>
      <w:sz w:val="21"/>
      <w:szCs w:val="21"/>
      <w:lang w:val="de-DE" w:eastAsia="de-DE"/>
    </w:rPr>
  </w:style>
  <w:style w:type="paragraph" w:styleId="Textoindependiente">
    <w:name w:val="Body Text"/>
    <w:basedOn w:val="Normal"/>
    <w:link w:val="TextoindependienteCar"/>
    <w:unhideWhenUsed/>
    <w:rsid w:val="00AA016B"/>
    <w:pPr>
      <w:numPr>
        <w:numId w:val="9"/>
      </w:numPr>
      <w:spacing w:after="240"/>
      <w:jc w:val="both"/>
    </w:pPr>
    <w:rPr>
      <w:rFonts w:ascii="Times New Roman" w:hAnsi="Times New Roman"/>
      <w:sz w:val="24"/>
      <w:szCs w:val="20"/>
      <w:lang w:eastAsia="en-GB"/>
    </w:rPr>
  </w:style>
  <w:style w:type="character" w:customStyle="1" w:styleId="TextoindependienteCar">
    <w:name w:val="Texto independiente Car"/>
    <w:link w:val="Textoindependiente"/>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Textoennegrita">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Ttulo2Car">
    <w:name w:val="Título 2 Car"/>
    <w:link w:val="Ttulo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Ttulo9Car">
    <w:name w:val="Título 9 Car"/>
    <w:link w:val="Ttulo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Ttulo7Car">
    <w:name w:val="Título 7 Car"/>
    <w:link w:val="Ttulo7"/>
    <w:rsid w:val="002D6E1A"/>
    <w:rPr>
      <w:sz w:val="22"/>
      <w:szCs w:val="24"/>
      <w:lang w:eastAsia="de-DE"/>
    </w:rPr>
  </w:style>
  <w:style w:type="character" w:customStyle="1" w:styleId="Ttulo6Car">
    <w:name w:val="Título 6 Car"/>
    <w:link w:val="Ttulo6"/>
    <w:rsid w:val="002D6E1A"/>
    <w:rPr>
      <w:b/>
      <w:bCs/>
      <w:szCs w:val="22"/>
      <w:lang w:eastAsia="de-DE"/>
    </w:rPr>
  </w:style>
  <w:style w:type="character" w:customStyle="1" w:styleId="Ttulo8Car">
    <w:name w:val="Título 8 Car"/>
    <w:link w:val="Ttulo8"/>
    <w:rsid w:val="002D6E1A"/>
    <w:rPr>
      <w:i/>
      <w:iCs/>
      <w:szCs w:val="24"/>
      <w:lang w:eastAsia="de-DE"/>
    </w:rPr>
  </w:style>
  <w:style w:type="numbering" w:customStyle="1" w:styleId="NoList1">
    <w:name w:val="No List1"/>
    <w:next w:val="Sinlista"/>
    <w:uiPriority w:val="99"/>
    <w:semiHidden/>
    <w:unhideWhenUsed/>
    <w:rsid w:val="002D6E1A"/>
  </w:style>
  <w:style w:type="character" w:styleId="Hipervnculovisitado">
    <w:name w:val="FollowedHyperlink"/>
    <w:unhideWhenUsed/>
    <w:rsid w:val="002D6E1A"/>
    <w:rPr>
      <w:color w:val="800080"/>
      <w:u w:val="single"/>
    </w:rPr>
  </w:style>
  <w:style w:type="character" w:customStyle="1" w:styleId="EncabezadoCar">
    <w:name w:val="Encabezado Car"/>
    <w:link w:val="Encabezado"/>
    <w:rsid w:val="002D6E1A"/>
    <w:rPr>
      <w:rFonts w:ascii="Georgia" w:hAnsi="Georgia"/>
      <w:sz w:val="22"/>
      <w:szCs w:val="24"/>
      <w:lang w:eastAsia="de-DE"/>
    </w:rPr>
  </w:style>
  <w:style w:type="character" w:customStyle="1" w:styleId="PiedepginaCar">
    <w:name w:val="Pie de página Car"/>
    <w:link w:val="Piedepgina"/>
    <w:rsid w:val="002D6E1A"/>
    <w:rPr>
      <w:rFonts w:ascii="Georgia" w:hAnsi="Georgia"/>
      <w:sz w:val="22"/>
      <w:szCs w:val="24"/>
      <w:lang w:eastAsia="de-DE"/>
    </w:rPr>
  </w:style>
  <w:style w:type="paragraph" w:styleId="Textonotaalfinal">
    <w:name w:val="endnote text"/>
    <w:basedOn w:val="Normal"/>
    <w:link w:val="TextonotaalfinalCar"/>
    <w:unhideWhenUsed/>
    <w:rsid w:val="002D6E1A"/>
    <w:rPr>
      <w:sz w:val="20"/>
      <w:szCs w:val="20"/>
    </w:rPr>
  </w:style>
  <w:style w:type="character" w:customStyle="1" w:styleId="TextonotaalfinalCar">
    <w:name w:val="Texto nota al final Car"/>
    <w:link w:val="Textonotaalfinal"/>
    <w:rsid w:val="002D6E1A"/>
    <w:rPr>
      <w:rFonts w:ascii="Georgia" w:hAnsi="Georgia"/>
      <w:lang w:eastAsia="de-DE"/>
    </w:rPr>
  </w:style>
  <w:style w:type="paragraph" w:styleId="Listaconnmeros">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PrrafodelistaCar">
    <w:name w:val="Párrafo de lista Car"/>
    <w:aliases w:val="Paragraphe EI Car,Paragraphe de liste1 Car,EC Car"/>
    <w:link w:val="Prrafodelista"/>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Prrafodelista"/>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Refdenotaalfinal">
    <w:name w:val="endnote reference"/>
    <w:unhideWhenUsed/>
    <w:rsid w:val="002D6E1A"/>
    <w:rPr>
      <w:vertAlign w:val="superscript"/>
    </w:rPr>
  </w:style>
  <w:style w:type="character" w:styleId="Textodelmarcadordeposicin">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a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inlista"/>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Nmerodelnea">
    <w:name w:val="line number"/>
    <w:basedOn w:val="Fuentedeprrafopredeter"/>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Epgrafe"/>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Ttulo5Car">
    <w:name w:val="Título 5 Car"/>
    <w:aliases w:val="Questions Car"/>
    <w:link w:val="Ttulo5"/>
    <w:rsid w:val="00E9344E"/>
    <w:rPr>
      <w:rFonts w:ascii="Arial" w:hAnsi="Arial"/>
      <w:b/>
      <w:sz w:val="22"/>
      <w:szCs w:val="24"/>
      <w:lang w:eastAsia="de-DE"/>
    </w:rPr>
  </w:style>
  <w:style w:type="character" w:customStyle="1" w:styleId="Ttulo3Car">
    <w:name w:val="Título 3 Car"/>
    <w:link w:val="Ttulo3"/>
    <w:rsid w:val="003865E5"/>
    <w:rPr>
      <w:rFonts w:ascii="Cambria" w:eastAsia="Times New Roman" w:hAnsi="Cambria" w:cs="Times New Roman"/>
      <w:b/>
      <w:bCs/>
      <w:color w:val="4F81BD"/>
      <w:sz w:val="22"/>
      <w:szCs w:val="24"/>
      <w:lang w:eastAsia="de-DE"/>
    </w:rPr>
  </w:style>
  <w:style w:type="character" w:customStyle="1" w:styleId="Ttulo4Car">
    <w:name w:val="Título 4 Car"/>
    <w:link w:val="Ttulo4"/>
    <w:rsid w:val="00CB7286"/>
    <w:rPr>
      <w:b/>
      <w:bCs/>
      <w:sz w:val="28"/>
      <w:szCs w:val="28"/>
      <w:lang w:eastAsia="de-DE"/>
    </w:rPr>
  </w:style>
  <w:style w:type="table" w:styleId="Listaclara-nfasis3">
    <w:name w:val="Light List Accent 3"/>
    <w:basedOn w:val="Tabla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a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Ttulo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Ttulo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Ttulo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aconnmeros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aconnmeros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aconnmeros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aconvietas">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aconvietas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aconvietas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aconvietas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adeilustracion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Ttulo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tulo">
    <w:name w:val="Title"/>
    <w:basedOn w:val="Normal"/>
    <w:next w:val="Normal"/>
    <w:link w:val="TtuloC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tuloCar">
    <w:name w:val="Título Car"/>
    <w:link w:val="Ttulo"/>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nCar">
    <w:name w:val="Revisión Car"/>
    <w:link w:val="Revisin"/>
    <w:uiPriority w:val="99"/>
    <w:semiHidden/>
    <w:locked/>
    <w:rsid w:val="000D2D0B"/>
    <w:rPr>
      <w:rFonts w:ascii="Georgia" w:hAnsi="Georgia"/>
      <w:sz w:val="22"/>
      <w:szCs w:val="24"/>
      <w:lang w:eastAsia="de-DE"/>
    </w:rPr>
  </w:style>
  <w:style w:type="table" w:customStyle="1" w:styleId="TableGrid2">
    <w:name w:val="Table Grid2"/>
    <w:basedOn w:val="Tablanormal"/>
    <w:next w:val="Tablaconcuadrcula"/>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sutil">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Textodelmarcadordeposicin"/>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Textodelmarcadordeposicin"/>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Textodelmarcadordeposicin"/>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20B0403030403020204"/>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08E"/>
    <w:rsid w:val="00064A17"/>
    <w:rsid w:val="00115F64"/>
    <w:rsid w:val="004B2C78"/>
    <w:rsid w:val="006A5A0A"/>
    <w:rsid w:val="008437E4"/>
    <w:rsid w:val="008917E2"/>
    <w:rsid w:val="00953A5F"/>
    <w:rsid w:val="00AF2479"/>
    <w:rsid w:val="00B4208E"/>
    <w:rsid w:val="00E90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78DFD-5820-452F-B86C-7B29C98EB6ED}">
  <ds:schemaRefs>
    <ds:schemaRef ds:uri="http://schemas.openxmlformats.org/officeDocument/2006/bibliography"/>
  </ds:schemaRefs>
</ds:datastoreItem>
</file>

<file path=customXml/itemProps2.xml><?xml version="1.0" encoding="utf-8"?>
<ds:datastoreItem xmlns:ds="http://schemas.openxmlformats.org/officeDocument/2006/customXml" ds:itemID="{F5C07B2A-692E-4836-A8F8-778AE7F4B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7349</Words>
  <Characters>38932</Characters>
  <Application>Microsoft Office Word</Application>
  <DocSecurity>8</DocSecurity>
  <Lines>324</Lines>
  <Paragraphs>92</Paragraphs>
  <ScaleCrop>false</ScaleCrop>
  <HeadingPairs>
    <vt:vector size="10" baseType="variant">
      <vt:variant>
        <vt:lpstr>Título</vt:lpstr>
      </vt:variant>
      <vt:variant>
        <vt:i4>1</vt:i4>
      </vt:variant>
      <vt:variant>
        <vt:lpstr>Title</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Reply form for the MiFID II/MiFIR Consultation Paper</vt:lpstr>
      <vt:lpstr>20110000</vt:lpstr>
      <vt:lpstr>20110000</vt:lpstr>
      <vt:lpstr>20110000</vt:lpstr>
    </vt:vector>
  </TitlesOfParts>
  <Company>ESMA</Company>
  <LinksUpToDate>false</LinksUpToDate>
  <CharactersWithSpaces>46189</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Lourdes Centeno Huerta</cp:lastModifiedBy>
  <cp:revision>2</cp:revision>
  <cp:lastPrinted>2015-02-19T11:33:00Z</cp:lastPrinted>
  <dcterms:created xsi:type="dcterms:W3CDTF">2015-02-19T12:24:00Z</dcterms:created>
  <dcterms:modified xsi:type="dcterms:W3CDTF">2015-02-19T12:24:00Z</dcterms:modified>
</cp:coreProperties>
</file>