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E679BA" w:rsidTr="00315E96">
        <w:trPr>
          <w:trHeight w:val="284"/>
        </w:trPr>
        <w:tc>
          <w:tcPr>
            <w:tcW w:w="9412" w:type="dxa"/>
          </w:tcPr>
          <w:p w:rsidR="00C2094B" w:rsidRPr="00376B02" w:rsidRDefault="001260DB" w:rsidP="004D3364">
            <w:pPr>
              <w:pStyle w:val="00bDBInfo"/>
            </w:pPr>
            <w:r>
              <w:t>1</w:t>
            </w:r>
            <w:r w:rsidR="004D3364">
              <w:t>8</w:t>
            </w:r>
            <w:r>
              <w:t xml:space="preserve"> December</w:t>
            </w:r>
            <w:r w:rsidR="00ED351E" w:rsidRPr="00376B02">
              <w:t xml:space="preserve"> </w:t>
            </w:r>
            <w:r w:rsidR="006F4B04" w:rsidRPr="00376B02">
              <w:t>2014</w:t>
            </w:r>
          </w:p>
        </w:tc>
      </w:tr>
    </w:tbl>
    <w:p w:rsidR="00FD7A8D" w:rsidRPr="00640DCD" w:rsidRDefault="00FD7A8D" w:rsidP="00FD7A8D">
      <w:pPr>
        <w:rPr>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E679BA" w:rsidTr="00B835D5">
        <w:trPr>
          <w:trHeight w:hRule="exact" w:val="1209"/>
        </w:trPr>
        <w:tc>
          <w:tcPr>
            <w:tcW w:w="9397" w:type="dxa"/>
            <w:vAlign w:val="bottom"/>
          </w:tcPr>
          <w:p w:rsidR="006F4403" w:rsidRPr="00BD3046" w:rsidRDefault="00AE627C" w:rsidP="00C000A5">
            <w:pPr>
              <w:pStyle w:val="01aDBTitle"/>
              <w:rPr>
                <w:sz w:val="36"/>
                <w:szCs w:val="36"/>
              </w:rPr>
            </w:pPr>
            <w:r w:rsidRPr="00BD3046">
              <w:rPr>
                <w:sz w:val="36"/>
                <w:szCs w:val="36"/>
              </w:rPr>
              <w:t>Reply form</w:t>
            </w:r>
            <w:r w:rsidR="00B835D5" w:rsidRPr="00BD3046">
              <w:rPr>
                <w:sz w:val="36"/>
                <w:szCs w:val="36"/>
              </w:rPr>
              <w:t xml:space="preserve"> </w:t>
            </w:r>
            <w:r w:rsidR="0043173B" w:rsidRPr="00BD3046">
              <w:rPr>
                <w:sz w:val="36"/>
                <w:szCs w:val="36"/>
              </w:rPr>
              <w:t>for</w:t>
            </w:r>
            <w:r w:rsidR="00027ECF" w:rsidRPr="00BD3046">
              <w:rPr>
                <w:sz w:val="36"/>
                <w:szCs w:val="36"/>
              </w:rPr>
              <w:t xml:space="preserve"> the </w:t>
            </w:r>
          </w:p>
          <w:p w:rsidR="00791EB4" w:rsidRPr="00E679BA" w:rsidRDefault="00BD3046" w:rsidP="00C000A5">
            <w:pPr>
              <w:pStyle w:val="01aDBTitle"/>
            </w:pPr>
            <w:r w:rsidRPr="00BD3046">
              <w:rPr>
                <w:sz w:val="36"/>
                <w:szCs w:val="36"/>
              </w:rPr>
              <w:t>Technical Standards under the CSD Regulation</w:t>
            </w:r>
          </w:p>
        </w:tc>
      </w:tr>
      <w:tr w:rsidR="00060F72" w:rsidRPr="00E679BA" w:rsidTr="00B835D5">
        <w:trPr>
          <w:trHeight w:hRule="exact" w:val="605"/>
        </w:trPr>
        <w:tc>
          <w:tcPr>
            <w:tcW w:w="9397" w:type="dxa"/>
            <w:tcMar>
              <w:top w:w="142" w:type="dxa"/>
            </w:tcMar>
          </w:tcPr>
          <w:p w:rsidR="00D91010" w:rsidRPr="00E679BA" w:rsidRDefault="00013CCE" w:rsidP="00027ECF">
            <w:pPr>
              <w:pStyle w:val="01bDBSubtitle"/>
            </w:pPr>
            <w:r w:rsidRPr="00E679BA">
              <w:t xml:space="preserve"> </w:t>
            </w:r>
          </w:p>
        </w:tc>
      </w:tr>
    </w:tbl>
    <w:p w:rsidR="00620D7C" w:rsidRPr="00E679BA" w:rsidRDefault="00620D7C" w:rsidP="00C00012">
      <w:pPr>
        <w:pStyle w:val="05HeadlinenoIndex"/>
        <w:sectPr w:rsidR="00620D7C" w:rsidRPr="00E679BA"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E679BA" w:rsidTr="00315E96">
        <w:trPr>
          <w:trHeight w:hRule="exact" w:val="964"/>
        </w:trPr>
        <w:tc>
          <w:tcPr>
            <w:tcW w:w="2325" w:type="dxa"/>
          </w:tcPr>
          <w:p w:rsidR="00620D7C" w:rsidRPr="001260DB" w:rsidRDefault="00620D7C" w:rsidP="001260DB">
            <w:pPr>
              <w:pStyle w:val="02Date"/>
            </w:pPr>
            <w:r w:rsidRPr="001260DB">
              <w:lastRenderedPageBreak/>
              <w:t xml:space="preserve">Date: </w:t>
            </w:r>
            <w:r w:rsidR="004D3364">
              <w:t>18</w:t>
            </w:r>
            <w:r w:rsidR="001260DB">
              <w:t xml:space="preserve"> December</w:t>
            </w:r>
            <w:r w:rsidR="002B354F" w:rsidRPr="001260DB">
              <w:t xml:space="preserve"> </w:t>
            </w:r>
            <w:r w:rsidR="00486C17" w:rsidRPr="001260DB">
              <w:t>201</w:t>
            </w:r>
            <w:r w:rsidR="006F57F2" w:rsidRPr="001260DB">
              <w:t>4</w:t>
            </w:r>
          </w:p>
        </w:tc>
      </w:tr>
    </w:tbl>
    <w:p w:rsidR="0088244C" w:rsidRDefault="0088244C" w:rsidP="00F574D0">
      <w:pPr>
        <w:pStyle w:val="05HeadlinenoIndex"/>
      </w:pPr>
      <w:bookmarkStart w:id="0" w:name="_Toc280628648"/>
    </w:p>
    <w:p w:rsidR="00F574D0" w:rsidRPr="00295156" w:rsidRDefault="0088244C" w:rsidP="00F574D0">
      <w:pPr>
        <w:pStyle w:val="05HeadlinenoIndex"/>
        <w:rPr>
          <w:sz w:val="20"/>
          <w:szCs w:val="20"/>
        </w:rPr>
      </w:pPr>
      <w:r w:rsidRPr="00295156">
        <w:rPr>
          <w:sz w:val="20"/>
          <w:szCs w:val="20"/>
        </w:rPr>
        <w:br w:type="page"/>
      </w:r>
      <w:r w:rsidR="00F574D0" w:rsidRPr="00295156">
        <w:rPr>
          <w:sz w:val="20"/>
          <w:szCs w:val="20"/>
        </w:rPr>
        <w:lastRenderedPageBreak/>
        <w:t xml:space="preserve">Responding to this paper </w:t>
      </w:r>
    </w:p>
    <w:p w:rsidR="00F574D0" w:rsidRPr="00295156" w:rsidRDefault="00F574D0" w:rsidP="00F574D0">
      <w:pPr>
        <w:pStyle w:val="04BodyText"/>
        <w:spacing w:before="120" w:after="120"/>
        <w:rPr>
          <w:szCs w:val="20"/>
        </w:rPr>
      </w:pPr>
      <w:r w:rsidRPr="00295156">
        <w:rPr>
          <w:szCs w:val="20"/>
        </w:rPr>
        <w:t xml:space="preserve">The European Securities and Markets Authority (ESMA) invites responses to the specific questions listed in the ESMA </w:t>
      </w:r>
      <w:r w:rsidR="0060674A" w:rsidRPr="00295156">
        <w:rPr>
          <w:szCs w:val="20"/>
        </w:rPr>
        <w:t xml:space="preserve">Consultation Paper - </w:t>
      </w:r>
      <w:r w:rsidR="00390F5E" w:rsidRPr="00295156">
        <w:rPr>
          <w:szCs w:val="20"/>
        </w:rPr>
        <w:t>Technical Standards under the CSD Regulation</w:t>
      </w:r>
      <w:r w:rsidR="00015B5E" w:rsidRPr="00295156">
        <w:rPr>
          <w:szCs w:val="20"/>
        </w:rPr>
        <w:t>, published on the ESMA website</w:t>
      </w:r>
      <w:r w:rsidR="00330386">
        <w:rPr>
          <w:szCs w:val="20"/>
        </w:rPr>
        <w:t>.</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r w:rsidRPr="00295156">
        <w:rPr>
          <w:rFonts w:cs="Georgia"/>
          <w:b/>
          <w:bCs/>
          <w:i/>
          <w:color w:val="000000"/>
          <w:sz w:val="20"/>
          <w:szCs w:val="20"/>
          <w:lang w:eastAsia="en-GB"/>
        </w:rPr>
        <w:t>Instructions</w:t>
      </w:r>
    </w:p>
    <w:p w:rsidR="00F574D0" w:rsidRPr="00295156" w:rsidRDefault="00D75FEE" w:rsidP="00F574D0">
      <w:pPr>
        <w:pStyle w:val="04BodyText"/>
        <w:spacing w:before="120" w:after="120"/>
        <w:rPr>
          <w:szCs w:val="20"/>
        </w:rPr>
      </w:pPr>
      <w:r w:rsidRPr="00295156">
        <w:rPr>
          <w:szCs w:val="20"/>
        </w:rPr>
        <w:t>Please note that, in order to facilitate the analysis of the large number of responses expected, you are requested to use this file to send your response to ESMA so as to allow us to process it properly. Ther</w:t>
      </w:r>
      <w:r w:rsidRPr="00295156">
        <w:rPr>
          <w:szCs w:val="20"/>
        </w:rPr>
        <w:t>e</w:t>
      </w:r>
      <w:r w:rsidRPr="00295156">
        <w:rPr>
          <w:szCs w:val="20"/>
        </w:rPr>
        <w:t>fore, please follow the instructions described below</w:t>
      </w:r>
      <w:r w:rsidR="00F574D0" w:rsidRPr="00295156">
        <w:rPr>
          <w:szCs w:val="20"/>
        </w:rPr>
        <w:t>:</w:t>
      </w:r>
    </w:p>
    <w:p w:rsidR="00F574D0" w:rsidRPr="00295156" w:rsidRDefault="00F574D0" w:rsidP="00F574D0">
      <w:pPr>
        <w:pStyle w:val="04bList"/>
        <w:numPr>
          <w:ilvl w:val="0"/>
          <w:numId w:val="5"/>
        </w:numPr>
        <w:spacing w:before="120" w:after="120"/>
        <w:ind w:left="720"/>
        <w:rPr>
          <w:szCs w:val="20"/>
        </w:rPr>
      </w:pPr>
      <w:r w:rsidRPr="00295156">
        <w:rPr>
          <w:szCs w:val="20"/>
        </w:rPr>
        <w:t xml:space="preserve">use this </w:t>
      </w:r>
      <w:r w:rsidR="003F5C06" w:rsidRPr="00295156">
        <w:rPr>
          <w:szCs w:val="20"/>
        </w:rPr>
        <w:t>form</w:t>
      </w:r>
      <w:r w:rsidRPr="00295156">
        <w:rPr>
          <w:szCs w:val="20"/>
        </w:rPr>
        <w:t xml:space="preserve"> and send </w:t>
      </w:r>
      <w:r w:rsidR="00D75FEE" w:rsidRPr="00295156">
        <w:rPr>
          <w:szCs w:val="20"/>
        </w:rPr>
        <w:t>your</w:t>
      </w:r>
      <w:r w:rsidRPr="00295156">
        <w:rPr>
          <w:szCs w:val="20"/>
        </w:rPr>
        <w:t xml:space="preserve"> responses in </w:t>
      </w:r>
      <w:r w:rsidRPr="00295156">
        <w:rPr>
          <w:b/>
          <w:szCs w:val="20"/>
        </w:rPr>
        <w:t>Word format</w:t>
      </w:r>
      <w:r w:rsidRPr="00295156">
        <w:rPr>
          <w:szCs w:val="20"/>
        </w:rPr>
        <w:t>;</w:t>
      </w:r>
    </w:p>
    <w:p w:rsidR="00F574D0" w:rsidRPr="00295156" w:rsidRDefault="00D75FEE" w:rsidP="00F574D0">
      <w:pPr>
        <w:pStyle w:val="04bList"/>
        <w:numPr>
          <w:ilvl w:val="0"/>
          <w:numId w:val="5"/>
        </w:numPr>
        <w:spacing w:before="120" w:after="120"/>
        <w:ind w:left="720"/>
        <w:rPr>
          <w:szCs w:val="20"/>
        </w:rPr>
      </w:pPr>
      <w:r w:rsidRPr="00295156">
        <w:rPr>
          <w:szCs w:val="20"/>
        </w:rPr>
        <w:t xml:space="preserve">do </w:t>
      </w:r>
      <w:r w:rsidR="00F574D0" w:rsidRPr="00295156">
        <w:rPr>
          <w:szCs w:val="20"/>
        </w:rPr>
        <w:t>not remove the tags of type &lt;ESMA_QUESTION_</w:t>
      </w:r>
      <w:r w:rsidR="00C8677B" w:rsidRPr="00295156">
        <w:rPr>
          <w:szCs w:val="20"/>
        </w:rPr>
        <w:t>T</w:t>
      </w:r>
      <w:r w:rsidR="00390F5E" w:rsidRPr="00295156">
        <w:rPr>
          <w:szCs w:val="20"/>
        </w:rPr>
        <w:t>S</w:t>
      </w:r>
      <w:r w:rsidR="00A35728" w:rsidRPr="00295156">
        <w:rPr>
          <w:szCs w:val="20"/>
        </w:rPr>
        <w:t>_CSDR</w:t>
      </w:r>
      <w:r w:rsidR="00E9344E" w:rsidRPr="00295156">
        <w:rPr>
          <w:szCs w:val="20"/>
        </w:rPr>
        <w:t>_</w:t>
      </w:r>
      <w:r w:rsidR="00F574D0" w:rsidRPr="00295156">
        <w:rPr>
          <w:szCs w:val="20"/>
        </w:rPr>
        <w:t>1&gt; - i.e. the response to one question has to be framed by the 2 tags corresponding to the question; and</w:t>
      </w:r>
    </w:p>
    <w:p w:rsidR="00F574D0" w:rsidRPr="00295156" w:rsidRDefault="00F574D0" w:rsidP="00F574D0">
      <w:pPr>
        <w:pStyle w:val="04bList"/>
        <w:numPr>
          <w:ilvl w:val="0"/>
          <w:numId w:val="5"/>
        </w:numPr>
        <w:spacing w:before="120" w:after="120"/>
        <w:ind w:left="720"/>
        <w:rPr>
          <w:szCs w:val="20"/>
        </w:rPr>
      </w:pPr>
      <w:r w:rsidRPr="00295156">
        <w:rPr>
          <w:szCs w:val="20"/>
        </w:rPr>
        <w:t xml:space="preserve">if </w:t>
      </w:r>
      <w:r w:rsidR="00D75FEE" w:rsidRPr="00295156">
        <w:rPr>
          <w:szCs w:val="20"/>
        </w:rPr>
        <w:t>you do not have a</w:t>
      </w:r>
      <w:r w:rsidRPr="00295156">
        <w:rPr>
          <w:szCs w:val="20"/>
        </w:rPr>
        <w:t xml:space="preserve"> response to a question, </w:t>
      </w:r>
      <w:r w:rsidR="00D75FEE" w:rsidRPr="00295156">
        <w:rPr>
          <w:szCs w:val="20"/>
        </w:rPr>
        <w:t xml:space="preserve">do </w:t>
      </w:r>
      <w:r w:rsidRPr="00295156">
        <w:rPr>
          <w:szCs w:val="20"/>
        </w:rPr>
        <w:t>not delete it and leave the text “TYPE YOUR TEXT HERE” between the tags.</w:t>
      </w:r>
    </w:p>
    <w:p w:rsidR="00F574D0" w:rsidRPr="00295156" w:rsidRDefault="00F574D0" w:rsidP="00F574D0">
      <w:pPr>
        <w:pStyle w:val="04bList"/>
        <w:numPr>
          <w:ilvl w:val="0"/>
          <w:numId w:val="0"/>
        </w:numPr>
        <w:spacing w:before="120" w:after="120"/>
        <w:rPr>
          <w:szCs w:val="20"/>
        </w:rPr>
      </w:pPr>
      <w:r w:rsidRPr="00295156">
        <w:rPr>
          <w:szCs w:val="20"/>
        </w:rPr>
        <w:t>Responses are most helpful:</w:t>
      </w:r>
    </w:p>
    <w:p w:rsidR="00F574D0" w:rsidRPr="00295156" w:rsidRDefault="00F574D0" w:rsidP="002067BA">
      <w:pPr>
        <w:pStyle w:val="04bList"/>
        <w:numPr>
          <w:ilvl w:val="0"/>
          <w:numId w:val="33"/>
        </w:numPr>
        <w:spacing w:before="120" w:after="120"/>
        <w:rPr>
          <w:szCs w:val="20"/>
        </w:rPr>
      </w:pPr>
      <w:r w:rsidRPr="00295156">
        <w:rPr>
          <w:szCs w:val="20"/>
        </w:rPr>
        <w:t>if they respond to the question stated;</w:t>
      </w:r>
    </w:p>
    <w:p w:rsidR="00F574D0" w:rsidRPr="00295156" w:rsidRDefault="00F574D0" w:rsidP="002067BA">
      <w:pPr>
        <w:pStyle w:val="04bList"/>
        <w:numPr>
          <w:ilvl w:val="0"/>
          <w:numId w:val="33"/>
        </w:numPr>
        <w:spacing w:before="120" w:after="120"/>
        <w:rPr>
          <w:szCs w:val="20"/>
        </w:rPr>
      </w:pPr>
      <w:r w:rsidRPr="00295156">
        <w:rPr>
          <w:szCs w:val="20"/>
        </w:rPr>
        <w:t>contain a clear rationale, including on any related costs and benefits; and</w:t>
      </w:r>
    </w:p>
    <w:p w:rsidR="00A35728" w:rsidRPr="00295156" w:rsidRDefault="00F574D0" w:rsidP="000D17AA">
      <w:pPr>
        <w:pStyle w:val="04bList"/>
        <w:numPr>
          <w:ilvl w:val="0"/>
          <w:numId w:val="33"/>
        </w:numPr>
        <w:spacing w:before="120" w:after="120"/>
        <w:rPr>
          <w:szCs w:val="20"/>
        </w:rPr>
      </w:pPr>
      <w:r w:rsidRPr="00295156">
        <w:rPr>
          <w:szCs w:val="20"/>
        </w:rPr>
        <w:t>describe any alternatives that ESMA should consider</w:t>
      </w:r>
    </w:p>
    <w:p w:rsidR="000D17AA" w:rsidRPr="00295156" w:rsidRDefault="000D17AA" w:rsidP="000D17AA">
      <w:pPr>
        <w:pStyle w:val="04BodyText"/>
        <w:spacing w:before="120" w:after="120"/>
        <w:jc w:val="left"/>
        <w:rPr>
          <w:b/>
          <w:szCs w:val="20"/>
        </w:rPr>
      </w:pPr>
      <w:r w:rsidRPr="00295156">
        <w:rPr>
          <w:b/>
          <w:szCs w:val="20"/>
        </w:rPr>
        <w:t>Naming protocol:</w:t>
      </w:r>
    </w:p>
    <w:p w:rsidR="000D17AA" w:rsidRPr="00295156" w:rsidRDefault="000D17AA" w:rsidP="000D17AA">
      <w:pPr>
        <w:pStyle w:val="04BodyText"/>
        <w:spacing w:before="120" w:after="120"/>
        <w:jc w:val="left"/>
        <w:rPr>
          <w:szCs w:val="20"/>
        </w:rPr>
      </w:pPr>
      <w:r w:rsidRPr="00295156">
        <w:rPr>
          <w:szCs w:val="20"/>
        </w:rPr>
        <w:t>In order to facilitate the handling of stakeholders responses please save your document using the follo</w:t>
      </w:r>
      <w:r w:rsidRPr="00295156">
        <w:rPr>
          <w:szCs w:val="20"/>
        </w:rPr>
        <w:t>w</w:t>
      </w:r>
      <w:r w:rsidRPr="00295156">
        <w:rPr>
          <w:szCs w:val="20"/>
        </w:rPr>
        <w:t>ing format:</w:t>
      </w:r>
    </w:p>
    <w:p w:rsidR="000D17AA" w:rsidRPr="00295156" w:rsidRDefault="000D17AA" w:rsidP="000D17AA">
      <w:pPr>
        <w:pStyle w:val="04BodyText"/>
        <w:spacing w:before="120" w:after="120"/>
        <w:jc w:val="left"/>
        <w:rPr>
          <w:szCs w:val="20"/>
        </w:rPr>
      </w:pPr>
      <w:r w:rsidRPr="00295156">
        <w:rPr>
          <w:szCs w:val="20"/>
        </w:rPr>
        <w:t>ESMA_ TA_CSDR _NAMEOFCOMPANY_NAMEOFDOCUMENT.</w:t>
      </w:r>
    </w:p>
    <w:p w:rsidR="000D17AA" w:rsidRPr="00295156" w:rsidRDefault="000D17AA" w:rsidP="000D17AA">
      <w:pPr>
        <w:pStyle w:val="04BodyText"/>
        <w:spacing w:before="120" w:after="120"/>
        <w:jc w:val="left"/>
        <w:rPr>
          <w:szCs w:val="20"/>
        </w:rPr>
      </w:pPr>
      <w:r w:rsidRPr="00295156">
        <w:rPr>
          <w:szCs w:val="20"/>
        </w:rPr>
        <w:t>E.g. if the respondent were ESMA, the name of the reply form would be E</w:t>
      </w:r>
      <w:r w:rsidRPr="00295156">
        <w:rPr>
          <w:szCs w:val="20"/>
        </w:rPr>
        <w:t>S</w:t>
      </w:r>
      <w:r w:rsidRPr="00295156">
        <w:rPr>
          <w:szCs w:val="20"/>
        </w:rPr>
        <w:t>MA_T</w:t>
      </w:r>
      <w:r w:rsidR="00390F5E" w:rsidRPr="00295156">
        <w:rPr>
          <w:szCs w:val="20"/>
        </w:rPr>
        <w:t>S</w:t>
      </w:r>
      <w:r w:rsidRPr="00295156">
        <w:rPr>
          <w:szCs w:val="20"/>
        </w:rPr>
        <w:t>_CSDR</w:t>
      </w:r>
      <w:r w:rsidR="00390F5E" w:rsidRPr="00295156">
        <w:rPr>
          <w:szCs w:val="20"/>
        </w:rPr>
        <w:t>_AIXX</w:t>
      </w:r>
      <w:r w:rsidRPr="00295156">
        <w:rPr>
          <w:szCs w:val="20"/>
        </w:rPr>
        <w:t>_REPLYFORM or ESMA_</w:t>
      </w:r>
      <w:r w:rsidR="00390F5E" w:rsidRPr="00295156">
        <w:rPr>
          <w:szCs w:val="20"/>
        </w:rPr>
        <w:t>CE_TS_CSDR_AIXX</w:t>
      </w:r>
      <w:r w:rsidRPr="00295156">
        <w:rPr>
          <w:szCs w:val="20"/>
        </w:rPr>
        <w:t>_ANNEX1</w:t>
      </w:r>
    </w:p>
    <w:p w:rsidR="00F574D0" w:rsidRPr="00295156" w:rsidRDefault="00F574D0" w:rsidP="00F574D0">
      <w:pPr>
        <w:pStyle w:val="04BodyText"/>
        <w:spacing w:before="120" w:after="120"/>
        <w:rPr>
          <w:szCs w:val="20"/>
        </w:rPr>
      </w:pPr>
      <w:r w:rsidRPr="00295156">
        <w:rPr>
          <w:szCs w:val="20"/>
        </w:rPr>
        <w:t xml:space="preserve">Responses must reach us </w:t>
      </w:r>
      <w:r w:rsidRPr="007F4106">
        <w:rPr>
          <w:szCs w:val="20"/>
        </w:rPr>
        <w:t xml:space="preserve">by </w:t>
      </w:r>
      <w:r w:rsidR="007F4106" w:rsidRPr="007F4106">
        <w:rPr>
          <w:b/>
          <w:szCs w:val="20"/>
        </w:rPr>
        <w:t>19</w:t>
      </w:r>
      <w:r w:rsidR="00D43F14" w:rsidRPr="007F4106">
        <w:rPr>
          <w:b/>
          <w:szCs w:val="20"/>
        </w:rPr>
        <w:t xml:space="preserve"> </w:t>
      </w:r>
      <w:r w:rsidR="007F4106" w:rsidRPr="007F4106">
        <w:rPr>
          <w:b/>
          <w:szCs w:val="20"/>
        </w:rPr>
        <w:t>February</w:t>
      </w:r>
      <w:r w:rsidR="00D43F14" w:rsidRPr="007F4106">
        <w:rPr>
          <w:b/>
          <w:szCs w:val="20"/>
        </w:rPr>
        <w:t xml:space="preserve"> </w:t>
      </w:r>
      <w:r w:rsidRPr="007F4106">
        <w:rPr>
          <w:b/>
          <w:szCs w:val="20"/>
        </w:rPr>
        <w:t>201</w:t>
      </w:r>
      <w:r w:rsidR="007F4106" w:rsidRPr="007F4106">
        <w:rPr>
          <w:b/>
          <w:szCs w:val="20"/>
        </w:rPr>
        <w:t>5</w:t>
      </w:r>
      <w:r w:rsidRPr="007F4106">
        <w:rPr>
          <w:szCs w:val="20"/>
        </w:rPr>
        <w:t>.</w:t>
      </w:r>
      <w:r w:rsidRPr="00295156">
        <w:rPr>
          <w:szCs w:val="20"/>
        </w:rPr>
        <w:t xml:space="preserve"> </w:t>
      </w:r>
    </w:p>
    <w:p w:rsidR="00F574D0" w:rsidRPr="00295156" w:rsidRDefault="00F574D0" w:rsidP="00F574D0">
      <w:pPr>
        <w:pStyle w:val="04BodyText"/>
        <w:spacing w:before="120" w:after="120"/>
        <w:rPr>
          <w:szCs w:val="20"/>
        </w:rPr>
      </w:pPr>
      <w:r w:rsidRPr="00295156">
        <w:rPr>
          <w:szCs w:val="20"/>
        </w:rPr>
        <w:t xml:space="preserve">All contributions should be submitted online at </w:t>
      </w:r>
      <w:hyperlink r:id="rId13" w:history="1">
        <w:r w:rsidRPr="00295156">
          <w:rPr>
            <w:rStyle w:val="Hyperlink"/>
            <w:szCs w:val="20"/>
          </w:rPr>
          <w:t>www.esma.europa.eu</w:t>
        </w:r>
      </w:hyperlink>
      <w:r w:rsidRPr="00295156">
        <w:rPr>
          <w:szCs w:val="20"/>
        </w:rPr>
        <w:t xml:space="preserve"> under the heading ‘Your i</w:t>
      </w:r>
      <w:r w:rsidRPr="00295156">
        <w:rPr>
          <w:szCs w:val="20"/>
        </w:rPr>
        <w:t>n</w:t>
      </w:r>
      <w:r w:rsidRPr="00295156">
        <w:rPr>
          <w:szCs w:val="20"/>
        </w:rPr>
        <w:t xml:space="preserve">put/Consultations’. </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1" w:name="_Toc335141334"/>
      <w:r w:rsidRPr="00295156">
        <w:rPr>
          <w:rFonts w:cs="Georgia"/>
          <w:b/>
          <w:bCs/>
          <w:i/>
          <w:color w:val="000000"/>
          <w:sz w:val="20"/>
          <w:szCs w:val="20"/>
          <w:lang w:eastAsia="en-GB"/>
        </w:rPr>
        <w:t>Publication of responses</w:t>
      </w:r>
      <w:bookmarkEnd w:id="1"/>
    </w:p>
    <w:p w:rsidR="00F574D0" w:rsidRPr="00295156" w:rsidRDefault="00F574D0" w:rsidP="00F574D0">
      <w:pPr>
        <w:pStyle w:val="04BodyText"/>
        <w:spacing w:before="120" w:after="120"/>
        <w:rPr>
          <w:szCs w:val="20"/>
        </w:rPr>
      </w:pPr>
      <w:r w:rsidRPr="00295156">
        <w:rPr>
          <w:szCs w:val="20"/>
        </w:rPr>
        <w:t xml:space="preserve">All contributions received will be published following the end of the consultation period, unless otherwise requested. </w:t>
      </w:r>
      <w:r w:rsidRPr="00295156">
        <w:rPr>
          <w:b/>
          <w:szCs w:val="20"/>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295156">
        <w:rPr>
          <w:szCs w:val="20"/>
        </w:rPr>
        <w:t xml:space="preserve"> Note also that a confidential response may be requested from us in accordance with ESMA’s rules on access to doc</w:t>
      </w:r>
      <w:r w:rsidRPr="00295156">
        <w:rPr>
          <w:szCs w:val="20"/>
        </w:rPr>
        <w:t>u</w:t>
      </w:r>
      <w:r w:rsidRPr="00295156">
        <w:rPr>
          <w:szCs w:val="20"/>
        </w:rPr>
        <w:t>ments. We may consult you if we receive such a request. Any decision we make is reviewable by ESMA’s Board of Appeal and the European Ombudsman.</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2" w:name="_Toc335141335"/>
      <w:r w:rsidRPr="00295156">
        <w:rPr>
          <w:rFonts w:cs="Georgia"/>
          <w:b/>
          <w:bCs/>
          <w:i/>
          <w:color w:val="000000"/>
          <w:sz w:val="20"/>
          <w:szCs w:val="20"/>
          <w:lang w:eastAsia="en-GB"/>
        </w:rPr>
        <w:t>Data protection</w:t>
      </w:r>
      <w:bookmarkEnd w:id="2"/>
    </w:p>
    <w:p w:rsidR="00F574D0" w:rsidRPr="00295156" w:rsidRDefault="00F574D0" w:rsidP="00F574D0">
      <w:pPr>
        <w:autoSpaceDE w:val="0"/>
        <w:autoSpaceDN w:val="0"/>
        <w:adjustRightInd w:val="0"/>
        <w:spacing w:before="120" w:after="120" w:line="276" w:lineRule="auto"/>
        <w:jc w:val="both"/>
        <w:rPr>
          <w:sz w:val="20"/>
          <w:szCs w:val="20"/>
        </w:rPr>
      </w:pPr>
      <w:r w:rsidRPr="00295156">
        <w:rPr>
          <w:sz w:val="20"/>
          <w:szCs w:val="20"/>
        </w:rPr>
        <w:t xml:space="preserve">Information on data protection can be found at </w:t>
      </w:r>
      <w:hyperlink r:id="rId14" w:history="1">
        <w:r w:rsidRPr="00295156">
          <w:rPr>
            <w:rStyle w:val="Hyperlink"/>
            <w:sz w:val="20"/>
            <w:szCs w:val="20"/>
          </w:rPr>
          <w:t>www.esma.europa.eu</w:t>
        </w:r>
      </w:hyperlink>
      <w:r w:rsidRPr="00295156">
        <w:rPr>
          <w:sz w:val="20"/>
          <w:szCs w:val="20"/>
        </w:rPr>
        <w:t xml:space="preserve"> under the heading ‘Disclaimer’.</w:t>
      </w:r>
    </w:p>
    <w:bookmarkEnd w:id="0"/>
    <w:p w:rsidR="00473916" w:rsidRDefault="00473916" w:rsidP="00473916"/>
    <w:p w:rsidR="00473916" w:rsidRPr="00473916" w:rsidRDefault="00473916" w:rsidP="00473916"/>
    <w:p w:rsidR="00473916" w:rsidRPr="0026621B" w:rsidRDefault="00473916" w:rsidP="00473916">
      <w:pPr>
        <w:pStyle w:val="Heading1"/>
        <w:numPr>
          <w:ilvl w:val="0"/>
          <w:numId w:val="0"/>
        </w:numPr>
        <w:rPr>
          <w:sz w:val="22"/>
          <w:szCs w:val="22"/>
        </w:rPr>
      </w:pPr>
      <w:r w:rsidRPr="0026621B">
        <w:rPr>
          <w:sz w:val="22"/>
          <w:szCs w:val="22"/>
        </w:rPr>
        <w:lastRenderedPageBreak/>
        <w:t>General information about respondent</w:t>
      </w:r>
    </w:p>
    <w:tbl>
      <w:tblPr>
        <w:tblStyle w:val="TableGrid"/>
        <w:tblW w:w="0" w:type="auto"/>
        <w:tblLook w:val="04A0" w:firstRow="1" w:lastRow="0" w:firstColumn="1" w:lastColumn="0" w:noHBand="0" w:noVBand="1"/>
      </w:tblPr>
      <w:tblGrid>
        <w:gridCol w:w="3510"/>
        <w:gridCol w:w="6118"/>
      </w:tblGrid>
      <w:tr w:rsidR="00473916" w:rsidRPr="0026621B" w:rsidTr="00961A6D">
        <w:tc>
          <w:tcPr>
            <w:tcW w:w="3510" w:type="dxa"/>
          </w:tcPr>
          <w:p w:rsidR="00473916" w:rsidRPr="0026621B" w:rsidRDefault="00473916" w:rsidP="00961A6D">
            <w:pPr>
              <w:rPr>
                <w:rFonts w:cs="Arial"/>
                <w:szCs w:val="22"/>
              </w:rPr>
            </w:pPr>
            <w:r w:rsidRPr="0026621B">
              <w:rPr>
                <w:rFonts w:cs="Arial"/>
                <w:szCs w:val="22"/>
              </w:rPr>
              <w:t>Are you representing an associ</w:t>
            </w:r>
            <w:r w:rsidRPr="0026621B">
              <w:rPr>
                <w:rFonts w:cs="Arial"/>
                <w:szCs w:val="22"/>
              </w:rPr>
              <w:t>a</w:t>
            </w:r>
            <w:r w:rsidRPr="0026621B">
              <w:rPr>
                <w:rFonts w:cs="Arial"/>
                <w:szCs w:val="22"/>
              </w:rPr>
              <w:t>tion?</w:t>
            </w:r>
          </w:p>
        </w:tc>
        <w:tc>
          <w:tcPr>
            <w:tcW w:w="6118" w:type="dxa"/>
          </w:tcPr>
          <w:p w:rsidR="00473916" w:rsidRPr="0026621B" w:rsidRDefault="006A596F" w:rsidP="00961A6D">
            <w:pPr>
              <w:rPr>
                <w:rFonts w:cs="Arial"/>
                <w:szCs w:val="22"/>
              </w:rPr>
            </w:pPr>
            <w:sdt>
              <w:sdtPr>
                <w:rPr>
                  <w:rFonts w:cs="Arial"/>
                  <w:szCs w:val="22"/>
                </w:rPr>
                <w:alias w:val="Association"/>
                <w:tag w:val="Association"/>
                <w:id w:val="-1769143793"/>
                <w:placeholder>
                  <w:docPart w:val="65E85BD11FA34C35ABE725446C5BAEC5"/>
                </w:placeholder>
                <w:comboBox>
                  <w:listItem w:displayText="Yes" w:value="Yes"/>
                  <w:listItem w:displayText="No" w:value="No"/>
                </w:comboBox>
              </w:sdtPr>
              <w:sdtEndPr/>
              <w:sdtContent>
                <w:permStart w:id="1592395010" w:edGrp="everyone"/>
                <w:r w:rsidR="00D4772D">
                  <w:rPr>
                    <w:rFonts w:cs="Arial"/>
                    <w:szCs w:val="22"/>
                  </w:rPr>
                  <w:t>No</w:t>
                </w:r>
                <w:permEnd w:id="1592395010"/>
              </w:sdtContent>
            </w:sdt>
          </w:p>
        </w:tc>
      </w:tr>
      <w:tr w:rsidR="00473916" w:rsidRPr="0026621B" w:rsidTr="00961A6D">
        <w:tc>
          <w:tcPr>
            <w:tcW w:w="3510" w:type="dxa"/>
          </w:tcPr>
          <w:p w:rsidR="00473916" w:rsidRPr="0026621B" w:rsidRDefault="00473916" w:rsidP="00961A6D">
            <w:pPr>
              <w:rPr>
                <w:rFonts w:cs="Arial"/>
                <w:szCs w:val="22"/>
              </w:rPr>
            </w:pPr>
            <w:r w:rsidRPr="0026621B">
              <w:rPr>
                <w:rFonts w:cs="Arial"/>
                <w:szCs w:val="22"/>
              </w:rPr>
              <w:t>Activity:</w:t>
            </w:r>
          </w:p>
        </w:tc>
        <w:tc>
          <w:tcPr>
            <w:tcW w:w="6118" w:type="dxa"/>
          </w:tcPr>
          <w:p w:rsidR="00473916" w:rsidRPr="0026621B" w:rsidRDefault="006A596F" w:rsidP="00961A6D">
            <w:pPr>
              <w:rPr>
                <w:rFonts w:cs="Arial"/>
                <w:szCs w:val="22"/>
              </w:rPr>
            </w:pPr>
            <w:sdt>
              <w:sdtPr>
                <w:rPr>
                  <w:rFonts w:cs="Arial"/>
                  <w:szCs w:val="22"/>
                </w:rPr>
                <w:alias w:val="Activity"/>
                <w:tag w:val="Activity"/>
                <w:id w:val="1654095920"/>
                <w:placeholder>
                  <w:docPart w:val="98048A7DD8DF4A6B8C6CF00D9B1940F8"/>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1956914627" w:edGrp="everyone"/>
                <w:r w:rsidR="00D4772D">
                  <w:rPr>
                    <w:rFonts w:cs="Arial"/>
                    <w:szCs w:val="22"/>
                  </w:rPr>
                  <w:t>Other</w:t>
                </w:r>
                <w:permEnd w:id="1956914627"/>
              </w:sdtContent>
            </w:sdt>
          </w:p>
        </w:tc>
      </w:tr>
      <w:tr w:rsidR="00473916" w:rsidRPr="0026621B" w:rsidTr="00961A6D">
        <w:tc>
          <w:tcPr>
            <w:tcW w:w="3510" w:type="dxa"/>
          </w:tcPr>
          <w:p w:rsidR="00473916" w:rsidRPr="0026621B" w:rsidRDefault="00473916" w:rsidP="00961A6D">
            <w:pPr>
              <w:rPr>
                <w:rFonts w:cs="Arial"/>
                <w:szCs w:val="22"/>
              </w:rPr>
            </w:pPr>
            <w:r w:rsidRPr="0026621B">
              <w:rPr>
                <w:rFonts w:cs="Arial"/>
                <w:szCs w:val="22"/>
              </w:rPr>
              <w:t>Country/Region</w:t>
            </w:r>
          </w:p>
        </w:tc>
        <w:sdt>
          <w:sdtPr>
            <w:rPr>
              <w:rFonts w:cs="Arial"/>
              <w:szCs w:val="22"/>
            </w:rPr>
            <w:alias w:val="Country"/>
            <w:tag w:val="Country"/>
            <w:id w:val="-1549134410"/>
            <w:placeholder>
              <w:docPart w:val="5EAC301EA3224F67909AA00721C3F8B7"/>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53831826" w:edGrp="everyone" w:displacedByCustomXml="prev"/>
            <w:tc>
              <w:tcPr>
                <w:tcW w:w="6118" w:type="dxa"/>
              </w:tcPr>
              <w:p w:rsidR="00473916" w:rsidRPr="0026621B" w:rsidRDefault="00D4772D" w:rsidP="00961A6D">
                <w:pPr>
                  <w:rPr>
                    <w:rFonts w:cs="Arial"/>
                    <w:szCs w:val="22"/>
                  </w:rPr>
                </w:pPr>
                <w:r>
                  <w:rPr>
                    <w:rFonts w:cs="Arial"/>
                    <w:szCs w:val="22"/>
                  </w:rPr>
                  <w:t>Europe</w:t>
                </w:r>
              </w:p>
            </w:tc>
            <w:permEnd w:id="53831826" w:displacedByCustomXml="next"/>
          </w:sdtContent>
        </w:sdt>
      </w:tr>
    </w:tbl>
    <w:p w:rsidR="007F4106" w:rsidRDefault="007F4106">
      <w:pPr>
        <w:rPr>
          <w:b/>
        </w:rPr>
      </w:pPr>
      <w:r>
        <w:br w:type="page"/>
      </w:r>
      <w:bookmarkStart w:id="3" w:name="_GoBack"/>
      <w:bookmarkEnd w:id="3"/>
    </w:p>
    <w:p w:rsidR="00D12AFD" w:rsidRDefault="00D12AFD" w:rsidP="00965B03">
      <w:pPr>
        <w:pStyle w:val="Heading5"/>
        <w:ind w:left="567" w:hanging="567"/>
      </w:pPr>
      <w:r w:rsidRPr="002C4F00">
        <w:lastRenderedPageBreak/>
        <w:t>Do you think the proposed timeframes for allocations and confirmations under Article 2 of the RTS on Settlement Discipline are adequate?</w:t>
      </w:r>
    </w:p>
    <w:p w:rsidR="00D12AFD" w:rsidRPr="002C4F00" w:rsidRDefault="00D12AFD" w:rsidP="00BA1DEE">
      <w:pPr>
        <w:pStyle w:val="Heading5"/>
        <w:numPr>
          <w:ilvl w:val="0"/>
          <w:numId w:val="0"/>
        </w:numPr>
        <w:ind w:left="567"/>
      </w:pPr>
      <w:r w:rsidRPr="002C4F00">
        <w:t>If not, what would be feasible timeframes in your opinion?</w:t>
      </w:r>
    </w:p>
    <w:p w:rsidR="00D12AFD" w:rsidRDefault="00D12AFD" w:rsidP="00BA1DEE">
      <w:pPr>
        <w:ind w:left="567"/>
      </w:pPr>
    </w:p>
    <w:p w:rsidR="00D12AFD" w:rsidRPr="002C4F00" w:rsidRDefault="00D12AFD" w:rsidP="00BA1DEE">
      <w:pPr>
        <w:pStyle w:val="Heading5"/>
        <w:numPr>
          <w:ilvl w:val="0"/>
          <w:numId w:val="0"/>
        </w:numPr>
        <w:ind w:left="567"/>
      </w:pPr>
      <w:r w:rsidRPr="002C4F00">
        <w:t>Please provide details and arguments in case you envisage any technical difficulties in complying with the proposed timeframes.</w:t>
      </w:r>
    </w:p>
    <w:p w:rsidR="00D12AFD" w:rsidRDefault="00D12AFD" w:rsidP="00D12AFD"/>
    <w:p w:rsidR="00D12AFD" w:rsidRDefault="00D12AFD" w:rsidP="00D12AFD">
      <w:r>
        <w:t>&lt;ESMA_QUESTION_TS_CSDR_1&gt;</w:t>
      </w:r>
    </w:p>
    <w:p w:rsidR="00614E55" w:rsidRDefault="00614E55" w:rsidP="00D12AFD">
      <w:pPr>
        <w:rPr>
          <w:rFonts w:cs="Arial"/>
          <w:sz w:val="20"/>
          <w:szCs w:val="20"/>
        </w:rPr>
      </w:pPr>
      <w:permStart w:id="1232289951" w:edGrp="everyone"/>
      <w:r w:rsidRPr="00EE4E11">
        <w:rPr>
          <w:rFonts w:cs="Arial"/>
          <w:sz w:val="20"/>
          <w:szCs w:val="20"/>
        </w:rPr>
        <w:t>The T2S Advisory Group (AG) considers the scope of this question as not directly relevant for T2S.</w:t>
      </w:r>
    </w:p>
    <w:permEnd w:id="1232289951"/>
    <w:p w:rsidR="00D12AFD" w:rsidRDefault="00D12AFD" w:rsidP="00D12AFD">
      <w:r>
        <w:t>&lt;ESMA_QUESTION_TS_CSDR_1&gt;</w:t>
      </w:r>
    </w:p>
    <w:p w:rsidR="00D12AFD" w:rsidRDefault="00D12AFD" w:rsidP="00B874B2">
      <w:pPr>
        <w:pStyle w:val="Heading5"/>
        <w:ind w:left="567" w:hanging="567"/>
        <w:rPr>
          <w:color w:val="000000"/>
          <w:lang w:eastAsia="en-GB"/>
        </w:rPr>
      </w:pPr>
      <w:r w:rsidRPr="002C4F00">
        <w:rPr>
          <w:color w:val="000000"/>
          <w:lang w:eastAsia="en-GB"/>
        </w:rPr>
        <w:t>Do you agree with the cases when matching would not be necessary, as specified under Article 3(2) of the draft RTS?</w:t>
      </w:r>
    </w:p>
    <w:p w:rsidR="00D12AFD" w:rsidRPr="00D12AFD" w:rsidRDefault="00D12AFD" w:rsidP="00BA1DEE">
      <w:pPr>
        <w:pStyle w:val="Heading5"/>
        <w:numPr>
          <w:ilvl w:val="0"/>
          <w:numId w:val="0"/>
        </w:numPr>
        <w:ind w:left="567"/>
        <w:rPr>
          <w:color w:val="000000"/>
          <w:lang w:eastAsia="en-GB"/>
        </w:rPr>
      </w:pPr>
      <w:r w:rsidRPr="00D12AFD">
        <w:rPr>
          <w:color w:val="000000"/>
          <w:lang w:eastAsia="en-GB"/>
        </w:rPr>
        <w:t>Should other cases be included? Please provide details and evidence for any pr</w:t>
      </w:r>
      <w:r w:rsidRPr="00D12AFD">
        <w:rPr>
          <w:color w:val="000000"/>
          <w:lang w:eastAsia="en-GB"/>
        </w:rPr>
        <w:t>o</w:t>
      </w:r>
      <w:r w:rsidRPr="00D12AFD">
        <w:rPr>
          <w:color w:val="000000"/>
          <w:lang w:eastAsia="en-GB"/>
        </w:rPr>
        <w:t>posed case.</w:t>
      </w:r>
    </w:p>
    <w:p w:rsidR="00D12AFD" w:rsidRDefault="00D12AFD" w:rsidP="00D12AFD"/>
    <w:p w:rsidR="00D12AFD" w:rsidRDefault="00D12AFD" w:rsidP="00D12AFD">
      <w:r>
        <w:t>&lt;ESMA_QUESTION_TS_CSDR_2&gt;</w:t>
      </w:r>
    </w:p>
    <w:p w:rsidR="00961A6D" w:rsidRDefault="00961A6D" w:rsidP="00961A6D">
      <w:pPr>
        <w:pStyle w:val="NoSpacing"/>
        <w:rPr>
          <w:rFonts w:ascii="Arial" w:hAnsi="Arial" w:cs="Arial"/>
          <w:b/>
          <w:sz w:val="20"/>
          <w:szCs w:val="20"/>
          <w:u w:val="single"/>
        </w:rPr>
      </w:pPr>
      <w:permStart w:id="138483122" w:edGrp="everyone"/>
      <w:r w:rsidRPr="00726AF0">
        <w:rPr>
          <w:rFonts w:ascii="Arial" w:hAnsi="Arial" w:cs="Arial"/>
          <w:b/>
          <w:sz w:val="20"/>
          <w:szCs w:val="20"/>
          <w:u w:val="single"/>
        </w:rPr>
        <w:t xml:space="preserve">T2S Advisory Group </w:t>
      </w:r>
      <w:r>
        <w:rPr>
          <w:rFonts w:ascii="Arial" w:hAnsi="Arial" w:cs="Arial"/>
          <w:b/>
          <w:sz w:val="20"/>
          <w:szCs w:val="20"/>
          <w:u w:val="single"/>
        </w:rPr>
        <w:t xml:space="preserve">(AG) </w:t>
      </w:r>
      <w:r w:rsidRPr="00726AF0">
        <w:rPr>
          <w:rFonts w:ascii="Arial" w:hAnsi="Arial" w:cs="Arial"/>
          <w:b/>
          <w:sz w:val="20"/>
          <w:szCs w:val="20"/>
          <w:u w:val="single"/>
        </w:rPr>
        <w:t>response to Q2</w:t>
      </w:r>
    </w:p>
    <w:p w:rsidR="00961A6D" w:rsidRDefault="00961A6D" w:rsidP="00961A6D">
      <w:pPr>
        <w:pStyle w:val="NoSpacing"/>
        <w:rPr>
          <w:rFonts w:ascii="Arial" w:hAnsi="Arial" w:cs="Arial"/>
          <w:b/>
          <w:i/>
          <w:color w:val="000000"/>
          <w:sz w:val="20"/>
          <w:szCs w:val="20"/>
        </w:rPr>
      </w:pPr>
      <w:r w:rsidRPr="00402DD3">
        <w:rPr>
          <w:rFonts w:ascii="Arial" w:hAnsi="Arial" w:cs="Arial"/>
          <w:b/>
          <w:color w:val="000000"/>
          <w:sz w:val="20"/>
          <w:szCs w:val="20"/>
        </w:rPr>
        <w:t>RTS Article 3(2)</w:t>
      </w:r>
      <w:r w:rsidR="00650183" w:rsidRPr="00402DD3">
        <w:rPr>
          <w:rFonts w:ascii="Arial" w:hAnsi="Arial" w:cs="Arial"/>
          <w:b/>
          <w:color w:val="000000"/>
          <w:sz w:val="20"/>
          <w:szCs w:val="20"/>
        </w:rPr>
        <w:t>, Annex I</w:t>
      </w:r>
      <w:r>
        <w:rPr>
          <w:rFonts w:ascii="Arial" w:hAnsi="Arial" w:cs="Arial"/>
          <w:b/>
          <w:i/>
          <w:color w:val="000000"/>
          <w:sz w:val="20"/>
          <w:szCs w:val="20"/>
        </w:rPr>
        <w:t xml:space="preserve"> </w:t>
      </w:r>
      <w:r w:rsidRPr="00257291">
        <w:rPr>
          <w:rFonts w:ascii="Arial" w:hAnsi="Arial" w:cs="Arial"/>
          <w:i/>
          <w:color w:val="000000"/>
          <w:sz w:val="20"/>
          <w:szCs w:val="20"/>
        </w:rPr>
        <w:t>on mandatory matching</w:t>
      </w:r>
      <w:r w:rsidRPr="00896906">
        <w:rPr>
          <w:rFonts w:ascii="Arial" w:hAnsi="Arial" w:cs="Arial"/>
          <w:b/>
          <w:i/>
          <w:color w:val="000000"/>
          <w:sz w:val="20"/>
          <w:szCs w:val="20"/>
        </w:rPr>
        <w:t>:</w:t>
      </w:r>
    </w:p>
    <w:p w:rsidR="00961A6D" w:rsidRDefault="00961A6D" w:rsidP="00961A6D">
      <w:pPr>
        <w:pStyle w:val="NoSpacing"/>
        <w:rPr>
          <w:rFonts w:ascii="Arial" w:hAnsi="Arial" w:cs="Arial"/>
          <w:sz w:val="20"/>
          <w:szCs w:val="20"/>
        </w:rPr>
      </w:pPr>
      <w:r>
        <w:rPr>
          <w:rFonts w:ascii="Arial" w:hAnsi="Arial" w:cs="Arial"/>
          <w:sz w:val="20"/>
          <w:szCs w:val="20"/>
        </w:rPr>
        <w:t>T</w:t>
      </w:r>
      <w:r w:rsidRPr="00B634A9">
        <w:rPr>
          <w:rFonts w:ascii="Arial" w:hAnsi="Arial" w:cs="Arial"/>
          <w:sz w:val="20"/>
          <w:szCs w:val="20"/>
        </w:rPr>
        <w:t>he AG agrees with the proposed text under Art</w:t>
      </w:r>
      <w:r>
        <w:rPr>
          <w:rFonts w:ascii="Arial" w:hAnsi="Arial" w:cs="Arial"/>
          <w:sz w:val="20"/>
          <w:szCs w:val="20"/>
        </w:rPr>
        <w:t>.</w:t>
      </w:r>
      <w:r w:rsidRPr="00B634A9">
        <w:rPr>
          <w:rFonts w:ascii="Arial" w:hAnsi="Arial" w:cs="Arial"/>
          <w:sz w:val="20"/>
          <w:szCs w:val="20"/>
        </w:rPr>
        <w:t xml:space="preserve"> 3(2) of the draft </w:t>
      </w:r>
      <w:r>
        <w:rPr>
          <w:rFonts w:ascii="Arial" w:hAnsi="Arial" w:cs="Arial"/>
          <w:sz w:val="20"/>
          <w:szCs w:val="20"/>
        </w:rPr>
        <w:t>regulatory technical standards (</w:t>
      </w:r>
      <w:r w:rsidRPr="00B634A9">
        <w:rPr>
          <w:rFonts w:ascii="Arial" w:hAnsi="Arial" w:cs="Arial"/>
          <w:sz w:val="20"/>
          <w:szCs w:val="20"/>
        </w:rPr>
        <w:t>RTS</w:t>
      </w:r>
      <w:r>
        <w:rPr>
          <w:rFonts w:ascii="Arial" w:hAnsi="Arial" w:cs="Arial"/>
          <w:sz w:val="20"/>
          <w:szCs w:val="20"/>
        </w:rPr>
        <w:t>) as proposed by ESMA</w:t>
      </w:r>
      <w:r w:rsidRPr="00B634A9">
        <w:rPr>
          <w:rFonts w:ascii="Arial" w:hAnsi="Arial" w:cs="Arial"/>
          <w:sz w:val="20"/>
          <w:szCs w:val="20"/>
        </w:rPr>
        <w:t xml:space="preserve">. </w:t>
      </w:r>
      <w:r>
        <w:rPr>
          <w:rFonts w:ascii="Arial" w:hAnsi="Arial" w:cs="Arial"/>
          <w:sz w:val="20"/>
          <w:szCs w:val="20"/>
        </w:rPr>
        <w:t>The AG does not see the need to include any further</w:t>
      </w:r>
      <w:r w:rsidRPr="00B634A9">
        <w:rPr>
          <w:rFonts w:ascii="Arial" w:hAnsi="Arial" w:cs="Arial"/>
          <w:sz w:val="20"/>
          <w:szCs w:val="20"/>
        </w:rPr>
        <w:t xml:space="preserve"> cases</w:t>
      </w:r>
      <w:r>
        <w:rPr>
          <w:rFonts w:ascii="Arial" w:hAnsi="Arial" w:cs="Arial"/>
          <w:sz w:val="20"/>
          <w:szCs w:val="20"/>
        </w:rPr>
        <w:t xml:space="preserve"> of mandatory</w:t>
      </w:r>
      <w:r w:rsidRPr="00B634A9">
        <w:rPr>
          <w:rFonts w:ascii="Arial" w:hAnsi="Arial" w:cs="Arial"/>
          <w:sz w:val="20"/>
          <w:szCs w:val="20"/>
        </w:rPr>
        <w:t xml:space="preserve"> </w:t>
      </w:r>
      <w:r>
        <w:rPr>
          <w:rFonts w:ascii="Arial" w:hAnsi="Arial" w:cs="Arial"/>
          <w:sz w:val="20"/>
          <w:szCs w:val="20"/>
        </w:rPr>
        <w:t xml:space="preserve">CSD </w:t>
      </w:r>
      <w:r w:rsidRPr="00B634A9">
        <w:rPr>
          <w:rFonts w:ascii="Arial" w:hAnsi="Arial" w:cs="Arial"/>
          <w:sz w:val="20"/>
          <w:szCs w:val="20"/>
        </w:rPr>
        <w:t xml:space="preserve">matching </w:t>
      </w:r>
      <w:r>
        <w:rPr>
          <w:rFonts w:ascii="Arial" w:hAnsi="Arial" w:cs="Arial"/>
          <w:sz w:val="20"/>
          <w:szCs w:val="20"/>
        </w:rPr>
        <w:t>in the RTS</w:t>
      </w:r>
      <w:r w:rsidRPr="00B634A9">
        <w:rPr>
          <w:rFonts w:ascii="Arial" w:hAnsi="Arial" w:cs="Arial"/>
          <w:sz w:val="20"/>
          <w:szCs w:val="20"/>
        </w:rPr>
        <w:t>.</w:t>
      </w:r>
    </w:p>
    <w:p w:rsidR="00961A6D" w:rsidRDefault="00961A6D" w:rsidP="00961A6D">
      <w:pPr>
        <w:pStyle w:val="NoSpacing"/>
        <w:rPr>
          <w:rFonts w:ascii="Arial" w:hAnsi="Arial" w:cs="Arial"/>
          <w:sz w:val="20"/>
          <w:szCs w:val="20"/>
        </w:rPr>
      </w:pPr>
      <w:r w:rsidRPr="00675BDD">
        <w:rPr>
          <w:rFonts w:ascii="Arial" w:hAnsi="Arial" w:cs="Arial"/>
          <w:sz w:val="20"/>
          <w:szCs w:val="20"/>
        </w:rPr>
        <w:t>T</w:t>
      </w:r>
      <w:r w:rsidRPr="0058760B">
        <w:rPr>
          <w:rFonts w:ascii="Arial" w:hAnsi="Arial" w:cs="Arial"/>
          <w:sz w:val="20"/>
          <w:szCs w:val="20"/>
        </w:rPr>
        <w:t xml:space="preserve">he AG understands that </w:t>
      </w:r>
      <w:r>
        <w:rPr>
          <w:rFonts w:ascii="Arial" w:hAnsi="Arial" w:cs="Arial"/>
          <w:sz w:val="20"/>
          <w:szCs w:val="20"/>
        </w:rPr>
        <w:t xml:space="preserve">Art. 3(2) does not prevent </w:t>
      </w:r>
      <w:r w:rsidRPr="0058760B">
        <w:rPr>
          <w:rFonts w:ascii="Arial" w:hAnsi="Arial" w:cs="Arial"/>
          <w:sz w:val="20"/>
          <w:szCs w:val="20"/>
        </w:rPr>
        <w:t>matching for all</w:t>
      </w:r>
      <w:r>
        <w:rPr>
          <w:rFonts w:ascii="Arial" w:hAnsi="Arial" w:cs="Arial"/>
          <w:sz w:val="20"/>
          <w:szCs w:val="20"/>
        </w:rPr>
        <w:t xml:space="preserve"> settlement instructions in T2S (inclu</w:t>
      </w:r>
      <w:r>
        <w:rPr>
          <w:rFonts w:ascii="Arial" w:hAnsi="Arial" w:cs="Arial"/>
          <w:sz w:val="20"/>
          <w:szCs w:val="20"/>
        </w:rPr>
        <w:t>d</w:t>
      </w:r>
      <w:r>
        <w:rPr>
          <w:rFonts w:ascii="Arial" w:hAnsi="Arial" w:cs="Arial"/>
          <w:sz w:val="20"/>
          <w:szCs w:val="20"/>
        </w:rPr>
        <w:t>ing for example, Free of Payment (</w:t>
      </w:r>
      <w:r w:rsidRPr="00B634A9">
        <w:rPr>
          <w:rFonts w:ascii="Arial" w:hAnsi="Arial" w:cs="Arial"/>
          <w:sz w:val="20"/>
          <w:szCs w:val="20"/>
        </w:rPr>
        <w:t>FOP</w:t>
      </w:r>
      <w:r>
        <w:rPr>
          <w:rFonts w:ascii="Arial" w:hAnsi="Arial" w:cs="Arial"/>
          <w:sz w:val="20"/>
          <w:szCs w:val="20"/>
        </w:rPr>
        <w:t xml:space="preserve">), payment free of delivery (PFOD) etc.) </w:t>
      </w:r>
      <w:r w:rsidRPr="00B634A9">
        <w:rPr>
          <w:rFonts w:ascii="Arial" w:hAnsi="Arial" w:cs="Arial"/>
          <w:sz w:val="20"/>
          <w:szCs w:val="20"/>
        </w:rPr>
        <w:t xml:space="preserve">as </w:t>
      </w:r>
      <w:r>
        <w:rPr>
          <w:rFonts w:ascii="Arial" w:hAnsi="Arial" w:cs="Arial"/>
          <w:sz w:val="20"/>
          <w:szCs w:val="20"/>
        </w:rPr>
        <w:t>currently</w:t>
      </w:r>
      <w:r w:rsidRPr="00B634A9">
        <w:rPr>
          <w:rFonts w:ascii="Arial" w:hAnsi="Arial" w:cs="Arial"/>
          <w:sz w:val="20"/>
          <w:szCs w:val="20"/>
        </w:rPr>
        <w:t xml:space="preserve"> foreseen in the T2S system specification documentation</w:t>
      </w:r>
      <w:r>
        <w:rPr>
          <w:rFonts w:ascii="Arial" w:hAnsi="Arial" w:cs="Arial"/>
          <w:sz w:val="20"/>
          <w:szCs w:val="20"/>
        </w:rPr>
        <w:t>. The rules and system developments of 24 EU CSDs pla</w:t>
      </w:r>
      <w:r>
        <w:rPr>
          <w:rFonts w:ascii="Arial" w:hAnsi="Arial" w:cs="Arial"/>
          <w:sz w:val="20"/>
          <w:szCs w:val="20"/>
        </w:rPr>
        <w:t>n</w:t>
      </w:r>
      <w:r>
        <w:rPr>
          <w:rFonts w:ascii="Arial" w:hAnsi="Arial" w:cs="Arial"/>
          <w:sz w:val="20"/>
          <w:szCs w:val="20"/>
        </w:rPr>
        <w:t>ning to migrate to T2S have been following this commonly agreed T2S rule.</w:t>
      </w:r>
    </w:p>
    <w:p w:rsidR="00961A6D" w:rsidRDefault="00961A6D" w:rsidP="00961A6D">
      <w:pPr>
        <w:pStyle w:val="NoSpacing"/>
        <w:rPr>
          <w:rFonts w:ascii="Arial" w:hAnsi="Arial" w:cs="Arial"/>
          <w:sz w:val="20"/>
          <w:szCs w:val="20"/>
        </w:rPr>
      </w:pPr>
      <w:r>
        <w:rPr>
          <w:rFonts w:ascii="Arial" w:hAnsi="Arial" w:cs="Arial"/>
          <w:sz w:val="20"/>
          <w:szCs w:val="20"/>
        </w:rPr>
        <w:t xml:space="preserve">The AG is of the view that this rule (i.e. mandatory matching for all settlement instructions) is fully in line with the concept of mandatory matching of instructions prior to settlement. </w:t>
      </w:r>
    </w:p>
    <w:p w:rsidR="00961A6D" w:rsidRDefault="00961A6D" w:rsidP="00961A6D">
      <w:pPr>
        <w:pStyle w:val="NoSpacing"/>
        <w:rPr>
          <w:rFonts w:ascii="Arial" w:hAnsi="Arial" w:cs="Arial"/>
          <w:sz w:val="20"/>
          <w:szCs w:val="20"/>
        </w:rPr>
      </w:pPr>
      <w:r>
        <w:rPr>
          <w:rFonts w:ascii="Arial" w:hAnsi="Arial" w:cs="Arial"/>
          <w:sz w:val="20"/>
          <w:szCs w:val="20"/>
        </w:rPr>
        <w:t>In this respect, the T2S Community would like to make the following clarification with regards to already matched instructions in T2S:</w:t>
      </w:r>
    </w:p>
    <w:p w:rsidR="00961A6D" w:rsidRDefault="00961A6D" w:rsidP="00961A6D">
      <w:r w:rsidRPr="00400D36">
        <w:rPr>
          <w:rFonts w:cs="Arial"/>
          <w:sz w:val="20"/>
          <w:szCs w:val="20"/>
        </w:rPr>
        <w:t>In T2S, T2S actors (CSDs, CCPs, DCPs</w:t>
      </w:r>
      <w:r>
        <w:rPr>
          <w:rFonts w:cs="Arial"/>
          <w:sz w:val="20"/>
          <w:szCs w:val="20"/>
        </w:rPr>
        <w:t>,</w:t>
      </w:r>
      <w:r w:rsidRPr="00400D36">
        <w:rPr>
          <w:rFonts w:cs="Arial"/>
          <w:sz w:val="20"/>
          <w:szCs w:val="20"/>
        </w:rPr>
        <w:t xml:space="preserve"> etc.) can send instructions as “already matched” to T2S. From </w:t>
      </w:r>
      <w:r>
        <w:rPr>
          <w:rFonts w:cs="Arial"/>
          <w:sz w:val="20"/>
          <w:szCs w:val="20"/>
        </w:rPr>
        <w:t>a</w:t>
      </w:r>
      <w:r w:rsidRPr="00400D36">
        <w:rPr>
          <w:rFonts w:cs="Arial"/>
          <w:sz w:val="20"/>
          <w:szCs w:val="20"/>
        </w:rPr>
        <w:t xml:space="preserve"> business point of view, these are two instructions sent by the T2S actor that has already matched them. Technically, they are sent as one instruction and T2S will create the two separate instructions upon su</w:t>
      </w:r>
      <w:r w:rsidRPr="00400D36">
        <w:rPr>
          <w:rFonts w:cs="Arial"/>
          <w:sz w:val="20"/>
          <w:szCs w:val="20"/>
        </w:rPr>
        <w:t>c</w:t>
      </w:r>
      <w:r w:rsidRPr="00400D36">
        <w:rPr>
          <w:rFonts w:cs="Arial"/>
          <w:sz w:val="20"/>
          <w:szCs w:val="20"/>
        </w:rPr>
        <w:t>cessful validation.</w:t>
      </w:r>
    </w:p>
    <w:permEnd w:id="138483122"/>
    <w:p w:rsidR="00D12AFD" w:rsidRDefault="00D12AFD" w:rsidP="00D12AFD">
      <w:r>
        <w:t>&lt;ESMA_QUESTION_TS_CSDR_2&gt;</w:t>
      </w:r>
    </w:p>
    <w:p w:rsidR="00D12AFD" w:rsidRDefault="00D12AFD" w:rsidP="00965B03">
      <w:pPr>
        <w:pStyle w:val="Heading5"/>
        <w:ind w:left="567" w:hanging="567"/>
      </w:pPr>
      <w:r w:rsidRPr="002C4F00">
        <w:t xml:space="preserve">What are your views on the proposed approach under Article 3(11) of the draft RTS included in Chapter II of Annex I? </w:t>
      </w:r>
    </w:p>
    <w:p w:rsidR="00D12AFD" w:rsidRDefault="00D12AFD" w:rsidP="00BA1DEE">
      <w:pPr>
        <w:pStyle w:val="Heading5"/>
        <w:numPr>
          <w:ilvl w:val="0"/>
          <w:numId w:val="0"/>
        </w:numPr>
        <w:ind w:left="567"/>
      </w:pPr>
      <w:r w:rsidRPr="002C4F00">
        <w:t>Do you think that the 0.5% settlement fails threshold (i.e. 99.5% settlement efficiency rate) is adequate? If not, what would be an adequate threshold? Please provide d</w:t>
      </w:r>
      <w:r w:rsidRPr="002C4F00">
        <w:t>e</w:t>
      </w:r>
      <w:r w:rsidRPr="002C4F00">
        <w:t>tails and arguments.</w:t>
      </w:r>
    </w:p>
    <w:p w:rsidR="00D12AFD" w:rsidRPr="002C4F00" w:rsidRDefault="00D12AFD" w:rsidP="00BA1DEE">
      <w:pPr>
        <w:pStyle w:val="Heading5"/>
        <w:numPr>
          <w:ilvl w:val="0"/>
          <w:numId w:val="0"/>
        </w:numPr>
        <w:ind w:left="567"/>
      </w:pPr>
      <w:r w:rsidRPr="002C4F00">
        <w:t xml:space="preserve">Do you think that the 2,5 billion EUR/year in terms of the value of settlement </w:t>
      </w:r>
      <w:r w:rsidR="00851A83">
        <w:rPr>
          <w:rFonts w:cstheme="minorHAnsi"/>
          <w:szCs w:val="22"/>
        </w:rPr>
        <w:t>fails for a</w:t>
      </w:r>
      <w:r w:rsidR="00851A83" w:rsidRPr="00567AB7">
        <w:rPr>
          <w:rFonts w:cstheme="minorHAnsi"/>
          <w:szCs w:val="22"/>
        </w:rPr>
        <w:t xml:space="preserve"> securities settlement system operated</w:t>
      </w:r>
      <w:r w:rsidRPr="002C4F00">
        <w:t xml:space="preserve"> by a CSD is adequate? If not, what would be an adequate threshold? Please provide details and arguments.</w:t>
      </w:r>
    </w:p>
    <w:p w:rsidR="00D12AFD" w:rsidRDefault="00D12AFD" w:rsidP="00D12AFD"/>
    <w:p w:rsidR="00D12AFD" w:rsidRDefault="00D12AFD" w:rsidP="00D12AFD">
      <w:r>
        <w:t>&lt;ESMA_QUESTION_TS_CSDR_3&gt;</w:t>
      </w:r>
    </w:p>
    <w:p w:rsidR="004730C4" w:rsidRDefault="004730C4" w:rsidP="00961A6D">
      <w:pPr>
        <w:pStyle w:val="NoSpacing"/>
        <w:rPr>
          <w:rFonts w:ascii="Arial" w:hAnsi="Arial" w:cs="Arial"/>
          <w:b/>
          <w:sz w:val="20"/>
          <w:szCs w:val="20"/>
          <w:u w:val="single"/>
        </w:rPr>
      </w:pPr>
      <w:permStart w:id="27418449" w:edGrp="everyone"/>
      <w:r>
        <w:rPr>
          <w:rFonts w:ascii="Arial" w:hAnsi="Arial" w:cs="Arial"/>
          <w:b/>
          <w:sz w:val="20"/>
          <w:szCs w:val="20"/>
          <w:u w:val="single"/>
        </w:rPr>
        <w:t>AG</w:t>
      </w:r>
      <w:r w:rsidRPr="00726AF0">
        <w:rPr>
          <w:rFonts w:ascii="Arial" w:hAnsi="Arial" w:cs="Arial"/>
          <w:b/>
          <w:sz w:val="20"/>
          <w:szCs w:val="20"/>
          <w:u w:val="single"/>
        </w:rPr>
        <w:t xml:space="preserve"> response to</w:t>
      </w:r>
      <w:r w:rsidRPr="0099498F">
        <w:rPr>
          <w:rFonts w:ascii="Arial" w:hAnsi="Arial" w:cs="Arial"/>
          <w:b/>
          <w:sz w:val="20"/>
          <w:szCs w:val="20"/>
          <w:u w:val="single"/>
        </w:rPr>
        <w:t xml:space="preserve"> </w:t>
      </w:r>
      <w:r w:rsidRPr="00726AF0">
        <w:rPr>
          <w:rFonts w:ascii="Arial" w:hAnsi="Arial" w:cs="Arial"/>
          <w:b/>
          <w:sz w:val="20"/>
          <w:szCs w:val="20"/>
          <w:u w:val="single"/>
        </w:rPr>
        <w:t xml:space="preserve">Q3 </w:t>
      </w:r>
    </w:p>
    <w:p w:rsidR="004730C4" w:rsidRDefault="004730C4" w:rsidP="00961A6D">
      <w:pPr>
        <w:pStyle w:val="NoSpacing"/>
        <w:rPr>
          <w:rFonts w:ascii="Arial" w:hAnsi="Arial" w:cs="Arial"/>
          <w:b/>
          <w:i/>
          <w:sz w:val="20"/>
          <w:szCs w:val="20"/>
        </w:rPr>
      </w:pPr>
      <w:r w:rsidRPr="00402DD3">
        <w:rPr>
          <w:rFonts w:ascii="Arial" w:hAnsi="Arial" w:cs="Arial"/>
          <w:b/>
          <w:sz w:val="20"/>
          <w:szCs w:val="20"/>
        </w:rPr>
        <w:t>RTS Art. 3(11)</w:t>
      </w:r>
      <w:r w:rsidR="00650183" w:rsidRPr="00402DD3">
        <w:rPr>
          <w:rFonts w:ascii="Arial" w:hAnsi="Arial" w:cs="Arial"/>
          <w:b/>
          <w:sz w:val="20"/>
          <w:szCs w:val="20"/>
        </w:rPr>
        <w:t xml:space="preserve">, </w:t>
      </w:r>
      <w:r w:rsidR="00650183" w:rsidRPr="00402DD3">
        <w:rPr>
          <w:rFonts w:ascii="Arial" w:hAnsi="Arial" w:cs="Arial"/>
          <w:b/>
          <w:color w:val="000000"/>
          <w:sz w:val="20"/>
          <w:szCs w:val="20"/>
        </w:rPr>
        <w:t>Annex I</w:t>
      </w:r>
      <w:r w:rsidR="00961A6D" w:rsidRPr="00402DD3">
        <w:rPr>
          <w:rFonts w:ascii="Arial" w:hAnsi="Arial" w:cs="Arial"/>
          <w:b/>
          <w:sz w:val="20"/>
          <w:szCs w:val="20"/>
        </w:rPr>
        <w:t xml:space="preserve"> </w:t>
      </w:r>
      <w:r w:rsidR="00961A6D" w:rsidRPr="004172A5">
        <w:rPr>
          <w:rFonts w:ascii="Arial" w:hAnsi="Arial" w:cs="Arial"/>
          <w:i/>
          <w:sz w:val="20"/>
          <w:szCs w:val="20"/>
        </w:rPr>
        <w:t xml:space="preserve">on exemptions from hold and release, recycling and </w:t>
      </w:r>
      <w:r w:rsidR="004172A5" w:rsidRPr="004172A5">
        <w:rPr>
          <w:rFonts w:ascii="Arial" w:hAnsi="Arial" w:cs="Arial"/>
          <w:i/>
          <w:sz w:val="20"/>
          <w:szCs w:val="20"/>
        </w:rPr>
        <w:t>partial-settlement requir</w:t>
      </w:r>
      <w:r w:rsidR="004172A5" w:rsidRPr="004172A5">
        <w:rPr>
          <w:rFonts w:ascii="Arial" w:hAnsi="Arial" w:cs="Arial"/>
          <w:i/>
          <w:sz w:val="20"/>
          <w:szCs w:val="20"/>
        </w:rPr>
        <w:t>e</w:t>
      </w:r>
      <w:r w:rsidR="004172A5" w:rsidRPr="004172A5">
        <w:rPr>
          <w:rFonts w:ascii="Arial" w:hAnsi="Arial" w:cs="Arial"/>
          <w:i/>
          <w:sz w:val="20"/>
          <w:szCs w:val="20"/>
        </w:rPr>
        <w:t>ments</w:t>
      </w:r>
      <w:r w:rsidRPr="004172A5">
        <w:rPr>
          <w:rFonts w:ascii="Arial" w:hAnsi="Arial" w:cs="Arial"/>
          <w:i/>
          <w:sz w:val="20"/>
          <w:szCs w:val="20"/>
        </w:rPr>
        <w:t>:</w:t>
      </w:r>
    </w:p>
    <w:p w:rsidR="004730C4" w:rsidRDefault="004730C4" w:rsidP="00961A6D">
      <w:pPr>
        <w:pStyle w:val="NoSpacing"/>
        <w:rPr>
          <w:rFonts w:ascii="Arial" w:hAnsi="Arial" w:cs="Arial"/>
          <w:sz w:val="20"/>
          <w:szCs w:val="20"/>
        </w:rPr>
      </w:pPr>
      <w:r w:rsidRPr="00F62F68">
        <w:rPr>
          <w:rFonts w:ascii="Arial" w:hAnsi="Arial" w:cs="Arial"/>
          <w:sz w:val="20"/>
          <w:szCs w:val="20"/>
        </w:rPr>
        <w:lastRenderedPageBreak/>
        <w:t xml:space="preserve">The AG is of the opinion that for reasons of level playing field </w:t>
      </w:r>
      <w:r>
        <w:rPr>
          <w:rFonts w:ascii="Arial" w:hAnsi="Arial" w:cs="Arial"/>
          <w:sz w:val="20"/>
          <w:szCs w:val="20"/>
        </w:rPr>
        <w:t xml:space="preserve">among all CSDs </w:t>
      </w:r>
      <w:r w:rsidRPr="00F62F68">
        <w:rPr>
          <w:rFonts w:ascii="Arial" w:hAnsi="Arial" w:cs="Arial"/>
          <w:sz w:val="20"/>
          <w:szCs w:val="20"/>
        </w:rPr>
        <w:t xml:space="preserve">and harmonisation </w:t>
      </w:r>
      <w:r>
        <w:rPr>
          <w:rFonts w:ascii="Arial" w:hAnsi="Arial" w:cs="Arial"/>
          <w:sz w:val="20"/>
          <w:szCs w:val="20"/>
        </w:rPr>
        <w:t>across</w:t>
      </w:r>
      <w:r w:rsidRPr="00F62F68">
        <w:rPr>
          <w:rFonts w:ascii="Arial" w:hAnsi="Arial" w:cs="Arial"/>
          <w:sz w:val="20"/>
          <w:szCs w:val="20"/>
        </w:rPr>
        <w:t xml:space="preserve"> the EU market, there should be no regulatory rules allowing the opt-out of certain CSDs from the recycling process.</w:t>
      </w:r>
      <w:r>
        <w:rPr>
          <w:rFonts w:ascii="Arial" w:hAnsi="Arial" w:cs="Arial"/>
          <w:sz w:val="20"/>
          <w:szCs w:val="20"/>
        </w:rPr>
        <w:t xml:space="preserve"> The mandatory recycling for all failed transactions in all EU CSDs ensures that there is a harm</w:t>
      </w:r>
      <w:r>
        <w:rPr>
          <w:rFonts w:ascii="Arial" w:hAnsi="Arial" w:cs="Arial"/>
          <w:sz w:val="20"/>
          <w:szCs w:val="20"/>
        </w:rPr>
        <w:t>o</w:t>
      </w:r>
      <w:r>
        <w:rPr>
          <w:rFonts w:ascii="Arial" w:hAnsi="Arial" w:cs="Arial"/>
          <w:sz w:val="20"/>
          <w:szCs w:val="20"/>
        </w:rPr>
        <w:t>nised treatment of such transactions across EU member states, eliminates the need for diversified pr</w:t>
      </w:r>
      <w:r>
        <w:rPr>
          <w:rFonts w:ascii="Arial" w:hAnsi="Arial" w:cs="Arial"/>
          <w:sz w:val="20"/>
          <w:szCs w:val="20"/>
        </w:rPr>
        <w:t>o</w:t>
      </w:r>
      <w:r>
        <w:rPr>
          <w:rFonts w:ascii="Arial" w:hAnsi="Arial" w:cs="Arial"/>
          <w:sz w:val="20"/>
          <w:szCs w:val="20"/>
        </w:rPr>
        <w:t>cesses in back offices and ensures safety and efficiency across cross-CSD transactions.</w:t>
      </w:r>
    </w:p>
    <w:p w:rsidR="004730C4" w:rsidRDefault="004730C4" w:rsidP="00961A6D">
      <w:pPr>
        <w:pStyle w:val="NoSpacing"/>
        <w:rPr>
          <w:rFonts w:ascii="Arial" w:hAnsi="Arial" w:cs="Arial"/>
          <w:sz w:val="20"/>
          <w:szCs w:val="20"/>
        </w:rPr>
      </w:pPr>
      <w:r>
        <w:rPr>
          <w:rFonts w:ascii="Arial" w:hAnsi="Arial" w:cs="Arial"/>
          <w:sz w:val="20"/>
          <w:szCs w:val="20"/>
        </w:rPr>
        <w:t>One example of the potential consequences of recycling opt-out would be the negative impact on the management of corporate actions (CA) on flows (i.e. transaction management such as market claims, transformations and buyer protection).</w:t>
      </w:r>
    </w:p>
    <w:p w:rsidR="004730C4" w:rsidRDefault="004730C4" w:rsidP="00961A6D">
      <w:pPr>
        <w:pStyle w:val="NoSpacing"/>
        <w:rPr>
          <w:rFonts w:ascii="Arial" w:hAnsi="Arial" w:cs="Arial"/>
          <w:sz w:val="20"/>
          <w:szCs w:val="20"/>
        </w:rPr>
      </w:pPr>
      <w:r>
        <w:rPr>
          <w:rFonts w:ascii="Arial" w:hAnsi="Arial" w:cs="Arial"/>
          <w:sz w:val="20"/>
          <w:szCs w:val="20"/>
        </w:rPr>
        <w:t xml:space="preserve">The </w:t>
      </w:r>
      <w:r w:rsidRPr="00C85491">
        <w:rPr>
          <w:rFonts w:ascii="Arial" w:hAnsi="Arial" w:cs="Arial"/>
          <w:sz w:val="20"/>
          <w:szCs w:val="20"/>
        </w:rPr>
        <w:t xml:space="preserve">EU </w:t>
      </w:r>
      <w:r>
        <w:rPr>
          <w:rFonts w:ascii="Arial" w:hAnsi="Arial" w:cs="Arial"/>
          <w:sz w:val="20"/>
          <w:szCs w:val="20"/>
        </w:rPr>
        <w:t xml:space="preserve">market have in recent years progressed substantially in establishing the </w:t>
      </w:r>
      <w:r w:rsidRPr="00C85491">
        <w:rPr>
          <w:rFonts w:ascii="Arial" w:hAnsi="Arial" w:cs="Arial"/>
          <w:sz w:val="20"/>
          <w:szCs w:val="20"/>
        </w:rPr>
        <w:t>EU market</w:t>
      </w:r>
      <w:r>
        <w:rPr>
          <w:rFonts w:ascii="Arial" w:hAnsi="Arial" w:cs="Arial"/>
          <w:sz w:val="20"/>
          <w:szCs w:val="20"/>
        </w:rPr>
        <w:t xml:space="preserve"> standards for CA processing (Corporate Actions Joint Working Group standards) as well as the T2S CA standards on flows</w:t>
      </w:r>
      <w:r w:rsidRPr="00C85491">
        <w:rPr>
          <w:rFonts w:ascii="Arial" w:hAnsi="Arial" w:cs="Arial"/>
          <w:sz w:val="20"/>
          <w:szCs w:val="20"/>
        </w:rPr>
        <w:t xml:space="preserve">. </w:t>
      </w:r>
      <w:r>
        <w:rPr>
          <w:rFonts w:ascii="Arial" w:hAnsi="Arial" w:cs="Arial"/>
          <w:sz w:val="20"/>
          <w:szCs w:val="20"/>
        </w:rPr>
        <w:t xml:space="preserve">In particular, in the case of recycling opt-out, </w:t>
      </w:r>
      <w:r w:rsidRPr="00C85491">
        <w:rPr>
          <w:rFonts w:ascii="Arial" w:hAnsi="Arial" w:cs="Arial"/>
          <w:sz w:val="20"/>
          <w:szCs w:val="20"/>
        </w:rPr>
        <w:t xml:space="preserve">the </w:t>
      </w:r>
      <w:r>
        <w:rPr>
          <w:rFonts w:ascii="Arial" w:hAnsi="Arial" w:cs="Arial"/>
          <w:sz w:val="20"/>
          <w:szCs w:val="20"/>
        </w:rPr>
        <w:t xml:space="preserve">processing </w:t>
      </w:r>
      <w:r w:rsidRPr="00C85491">
        <w:rPr>
          <w:rFonts w:ascii="Arial" w:hAnsi="Arial" w:cs="Arial"/>
          <w:sz w:val="20"/>
          <w:szCs w:val="20"/>
        </w:rPr>
        <w:t>of managing market claims and tran</w:t>
      </w:r>
      <w:r w:rsidRPr="00C85491">
        <w:rPr>
          <w:rFonts w:ascii="Arial" w:hAnsi="Arial" w:cs="Arial"/>
          <w:sz w:val="20"/>
          <w:szCs w:val="20"/>
        </w:rPr>
        <w:t>s</w:t>
      </w:r>
      <w:r w:rsidRPr="00C85491">
        <w:rPr>
          <w:rFonts w:ascii="Arial" w:hAnsi="Arial" w:cs="Arial"/>
          <w:sz w:val="20"/>
          <w:szCs w:val="20"/>
        </w:rPr>
        <w:t xml:space="preserve">formations will </w:t>
      </w:r>
      <w:r>
        <w:rPr>
          <w:rFonts w:ascii="Arial" w:hAnsi="Arial" w:cs="Arial"/>
          <w:sz w:val="20"/>
          <w:szCs w:val="20"/>
        </w:rPr>
        <w:t>not be in line with the agreed harmonisation standards (i.e. opt-out CSDs will not be able to generate market claims and transformations after the intended settlement date)</w:t>
      </w:r>
      <w:r w:rsidRPr="00C85491">
        <w:rPr>
          <w:rFonts w:ascii="Arial" w:hAnsi="Arial" w:cs="Arial"/>
          <w:sz w:val="20"/>
          <w:szCs w:val="20"/>
        </w:rPr>
        <w:t xml:space="preserve">. </w:t>
      </w:r>
      <w:r>
        <w:rPr>
          <w:rFonts w:ascii="Arial" w:hAnsi="Arial" w:cs="Arial"/>
          <w:sz w:val="20"/>
          <w:szCs w:val="20"/>
        </w:rPr>
        <w:t>I</w:t>
      </w:r>
      <w:r w:rsidRPr="00C85491">
        <w:rPr>
          <w:rFonts w:ascii="Arial" w:hAnsi="Arial" w:cs="Arial"/>
          <w:sz w:val="20"/>
          <w:szCs w:val="20"/>
        </w:rPr>
        <w:t>n case of cross-CSD settlement, th</w:t>
      </w:r>
      <w:r>
        <w:rPr>
          <w:rFonts w:ascii="Arial" w:hAnsi="Arial" w:cs="Arial"/>
          <w:sz w:val="20"/>
          <w:szCs w:val="20"/>
        </w:rPr>
        <w:t>is will result in</w:t>
      </w:r>
      <w:r w:rsidRPr="00C85491">
        <w:rPr>
          <w:rFonts w:ascii="Arial" w:hAnsi="Arial" w:cs="Arial"/>
          <w:sz w:val="20"/>
          <w:szCs w:val="20"/>
        </w:rPr>
        <w:t xml:space="preserve"> situation</w:t>
      </w:r>
      <w:r>
        <w:rPr>
          <w:rFonts w:ascii="Arial" w:hAnsi="Arial" w:cs="Arial"/>
          <w:sz w:val="20"/>
          <w:szCs w:val="20"/>
        </w:rPr>
        <w:t>s</w:t>
      </w:r>
      <w:r w:rsidRPr="00C85491">
        <w:rPr>
          <w:rFonts w:ascii="Arial" w:hAnsi="Arial" w:cs="Arial"/>
          <w:sz w:val="20"/>
          <w:szCs w:val="20"/>
        </w:rPr>
        <w:t xml:space="preserve"> when the CSD of one party will generate a market claim or </w:t>
      </w:r>
      <w:r>
        <w:rPr>
          <w:rFonts w:ascii="Arial" w:hAnsi="Arial" w:cs="Arial"/>
          <w:sz w:val="20"/>
          <w:szCs w:val="20"/>
        </w:rPr>
        <w:t>a tran</w:t>
      </w:r>
      <w:r>
        <w:rPr>
          <w:rFonts w:ascii="Arial" w:hAnsi="Arial" w:cs="Arial"/>
          <w:sz w:val="20"/>
          <w:szCs w:val="20"/>
        </w:rPr>
        <w:t>s</w:t>
      </w:r>
      <w:r>
        <w:rPr>
          <w:rFonts w:ascii="Arial" w:hAnsi="Arial" w:cs="Arial"/>
          <w:sz w:val="20"/>
          <w:szCs w:val="20"/>
        </w:rPr>
        <w:t xml:space="preserve">formed instruction </w:t>
      </w:r>
      <w:r w:rsidRPr="00C85491">
        <w:rPr>
          <w:rFonts w:ascii="Arial" w:hAnsi="Arial" w:cs="Arial"/>
          <w:sz w:val="20"/>
          <w:szCs w:val="20"/>
        </w:rPr>
        <w:t xml:space="preserve">while the </w:t>
      </w:r>
      <w:r>
        <w:rPr>
          <w:rFonts w:ascii="Arial" w:hAnsi="Arial" w:cs="Arial"/>
          <w:sz w:val="20"/>
          <w:szCs w:val="20"/>
        </w:rPr>
        <w:t xml:space="preserve">opt-out </w:t>
      </w:r>
      <w:r w:rsidRPr="00C85491">
        <w:rPr>
          <w:rFonts w:ascii="Arial" w:hAnsi="Arial" w:cs="Arial"/>
          <w:sz w:val="20"/>
          <w:szCs w:val="20"/>
        </w:rPr>
        <w:t xml:space="preserve">CSD of the other party to the transaction will not generate market claims </w:t>
      </w:r>
      <w:r>
        <w:rPr>
          <w:rFonts w:ascii="Arial" w:hAnsi="Arial" w:cs="Arial"/>
          <w:sz w:val="20"/>
          <w:szCs w:val="20"/>
        </w:rPr>
        <w:t xml:space="preserve">or a </w:t>
      </w:r>
      <w:r w:rsidRPr="00C85491">
        <w:rPr>
          <w:rFonts w:ascii="Arial" w:hAnsi="Arial" w:cs="Arial"/>
          <w:sz w:val="20"/>
          <w:szCs w:val="20"/>
        </w:rPr>
        <w:t>transform</w:t>
      </w:r>
      <w:r>
        <w:rPr>
          <w:rFonts w:ascii="Arial" w:hAnsi="Arial" w:cs="Arial"/>
          <w:sz w:val="20"/>
          <w:szCs w:val="20"/>
        </w:rPr>
        <w:t xml:space="preserve">ed instruction. This will result in failed settlement transaction and the inability of the receiving party to receive its due entitlement (securities or cash). As a consequence, the AG members would like to express their strong concerns regarding the possibility for EU CSDs to opt-out from the recycling facility. </w:t>
      </w:r>
    </w:p>
    <w:p w:rsidR="004730C4" w:rsidRDefault="004730C4" w:rsidP="00961A6D">
      <w:pPr>
        <w:pStyle w:val="NoSpacing"/>
        <w:rPr>
          <w:rFonts w:ascii="Arial" w:hAnsi="Arial" w:cs="Arial"/>
          <w:sz w:val="20"/>
          <w:szCs w:val="20"/>
        </w:rPr>
      </w:pPr>
      <w:r>
        <w:rPr>
          <w:rFonts w:ascii="Arial" w:hAnsi="Arial" w:cs="Arial"/>
          <w:sz w:val="20"/>
          <w:szCs w:val="20"/>
        </w:rPr>
        <w:t>Regarding the functional implementation of the recycling opt-out for the T2S CSDs, t</w:t>
      </w:r>
      <w:r w:rsidRPr="00294041">
        <w:rPr>
          <w:rFonts w:ascii="Arial" w:hAnsi="Arial" w:cs="Arial"/>
          <w:sz w:val="20"/>
          <w:szCs w:val="20"/>
        </w:rPr>
        <w:t xml:space="preserve">he AG would like to clarify that there is no T2S functionality for opt-out of the recycling process in </w:t>
      </w:r>
      <w:r>
        <w:rPr>
          <w:rFonts w:ascii="Arial" w:hAnsi="Arial" w:cs="Arial"/>
          <w:sz w:val="20"/>
          <w:szCs w:val="20"/>
        </w:rPr>
        <w:t>the current specification</w:t>
      </w:r>
      <w:r w:rsidRPr="00294041">
        <w:rPr>
          <w:rFonts w:ascii="Arial" w:hAnsi="Arial" w:cs="Arial"/>
          <w:sz w:val="20"/>
          <w:szCs w:val="20"/>
        </w:rPr>
        <w:t>. The recycling facility is by default applicable to all instructions in T2S and not specific to any CSD, therefore it will be applied for all CSDs in T2S. This is also in line with the harmonisation approach which has been followed and supported by the T2S community (i.e. CSDs, NCBs and market participants).</w:t>
      </w:r>
      <w:r>
        <w:rPr>
          <w:rFonts w:ascii="Arial" w:hAnsi="Arial" w:cs="Arial"/>
          <w:sz w:val="20"/>
          <w:szCs w:val="20"/>
        </w:rPr>
        <w:t xml:space="preserve"> </w:t>
      </w:r>
    </w:p>
    <w:p w:rsidR="004730C4" w:rsidRDefault="004730C4" w:rsidP="00961A6D">
      <w:pPr>
        <w:pStyle w:val="NoSpacing"/>
        <w:rPr>
          <w:rFonts w:ascii="Arial" w:hAnsi="Arial" w:cs="Arial"/>
          <w:b/>
          <w:sz w:val="20"/>
          <w:szCs w:val="20"/>
        </w:rPr>
      </w:pPr>
      <w:r>
        <w:rPr>
          <w:rFonts w:ascii="Arial" w:hAnsi="Arial" w:cs="Arial"/>
          <w:sz w:val="20"/>
          <w:szCs w:val="20"/>
        </w:rPr>
        <w:t>CSDs in T2S, which are e</w:t>
      </w:r>
      <w:r w:rsidRPr="00294041">
        <w:rPr>
          <w:rFonts w:ascii="Arial" w:hAnsi="Arial" w:cs="Arial"/>
          <w:sz w:val="20"/>
          <w:szCs w:val="20"/>
        </w:rPr>
        <w:t>xempted</w:t>
      </w:r>
      <w:r>
        <w:rPr>
          <w:rFonts w:ascii="Arial" w:hAnsi="Arial" w:cs="Arial"/>
          <w:sz w:val="20"/>
          <w:szCs w:val="20"/>
        </w:rPr>
        <w:t xml:space="preserve"> and would prefer to not use the recycling facility in T2S, </w:t>
      </w:r>
      <w:r w:rsidRPr="00294041">
        <w:rPr>
          <w:rFonts w:ascii="Arial" w:hAnsi="Arial" w:cs="Arial"/>
          <w:sz w:val="20"/>
          <w:szCs w:val="20"/>
        </w:rPr>
        <w:t xml:space="preserve">would </w:t>
      </w:r>
      <w:r>
        <w:rPr>
          <w:rFonts w:ascii="Arial" w:hAnsi="Arial" w:cs="Arial"/>
          <w:sz w:val="20"/>
          <w:szCs w:val="20"/>
        </w:rPr>
        <w:t xml:space="preserve">have to </w:t>
      </w:r>
      <w:r w:rsidRPr="00294041">
        <w:rPr>
          <w:rFonts w:ascii="Arial" w:hAnsi="Arial" w:cs="Arial"/>
          <w:sz w:val="20"/>
          <w:szCs w:val="20"/>
        </w:rPr>
        <w:t xml:space="preserve">manually cancel instructions which are failing at the end of intended settlement day (ISD). </w:t>
      </w:r>
      <w:r>
        <w:rPr>
          <w:rFonts w:ascii="Arial" w:hAnsi="Arial" w:cs="Arial"/>
          <w:b/>
          <w:sz w:val="20"/>
          <w:szCs w:val="20"/>
        </w:rPr>
        <w:t>Alternative drafting proposal:</w:t>
      </w:r>
    </w:p>
    <w:p w:rsidR="004730C4" w:rsidRDefault="004730C4" w:rsidP="00961A6D">
      <w:pPr>
        <w:pStyle w:val="NoSpacing"/>
        <w:rPr>
          <w:rFonts w:ascii="Arial" w:hAnsi="Arial" w:cs="Arial"/>
          <w:b/>
          <w:sz w:val="20"/>
          <w:szCs w:val="20"/>
        </w:rPr>
      </w:pPr>
      <w:r w:rsidRPr="003E2DEF">
        <w:rPr>
          <w:rFonts w:ascii="Arial" w:hAnsi="Arial" w:cs="Arial"/>
          <w:sz w:val="20"/>
          <w:szCs w:val="20"/>
        </w:rPr>
        <w:t xml:space="preserve">The AG </w:t>
      </w:r>
      <w:r>
        <w:rPr>
          <w:rFonts w:ascii="Arial" w:hAnsi="Arial" w:cs="Arial"/>
          <w:sz w:val="20"/>
          <w:szCs w:val="20"/>
        </w:rPr>
        <w:t xml:space="preserve">invites ESMA to consider the following redrafting of </w:t>
      </w:r>
      <w:r>
        <w:rPr>
          <w:rFonts w:ascii="Arial" w:hAnsi="Arial" w:cs="Arial"/>
          <w:b/>
          <w:sz w:val="20"/>
          <w:szCs w:val="20"/>
        </w:rPr>
        <w:t>Art. 3(11):</w:t>
      </w:r>
    </w:p>
    <w:p w:rsidR="004730C4" w:rsidRDefault="004730C4" w:rsidP="00961A6D">
      <w:pPr>
        <w:pStyle w:val="NoSpacing"/>
        <w:rPr>
          <w:i/>
          <w:sz w:val="23"/>
          <w:szCs w:val="23"/>
        </w:rPr>
      </w:pPr>
      <w:r>
        <w:rPr>
          <w:i/>
          <w:sz w:val="23"/>
          <w:szCs w:val="23"/>
        </w:rPr>
        <w:t>“</w:t>
      </w:r>
      <w:r w:rsidRPr="00544E4D">
        <w:rPr>
          <w:i/>
          <w:sz w:val="23"/>
          <w:szCs w:val="23"/>
        </w:rPr>
        <w:t xml:space="preserve">The requirements under paragraphs 5 </w:t>
      </w:r>
      <w:r w:rsidRPr="00544E4D">
        <w:rPr>
          <w:i/>
          <w:strike/>
          <w:sz w:val="23"/>
          <w:szCs w:val="23"/>
        </w:rPr>
        <w:t>to</w:t>
      </w:r>
      <w:r w:rsidRPr="00544E4D">
        <w:rPr>
          <w:i/>
          <w:sz w:val="23"/>
          <w:szCs w:val="23"/>
        </w:rPr>
        <w:t xml:space="preserve"> </w:t>
      </w:r>
      <w:r w:rsidRPr="009C4850">
        <w:rPr>
          <w:i/>
          <w:sz w:val="23"/>
          <w:szCs w:val="23"/>
          <w:u w:val="words"/>
        </w:rPr>
        <w:t>and</w:t>
      </w:r>
      <w:r w:rsidRPr="00544E4D">
        <w:rPr>
          <w:i/>
          <w:sz w:val="23"/>
          <w:szCs w:val="23"/>
        </w:rPr>
        <w:t xml:space="preserve"> 7 shall not apply if the following conditions apply</w:t>
      </w:r>
      <w:r>
        <w:rPr>
          <w:i/>
          <w:sz w:val="23"/>
          <w:szCs w:val="23"/>
        </w:rPr>
        <w:t>:…”</w:t>
      </w:r>
    </w:p>
    <w:p w:rsidR="004730C4" w:rsidRDefault="004730C4" w:rsidP="00961A6D">
      <w:pPr>
        <w:pStyle w:val="NoSpacing"/>
        <w:rPr>
          <w:sz w:val="23"/>
          <w:szCs w:val="23"/>
        </w:rPr>
      </w:pPr>
      <w:r w:rsidRPr="005842AF">
        <w:rPr>
          <w:sz w:val="23"/>
          <w:szCs w:val="23"/>
        </w:rPr>
        <w:t xml:space="preserve">If this is accepted by ESMA, the wording of </w:t>
      </w:r>
      <w:r w:rsidRPr="004730C4">
        <w:rPr>
          <w:b/>
          <w:sz w:val="23"/>
          <w:szCs w:val="23"/>
        </w:rPr>
        <w:t>the last part of Art.3 (13)</w:t>
      </w:r>
      <w:r w:rsidRPr="005842AF">
        <w:rPr>
          <w:sz w:val="23"/>
          <w:szCs w:val="23"/>
        </w:rPr>
        <w:t xml:space="preserve"> has to be corrected accordin</w:t>
      </w:r>
      <w:r w:rsidRPr="005842AF">
        <w:rPr>
          <w:sz w:val="23"/>
          <w:szCs w:val="23"/>
        </w:rPr>
        <w:t>g</w:t>
      </w:r>
      <w:r w:rsidRPr="005842AF">
        <w:rPr>
          <w:sz w:val="23"/>
          <w:szCs w:val="23"/>
        </w:rPr>
        <w:t>ly:</w:t>
      </w:r>
    </w:p>
    <w:p w:rsidR="004730C4" w:rsidRDefault="004730C4" w:rsidP="00D12AFD">
      <w:pPr>
        <w:rPr>
          <w:i/>
          <w:sz w:val="23"/>
          <w:szCs w:val="23"/>
        </w:rPr>
      </w:pPr>
      <w:r>
        <w:rPr>
          <w:i/>
          <w:sz w:val="23"/>
          <w:szCs w:val="23"/>
        </w:rPr>
        <w:t xml:space="preserve">“… the CSD shall implement the requirements under paragraphs 5 </w:t>
      </w:r>
      <w:r w:rsidRPr="009C4850">
        <w:rPr>
          <w:i/>
          <w:sz w:val="23"/>
          <w:szCs w:val="23"/>
          <w:u w:val="words"/>
        </w:rPr>
        <w:t xml:space="preserve">and </w:t>
      </w:r>
      <w:r w:rsidRPr="009C4850">
        <w:rPr>
          <w:i/>
          <w:strike/>
          <w:sz w:val="23"/>
          <w:szCs w:val="23"/>
        </w:rPr>
        <w:t>to</w:t>
      </w:r>
      <w:r>
        <w:rPr>
          <w:i/>
          <w:sz w:val="23"/>
          <w:szCs w:val="23"/>
        </w:rPr>
        <w:t xml:space="preserve"> 7 within 3 months.”</w:t>
      </w:r>
    </w:p>
    <w:permEnd w:id="27418449"/>
    <w:p w:rsidR="00D12AFD" w:rsidRDefault="00D12AFD" w:rsidP="00D12AFD">
      <w:r>
        <w:t>&lt;ESMA_QUESTION_TS_CSDR_3&gt;</w:t>
      </w:r>
    </w:p>
    <w:p w:rsidR="00D12AFD" w:rsidRPr="002C4F00" w:rsidRDefault="00D12AFD" w:rsidP="00965B03">
      <w:pPr>
        <w:pStyle w:val="Heading5"/>
        <w:ind w:left="567" w:hanging="567"/>
      </w:pPr>
      <w:r w:rsidRPr="002C4F00">
        <w:t>What are your views on the proposed draft RTS included in Chapter II of Annex I?</w:t>
      </w:r>
    </w:p>
    <w:p w:rsidR="00D12AFD" w:rsidRDefault="00D12AFD" w:rsidP="00D12AFD"/>
    <w:p w:rsidR="00D12AFD" w:rsidRDefault="00D12AFD" w:rsidP="00D12AFD">
      <w:r>
        <w:t>&lt;ESMA_QUESTION_TS_CSDR_4&gt;</w:t>
      </w:r>
    </w:p>
    <w:p w:rsidR="007353DB" w:rsidRDefault="007353DB" w:rsidP="007353DB">
      <w:pPr>
        <w:pStyle w:val="NoSpacing"/>
        <w:rPr>
          <w:rFonts w:ascii="Arial" w:hAnsi="Arial" w:cs="Arial"/>
          <w:b/>
          <w:sz w:val="20"/>
          <w:szCs w:val="20"/>
          <w:u w:val="single"/>
        </w:rPr>
      </w:pPr>
      <w:permStart w:id="1954234982" w:edGrp="everyone"/>
      <w:r w:rsidRPr="002E5F26">
        <w:rPr>
          <w:rFonts w:ascii="Arial" w:hAnsi="Arial" w:cs="Arial"/>
          <w:b/>
          <w:sz w:val="20"/>
          <w:szCs w:val="20"/>
          <w:u w:val="single"/>
        </w:rPr>
        <w:t>AG response to Q4</w:t>
      </w:r>
    </w:p>
    <w:p w:rsidR="007353DB" w:rsidRDefault="007353DB" w:rsidP="007353DB">
      <w:pPr>
        <w:pStyle w:val="NoSpacing"/>
        <w:rPr>
          <w:rFonts w:ascii="Arial" w:hAnsi="Arial" w:cs="Arial"/>
          <w:sz w:val="20"/>
          <w:szCs w:val="20"/>
        </w:rPr>
      </w:pPr>
      <w:r w:rsidRPr="002E5F26">
        <w:rPr>
          <w:rFonts w:ascii="Arial" w:hAnsi="Arial" w:cs="Arial"/>
          <w:sz w:val="20"/>
          <w:szCs w:val="20"/>
        </w:rPr>
        <w:t>The AG welcomes ESMA’s approach in using the T2S harmonised matching fields as a basis for the minimum list of the future, regulated mandatory matching fields. Such approach fosters the principle of having a “single rule book” in the EU, and at the same time allows the market to add further mandatory matching fields if and when needed in the future.</w:t>
      </w:r>
    </w:p>
    <w:p w:rsidR="007353DB" w:rsidRDefault="007353DB" w:rsidP="007353DB">
      <w:pPr>
        <w:pStyle w:val="NoSpacing"/>
        <w:rPr>
          <w:rFonts w:ascii="Arial" w:hAnsi="Arial" w:cs="Arial"/>
          <w:sz w:val="20"/>
          <w:szCs w:val="20"/>
        </w:rPr>
      </w:pPr>
    </w:p>
    <w:p w:rsidR="007353DB" w:rsidRDefault="007353DB" w:rsidP="007353DB">
      <w:pPr>
        <w:pStyle w:val="NoSpacing"/>
        <w:rPr>
          <w:rFonts w:ascii="Arial" w:hAnsi="Arial" w:cs="Arial"/>
          <w:color w:val="000000"/>
          <w:sz w:val="20"/>
          <w:szCs w:val="20"/>
        </w:rPr>
      </w:pPr>
      <w:r w:rsidRPr="00402DD3">
        <w:rPr>
          <w:rFonts w:ascii="Arial" w:hAnsi="Arial" w:cs="Arial"/>
          <w:b/>
          <w:color w:val="000000"/>
          <w:sz w:val="20"/>
          <w:szCs w:val="20"/>
        </w:rPr>
        <w:t>RTS Art. 3(3)(d)</w:t>
      </w:r>
      <w:r w:rsidR="00402DD3" w:rsidRPr="00402DD3">
        <w:rPr>
          <w:rFonts w:ascii="Arial" w:hAnsi="Arial" w:cs="Arial"/>
          <w:b/>
          <w:color w:val="000000"/>
          <w:sz w:val="20"/>
          <w:szCs w:val="20"/>
        </w:rPr>
        <w:t>, Annex I</w:t>
      </w:r>
      <w:r w:rsidRPr="002E5F26">
        <w:rPr>
          <w:rFonts w:ascii="Arial" w:hAnsi="Arial" w:cs="Arial"/>
          <w:color w:val="000000"/>
          <w:sz w:val="20"/>
          <w:szCs w:val="20"/>
        </w:rPr>
        <w:t xml:space="preserve"> </w:t>
      </w:r>
      <w:r w:rsidRPr="002E5F26">
        <w:rPr>
          <w:rFonts w:ascii="Arial" w:hAnsi="Arial" w:cs="Arial"/>
          <w:i/>
          <w:color w:val="000000"/>
          <w:sz w:val="20"/>
          <w:szCs w:val="20"/>
        </w:rPr>
        <w:t>on introducing the “transaction type” as a mandatory matching field</w:t>
      </w:r>
      <w:r w:rsidRPr="002E5F26">
        <w:rPr>
          <w:rFonts w:ascii="Arial" w:hAnsi="Arial" w:cs="Arial"/>
          <w:color w:val="000000"/>
          <w:sz w:val="20"/>
          <w:szCs w:val="20"/>
        </w:rPr>
        <w:t>:</w:t>
      </w:r>
    </w:p>
    <w:p w:rsidR="007353DB" w:rsidRDefault="007353DB" w:rsidP="007353DB">
      <w:pPr>
        <w:pStyle w:val="NoSpacing"/>
        <w:rPr>
          <w:rFonts w:ascii="Arial" w:hAnsi="Arial" w:cs="Arial"/>
          <w:sz w:val="20"/>
          <w:szCs w:val="20"/>
        </w:rPr>
      </w:pPr>
      <w:r w:rsidRPr="002E5F26">
        <w:rPr>
          <w:rFonts w:ascii="Arial" w:hAnsi="Arial" w:cs="Arial"/>
          <w:color w:val="000000"/>
          <w:sz w:val="20"/>
          <w:szCs w:val="20"/>
        </w:rPr>
        <w:t xml:space="preserve">Regarding the addition of the </w:t>
      </w:r>
      <w:r w:rsidRPr="002E5F26">
        <w:rPr>
          <w:rFonts w:ascii="Arial" w:hAnsi="Arial" w:cs="Arial"/>
          <w:b/>
          <w:color w:val="000000"/>
          <w:sz w:val="20"/>
          <w:szCs w:val="20"/>
        </w:rPr>
        <w:t>“transaction type”</w:t>
      </w:r>
      <w:r w:rsidRPr="002E5F26">
        <w:rPr>
          <w:rFonts w:ascii="Arial" w:hAnsi="Arial" w:cs="Arial"/>
          <w:color w:val="000000"/>
          <w:sz w:val="20"/>
          <w:szCs w:val="20"/>
        </w:rPr>
        <w:t xml:space="preserve"> as a new mandatory matching field, the AG</w:t>
      </w:r>
      <w:r w:rsidRPr="002E5F26">
        <w:rPr>
          <w:rFonts w:ascii="Arial" w:hAnsi="Arial" w:cs="Arial"/>
          <w:sz w:val="20"/>
          <w:szCs w:val="20"/>
        </w:rPr>
        <w:t xml:space="preserve"> would like to note that there is currently no agreed market practice in the EU on how to populate this field (i.e. what value to use in order to ensure successful matching). The T2S harmonisation forums have discussed the usage of such field in the past but no agreement on such standard could be reached. The absence of such harmonisation of market practices across the EU might have the opposite effect of what the CSDR aims to achieve, i.e. instead of achieving higher degrees of safety and efficiency,  it increases the risk of matching fails (since different values will not allow matching) if the field is made a mandatory matching field.</w:t>
      </w:r>
    </w:p>
    <w:p w:rsidR="007353DB" w:rsidRDefault="007353DB" w:rsidP="007353DB">
      <w:pPr>
        <w:pStyle w:val="NoSpacing"/>
        <w:rPr>
          <w:rFonts w:ascii="Arial" w:hAnsi="Arial" w:cs="Arial"/>
          <w:sz w:val="20"/>
          <w:szCs w:val="20"/>
        </w:rPr>
      </w:pPr>
      <w:r w:rsidRPr="002E5F26">
        <w:rPr>
          <w:rFonts w:ascii="Arial" w:hAnsi="Arial" w:cs="Arial"/>
          <w:sz w:val="20"/>
          <w:szCs w:val="20"/>
        </w:rPr>
        <w:t>Therefore, the AG seeks ESMA’s clarification on the purpose, need for and benefits of having such ma</w:t>
      </w:r>
      <w:r w:rsidRPr="002E5F26">
        <w:rPr>
          <w:rFonts w:ascii="Arial" w:hAnsi="Arial" w:cs="Arial"/>
          <w:sz w:val="20"/>
          <w:szCs w:val="20"/>
        </w:rPr>
        <w:t>n</w:t>
      </w:r>
      <w:r w:rsidRPr="002E5F26">
        <w:rPr>
          <w:rFonts w:ascii="Arial" w:hAnsi="Arial" w:cs="Arial"/>
          <w:sz w:val="20"/>
          <w:szCs w:val="20"/>
        </w:rPr>
        <w:t>datory matching field. Is it primarily for record keeping / reporting purposes or was it for the buy-in / pena</w:t>
      </w:r>
      <w:r w:rsidRPr="002E5F26">
        <w:rPr>
          <w:rFonts w:ascii="Arial" w:hAnsi="Arial" w:cs="Arial"/>
          <w:sz w:val="20"/>
          <w:szCs w:val="20"/>
        </w:rPr>
        <w:t>l</w:t>
      </w:r>
      <w:r w:rsidRPr="002E5F26">
        <w:rPr>
          <w:rFonts w:ascii="Arial" w:hAnsi="Arial" w:cs="Arial"/>
          <w:sz w:val="20"/>
          <w:szCs w:val="20"/>
        </w:rPr>
        <w:lastRenderedPageBreak/>
        <w:t xml:space="preserve">ty process?  If it is used primarily for record-keeping purposes then this field may be only mandatory but not matching field; conversely if used for settlement discipline purposes it makes sense that this field is a mandatory matching field. </w:t>
      </w:r>
    </w:p>
    <w:p w:rsidR="007353DB" w:rsidRDefault="007353DB" w:rsidP="007353DB">
      <w:pPr>
        <w:pStyle w:val="NoSpacing"/>
        <w:rPr>
          <w:rFonts w:ascii="Arial" w:hAnsi="Arial" w:cs="Arial"/>
          <w:sz w:val="20"/>
          <w:szCs w:val="20"/>
        </w:rPr>
      </w:pPr>
      <w:r w:rsidRPr="002E5F26">
        <w:rPr>
          <w:rFonts w:ascii="Arial" w:hAnsi="Arial" w:cs="Arial"/>
          <w:sz w:val="20"/>
          <w:szCs w:val="20"/>
        </w:rPr>
        <w:t>The AG acknowledges that harmonised usage of the “transaction type” field either as mandatory matching field or as mandatory (</w:t>
      </w:r>
      <w:r w:rsidRPr="002E5F26">
        <w:rPr>
          <w:rFonts w:ascii="Arial" w:hAnsi="Arial" w:cs="Arial"/>
          <w:sz w:val="20"/>
          <w:szCs w:val="20"/>
          <w:u w:val="single"/>
        </w:rPr>
        <w:t>but not matching)</w:t>
      </w:r>
      <w:r w:rsidRPr="002E5F26">
        <w:rPr>
          <w:rFonts w:ascii="Arial" w:hAnsi="Arial" w:cs="Arial"/>
          <w:sz w:val="20"/>
          <w:szCs w:val="20"/>
        </w:rPr>
        <w:t xml:space="preserve"> field is deemed beneficial for record keeping/reporting regarding the passing on the information on the transaction type .However, the AG would like to note that in the absence of full harmonisation, the usage of the field as mandatory (but not matching) field has less neg</w:t>
      </w:r>
      <w:r w:rsidRPr="002E5F26">
        <w:rPr>
          <w:rFonts w:ascii="Arial" w:hAnsi="Arial" w:cs="Arial"/>
          <w:sz w:val="20"/>
          <w:szCs w:val="20"/>
        </w:rPr>
        <w:t>a</w:t>
      </w:r>
      <w:r w:rsidRPr="002E5F26">
        <w:rPr>
          <w:rFonts w:ascii="Arial" w:hAnsi="Arial" w:cs="Arial"/>
          <w:sz w:val="20"/>
          <w:szCs w:val="20"/>
        </w:rPr>
        <w:t xml:space="preserve">tive implications for the settlement efficiency (in or outside T2S). More specifically: </w:t>
      </w:r>
    </w:p>
    <w:p w:rsidR="007353DB" w:rsidRDefault="007353DB" w:rsidP="00927D5F">
      <w:pPr>
        <w:pStyle w:val="NoSpacing"/>
        <w:numPr>
          <w:ilvl w:val="0"/>
          <w:numId w:val="35"/>
        </w:numPr>
        <w:rPr>
          <w:rFonts w:ascii="Arial" w:hAnsi="Arial" w:cs="Arial"/>
          <w:sz w:val="20"/>
          <w:szCs w:val="20"/>
        </w:rPr>
      </w:pPr>
      <w:r w:rsidRPr="002E5F26">
        <w:rPr>
          <w:rFonts w:ascii="Arial" w:hAnsi="Arial" w:cs="Arial"/>
          <w:sz w:val="20"/>
          <w:szCs w:val="20"/>
        </w:rPr>
        <w:t>the non-harmonised usage of this field as a mandatory matching field would result in increased matc</w:t>
      </w:r>
      <w:r w:rsidRPr="002E5F26">
        <w:rPr>
          <w:rFonts w:ascii="Arial" w:hAnsi="Arial" w:cs="Arial"/>
          <w:sz w:val="20"/>
          <w:szCs w:val="20"/>
        </w:rPr>
        <w:t>h</w:t>
      </w:r>
      <w:r w:rsidRPr="002E5F26">
        <w:rPr>
          <w:rFonts w:ascii="Arial" w:hAnsi="Arial" w:cs="Arial"/>
          <w:sz w:val="20"/>
          <w:szCs w:val="20"/>
        </w:rPr>
        <w:t xml:space="preserve">ing fails; </w:t>
      </w:r>
    </w:p>
    <w:p w:rsidR="007353DB" w:rsidRDefault="007353DB" w:rsidP="00927D5F">
      <w:pPr>
        <w:pStyle w:val="NoSpacing"/>
        <w:numPr>
          <w:ilvl w:val="0"/>
          <w:numId w:val="35"/>
        </w:numPr>
        <w:rPr>
          <w:rFonts w:ascii="Arial" w:hAnsi="Arial" w:cs="Arial"/>
          <w:sz w:val="20"/>
          <w:szCs w:val="20"/>
        </w:rPr>
      </w:pPr>
      <w:r w:rsidRPr="002E5F26">
        <w:rPr>
          <w:rFonts w:ascii="Arial" w:hAnsi="Arial" w:cs="Arial"/>
          <w:sz w:val="20"/>
          <w:szCs w:val="20"/>
        </w:rPr>
        <w:t>the non-harmonised usage of this field as mandatory (but not matching) field would only affect info</w:t>
      </w:r>
      <w:r w:rsidRPr="002E5F26">
        <w:rPr>
          <w:rFonts w:ascii="Arial" w:hAnsi="Arial" w:cs="Arial"/>
          <w:sz w:val="20"/>
          <w:szCs w:val="20"/>
        </w:rPr>
        <w:t>r</w:t>
      </w:r>
      <w:r w:rsidRPr="002E5F26">
        <w:rPr>
          <w:rFonts w:ascii="Arial" w:hAnsi="Arial" w:cs="Arial"/>
          <w:sz w:val="20"/>
          <w:szCs w:val="20"/>
        </w:rPr>
        <w:t>mation sharing but not matching and settlement efficiency.</w:t>
      </w:r>
    </w:p>
    <w:p w:rsidR="007353DB" w:rsidRDefault="007353DB" w:rsidP="007353DB">
      <w:pPr>
        <w:pStyle w:val="NoSpacing"/>
        <w:rPr>
          <w:rFonts w:ascii="Arial" w:hAnsi="Arial" w:cs="Arial"/>
          <w:sz w:val="20"/>
          <w:szCs w:val="20"/>
        </w:rPr>
      </w:pPr>
      <w:r w:rsidRPr="002E5F26">
        <w:rPr>
          <w:rFonts w:ascii="Arial" w:hAnsi="Arial" w:cs="Arial"/>
          <w:sz w:val="20"/>
          <w:szCs w:val="20"/>
        </w:rPr>
        <w:t>If it was decided to introduce “transaction type” as a mandatory matching field, the AG wishes to underline that this would require the launch of a new, major harmonisation effort in the EU. At the moment EU CSDs and market participants are using certain values of this field in a way that trigger differences in processing of settlement instructions. Therefore, it will take a considerable amount of time before a harmonised EU standard will be agreed, endorsed, monitored and implemented. The harmonisation governance structure of such effort would still need to be clarified (i.e. who drives this efforts? Who monitors?)</w:t>
      </w:r>
    </w:p>
    <w:p w:rsidR="007353DB" w:rsidRDefault="007353DB" w:rsidP="007353DB">
      <w:pPr>
        <w:pStyle w:val="NoSpacing"/>
        <w:rPr>
          <w:rFonts w:ascii="Arial" w:hAnsi="Arial" w:cs="Arial"/>
          <w:sz w:val="20"/>
          <w:szCs w:val="20"/>
        </w:rPr>
      </w:pPr>
      <w:r w:rsidRPr="002E5F26">
        <w:rPr>
          <w:rFonts w:ascii="Arial" w:hAnsi="Arial" w:cs="Arial"/>
          <w:sz w:val="20"/>
          <w:szCs w:val="20"/>
        </w:rPr>
        <w:t>In case the values of the “transaction type” field would involve changes in the ISO standards, the gover</w:t>
      </w:r>
      <w:r w:rsidRPr="002E5F26">
        <w:rPr>
          <w:rFonts w:ascii="Arial" w:hAnsi="Arial" w:cs="Arial"/>
          <w:sz w:val="20"/>
          <w:szCs w:val="20"/>
        </w:rPr>
        <w:t>n</w:t>
      </w:r>
      <w:r w:rsidRPr="002E5F26">
        <w:rPr>
          <w:rFonts w:ascii="Arial" w:hAnsi="Arial" w:cs="Arial"/>
          <w:sz w:val="20"/>
          <w:szCs w:val="20"/>
        </w:rPr>
        <w:t>ance and timelines (minimum 12 months) of the ISO changes should be taken into account.</w:t>
      </w:r>
    </w:p>
    <w:p w:rsidR="007353DB" w:rsidRDefault="007353DB" w:rsidP="007353DB">
      <w:pPr>
        <w:pStyle w:val="NoSpacing"/>
        <w:rPr>
          <w:rFonts w:ascii="Arial" w:hAnsi="Arial" w:cs="Arial"/>
          <w:sz w:val="20"/>
          <w:szCs w:val="20"/>
        </w:rPr>
      </w:pPr>
      <w:r w:rsidRPr="002E5F26">
        <w:rPr>
          <w:rFonts w:ascii="Arial" w:hAnsi="Arial" w:cs="Arial"/>
          <w:sz w:val="20"/>
          <w:szCs w:val="20"/>
        </w:rPr>
        <w:t>Please refer to the AG response to question 14 regarding the impact on the T2S messages.</w:t>
      </w:r>
    </w:p>
    <w:p w:rsidR="007353DB" w:rsidRDefault="007353DB" w:rsidP="007353DB">
      <w:pPr>
        <w:pStyle w:val="NoSpacing"/>
        <w:rPr>
          <w:rFonts w:ascii="Arial" w:hAnsi="Arial" w:cs="Arial"/>
          <w:sz w:val="20"/>
          <w:szCs w:val="20"/>
        </w:rPr>
      </w:pPr>
    </w:p>
    <w:p w:rsidR="007353DB" w:rsidRDefault="007353DB" w:rsidP="007353DB">
      <w:pPr>
        <w:pStyle w:val="NoSpacing"/>
        <w:rPr>
          <w:rFonts w:ascii="Arial" w:hAnsi="Arial" w:cs="Arial"/>
          <w:i/>
          <w:sz w:val="20"/>
          <w:szCs w:val="20"/>
        </w:rPr>
      </w:pPr>
      <w:r w:rsidRPr="00402DD3">
        <w:rPr>
          <w:rFonts w:ascii="Arial" w:hAnsi="Arial" w:cs="Arial"/>
          <w:b/>
          <w:sz w:val="20"/>
          <w:szCs w:val="20"/>
        </w:rPr>
        <w:t>RTS Art. 3(4)</w:t>
      </w:r>
      <w:r w:rsidR="00650183" w:rsidRPr="00402DD3">
        <w:rPr>
          <w:rFonts w:ascii="Arial" w:hAnsi="Arial" w:cs="Arial"/>
          <w:b/>
          <w:sz w:val="20"/>
          <w:szCs w:val="20"/>
        </w:rPr>
        <w:t xml:space="preserve">, </w:t>
      </w:r>
      <w:r w:rsidR="00650183" w:rsidRPr="00402DD3">
        <w:rPr>
          <w:rFonts w:ascii="Arial" w:hAnsi="Arial" w:cs="Arial"/>
          <w:b/>
          <w:color w:val="000000"/>
          <w:sz w:val="20"/>
          <w:szCs w:val="20"/>
        </w:rPr>
        <w:t>Annex I</w:t>
      </w:r>
      <w:r w:rsidRPr="00402DD3">
        <w:rPr>
          <w:rFonts w:ascii="Arial" w:hAnsi="Arial" w:cs="Arial"/>
          <w:b/>
          <w:sz w:val="20"/>
          <w:szCs w:val="20"/>
        </w:rPr>
        <w:t xml:space="preserve"> </w:t>
      </w:r>
      <w:r w:rsidRPr="002E5F26">
        <w:rPr>
          <w:rFonts w:ascii="Arial" w:hAnsi="Arial" w:cs="Arial"/>
          <w:i/>
          <w:sz w:val="20"/>
          <w:szCs w:val="20"/>
        </w:rPr>
        <w:t>on bilateral cancellation facility:</w:t>
      </w:r>
    </w:p>
    <w:p w:rsidR="007353DB" w:rsidRDefault="007353DB" w:rsidP="007353DB">
      <w:pPr>
        <w:pStyle w:val="NoSpacing"/>
        <w:rPr>
          <w:rFonts w:ascii="Arial" w:hAnsi="Arial" w:cs="Arial"/>
          <w:sz w:val="20"/>
          <w:szCs w:val="20"/>
        </w:rPr>
      </w:pPr>
      <w:r w:rsidRPr="002E5F26">
        <w:rPr>
          <w:rFonts w:ascii="Arial" w:hAnsi="Arial" w:cs="Arial"/>
          <w:sz w:val="20"/>
          <w:szCs w:val="20"/>
        </w:rPr>
        <w:t>The AG understands that this paragraph does not prevent unilateral cancellation before matching as foreseen in the T2S CSDs operations.</w:t>
      </w:r>
    </w:p>
    <w:p w:rsidR="007353DB" w:rsidRDefault="007353DB" w:rsidP="007353DB">
      <w:pPr>
        <w:pStyle w:val="NoSpacing"/>
        <w:rPr>
          <w:rFonts w:ascii="Arial" w:hAnsi="Arial" w:cs="Arial"/>
          <w:b/>
          <w:i/>
          <w:sz w:val="20"/>
          <w:szCs w:val="20"/>
        </w:rPr>
      </w:pPr>
      <w:r w:rsidRPr="002E5F26">
        <w:rPr>
          <w:rFonts w:ascii="Arial" w:hAnsi="Arial" w:cs="Arial"/>
          <w:b/>
          <w:i/>
          <w:sz w:val="20"/>
          <w:szCs w:val="20"/>
        </w:rPr>
        <w:t>Alternative drafting proposal:</w:t>
      </w:r>
    </w:p>
    <w:p w:rsidR="007353DB" w:rsidRDefault="007353DB" w:rsidP="007353DB">
      <w:pPr>
        <w:pStyle w:val="NoSpacing"/>
        <w:rPr>
          <w:rFonts w:ascii="Arial" w:hAnsi="Arial" w:cs="Arial"/>
          <w:sz w:val="20"/>
          <w:szCs w:val="20"/>
        </w:rPr>
      </w:pPr>
      <w:r w:rsidRPr="002E5F26">
        <w:rPr>
          <w:rFonts w:ascii="Arial" w:hAnsi="Arial" w:cs="Arial"/>
          <w:sz w:val="20"/>
          <w:szCs w:val="20"/>
        </w:rPr>
        <w:t>The AG would like to make the following drafting proposal on Art. 3(4):</w:t>
      </w:r>
    </w:p>
    <w:p w:rsidR="007353DB" w:rsidRDefault="007353DB" w:rsidP="007353DB">
      <w:pPr>
        <w:pStyle w:val="NoSpacing"/>
        <w:rPr>
          <w:rFonts w:ascii="Arial" w:hAnsi="Arial" w:cs="Arial"/>
          <w:sz w:val="20"/>
          <w:szCs w:val="20"/>
        </w:rPr>
      </w:pPr>
      <w:r w:rsidRPr="002E5F26">
        <w:rPr>
          <w:rFonts w:ascii="Arial" w:hAnsi="Arial" w:cs="Arial"/>
          <w:sz w:val="20"/>
          <w:szCs w:val="20"/>
        </w:rPr>
        <w:t>“</w:t>
      </w:r>
      <w:r w:rsidRPr="00325AFF">
        <w:rPr>
          <w:rFonts w:ascii="Arial" w:hAnsi="Arial" w:cs="Arial"/>
          <w:i/>
          <w:sz w:val="20"/>
          <w:szCs w:val="20"/>
        </w:rPr>
        <w:t xml:space="preserve">A </w:t>
      </w:r>
      <w:r w:rsidRPr="007353DB">
        <w:rPr>
          <w:rFonts w:ascii="Arial" w:hAnsi="Arial" w:cs="Arial"/>
          <w:i/>
          <w:sz w:val="20"/>
          <w:szCs w:val="20"/>
        </w:rPr>
        <w:t xml:space="preserve">CSD shall offer its participants a bilateral cancellation facility that enables them to bilaterally revoke </w:t>
      </w:r>
      <w:r w:rsidRPr="007353DB">
        <w:rPr>
          <w:rFonts w:ascii="Arial" w:hAnsi="Arial" w:cs="Arial"/>
          <w:i/>
          <w:sz w:val="20"/>
          <w:szCs w:val="20"/>
          <w:u w:val="single"/>
        </w:rPr>
        <w:t>matched</w:t>
      </w:r>
      <w:r w:rsidRPr="007353DB">
        <w:rPr>
          <w:rFonts w:ascii="Arial" w:hAnsi="Arial" w:cs="Arial"/>
          <w:i/>
          <w:sz w:val="20"/>
          <w:szCs w:val="20"/>
        </w:rPr>
        <w:t xml:space="preserve"> settlement </w:t>
      </w:r>
      <w:r w:rsidRPr="00325AFF">
        <w:rPr>
          <w:rFonts w:ascii="Arial" w:hAnsi="Arial" w:cs="Arial"/>
          <w:i/>
          <w:sz w:val="20"/>
          <w:szCs w:val="20"/>
        </w:rPr>
        <w:t>instructions that form part of the same transaction</w:t>
      </w:r>
      <w:r w:rsidRPr="002E5F26">
        <w:rPr>
          <w:rFonts w:ascii="Arial" w:hAnsi="Arial" w:cs="Arial"/>
          <w:sz w:val="20"/>
          <w:szCs w:val="20"/>
        </w:rPr>
        <w:t>.”</w:t>
      </w:r>
    </w:p>
    <w:p w:rsidR="007353DB" w:rsidRDefault="007353DB" w:rsidP="007353DB">
      <w:pPr>
        <w:pStyle w:val="NoSpacing"/>
        <w:rPr>
          <w:rFonts w:ascii="Arial" w:hAnsi="Arial" w:cs="Arial"/>
          <w:sz w:val="20"/>
          <w:szCs w:val="20"/>
        </w:rPr>
      </w:pPr>
    </w:p>
    <w:p w:rsidR="007353DB" w:rsidRDefault="007353DB" w:rsidP="007353DB">
      <w:pPr>
        <w:pStyle w:val="NoSpacing"/>
        <w:rPr>
          <w:rFonts w:ascii="Arial" w:hAnsi="Arial" w:cs="Arial"/>
          <w:i/>
          <w:sz w:val="20"/>
          <w:szCs w:val="20"/>
        </w:rPr>
      </w:pPr>
      <w:r w:rsidRPr="00402DD3">
        <w:rPr>
          <w:rFonts w:ascii="Arial" w:hAnsi="Arial" w:cs="Arial"/>
          <w:b/>
          <w:sz w:val="20"/>
          <w:szCs w:val="20"/>
        </w:rPr>
        <w:t>RTS Art. 3(8)</w:t>
      </w:r>
      <w:r w:rsidR="00650183" w:rsidRPr="00402DD3">
        <w:rPr>
          <w:rFonts w:ascii="Arial" w:hAnsi="Arial" w:cs="Arial"/>
          <w:b/>
          <w:sz w:val="20"/>
          <w:szCs w:val="20"/>
        </w:rPr>
        <w:t xml:space="preserve">, </w:t>
      </w:r>
      <w:r w:rsidR="00650183" w:rsidRPr="00402DD3">
        <w:rPr>
          <w:rFonts w:ascii="Arial" w:hAnsi="Arial" w:cs="Arial"/>
          <w:b/>
          <w:color w:val="000000"/>
          <w:sz w:val="20"/>
          <w:szCs w:val="20"/>
        </w:rPr>
        <w:t>Annex I</w:t>
      </w:r>
      <w:r w:rsidRPr="00402DD3">
        <w:rPr>
          <w:rFonts w:ascii="Arial" w:hAnsi="Arial" w:cs="Arial"/>
          <w:b/>
          <w:sz w:val="20"/>
          <w:szCs w:val="20"/>
        </w:rPr>
        <w:t xml:space="preserve"> </w:t>
      </w:r>
      <w:r w:rsidRPr="002E5F26">
        <w:rPr>
          <w:rFonts w:ascii="Arial" w:hAnsi="Arial" w:cs="Arial"/>
          <w:i/>
          <w:sz w:val="20"/>
          <w:szCs w:val="20"/>
        </w:rPr>
        <w:t>on provision of allegement messages:</w:t>
      </w:r>
    </w:p>
    <w:p w:rsidR="007353DB" w:rsidRDefault="007353DB" w:rsidP="007353DB">
      <w:pPr>
        <w:pStyle w:val="NoSpacing"/>
        <w:rPr>
          <w:rFonts w:ascii="Arial" w:hAnsi="Arial" w:cs="Arial"/>
          <w:sz w:val="20"/>
          <w:szCs w:val="20"/>
        </w:rPr>
      </w:pPr>
      <w:r w:rsidRPr="002E5F26">
        <w:rPr>
          <w:rFonts w:ascii="Arial" w:hAnsi="Arial" w:cs="Arial"/>
          <w:sz w:val="20"/>
          <w:szCs w:val="20"/>
        </w:rPr>
        <w:t>The AG is of the view that the proposed Art. 3(8) should be re-assessed on the base that allegement messages</w:t>
      </w:r>
      <w:r w:rsidRPr="002E5F26">
        <w:rPr>
          <w:rStyle w:val="FootnoteReference"/>
          <w:rFonts w:ascii="Arial" w:hAnsi="Arial" w:cs="Arial"/>
          <w:sz w:val="20"/>
          <w:szCs w:val="20"/>
        </w:rPr>
        <w:footnoteReference w:id="2"/>
      </w:r>
      <w:r w:rsidRPr="002E5F26">
        <w:rPr>
          <w:rFonts w:ascii="Arial" w:hAnsi="Arial" w:cs="Arial"/>
          <w:sz w:val="20"/>
          <w:szCs w:val="20"/>
        </w:rPr>
        <w:t xml:space="preserve"> are not necessary for all CSD participants in order to support their processing/services. </w:t>
      </w:r>
    </w:p>
    <w:p w:rsidR="007353DB" w:rsidRDefault="007353DB" w:rsidP="007353DB">
      <w:pPr>
        <w:pStyle w:val="NoSpacing"/>
        <w:rPr>
          <w:rFonts w:ascii="Arial" w:hAnsi="Arial" w:cs="Arial"/>
          <w:sz w:val="20"/>
          <w:szCs w:val="20"/>
        </w:rPr>
      </w:pPr>
      <w:r w:rsidRPr="002E5F26">
        <w:rPr>
          <w:rFonts w:ascii="Arial" w:hAnsi="Arial" w:cs="Arial"/>
          <w:sz w:val="20"/>
          <w:szCs w:val="20"/>
        </w:rPr>
        <w:t xml:space="preserve">In the case of the 24 T2S CSDs and their participants, an agreement has been achieved in order to make the allegement service </w:t>
      </w:r>
      <w:r w:rsidRPr="002E5F26">
        <w:rPr>
          <w:rFonts w:ascii="Arial" w:hAnsi="Arial" w:cs="Arial"/>
          <w:i/>
          <w:sz w:val="20"/>
          <w:szCs w:val="20"/>
          <w:u w:val="single"/>
        </w:rPr>
        <w:t>optional</w:t>
      </w:r>
      <w:r w:rsidRPr="002E5F26">
        <w:rPr>
          <w:rFonts w:ascii="Arial" w:hAnsi="Arial" w:cs="Arial"/>
          <w:sz w:val="20"/>
          <w:szCs w:val="20"/>
          <w:u w:val="single"/>
        </w:rPr>
        <w:t xml:space="preserve"> </w:t>
      </w:r>
      <w:r w:rsidRPr="002E5F26">
        <w:rPr>
          <w:rFonts w:ascii="Arial" w:hAnsi="Arial" w:cs="Arial"/>
          <w:sz w:val="20"/>
          <w:szCs w:val="20"/>
        </w:rPr>
        <w:t xml:space="preserve">and </w:t>
      </w:r>
      <w:r w:rsidRPr="002E5F26">
        <w:rPr>
          <w:rFonts w:ascii="Arial" w:hAnsi="Arial" w:cs="Arial"/>
          <w:i/>
          <w:sz w:val="20"/>
          <w:szCs w:val="20"/>
          <w:u w:val="single"/>
        </w:rPr>
        <w:t>not mandatory</w:t>
      </w:r>
      <w:r w:rsidRPr="002E5F26">
        <w:rPr>
          <w:rFonts w:ascii="Arial" w:hAnsi="Arial" w:cs="Arial"/>
          <w:sz w:val="20"/>
          <w:szCs w:val="20"/>
        </w:rPr>
        <w:t>. In particular, CSD participants have highlighted that they did not want to be ‘flooded’ with allegement messages which could be counter-productive in assisting them to identify the pending transactions.</w:t>
      </w:r>
    </w:p>
    <w:p w:rsidR="007353DB" w:rsidRDefault="007353DB" w:rsidP="007353DB">
      <w:pPr>
        <w:pStyle w:val="NoSpacing"/>
        <w:rPr>
          <w:rFonts w:ascii="Arial" w:hAnsi="Arial" w:cs="Arial"/>
          <w:sz w:val="20"/>
          <w:szCs w:val="20"/>
        </w:rPr>
      </w:pPr>
      <w:r w:rsidRPr="002E5F26">
        <w:rPr>
          <w:rFonts w:ascii="Arial" w:hAnsi="Arial" w:cs="Arial"/>
          <w:sz w:val="20"/>
          <w:szCs w:val="20"/>
        </w:rPr>
        <w:t>The AG is of the view that CSDs and their participants, should have the possibility to be notified by T2S immediately and when there is sufficient time for them to address an unmatched instruction if the unsu</w:t>
      </w:r>
      <w:r w:rsidRPr="002E5F26">
        <w:rPr>
          <w:rFonts w:ascii="Arial" w:hAnsi="Arial" w:cs="Arial"/>
          <w:sz w:val="20"/>
          <w:szCs w:val="20"/>
        </w:rPr>
        <w:t>c</w:t>
      </w:r>
      <w:r w:rsidRPr="002E5F26">
        <w:rPr>
          <w:rFonts w:ascii="Arial" w:hAnsi="Arial" w:cs="Arial"/>
          <w:sz w:val="20"/>
          <w:szCs w:val="20"/>
        </w:rPr>
        <w:t>cessful attempt takes place closer to the cut-off time.</w:t>
      </w:r>
    </w:p>
    <w:p w:rsidR="007353DB" w:rsidRDefault="007353DB" w:rsidP="007353DB">
      <w:pPr>
        <w:pStyle w:val="NoSpacing"/>
        <w:rPr>
          <w:rFonts w:ascii="Arial" w:hAnsi="Arial" w:cs="Arial"/>
          <w:sz w:val="20"/>
          <w:szCs w:val="20"/>
        </w:rPr>
      </w:pPr>
      <w:r w:rsidRPr="002E5F26">
        <w:rPr>
          <w:rFonts w:ascii="Arial" w:hAnsi="Arial" w:cs="Arial"/>
          <w:sz w:val="20"/>
          <w:szCs w:val="20"/>
        </w:rPr>
        <w:t>For the same reasons, the AG is of the opinion that a second allegement message on ISD is not consi</w:t>
      </w:r>
      <w:r w:rsidRPr="002E5F26">
        <w:rPr>
          <w:rFonts w:ascii="Arial" w:hAnsi="Arial" w:cs="Arial"/>
          <w:sz w:val="20"/>
          <w:szCs w:val="20"/>
        </w:rPr>
        <w:t>d</w:t>
      </w:r>
      <w:r w:rsidRPr="002E5F26">
        <w:rPr>
          <w:rFonts w:ascii="Arial" w:hAnsi="Arial" w:cs="Arial"/>
          <w:sz w:val="20"/>
          <w:szCs w:val="20"/>
        </w:rPr>
        <w:t xml:space="preserve">ered necessary by the T2S CSDs and their participants. </w:t>
      </w:r>
    </w:p>
    <w:p w:rsidR="007353DB" w:rsidRDefault="007353DB" w:rsidP="007353DB">
      <w:pPr>
        <w:pStyle w:val="NoSpacing"/>
        <w:rPr>
          <w:rFonts w:ascii="Arial" w:hAnsi="Arial" w:cs="Arial"/>
          <w:b/>
          <w:i/>
          <w:noProof/>
          <w:sz w:val="20"/>
          <w:szCs w:val="20"/>
        </w:rPr>
      </w:pPr>
      <w:r w:rsidRPr="002E5F26">
        <w:rPr>
          <w:rFonts w:ascii="Arial" w:hAnsi="Arial" w:cs="Arial"/>
          <w:b/>
          <w:i/>
          <w:noProof/>
          <w:sz w:val="20"/>
          <w:szCs w:val="20"/>
        </w:rPr>
        <w:t>Alternative drafting proposal:</w:t>
      </w:r>
    </w:p>
    <w:p w:rsidR="007353DB" w:rsidRDefault="007353DB" w:rsidP="007353DB">
      <w:pPr>
        <w:pStyle w:val="NoSpacing"/>
        <w:rPr>
          <w:rFonts w:ascii="Arial" w:hAnsi="Arial" w:cs="Arial"/>
          <w:noProof/>
          <w:sz w:val="20"/>
          <w:szCs w:val="20"/>
        </w:rPr>
      </w:pPr>
      <w:r w:rsidRPr="002E5F26">
        <w:rPr>
          <w:rFonts w:ascii="Arial" w:hAnsi="Arial" w:cs="Arial"/>
          <w:noProof/>
          <w:sz w:val="20"/>
          <w:szCs w:val="20"/>
        </w:rPr>
        <w:t xml:space="preserve">The AG would like to propose an alternative drafting proposal </w:t>
      </w:r>
      <w:r w:rsidRPr="002E5F26">
        <w:rPr>
          <w:rFonts w:ascii="Arial" w:hAnsi="Arial" w:cs="Arial"/>
          <w:sz w:val="20"/>
          <w:szCs w:val="20"/>
        </w:rPr>
        <w:t xml:space="preserve">to Art. 3(8) </w:t>
      </w:r>
      <w:r w:rsidRPr="002E5F26">
        <w:rPr>
          <w:rFonts w:ascii="Arial" w:hAnsi="Arial" w:cs="Arial"/>
          <w:noProof/>
          <w:sz w:val="20"/>
          <w:szCs w:val="20"/>
        </w:rPr>
        <w:t>as following:</w:t>
      </w:r>
    </w:p>
    <w:p w:rsidR="007353DB" w:rsidRPr="002E5F26" w:rsidRDefault="007353DB" w:rsidP="007353DB">
      <w:pPr>
        <w:pStyle w:val="NoSpacing"/>
        <w:rPr>
          <w:rFonts w:ascii="Arial" w:hAnsi="Arial" w:cs="Arial"/>
          <w:i/>
          <w:noProof/>
          <w:sz w:val="20"/>
          <w:szCs w:val="20"/>
        </w:rPr>
      </w:pPr>
      <w:r w:rsidRPr="002E5F26">
        <w:rPr>
          <w:rFonts w:ascii="Arial" w:hAnsi="Arial" w:cs="Arial"/>
          <w:i/>
          <w:noProof/>
          <w:sz w:val="20"/>
          <w:szCs w:val="20"/>
        </w:rPr>
        <w:t xml:space="preserve"> “A CSD shall </w:t>
      </w:r>
      <w:r w:rsidRPr="002E5F26">
        <w:rPr>
          <w:rFonts w:ascii="Arial" w:hAnsi="Arial" w:cs="Arial"/>
          <w:i/>
          <w:noProof/>
          <w:sz w:val="20"/>
          <w:szCs w:val="20"/>
          <w:u w:val="single"/>
        </w:rPr>
        <w:t>offer the possibility to</w:t>
      </w:r>
      <w:r w:rsidRPr="002E5F26">
        <w:rPr>
          <w:rFonts w:ascii="Arial" w:hAnsi="Arial" w:cs="Arial"/>
          <w:i/>
          <w:noProof/>
          <w:sz w:val="20"/>
          <w:szCs w:val="20"/>
        </w:rPr>
        <w:t xml:space="preserve"> inform its participants about pending settlement instructions of counterparties within 1 hour after the first unsuccessful attempt to match the instructions or </w:t>
      </w:r>
      <w:r w:rsidRPr="002E5F26">
        <w:rPr>
          <w:rFonts w:ascii="Arial" w:hAnsi="Arial" w:cs="Arial"/>
          <w:i/>
          <w:strike/>
          <w:noProof/>
          <w:sz w:val="20"/>
          <w:szCs w:val="20"/>
        </w:rPr>
        <w:t>and 1 hour from the beginning of intended settlement date</w:t>
      </w:r>
      <w:r w:rsidRPr="002E5F26">
        <w:rPr>
          <w:rFonts w:ascii="Arial" w:hAnsi="Arial" w:cs="Arial"/>
          <w:i/>
          <w:noProof/>
          <w:sz w:val="20"/>
          <w:szCs w:val="20"/>
        </w:rPr>
        <w:t xml:space="preserve"> immediately if the first unsuccessful attempt to match happens in the 5 hour period before the cut-off of the intended settlement date”.</w:t>
      </w:r>
    </w:p>
    <w:permEnd w:id="1954234982"/>
    <w:p w:rsidR="00D12AFD" w:rsidRDefault="00D12AFD" w:rsidP="00D12AFD">
      <w:r>
        <w:t>&lt;ESMA_QUESTION_TS_CSDR_4&gt;</w:t>
      </w:r>
    </w:p>
    <w:p w:rsidR="00D12AFD" w:rsidRPr="002C4F00" w:rsidRDefault="00D12AFD" w:rsidP="00965B03">
      <w:pPr>
        <w:pStyle w:val="Heading5"/>
        <w:ind w:left="567" w:hanging="567"/>
      </w:pPr>
      <w:r>
        <w:lastRenderedPageBreak/>
        <w:t xml:space="preserve"> </w:t>
      </w:r>
      <w:r w:rsidRPr="00030F8D">
        <w:t>What are your views on the proposed draft RTS on the monitoring of settlement fails as included in Section 1 of Chapter III of Annex I?</w:t>
      </w:r>
    </w:p>
    <w:p w:rsidR="00D12AFD" w:rsidRDefault="00D12AFD" w:rsidP="00D12AFD"/>
    <w:p w:rsidR="00D12AFD" w:rsidRDefault="00D12AFD" w:rsidP="00D12AFD">
      <w:r>
        <w:t>&lt;ESMA_QUESTION_TS_CSDR_5&gt;</w:t>
      </w:r>
    </w:p>
    <w:p w:rsidR="00F007F1" w:rsidRDefault="00A161FC" w:rsidP="00F007F1">
      <w:pPr>
        <w:pStyle w:val="NoSpacing"/>
        <w:rPr>
          <w:rFonts w:ascii="Arial" w:hAnsi="Arial" w:cs="Arial"/>
          <w:b/>
          <w:sz w:val="20"/>
          <w:szCs w:val="20"/>
          <w:u w:val="single"/>
        </w:rPr>
      </w:pPr>
      <w:permStart w:id="1181643858" w:edGrp="everyone"/>
      <w:r>
        <w:rPr>
          <w:rFonts w:ascii="Arial" w:hAnsi="Arial" w:cs="Arial"/>
          <w:b/>
          <w:sz w:val="20"/>
          <w:szCs w:val="20"/>
          <w:u w:val="single"/>
        </w:rPr>
        <w:t>AG</w:t>
      </w:r>
      <w:r w:rsidR="00F007F1" w:rsidRPr="00726AF0">
        <w:rPr>
          <w:rFonts w:ascii="Arial" w:hAnsi="Arial" w:cs="Arial"/>
          <w:b/>
          <w:sz w:val="20"/>
          <w:szCs w:val="20"/>
          <w:u w:val="single"/>
        </w:rPr>
        <w:t xml:space="preserve"> response to Q5 </w:t>
      </w:r>
    </w:p>
    <w:p w:rsidR="00F007F1" w:rsidRDefault="00F007F1" w:rsidP="00F007F1">
      <w:pPr>
        <w:pStyle w:val="NoSpacing"/>
        <w:rPr>
          <w:rFonts w:ascii="Arial" w:hAnsi="Arial" w:cs="Arial"/>
          <w:sz w:val="20"/>
          <w:szCs w:val="20"/>
        </w:rPr>
      </w:pPr>
      <w:r w:rsidRPr="00E76A6C">
        <w:rPr>
          <w:rFonts w:ascii="Arial" w:hAnsi="Arial" w:cs="Arial"/>
          <w:sz w:val="20"/>
          <w:szCs w:val="20"/>
        </w:rPr>
        <w:t xml:space="preserve">The T2S AG agrees </w:t>
      </w:r>
      <w:r>
        <w:rPr>
          <w:rFonts w:ascii="Arial" w:hAnsi="Arial" w:cs="Arial"/>
          <w:sz w:val="20"/>
          <w:szCs w:val="20"/>
        </w:rPr>
        <w:t xml:space="preserve">in principle </w:t>
      </w:r>
      <w:r w:rsidRPr="00E76A6C">
        <w:rPr>
          <w:rFonts w:ascii="Arial" w:hAnsi="Arial" w:cs="Arial"/>
          <w:sz w:val="20"/>
          <w:szCs w:val="20"/>
        </w:rPr>
        <w:t>with the proposed RTS</w:t>
      </w:r>
      <w:r>
        <w:rPr>
          <w:rFonts w:ascii="Arial" w:hAnsi="Arial" w:cs="Arial"/>
          <w:sz w:val="20"/>
          <w:szCs w:val="20"/>
        </w:rPr>
        <w:t xml:space="preserve"> and the overall strategy for the creation of a single rule book in the EU regarding the monitoring of settlement fails</w:t>
      </w:r>
      <w:r w:rsidRPr="00E76A6C">
        <w:rPr>
          <w:rFonts w:ascii="Arial" w:hAnsi="Arial" w:cs="Arial"/>
          <w:sz w:val="20"/>
          <w:szCs w:val="20"/>
        </w:rPr>
        <w:t xml:space="preserve">. </w:t>
      </w:r>
    </w:p>
    <w:p w:rsidR="00F007F1" w:rsidRDefault="00F007F1" w:rsidP="00F007F1">
      <w:pPr>
        <w:pStyle w:val="NoSpacing"/>
        <w:rPr>
          <w:rFonts w:ascii="Arial" w:hAnsi="Arial" w:cs="Arial"/>
          <w:sz w:val="20"/>
          <w:szCs w:val="20"/>
        </w:rPr>
      </w:pPr>
      <w:r w:rsidRPr="00E76A6C">
        <w:rPr>
          <w:rFonts w:ascii="Arial" w:hAnsi="Arial" w:cs="Arial"/>
          <w:sz w:val="20"/>
          <w:szCs w:val="20"/>
        </w:rPr>
        <w:t xml:space="preserve">However the T2S AG would like to provide </w:t>
      </w:r>
      <w:r>
        <w:rPr>
          <w:rFonts w:ascii="Arial" w:hAnsi="Arial" w:cs="Arial"/>
          <w:sz w:val="20"/>
          <w:szCs w:val="20"/>
        </w:rPr>
        <w:t>ESMA with</w:t>
      </w:r>
      <w:r w:rsidRPr="00E76A6C">
        <w:rPr>
          <w:rFonts w:ascii="Arial" w:hAnsi="Arial" w:cs="Arial"/>
          <w:sz w:val="20"/>
          <w:szCs w:val="20"/>
        </w:rPr>
        <w:t xml:space="preserve"> the following specific </w:t>
      </w:r>
      <w:r>
        <w:rPr>
          <w:rFonts w:ascii="Arial" w:hAnsi="Arial" w:cs="Arial"/>
          <w:sz w:val="20"/>
          <w:szCs w:val="20"/>
        </w:rPr>
        <w:t>comments</w:t>
      </w:r>
      <w:r w:rsidRPr="00E76A6C">
        <w:rPr>
          <w:rFonts w:ascii="Arial" w:hAnsi="Arial" w:cs="Arial"/>
          <w:sz w:val="20"/>
          <w:szCs w:val="20"/>
        </w:rPr>
        <w:t>:</w:t>
      </w:r>
    </w:p>
    <w:p w:rsidR="00F007F1" w:rsidRDefault="00F007F1" w:rsidP="00F007F1">
      <w:pPr>
        <w:pStyle w:val="NoSpacing"/>
        <w:rPr>
          <w:rFonts w:ascii="Arial" w:hAnsi="Arial" w:cs="Arial"/>
          <w:b/>
          <w:sz w:val="20"/>
          <w:szCs w:val="20"/>
        </w:rPr>
      </w:pPr>
    </w:p>
    <w:p w:rsidR="00F007F1" w:rsidRPr="00F007F1" w:rsidRDefault="00650183" w:rsidP="00F007F1">
      <w:pPr>
        <w:pStyle w:val="NoSpacing"/>
        <w:rPr>
          <w:rFonts w:ascii="Times New Roman" w:hAnsi="Times New Roman"/>
          <w:color w:val="000000"/>
          <w:spacing w:val="1"/>
          <w:sz w:val="24"/>
          <w:szCs w:val="24"/>
        </w:rPr>
      </w:pPr>
      <w:r w:rsidRPr="00650183">
        <w:rPr>
          <w:rFonts w:ascii="Arial" w:hAnsi="Arial" w:cs="Arial"/>
          <w:b/>
          <w:sz w:val="20"/>
          <w:szCs w:val="20"/>
        </w:rPr>
        <w:t>RTS Art.</w:t>
      </w:r>
      <w:r w:rsidR="00F007F1" w:rsidRPr="00650183">
        <w:rPr>
          <w:rFonts w:ascii="Arial" w:hAnsi="Arial" w:cs="Arial"/>
          <w:b/>
          <w:sz w:val="20"/>
          <w:szCs w:val="20"/>
        </w:rPr>
        <w:t xml:space="preserve"> 4(1), Annex I</w:t>
      </w:r>
      <w:r w:rsidR="00F007F1" w:rsidRPr="00650183">
        <w:rPr>
          <w:rFonts w:ascii="Arial" w:hAnsi="Arial" w:cs="Arial"/>
          <w:bCs/>
          <w:color w:val="000000"/>
          <w:sz w:val="20"/>
          <w:szCs w:val="20"/>
        </w:rPr>
        <w:t xml:space="preserve"> </w:t>
      </w:r>
      <w:r w:rsidR="00F007F1" w:rsidRPr="004066F6">
        <w:rPr>
          <w:rFonts w:ascii="Arial" w:hAnsi="Arial" w:cs="Arial"/>
          <w:bCs/>
          <w:i/>
          <w:color w:val="000000"/>
          <w:sz w:val="20"/>
          <w:szCs w:val="20"/>
        </w:rPr>
        <w:t xml:space="preserve">on a system </w:t>
      </w:r>
      <w:r w:rsidR="00F007F1" w:rsidRPr="004066F6">
        <w:rPr>
          <w:rFonts w:ascii="Times New Roman" w:hAnsi="Times New Roman"/>
          <w:i/>
          <w:color w:val="000000"/>
          <w:sz w:val="24"/>
          <w:szCs w:val="24"/>
        </w:rPr>
        <w:t>to</w:t>
      </w:r>
      <w:r w:rsidR="00F007F1" w:rsidRPr="004066F6">
        <w:rPr>
          <w:rFonts w:ascii="Times New Roman" w:hAnsi="Times New Roman"/>
          <w:i/>
          <w:color w:val="000000"/>
          <w:spacing w:val="39"/>
          <w:sz w:val="24"/>
          <w:szCs w:val="24"/>
        </w:rPr>
        <w:t xml:space="preserve"> </w:t>
      </w:r>
      <w:r w:rsidR="00F007F1" w:rsidRPr="004066F6">
        <w:rPr>
          <w:rFonts w:ascii="Times New Roman" w:hAnsi="Times New Roman"/>
          <w:i/>
          <w:color w:val="000000"/>
          <w:sz w:val="24"/>
          <w:szCs w:val="24"/>
        </w:rPr>
        <w:t>identi</w:t>
      </w:r>
      <w:r w:rsidR="00F007F1" w:rsidRPr="004066F6">
        <w:rPr>
          <w:rFonts w:ascii="Times New Roman" w:hAnsi="Times New Roman"/>
          <w:i/>
          <w:color w:val="000000"/>
          <w:spacing w:val="2"/>
          <w:sz w:val="24"/>
          <w:szCs w:val="24"/>
        </w:rPr>
        <w:t>f</w:t>
      </w:r>
      <w:r w:rsidR="00F007F1" w:rsidRPr="004066F6">
        <w:rPr>
          <w:rFonts w:ascii="Times New Roman" w:hAnsi="Times New Roman"/>
          <w:i/>
          <w:color w:val="000000"/>
          <w:sz w:val="24"/>
          <w:szCs w:val="24"/>
        </w:rPr>
        <w:t>y</w:t>
      </w:r>
      <w:r w:rsidR="00F007F1" w:rsidRPr="004066F6">
        <w:rPr>
          <w:rFonts w:ascii="Times New Roman" w:hAnsi="Times New Roman"/>
          <w:i/>
          <w:color w:val="000000"/>
          <w:spacing w:val="31"/>
          <w:sz w:val="24"/>
          <w:szCs w:val="24"/>
        </w:rPr>
        <w:t xml:space="preserve"> </w:t>
      </w:r>
      <w:r w:rsidR="00F007F1" w:rsidRPr="004066F6">
        <w:rPr>
          <w:rFonts w:ascii="Times New Roman" w:hAnsi="Times New Roman"/>
          <w:i/>
          <w:color w:val="000000"/>
          <w:spacing w:val="-1"/>
          <w:sz w:val="24"/>
          <w:szCs w:val="24"/>
        </w:rPr>
        <w:t>a</w:t>
      </w:r>
      <w:r w:rsidR="00F007F1" w:rsidRPr="004066F6">
        <w:rPr>
          <w:rFonts w:ascii="Times New Roman" w:hAnsi="Times New Roman"/>
          <w:i/>
          <w:color w:val="000000"/>
          <w:spacing w:val="2"/>
          <w:sz w:val="24"/>
          <w:szCs w:val="24"/>
        </w:rPr>
        <w:t>n</w:t>
      </w:r>
      <w:r w:rsidR="00F007F1" w:rsidRPr="004066F6">
        <w:rPr>
          <w:rFonts w:ascii="Times New Roman" w:hAnsi="Times New Roman"/>
          <w:i/>
          <w:color w:val="000000"/>
          <w:sz w:val="24"/>
          <w:szCs w:val="24"/>
        </w:rPr>
        <w:t>d</w:t>
      </w:r>
      <w:r w:rsidR="00F007F1" w:rsidRPr="004066F6">
        <w:rPr>
          <w:rFonts w:ascii="Times New Roman" w:hAnsi="Times New Roman"/>
          <w:i/>
          <w:color w:val="000000"/>
          <w:spacing w:val="38"/>
          <w:sz w:val="24"/>
          <w:szCs w:val="24"/>
        </w:rPr>
        <w:t xml:space="preserve"> </w:t>
      </w:r>
      <w:r w:rsidR="00F007F1" w:rsidRPr="004066F6">
        <w:rPr>
          <w:rFonts w:ascii="Times New Roman" w:hAnsi="Times New Roman"/>
          <w:i/>
          <w:color w:val="000000"/>
          <w:sz w:val="24"/>
          <w:szCs w:val="24"/>
        </w:rPr>
        <w:t>to</w:t>
      </w:r>
      <w:r w:rsidR="00F007F1" w:rsidRPr="004066F6">
        <w:rPr>
          <w:rFonts w:ascii="Times New Roman" w:hAnsi="Times New Roman"/>
          <w:i/>
          <w:color w:val="000000"/>
          <w:spacing w:val="39"/>
          <w:sz w:val="24"/>
          <w:szCs w:val="24"/>
        </w:rPr>
        <w:t xml:space="preserve"> </w:t>
      </w:r>
      <w:r w:rsidR="00F007F1" w:rsidRPr="004066F6">
        <w:rPr>
          <w:rFonts w:ascii="Times New Roman" w:hAnsi="Times New Roman"/>
          <w:i/>
          <w:color w:val="000000"/>
          <w:sz w:val="24"/>
          <w:szCs w:val="24"/>
        </w:rPr>
        <w:t>k</w:t>
      </w:r>
      <w:r w:rsidR="00F007F1" w:rsidRPr="004066F6">
        <w:rPr>
          <w:rFonts w:ascii="Times New Roman" w:hAnsi="Times New Roman"/>
          <w:i/>
          <w:color w:val="000000"/>
          <w:spacing w:val="6"/>
          <w:sz w:val="24"/>
          <w:szCs w:val="24"/>
        </w:rPr>
        <w:t>e</w:t>
      </w:r>
      <w:r w:rsidR="00F007F1" w:rsidRPr="004066F6">
        <w:rPr>
          <w:rFonts w:ascii="Times New Roman" w:hAnsi="Times New Roman"/>
          <w:i/>
          <w:color w:val="000000"/>
          <w:spacing w:val="-1"/>
          <w:sz w:val="24"/>
          <w:szCs w:val="24"/>
        </w:rPr>
        <w:t>e</w:t>
      </w:r>
      <w:r w:rsidR="00F007F1" w:rsidRPr="004066F6">
        <w:rPr>
          <w:rFonts w:ascii="Times New Roman" w:hAnsi="Times New Roman"/>
          <w:i/>
          <w:color w:val="000000"/>
          <w:sz w:val="24"/>
          <w:szCs w:val="24"/>
        </w:rPr>
        <w:t>p</w:t>
      </w:r>
      <w:r w:rsidR="00F007F1" w:rsidRPr="004066F6">
        <w:rPr>
          <w:rFonts w:ascii="Times New Roman" w:hAnsi="Times New Roman"/>
          <w:i/>
          <w:color w:val="000000"/>
          <w:spacing w:val="38"/>
          <w:sz w:val="24"/>
          <w:szCs w:val="24"/>
        </w:rPr>
        <w:t xml:space="preserve"> </w:t>
      </w:r>
      <w:r w:rsidR="00F007F1" w:rsidRPr="004066F6">
        <w:rPr>
          <w:rFonts w:ascii="Times New Roman" w:hAnsi="Times New Roman"/>
          <w:i/>
          <w:color w:val="000000"/>
          <w:sz w:val="24"/>
          <w:szCs w:val="24"/>
        </w:rPr>
        <w:t>a r</w:t>
      </w:r>
      <w:r w:rsidR="00F007F1" w:rsidRPr="004066F6">
        <w:rPr>
          <w:rFonts w:ascii="Times New Roman" w:hAnsi="Times New Roman"/>
          <w:i/>
          <w:color w:val="000000"/>
          <w:spacing w:val="-2"/>
          <w:sz w:val="24"/>
          <w:szCs w:val="24"/>
        </w:rPr>
        <w:t>e</w:t>
      </w:r>
      <w:r w:rsidR="00F007F1" w:rsidRPr="004066F6">
        <w:rPr>
          <w:rFonts w:ascii="Times New Roman" w:hAnsi="Times New Roman"/>
          <w:i/>
          <w:color w:val="000000"/>
          <w:spacing w:val="-1"/>
          <w:sz w:val="24"/>
          <w:szCs w:val="24"/>
        </w:rPr>
        <w:t>c</w:t>
      </w:r>
      <w:r w:rsidR="00F007F1" w:rsidRPr="004066F6">
        <w:rPr>
          <w:rFonts w:ascii="Times New Roman" w:hAnsi="Times New Roman"/>
          <w:i/>
          <w:color w:val="000000"/>
          <w:sz w:val="24"/>
          <w:szCs w:val="24"/>
        </w:rPr>
        <w:t>o</w:t>
      </w:r>
      <w:r w:rsidR="00F007F1" w:rsidRPr="004066F6">
        <w:rPr>
          <w:rFonts w:ascii="Times New Roman" w:hAnsi="Times New Roman"/>
          <w:i/>
          <w:color w:val="000000"/>
          <w:spacing w:val="-1"/>
          <w:sz w:val="24"/>
          <w:szCs w:val="24"/>
        </w:rPr>
        <w:t>r</w:t>
      </w:r>
      <w:r w:rsidR="00F007F1" w:rsidRPr="004066F6">
        <w:rPr>
          <w:rFonts w:ascii="Times New Roman" w:hAnsi="Times New Roman"/>
          <w:i/>
          <w:color w:val="000000"/>
          <w:sz w:val="24"/>
          <w:szCs w:val="24"/>
        </w:rPr>
        <w:t>d</w:t>
      </w:r>
      <w:r w:rsidR="00F007F1" w:rsidRPr="004066F6">
        <w:rPr>
          <w:rFonts w:ascii="Times New Roman" w:hAnsi="Times New Roman"/>
          <w:i/>
          <w:color w:val="000000"/>
          <w:spacing w:val="1"/>
          <w:sz w:val="24"/>
          <w:szCs w:val="24"/>
        </w:rPr>
        <w:t xml:space="preserve"> </w:t>
      </w:r>
      <w:r w:rsidR="00F007F1" w:rsidRPr="004066F6">
        <w:rPr>
          <w:rFonts w:ascii="Times New Roman" w:hAnsi="Times New Roman"/>
          <w:i/>
          <w:color w:val="000000"/>
          <w:sz w:val="24"/>
          <w:szCs w:val="24"/>
        </w:rPr>
        <w:t>of info</w:t>
      </w:r>
      <w:r w:rsidR="00F007F1" w:rsidRPr="004066F6">
        <w:rPr>
          <w:rFonts w:ascii="Times New Roman" w:hAnsi="Times New Roman"/>
          <w:i/>
          <w:color w:val="000000"/>
          <w:spacing w:val="-1"/>
          <w:sz w:val="24"/>
          <w:szCs w:val="24"/>
        </w:rPr>
        <w:t>r</w:t>
      </w:r>
      <w:r w:rsidR="00F007F1" w:rsidRPr="004066F6">
        <w:rPr>
          <w:rFonts w:ascii="Times New Roman" w:hAnsi="Times New Roman"/>
          <w:i/>
          <w:color w:val="000000"/>
          <w:sz w:val="24"/>
          <w:szCs w:val="24"/>
        </w:rPr>
        <w:t>mation</w:t>
      </w:r>
      <w:r w:rsidR="00F007F1" w:rsidRPr="004066F6">
        <w:rPr>
          <w:rFonts w:ascii="Times New Roman" w:hAnsi="Times New Roman"/>
          <w:i/>
          <w:color w:val="000000"/>
          <w:spacing w:val="1"/>
          <w:sz w:val="24"/>
          <w:szCs w:val="24"/>
        </w:rPr>
        <w:t xml:space="preserve"> </w:t>
      </w:r>
      <w:r w:rsidR="00F007F1" w:rsidRPr="004066F6">
        <w:rPr>
          <w:rFonts w:ascii="Times New Roman" w:hAnsi="Times New Roman"/>
          <w:i/>
          <w:color w:val="000000"/>
          <w:spacing w:val="-1"/>
          <w:sz w:val="24"/>
          <w:szCs w:val="24"/>
        </w:rPr>
        <w:t>a</w:t>
      </w:r>
      <w:r w:rsidR="00F007F1" w:rsidRPr="004066F6">
        <w:rPr>
          <w:rFonts w:ascii="Times New Roman" w:hAnsi="Times New Roman"/>
          <w:i/>
          <w:color w:val="000000"/>
          <w:spacing w:val="2"/>
          <w:sz w:val="24"/>
          <w:szCs w:val="24"/>
        </w:rPr>
        <w:t>b</w:t>
      </w:r>
      <w:r w:rsidR="00F007F1" w:rsidRPr="004066F6">
        <w:rPr>
          <w:rFonts w:ascii="Times New Roman" w:hAnsi="Times New Roman"/>
          <w:i/>
          <w:color w:val="000000"/>
          <w:sz w:val="24"/>
          <w:szCs w:val="24"/>
        </w:rPr>
        <w:t>out</w:t>
      </w:r>
      <w:r w:rsidR="00F007F1" w:rsidRPr="004066F6">
        <w:rPr>
          <w:rFonts w:ascii="Times New Roman" w:hAnsi="Times New Roman"/>
          <w:i/>
          <w:color w:val="000000"/>
          <w:spacing w:val="1"/>
          <w:sz w:val="24"/>
          <w:szCs w:val="24"/>
        </w:rPr>
        <w:t xml:space="preserve"> </w:t>
      </w:r>
      <w:r w:rsidR="00F007F1" w:rsidRPr="004066F6">
        <w:rPr>
          <w:rFonts w:ascii="Times New Roman" w:hAnsi="Times New Roman"/>
          <w:i/>
          <w:color w:val="000000"/>
          <w:sz w:val="24"/>
          <w:szCs w:val="24"/>
        </w:rPr>
        <w:t>the in</w:t>
      </w:r>
      <w:r w:rsidR="00F007F1" w:rsidRPr="004066F6">
        <w:rPr>
          <w:rFonts w:ascii="Times New Roman" w:hAnsi="Times New Roman"/>
          <w:i/>
          <w:color w:val="000000"/>
          <w:spacing w:val="1"/>
          <w:sz w:val="24"/>
          <w:szCs w:val="24"/>
        </w:rPr>
        <w:t>t</w:t>
      </w:r>
      <w:r w:rsidR="00F007F1" w:rsidRPr="004066F6">
        <w:rPr>
          <w:rFonts w:ascii="Times New Roman" w:hAnsi="Times New Roman"/>
          <w:i/>
          <w:color w:val="000000"/>
          <w:spacing w:val="-1"/>
          <w:sz w:val="24"/>
          <w:szCs w:val="24"/>
        </w:rPr>
        <w:t>e</w:t>
      </w:r>
      <w:r w:rsidR="00F007F1" w:rsidRPr="004066F6">
        <w:rPr>
          <w:rFonts w:ascii="Times New Roman" w:hAnsi="Times New Roman"/>
          <w:i/>
          <w:color w:val="000000"/>
          <w:sz w:val="24"/>
          <w:szCs w:val="24"/>
        </w:rPr>
        <w:t>nd</w:t>
      </w:r>
      <w:r w:rsidR="00F007F1" w:rsidRPr="004066F6">
        <w:rPr>
          <w:rFonts w:ascii="Times New Roman" w:hAnsi="Times New Roman"/>
          <w:i/>
          <w:color w:val="000000"/>
          <w:spacing w:val="-1"/>
          <w:sz w:val="24"/>
          <w:szCs w:val="24"/>
        </w:rPr>
        <w:t>e</w:t>
      </w:r>
      <w:r w:rsidR="00F007F1" w:rsidRPr="004066F6">
        <w:rPr>
          <w:rFonts w:ascii="Times New Roman" w:hAnsi="Times New Roman"/>
          <w:i/>
          <w:color w:val="000000"/>
          <w:sz w:val="24"/>
          <w:szCs w:val="24"/>
        </w:rPr>
        <w:t>d</w:t>
      </w:r>
      <w:r w:rsidR="00F007F1" w:rsidRPr="004066F6">
        <w:rPr>
          <w:rFonts w:ascii="Times New Roman" w:hAnsi="Times New Roman"/>
          <w:i/>
          <w:color w:val="000000"/>
          <w:spacing w:val="1"/>
          <w:sz w:val="24"/>
          <w:szCs w:val="24"/>
        </w:rPr>
        <w:t xml:space="preserve"> </w:t>
      </w:r>
      <w:r w:rsidR="00F007F1" w:rsidRPr="004066F6">
        <w:rPr>
          <w:rFonts w:ascii="Times New Roman" w:hAnsi="Times New Roman"/>
          <w:i/>
          <w:color w:val="000000"/>
          <w:sz w:val="24"/>
          <w:szCs w:val="24"/>
        </w:rPr>
        <w:t>s</w:t>
      </w:r>
      <w:r w:rsidR="00F007F1" w:rsidRPr="004066F6">
        <w:rPr>
          <w:rFonts w:ascii="Times New Roman" w:hAnsi="Times New Roman"/>
          <w:i/>
          <w:color w:val="000000"/>
          <w:spacing w:val="-1"/>
          <w:sz w:val="24"/>
          <w:szCs w:val="24"/>
        </w:rPr>
        <w:t>e</w:t>
      </w:r>
      <w:r w:rsidR="00F007F1" w:rsidRPr="004066F6">
        <w:rPr>
          <w:rFonts w:ascii="Times New Roman" w:hAnsi="Times New Roman"/>
          <w:i/>
          <w:color w:val="000000"/>
          <w:sz w:val="24"/>
          <w:szCs w:val="24"/>
        </w:rPr>
        <w:t>t</w:t>
      </w:r>
      <w:r w:rsidR="00F007F1" w:rsidRPr="004066F6">
        <w:rPr>
          <w:rFonts w:ascii="Times New Roman" w:hAnsi="Times New Roman"/>
          <w:i/>
          <w:color w:val="000000"/>
          <w:spacing w:val="1"/>
          <w:sz w:val="24"/>
          <w:szCs w:val="24"/>
        </w:rPr>
        <w:t>t</w:t>
      </w:r>
      <w:r w:rsidR="00F007F1" w:rsidRPr="004066F6">
        <w:rPr>
          <w:rFonts w:ascii="Times New Roman" w:hAnsi="Times New Roman"/>
          <w:i/>
          <w:color w:val="000000"/>
          <w:sz w:val="24"/>
          <w:szCs w:val="24"/>
        </w:rPr>
        <w:t>le</w:t>
      </w:r>
      <w:r w:rsidR="00F007F1" w:rsidRPr="004066F6">
        <w:rPr>
          <w:rFonts w:ascii="Times New Roman" w:hAnsi="Times New Roman"/>
          <w:i/>
          <w:color w:val="000000"/>
          <w:spacing w:val="-2"/>
          <w:sz w:val="24"/>
          <w:szCs w:val="24"/>
        </w:rPr>
        <w:t>m</w:t>
      </w:r>
      <w:r w:rsidR="00F007F1" w:rsidRPr="004066F6">
        <w:rPr>
          <w:rFonts w:ascii="Times New Roman" w:hAnsi="Times New Roman"/>
          <w:i/>
          <w:color w:val="000000"/>
          <w:spacing w:val="-1"/>
          <w:sz w:val="24"/>
          <w:szCs w:val="24"/>
        </w:rPr>
        <w:t>e</w:t>
      </w:r>
      <w:r w:rsidR="00F007F1" w:rsidRPr="004066F6">
        <w:rPr>
          <w:rFonts w:ascii="Times New Roman" w:hAnsi="Times New Roman"/>
          <w:i/>
          <w:color w:val="000000"/>
          <w:sz w:val="24"/>
          <w:szCs w:val="24"/>
        </w:rPr>
        <w:t>nt</w:t>
      </w:r>
      <w:r w:rsidR="00F007F1" w:rsidRPr="004066F6">
        <w:rPr>
          <w:rFonts w:ascii="Times New Roman" w:hAnsi="Times New Roman"/>
          <w:i/>
          <w:color w:val="000000"/>
          <w:spacing w:val="1"/>
          <w:sz w:val="24"/>
          <w:szCs w:val="24"/>
        </w:rPr>
        <w:t xml:space="preserve"> </w:t>
      </w:r>
      <w:r w:rsidR="00F007F1" w:rsidRPr="004066F6">
        <w:rPr>
          <w:rFonts w:ascii="Times New Roman" w:hAnsi="Times New Roman"/>
          <w:i/>
          <w:color w:val="000000"/>
          <w:sz w:val="24"/>
          <w:szCs w:val="24"/>
        </w:rPr>
        <w:t>d</w:t>
      </w:r>
      <w:r w:rsidR="00F007F1" w:rsidRPr="004066F6">
        <w:rPr>
          <w:rFonts w:ascii="Times New Roman" w:hAnsi="Times New Roman"/>
          <w:i/>
          <w:color w:val="000000"/>
          <w:spacing w:val="-1"/>
          <w:sz w:val="24"/>
          <w:szCs w:val="24"/>
        </w:rPr>
        <w:t>a</w:t>
      </w:r>
      <w:r w:rsidR="00F007F1" w:rsidRPr="004066F6">
        <w:rPr>
          <w:rFonts w:ascii="Times New Roman" w:hAnsi="Times New Roman"/>
          <w:i/>
          <w:color w:val="000000"/>
          <w:sz w:val="24"/>
          <w:szCs w:val="24"/>
        </w:rPr>
        <w:t xml:space="preserve">te </w:t>
      </w:r>
      <w:r w:rsidR="00F007F1" w:rsidRPr="004066F6">
        <w:rPr>
          <w:rFonts w:ascii="Times New Roman" w:hAnsi="Times New Roman"/>
          <w:i/>
          <w:color w:val="000000"/>
          <w:spacing w:val="-1"/>
          <w:sz w:val="24"/>
          <w:szCs w:val="24"/>
        </w:rPr>
        <w:t>a</w:t>
      </w:r>
      <w:r w:rsidR="00F007F1" w:rsidRPr="004066F6">
        <w:rPr>
          <w:rFonts w:ascii="Times New Roman" w:hAnsi="Times New Roman"/>
          <w:i/>
          <w:color w:val="000000"/>
          <w:sz w:val="24"/>
          <w:szCs w:val="24"/>
        </w:rPr>
        <w:t>nd</w:t>
      </w:r>
      <w:r w:rsidR="00F007F1" w:rsidRPr="004066F6">
        <w:rPr>
          <w:rFonts w:ascii="Times New Roman" w:hAnsi="Times New Roman"/>
          <w:i/>
          <w:color w:val="000000"/>
          <w:spacing w:val="1"/>
          <w:sz w:val="24"/>
          <w:szCs w:val="24"/>
        </w:rPr>
        <w:t xml:space="preserve"> </w:t>
      </w:r>
      <w:r w:rsidR="00F007F1" w:rsidRPr="004066F6">
        <w:rPr>
          <w:rFonts w:ascii="Times New Roman" w:hAnsi="Times New Roman"/>
          <w:i/>
          <w:color w:val="000000"/>
          <w:sz w:val="24"/>
          <w:szCs w:val="24"/>
        </w:rPr>
        <w:t>the status</w:t>
      </w:r>
      <w:r w:rsidR="00F007F1" w:rsidRPr="004066F6">
        <w:rPr>
          <w:rFonts w:ascii="Times New Roman" w:hAnsi="Times New Roman"/>
          <w:i/>
          <w:color w:val="000000"/>
          <w:spacing w:val="1"/>
          <w:sz w:val="24"/>
          <w:szCs w:val="24"/>
        </w:rPr>
        <w:t xml:space="preserve"> </w:t>
      </w:r>
      <w:r w:rsidR="00F007F1" w:rsidRPr="004066F6">
        <w:rPr>
          <w:rFonts w:ascii="Times New Roman" w:hAnsi="Times New Roman"/>
          <w:i/>
          <w:color w:val="000000"/>
          <w:spacing w:val="-2"/>
          <w:sz w:val="24"/>
          <w:szCs w:val="24"/>
        </w:rPr>
        <w:t>o</w:t>
      </w:r>
      <w:r w:rsidR="00F007F1" w:rsidRPr="004066F6">
        <w:rPr>
          <w:rFonts w:ascii="Times New Roman" w:hAnsi="Times New Roman"/>
          <w:i/>
          <w:color w:val="000000"/>
          <w:sz w:val="24"/>
          <w:szCs w:val="24"/>
        </w:rPr>
        <w:t>f s</w:t>
      </w:r>
      <w:r w:rsidR="00F007F1" w:rsidRPr="004066F6">
        <w:rPr>
          <w:rFonts w:ascii="Times New Roman" w:hAnsi="Times New Roman"/>
          <w:i/>
          <w:color w:val="000000"/>
          <w:spacing w:val="-1"/>
          <w:sz w:val="24"/>
          <w:szCs w:val="24"/>
        </w:rPr>
        <w:t>e</w:t>
      </w:r>
      <w:r w:rsidR="00F007F1" w:rsidRPr="004066F6">
        <w:rPr>
          <w:rFonts w:ascii="Times New Roman" w:hAnsi="Times New Roman"/>
          <w:i/>
          <w:color w:val="000000"/>
          <w:sz w:val="24"/>
          <w:szCs w:val="24"/>
        </w:rPr>
        <w:t>t</w:t>
      </w:r>
      <w:r w:rsidR="00F007F1" w:rsidRPr="004066F6">
        <w:rPr>
          <w:rFonts w:ascii="Times New Roman" w:hAnsi="Times New Roman"/>
          <w:i/>
          <w:color w:val="000000"/>
          <w:spacing w:val="1"/>
          <w:sz w:val="24"/>
          <w:szCs w:val="24"/>
        </w:rPr>
        <w:t>t</w:t>
      </w:r>
      <w:r w:rsidR="00F007F1" w:rsidRPr="004066F6">
        <w:rPr>
          <w:rFonts w:ascii="Times New Roman" w:hAnsi="Times New Roman"/>
          <w:i/>
          <w:color w:val="000000"/>
          <w:sz w:val="24"/>
          <w:szCs w:val="24"/>
        </w:rPr>
        <w:t>lem</w:t>
      </w:r>
      <w:r w:rsidR="00F007F1" w:rsidRPr="004066F6">
        <w:rPr>
          <w:rFonts w:ascii="Times New Roman" w:hAnsi="Times New Roman"/>
          <w:i/>
          <w:color w:val="000000"/>
          <w:spacing w:val="-1"/>
          <w:sz w:val="24"/>
          <w:szCs w:val="24"/>
        </w:rPr>
        <w:t>e</w:t>
      </w:r>
      <w:r w:rsidR="00F007F1" w:rsidRPr="004066F6">
        <w:rPr>
          <w:rFonts w:ascii="Times New Roman" w:hAnsi="Times New Roman"/>
          <w:i/>
          <w:color w:val="000000"/>
          <w:sz w:val="24"/>
          <w:szCs w:val="24"/>
        </w:rPr>
        <w:t>nt ins</w:t>
      </w:r>
      <w:r w:rsidR="00F007F1" w:rsidRPr="004066F6">
        <w:rPr>
          <w:rFonts w:ascii="Times New Roman" w:hAnsi="Times New Roman"/>
          <w:i/>
          <w:color w:val="000000"/>
          <w:spacing w:val="1"/>
          <w:sz w:val="24"/>
          <w:szCs w:val="24"/>
        </w:rPr>
        <w:t>t</w:t>
      </w:r>
      <w:r w:rsidR="00F007F1" w:rsidRPr="004066F6">
        <w:rPr>
          <w:rFonts w:ascii="Times New Roman" w:hAnsi="Times New Roman"/>
          <w:i/>
          <w:color w:val="000000"/>
          <w:sz w:val="24"/>
          <w:szCs w:val="24"/>
        </w:rPr>
        <w:t>ru</w:t>
      </w:r>
      <w:r w:rsidR="00F007F1" w:rsidRPr="004066F6">
        <w:rPr>
          <w:rFonts w:ascii="Times New Roman" w:hAnsi="Times New Roman"/>
          <w:i/>
          <w:color w:val="000000"/>
          <w:spacing w:val="-2"/>
          <w:sz w:val="24"/>
          <w:szCs w:val="24"/>
        </w:rPr>
        <w:t>c</w:t>
      </w:r>
      <w:r w:rsidR="00F007F1" w:rsidRPr="004066F6">
        <w:rPr>
          <w:rFonts w:ascii="Times New Roman" w:hAnsi="Times New Roman"/>
          <w:i/>
          <w:color w:val="000000"/>
          <w:sz w:val="24"/>
          <w:szCs w:val="24"/>
        </w:rPr>
        <w:t>t</w:t>
      </w:r>
      <w:r w:rsidR="00F007F1" w:rsidRPr="004066F6">
        <w:rPr>
          <w:rFonts w:ascii="Times New Roman" w:hAnsi="Times New Roman"/>
          <w:i/>
          <w:color w:val="000000"/>
          <w:spacing w:val="1"/>
          <w:sz w:val="24"/>
          <w:szCs w:val="24"/>
        </w:rPr>
        <w:t>i</w:t>
      </w:r>
      <w:r w:rsidR="00F007F1" w:rsidRPr="004066F6">
        <w:rPr>
          <w:rFonts w:ascii="Times New Roman" w:hAnsi="Times New Roman"/>
          <w:i/>
          <w:color w:val="000000"/>
          <w:sz w:val="24"/>
          <w:szCs w:val="24"/>
        </w:rPr>
        <w:t>ons</w:t>
      </w:r>
      <w:r w:rsidR="00F007F1">
        <w:rPr>
          <w:rFonts w:ascii="Times New Roman" w:hAnsi="Times New Roman"/>
          <w:color w:val="000000"/>
          <w:spacing w:val="1"/>
          <w:sz w:val="24"/>
          <w:szCs w:val="24"/>
        </w:rPr>
        <w:t xml:space="preserve"> </w:t>
      </w:r>
    </w:p>
    <w:p w:rsidR="00F007F1" w:rsidRDefault="00F007F1" w:rsidP="00F007F1">
      <w:pPr>
        <w:pStyle w:val="NoSpacing"/>
        <w:rPr>
          <w:rFonts w:ascii="Arial" w:hAnsi="Arial" w:cs="Arial"/>
          <w:sz w:val="20"/>
          <w:szCs w:val="20"/>
        </w:rPr>
      </w:pPr>
      <w:r>
        <w:rPr>
          <w:rFonts w:ascii="Arial" w:hAnsi="Arial" w:cs="Arial"/>
          <w:sz w:val="20"/>
          <w:szCs w:val="20"/>
        </w:rPr>
        <w:t>First, t</w:t>
      </w:r>
      <w:r w:rsidRPr="00E76A6C">
        <w:rPr>
          <w:rFonts w:ascii="Arial" w:hAnsi="Arial" w:cs="Arial"/>
          <w:sz w:val="20"/>
          <w:szCs w:val="20"/>
        </w:rPr>
        <w:t xml:space="preserve">he </w:t>
      </w:r>
      <w:r>
        <w:rPr>
          <w:rFonts w:ascii="Arial" w:hAnsi="Arial" w:cs="Arial"/>
          <w:sz w:val="20"/>
          <w:szCs w:val="20"/>
        </w:rPr>
        <w:t xml:space="preserve">AG assumes that the </w:t>
      </w:r>
      <w:r w:rsidRPr="00E76A6C">
        <w:rPr>
          <w:rFonts w:ascii="Arial" w:hAnsi="Arial" w:cs="Arial"/>
          <w:sz w:val="20"/>
          <w:szCs w:val="20"/>
        </w:rPr>
        <w:t xml:space="preserve">proposed segregation regarding the records of the </w:t>
      </w:r>
      <w:r>
        <w:rPr>
          <w:rFonts w:ascii="Arial" w:hAnsi="Arial" w:cs="Arial"/>
          <w:sz w:val="20"/>
          <w:szCs w:val="20"/>
        </w:rPr>
        <w:t xml:space="preserve">status of the </w:t>
      </w:r>
      <w:r w:rsidRPr="00E76A6C">
        <w:rPr>
          <w:rFonts w:ascii="Arial" w:hAnsi="Arial" w:cs="Arial"/>
          <w:sz w:val="20"/>
          <w:szCs w:val="20"/>
        </w:rPr>
        <w:t xml:space="preserve">settlement instructions is </w:t>
      </w:r>
      <w:r>
        <w:rPr>
          <w:rFonts w:ascii="Arial" w:hAnsi="Arial" w:cs="Arial"/>
          <w:sz w:val="20"/>
          <w:szCs w:val="20"/>
        </w:rPr>
        <w:t xml:space="preserve">a minimum and that CSDs could include additional pieces of information </w:t>
      </w:r>
      <w:r w:rsidRPr="00E76A6C">
        <w:rPr>
          <w:rFonts w:ascii="Arial" w:hAnsi="Arial" w:cs="Arial"/>
          <w:sz w:val="20"/>
          <w:szCs w:val="20"/>
        </w:rPr>
        <w:t xml:space="preserve">in accordance with the current international agreements on the ISO messages, reports and queries. </w:t>
      </w:r>
      <w:r>
        <w:rPr>
          <w:rFonts w:ascii="Arial" w:hAnsi="Arial" w:cs="Arial"/>
          <w:sz w:val="20"/>
          <w:szCs w:val="20"/>
        </w:rPr>
        <w:t xml:space="preserve">CSDs will have to use the information included in the ISO messages, queries and reports in order to identify and record the information about the ISD and the status of the settlement instructions. If there are inconsistencies of the proposed RTS with the ISO standards, the </w:t>
      </w:r>
      <w:r w:rsidRPr="00E76A6C">
        <w:rPr>
          <w:rFonts w:ascii="Arial" w:hAnsi="Arial" w:cs="Arial"/>
          <w:sz w:val="20"/>
          <w:szCs w:val="20"/>
        </w:rPr>
        <w:t>CSDs and their participants will have to develop records with different information to what is currently managed via the ISO messages, reports and queries.</w:t>
      </w:r>
    </w:p>
    <w:p w:rsidR="00F007F1" w:rsidRDefault="00F007F1" w:rsidP="00F007F1">
      <w:pPr>
        <w:pStyle w:val="NoSpacing"/>
        <w:rPr>
          <w:rFonts w:ascii="Arial" w:hAnsi="Arial" w:cs="Arial"/>
          <w:b/>
          <w:i/>
          <w:sz w:val="20"/>
          <w:szCs w:val="20"/>
          <w:u w:val="single"/>
        </w:rPr>
      </w:pPr>
      <w:r w:rsidRPr="00404764">
        <w:rPr>
          <w:rFonts w:ascii="Arial" w:hAnsi="Arial" w:cs="Arial"/>
          <w:b/>
          <w:i/>
          <w:sz w:val="20"/>
          <w:szCs w:val="20"/>
          <w:u w:val="single"/>
        </w:rPr>
        <w:t>Alternative drafting proposal:</w:t>
      </w:r>
    </w:p>
    <w:p w:rsidR="00F007F1" w:rsidRDefault="00F007F1" w:rsidP="00F007F1">
      <w:pPr>
        <w:pStyle w:val="NoSpacing"/>
        <w:rPr>
          <w:rFonts w:ascii="Arial" w:hAnsi="Arial" w:cs="Arial"/>
          <w:sz w:val="20"/>
          <w:szCs w:val="20"/>
        </w:rPr>
      </w:pPr>
      <w:r w:rsidRPr="00F56986">
        <w:rPr>
          <w:rFonts w:ascii="Arial" w:hAnsi="Arial" w:cs="Arial"/>
          <w:sz w:val="20"/>
          <w:szCs w:val="20"/>
        </w:rPr>
        <w:t xml:space="preserve">To make better use of existing logic of ISO messages and reporting as well as existing ISO codes, the AG would like to propose the following </w:t>
      </w:r>
      <w:r>
        <w:rPr>
          <w:rFonts w:ascii="Arial" w:hAnsi="Arial" w:cs="Arial"/>
          <w:sz w:val="20"/>
          <w:szCs w:val="20"/>
        </w:rPr>
        <w:t xml:space="preserve">drafting proposal </w:t>
      </w:r>
      <w:r w:rsidRPr="00F56986">
        <w:rPr>
          <w:rFonts w:ascii="Arial" w:hAnsi="Arial" w:cs="Arial"/>
          <w:sz w:val="20"/>
          <w:szCs w:val="20"/>
        </w:rPr>
        <w:t>under 4(1</w:t>
      </w:r>
      <w:r>
        <w:rPr>
          <w:rFonts w:ascii="Arial" w:hAnsi="Arial" w:cs="Arial"/>
          <w:sz w:val="20"/>
          <w:szCs w:val="20"/>
        </w:rPr>
        <w:t>)</w:t>
      </w:r>
      <w:r w:rsidRPr="008B68E1">
        <w:rPr>
          <w:rFonts w:ascii="Arial" w:hAnsi="Arial" w:cs="Arial"/>
          <w:sz w:val="20"/>
          <w:szCs w:val="20"/>
        </w:rPr>
        <w:t xml:space="preserve"> </w:t>
      </w:r>
      <w:r>
        <w:rPr>
          <w:rFonts w:ascii="Arial" w:hAnsi="Arial" w:cs="Arial"/>
          <w:sz w:val="20"/>
          <w:szCs w:val="20"/>
        </w:rPr>
        <w:t>(</w:t>
      </w:r>
      <w:r w:rsidRPr="00F56986">
        <w:rPr>
          <w:rFonts w:ascii="Arial" w:hAnsi="Arial" w:cs="Arial"/>
          <w:sz w:val="20"/>
          <w:szCs w:val="20"/>
        </w:rPr>
        <w:t>differentiation of settlement instructions):</w:t>
      </w:r>
    </w:p>
    <w:p w:rsidR="00F007F1" w:rsidRDefault="00F007F1" w:rsidP="00F007F1">
      <w:pPr>
        <w:pStyle w:val="NoSpacing"/>
        <w:rPr>
          <w:rFonts w:ascii="Arial" w:hAnsi="Arial" w:cs="Arial"/>
          <w:i/>
          <w:sz w:val="20"/>
          <w:szCs w:val="20"/>
        </w:rPr>
      </w:pPr>
      <w:r w:rsidRPr="00F56986">
        <w:rPr>
          <w:rFonts w:ascii="Arial" w:hAnsi="Arial" w:cs="Arial"/>
          <w:i/>
          <w:sz w:val="20"/>
          <w:szCs w:val="20"/>
        </w:rPr>
        <w:t xml:space="preserve">a) pending instructions (which can still settle on ISD); </w:t>
      </w:r>
    </w:p>
    <w:p w:rsidR="00F007F1" w:rsidRDefault="00F007F1" w:rsidP="00F007F1">
      <w:pPr>
        <w:pStyle w:val="NoSpacing"/>
        <w:rPr>
          <w:rFonts w:ascii="Arial" w:hAnsi="Arial" w:cs="Arial"/>
          <w:i/>
          <w:sz w:val="20"/>
          <w:szCs w:val="20"/>
        </w:rPr>
      </w:pPr>
      <w:r w:rsidRPr="00F56986">
        <w:rPr>
          <w:rFonts w:ascii="Arial" w:hAnsi="Arial" w:cs="Arial"/>
          <w:i/>
          <w:sz w:val="20"/>
          <w:szCs w:val="20"/>
        </w:rPr>
        <w:t xml:space="preserve">b) failed settlement instructions (which cannot settle anymore on ISD), </w:t>
      </w:r>
      <w:r>
        <w:rPr>
          <w:rFonts w:ascii="Arial" w:hAnsi="Arial" w:cs="Arial"/>
          <w:i/>
          <w:sz w:val="20"/>
          <w:szCs w:val="20"/>
        </w:rPr>
        <w:t>including, where available,</w:t>
      </w:r>
      <w:r w:rsidRPr="00F56986">
        <w:rPr>
          <w:rFonts w:ascii="Arial" w:hAnsi="Arial" w:cs="Arial"/>
          <w:i/>
          <w:sz w:val="20"/>
          <w:szCs w:val="20"/>
        </w:rPr>
        <w:t xml:space="preserve"> info</w:t>
      </w:r>
      <w:r w:rsidRPr="00F56986">
        <w:rPr>
          <w:rFonts w:ascii="Arial" w:hAnsi="Arial" w:cs="Arial"/>
          <w:i/>
          <w:sz w:val="20"/>
          <w:szCs w:val="20"/>
        </w:rPr>
        <w:t>r</w:t>
      </w:r>
      <w:r w:rsidRPr="00F56986">
        <w:rPr>
          <w:rFonts w:ascii="Arial" w:hAnsi="Arial" w:cs="Arial"/>
          <w:i/>
          <w:sz w:val="20"/>
          <w:szCs w:val="20"/>
        </w:rPr>
        <w:t>mation on:</w:t>
      </w:r>
    </w:p>
    <w:p w:rsidR="00F007F1" w:rsidRDefault="00F007F1" w:rsidP="00F007F1">
      <w:pPr>
        <w:pStyle w:val="NoSpacing"/>
        <w:rPr>
          <w:rFonts w:ascii="Arial" w:hAnsi="Arial" w:cs="Arial"/>
          <w:i/>
          <w:sz w:val="20"/>
          <w:szCs w:val="20"/>
        </w:rPr>
      </w:pPr>
      <w:r>
        <w:rPr>
          <w:rFonts w:ascii="Arial" w:hAnsi="Arial" w:cs="Arial"/>
          <w:i/>
          <w:sz w:val="20"/>
          <w:szCs w:val="20"/>
        </w:rPr>
        <w:t xml:space="preserve">                </w:t>
      </w:r>
      <w:r w:rsidRPr="00F56986">
        <w:rPr>
          <w:rFonts w:ascii="Arial" w:hAnsi="Arial" w:cs="Arial"/>
          <w:i/>
          <w:sz w:val="20"/>
          <w:szCs w:val="20"/>
        </w:rPr>
        <w:t>i) initiation of buy-in;</w:t>
      </w:r>
    </w:p>
    <w:p w:rsidR="00F007F1" w:rsidRDefault="00F007F1" w:rsidP="00F007F1">
      <w:pPr>
        <w:pStyle w:val="NoSpacing"/>
        <w:rPr>
          <w:rFonts w:ascii="Arial" w:hAnsi="Arial" w:cs="Arial"/>
          <w:i/>
          <w:sz w:val="20"/>
          <w:szCs w:val="20"/>
        </w:rPr>
      </w:pPr>
      <w:r>
        <w:rPr>
          <w:rFonts w:ascii="Arial" w:hAnsi="Arial" w:cs="Arial"/>
          <w:i/>
          <w:sz w:val="20"/>
          <w:szCs w:val="20"/>
        </w:rPr>
        <w:t xml:space="preserve">               </w:t>
      </w:r>
      <w:r w:rsidRPr="00F56986">
        <w:rPr>
          <w:rFonts w:ascii="Arial" w:hAnsi="Arial" w:cs="Arial"/>
          <w:i/>
          <w:sz w:val="20"/>
          <w:szCs w:val="20"/>
        </w:rPr>
        <w:t>ii) extension period;</w:t>
      </w:r>
    </w:p>
    <w:p w:rsidR="00F007F1" w:rsidRDefault="00F007F1" w:rsidP="00F007F1">
      <w:pPr>
        <w:pStyle w:val="NoSpacing"/>
        <w:rPr>
          <w:rFonts w:ascii="Arial" w:hAnsi="Arial" w:cs="Arial"/>
          <w:i/>
          <w:sz w:val="20"/>
          <w:szCs w:val="20"/>
        </w:rPr>
      </w:pPr>
      <w:r>
        <w:rPr>
          <w:rFonts w:ascii="Arial" w:hAnsi="Arial" w:cs="Arial"/>
          <w:i/>
          <w:sz w:val="20"/>
          <w:szCs w:val="20"/>
        </w:rPr>
        <w:t xml:space="preserve">               </w:t>
      </w:r>
      <w:r w:rsidRPr="00F56986">
        <w:rPr>
          <w:rFonts w:ascii="Arial" w:hAnsi="Arial" w:cs="Arial"/>
          <w:i/>
          <w:sz w:val="20"/>
          <w:szCs w:val="20"/>
        </w:rPr>
        <w:t>iii) deferral period;</w:t>
      </w:r>
    </w:p>
    <w:p w:rsidR="00F007F1" w:rsidRDefault="00F007F1" w:rsidP="00F007F1">
      <w:pPr>
        <w:pStyle w:val="NoSpacing"/>
        <w:rPr>
          <w:rFonts w:ascii="Arial" w:hAnsi="Arial" w:cs="Arial"/>
          <w:i/>
          <w:sz w:val="20"/>
          <w:szCs w:val="20"/>
        </w:rPr>
      </w:pPr>
      <w:r>
        <w:rPr>
          <w:rFonts w:ascii="Arial" w:hAnsi="Arial" w:cs="Arial"/>
          <w:i/>
          <w:sz w:val="20"/>
          <w:szCs w:val="20"/>
        </w:rPr>
        <w:t xml:space="preserve">               </w:t>
      </w:r>
      <w:r w:rsidRPr="00F56986">
        <w:rPr>
          <w:rFonts w:ascii="Arial" w:hAnsi="Arial" w:cs="Arial"/>
          <w:i/>
          <w:sz w:val="20"/>
          <w:szCs w:val="20"/>
        </w:rPr>
        <w:t>iv) buy-in period;</w:t>
      </w:r>
    </w:p>
    <w:p w:rsidR="00F007F1" w:rsidRDefault="00F007F1" w:rsidP="00F007F1">
      <w:pPr>
        <w:pStyle w:val="NoSpacing"/>
        <w:rPr>
          <w:rFonts w:ascii="Arial" w:hAnsi="Arial" w:cs="Arial"/>
          <w:i/>
          <w:sz w:val="20"/>
          <w:szCs w:val="20"/>
        </w:rPr>
      </w:pPr>
      <w:r>
        <w:rPr>
          <w:rFonts w:ascii="Arial" w:hAnsi="Arial" w:cs="Arial"/>
          <w:i/>
          <w:sz w:val="20"/>
          <w:szCs w:val="20"/>
        </w:rPr>
        <w:t xml:space="preserve">               </w:t>
      </w:r>
      <w:r w:rsidRPr="00F56986">
        <w:rPr>
          <w:rFonts w:ascii="Arial" w:hAnsi="Arial" w:cs="Arial"/>
          <w:i/>
          <w:sz w:val="20"/>
          <w:szCs w:val="20"/>
        </w:rPr>
        <w:t>v) outcome of buy-in process;</w:t>
      </w:r>
    </w:p>
    <w:p w:rsidR="00F007F1" w:rsidRDefault="00F007F1" w:rsidP="00F007F1">
      <w:pPr>
        <w:pStyle w:val="NoSpacing"/>
        <w:rPr>
          <w:rFonts w:ascii="Arial" w:hAnsi="Arial" w:cs="Arial"/>
          <w:i/>
          <w:sz w:val="20"/>
          <w:szCs w:val="20"/>
        </w:rPr>
      </w:pPr>
      <w:r>
        <w:rPr>
          <w:rFonts w:ascii="Arial" w:hAnsi="Arial" w:cs="Arial"/>
          <w:i/>
          <w:sz w:val="20"/>
          <w:szCs w:val="20"/>
        </w:rPr>
        <w:t xml:space="preserve">               </w:t>
      </w:r>
      <w:r w:rsidRPr="00F56986">
        <w:rPr>
          <w:rFonts w:ascii="Arial" w:hAnsi="Arial" w:cs="Arial"/>
          <w:i/>
          <w:sz w:val="20"/>
          <w:szCs w:val="20"/>
        </w:rPr>
        <w:t>vi) payment of cash compensation or settlement of the buy-in transaction;</w:t>
      </w:r>
    </w:p>
    <w:p w:rsidR="00F007F1" w:rsidRDefault="00F007F1" w:rsidP="00F007F1">
      <w:pPr>
        <w:pStyle w:val="NoSpacing"/>
        <w:rPr>
          <w:rFonts w:ascii="Arial" w:hAnsi="Arial" w:cs="Arial"/>
          <w:i/>
          <w:sz w:val="20"/>
          <w:szCs w:val="20"/>
        </w:rPr>
      </w:pPr>
      <w:r>
        <w:rPr>
          <w:rFonts w:ascii="Arial" w:hAnsi="Arial" w:cs="Arial"/>
          <w:i/>
          <w:sz w:val="20"/>
          <w:szCs w:val="20"/>
        </w:rPr>
        <w:t xml:space="preserve">               </w:t>
      </w:r>
      <w:r w:rsidRPr="00F56986">
        <w:rPr>
          <w:rFonts w:ascii="Arial" w:hAnsi="Arial" w:cs="Arial"/>
          <w:i/>
          <w:sz w:val="20"/>
          <w:szCs w:val="20"/>
        </w:rPr>
        <w:t>vii) penalties referred to in Article 7(2) of Regulation (EU) No 909/2014.</w:t>
      </w:r>
    </w:p>
    <w:p w:rsidR="00F007F1" w:rsidRDefault="00F007F1" w:rsidP="00F007F1">
      <w:pPr>
        <w:pStyle w:val="NoSpacing"/>
        <w:rPr>
          <w:rFonts w:ascii="Arial" w:hAnsi="Arial" w:cs="Arial"/>
          <w:i/>
          <w:sz w:val="20"/>
          <w:szCs w:val="20"/>
        </w:rPr>
      </w:pPr>
      <w:r>
        <w:rPr>
          <w:rFonts w:ascii="Arial" w:hAnsi="Arial" w:cs="Arial"/>
          <w:i/>
          <w:sz w:val="20"/>
          <w:szCs w:val="20"/>
        </w:rPr>
        <w:t xml:space="preserve">c) </w:t>
      </w:r>
      <w:r w:rsidRPr="00F56986">
        <w:rPr>
          <w:rFonts w:ascii="Arial" w:hAnsi="Arial" w:cs="Arial"/>
          <w:i/>
          <w:sz w:val="20"/>
          <w:szCs w:val="20"/>
        </w:rPr>
        <w:t>fully settled settlement instructions;</w:t>
      </w:r>
    </w:p>
    <w:p w:rsidR="00F007F1" w:rsidRDefault="00F007F1" w:rsidP="00F007F1">
      <w:pPr>
        <w:pStyle w:val="NoSpacing"/>
        <w:rPr>
          <w:rFonts w:ascii="Arial" w:hAnsi="Arial" w:cs="Arial"/>
          <w:i/>
          <w:sz w:val="20"/>
          <w:szCs w:val="20"/>
        </w:rPr>
      </w:pPr>
      <w:r w:rsidRPr="00F56986">
        <w:rPr>
          <w:rFonts w:ascii="Arial" w:hAnsi="Arial" w:cs="Arial"/>
          <w:i/>
          <w:sz w:val="20"/>
          <w:szCs w:val="20"/>
        </w:rPr>
        <w:t>d)</w:t>
      </w:r>
      <w:r>
        <w:rPr>
          <w:rFonts w:ascii="Arial" w:hAnsi="Arial" w:cs="Arial"/>
          <w:i/>
          <w:sz w:val="20"/>
          <w:szCs w:val="20"/>
        </w:rPr>
        <w:t xml:space="preserve"> </w:t>
      </w:r>
      <w:r w:rsidRPr="00F56986">
        <w:rPr>
          <w:rFonts w:ascii="Arial" w:hAnsi="Arial" w:cs="Arial"/>
          <w:i/>
          <w:sz w:val="20"/>
          <w:szCs w:val="20"/>
        </w:rPr>
        <w:t>partially settled settlement instructions, including the settled part and the missing part of either secur</w:t>
      </w:r>
      <w:r w:rsidRPr="00F56986">
        <w:rPr>
          <w:rFonts w:ascii="Arial" w:hAnsi="Arial" w:cs="Arial"/>
          <w:i/>
          <w:sz w:val="20"/>
          <w:szCs w:val="20"/>
        </w:rPr>
        <w:t>i</w:t>
      </w:r>
      <w:r w:rsidRPr="00F56986">
        <w:rPr>
          <w:rFonts w:ascii="Arial" w:hAnsi="Arial" w:cs="Arial"/>
          <w:i/>
          <w:sz w:val="20"/>
          <w:szCs w:val="20"/>
        </w:rPr>
        <w:t>ties or cash;</w:t>
      </w:r>
    </w:p>
    <w:p w:rsidR="00F007F1" w:rsidRDefault="00F007F1" w:rsidP="00F007F1">
      <w:pPr>
        <w:pStyle w:val="NoSpacing"/>
        <w:rPr>
          <w:rFonts w:ascii="Arial" w:hAnsi="Arial" w:cs="Arial"/>
          <w:i/>
          <w:sz w:val="20"/>
          <w:szCs w:val="20"/>
        </w:rPr>
      </w:pPr>
      <w:r w:rsidRPr="00F56986">
        <w:rPr>
          <w:rFonts w:ascii="Arial" w:hAnsi="Arial" w:cs="Arial"/>
          <w:i/>
          <w:sz w:val="20"/>
          <w:szCs w:val="20"/>
        </w:rPr>
        <w:t>e)</w:t>
      </w:r>
      <w:r>
        <w:rPr>
          <w:rFonts w:ascii="Arial" w:hAnsi="Arial" w:cs="Arial"/>
          <w:i/>
          <w:sz w:val="20"/>
          <w:szCs w:val="20"/>
        </w:rPr>
        <w:t xml:space="preserve"> </w:t>
      </w:r>
      <w:r w:rsidRPr="00F56986">
        <w:rPr>
          <w:rFonts w:ascii="Arial" w:hAnsi="Arial" w:cs="Arial"/>
          <w:i/>
          <w:sz w:val="20"/>
          <w:szCs w:val="20"/>
        </w:rPr>
        <w:t>cancelled settlement instructions, including information whether it is cancelled by the system or by the participant.</w:t>
      </w:r>
    </w:p>
    <w:p w:rsidR="00F007F1" w:rsidRDefault="00F007F1" w:rsidP="00F007F1">
      <w:pPr>
        <w:pStyle w:val="NoSpacing"/>
        <w:rPr>
          <w:rFonts w:ascii="Arial" w:hAnsi="Arial" w:cs="Arial"/>
          <w:sz w:val="20"/>
          <w:szCs w:val="20"/>
        </w:rPr>
      </w:pPr>
      <w:r w:rsidRPr="0067004D">
        <w:rPr>
          <w:rFonts w:ascii="Arial" w:hAnsi="Arial" w:cs="Arial"/>
          <w:sz w:val="20"/>
          <w:szCs w:val="20"/>
        </w:rPr>
        <w:t>For each of the categories of settlement instructions above, the following information should be provided:</w:t>
      </w:r>
    </w:p>
    <w:p w:rsidR="00F007F1" w:rsidRDefault="00F007F1" w:rsidP="00F007F1">
      <w:pPr>
        <w:pStyle w:val="NoSpacing"/>
        <w:rPr>
          <w:rFonts w:ascii="Arial" w:hAnsi="Arial" w:cs="Arial"/>
          <w:i/>
          <w:sz w:val="20"/>
          <w:szCs w:val="20"/>
        </w:rPr>
      </w:pPr>
      <w:r>
        <w:rPr>
          <w:rFonts w:ascii="Arial" w:hAnsi="Arial" w:cs="Arial"/>
          <w:i/>
          <w:sz w:val="20"/>
          <w:szCs w:val="20"/>
        </w:rPr>
        <w:t xml:space="preserve">         </w:t>
      </w:r>
      <w:r w:rsidRPr="00F56986">
        <w:rPr>
          <w:rFonts w:ascii="Arial" w:hAnsi="Arial" w:cs="Arial"/>
          <w:i/>
          <w:sz w:val="20"/>
          <w:szCs w:val="20"/>
        </w:rPr>
        <w:t>– whether an instruction is matched or not matched;</w:t>
      </w:r>
    </w:p>
    <w:p w:rsidR="00F007F1" w:rsidRDefault="00F007F1" w:rsidP="00F007F1">
      <w:pPr>
        <w:pStyle w:val="NoSpacing"/>
        <w:rPr>
          <w:rFonts w:ascii="Arial" w:hAnsi="Arial" w:cs="Arial"/>
          <w:i/>
          <w:sz w:val="20"/>
          <w:szCs w:val="20"/>
        </w:rPr>
      </w:pPr>
      <w:r>
        <w:rPr>
          <w:rFonts w:ascii="Arial" w:hAnsi="Arial" w:cs="Arial"/>
          <w:i/>
          <w:sz w:val="20"/>
          <w:szCs w:val="20"/>
        </w:rPr>
        <w:t xml:space="preserve">         </w:t>
      </w:r>
      <w:r w:rsidRPr="00F56986">
        <w:rPr>
          <w:rFonts w:ascii="Arial" w:hAnsi="Arial" w:cs="Arial"/>
          <w:i/>
          <w:sz w:val="20"/>
          <w:szCs w:val="20"/>
        </w:rPr>
        <w:t>– whether an instruction can settle partially;</w:t>
      </w:r>
    </w:p>
    <w:p w:rsidR="00F007F1" w:rsidRDefault="00F007F1" w:rsidP="00F007F1">
      <w:pPr>
        <w:pStyle w:val="NoSpacing"/>
        <w:rPr>
          <w:rFonts w:ascii="Arial" w:hAnsi="Arial" w:cs="Arial"/>
          <w:i/>
          <w:sz w:val="20"/>
          <w:szCs w:val="20"/>
        </w:rPr>
      </w:pPr>
      <w:r>
        <w:rPr>
          <w:rFonts w:ascii="Arial" w:hAnsi="Arial" w:cs="Arial"/>
          <w:i/>
          <w:sz w:val="20"/>
          <w:szCs w:val="20"/>
        </w:rPr>
        <w:t xml:space="preserve">         </w:t>
      </w:r>
      <w:r w:rsidRPr="00F56986">
        <w:rPr>
          <w:rFonts w:ascii="Arial" w:hAnsi="Arial" w:cs="Arial"/>
          <w:i/>
          <w:sz w:val="20"/>
          <w:szCs w:val="20"/>
        </w:rPr>
        <w:t>- whether an instruction is on hold;</w:t>
      </w:r>
    </w:p>
    <w:p w:rsidR="00F007F1" w:rsidRDefault="00F007F1" w:rsidP="00F007F1">
      <w:pPr>
        <w:pStyle w:val="NoSpacing"/>
        <w:rPr>
          <w:rFonts w:ascii="Arial" w:hAnsi="Arial" w:cs="Arial"/>
          <w:i/>
          <w:sz w:val="20"/>
          <w:szCs w:val="20"/>
        </w:rPr>
      </w:pPr>
      <w:r>
        <w:rPr>
          <w:rFonts w:ascii="Arial" w:hAnsi="Arial" w:cs="Arial"/>
          <w:i/>
          <w:sz w:val="20"/>
          <w:szCs w:val="20"/>
        </w:rPr>
        <w:t xml:space="preserve">         </w:t>
      </w:r>
      <w:r w:rsidRPr="00F56986">
        <w:rPr>
          <w:rFonts w:ascii="Arial" w:hAnsi="Arial" w:cs="Arial"/>
          <w:i/>
          <w:sz w:val="20"/>
          <w:szCs w:val="20"/>
        </w:rPr>
        <w:t xml:space="preserve">- </w:t>
      </w:r>
      <w:r>
        <w:rPr>
          <w:rFonts w:ascii="Arial" w:hAnsi="Arial" w:cs="Arial"/>
          <w:i/>
          <w:sz w:val="20"/>
          <w:szCs w:val="20"/>
        </w:rPr>
        <w:t xml:space="preserve">where relevant, </w:t>
      </w:r>
      <w:r w:rsidRPr="00F56986">
        <w:rPr>
          <w:rFonts w:ascii="Arial" w:hAnsi="Arial" w:cs="Arial"/>
          <w:i/>
          <w:sz w:val="20"/>
          <w:szCs w:val="20"/>
        </w:rPr>
        <w:t xml:space="preserve">what </w:t>
      </w:r>
      <w:r>
        <w:rPr>
          <w:rFonts w:ascii="Arial" w:hAnsi="Arial" w:cs="Arial"/>
          <w:i/>
          <w:sz w:val="20"/>
          <w:szCs w:val="20"/>
        </w:rPr>
        <w:t>are</w:t>
      </w:r>
      <w:r w:rsidRPr="00F56986">
        <w:rPr>
          <w:rFonts w:ascii="Arial" w:hAnsi="Arial" w:cs="Arial"/>
          <w:i/>
          <w:sz w:val="20"/>
          <w:szCs w:val="20"/>
        </w:rPr>
        <w:t xml:space="preserve"> the reason</w:t>
      </w:r>
      <w:r>
        <w:rPr>
          <w:rFonts w:ascii="Arial" w:hAnsi="Arial" w:cs="Arial"/>
          <w:i/>
          <w:sz w:val="20"/>
          <w:szCs w:val="20"/>
        </w:rPr>
        <w:t>s</w:t>
      </w:r>
      <w:r w:rsidRPr="00F56986">
        <w:rPr>
          <w:rFonts w:ascii="Arial" w:hAnsi="Arial" w:cs="Arial"/>
          <w:i/>
          <w:sz w:val="20"/>
          <w:szCs w:val="20"/>
        </w:rPr>
        <w:t xml:space="preserve"> for instruction being pending or failing.”</w:t>
      </w:r>
    </w:p>
    <w:p w:rsidR="00F007F1" w:rsidRDefault="00F007F1" w:rsidP="00F007F1">
      <w:pPr>
        <w:pStyle w:val="NoSpacing"/>
        <w:rPr>
          <w:rFonts w:ascii="Arial" w:hAnsi="Arial" w:cs="Arial"/>
          <w:sz w:val="20"/>
          <w:szCs w:val="20"/>
        </w:rPr>
      </w:pPr>
      <w:r w:rsidRPr="00F56986">
        <w:rPr>
          <w:rFonts w:ascii="Arial" w:hAnsi="Arial" w:cs="Arial"/>
          <w:sz w:val="20"/>
          <w:szCs w:val="20"/>
        </w:rPr>
        <w:t>This proposal of the AG provides all the information necessary for monitoring settlement fails required by ESMA in its reporting under its original proposal for reporting under article 4(1). The only exception is the category “Recycled settlement instructions” 4(1) f), which is redundant in the view of the T2S AG because settlement instructions (not settled after they reached their ISD) when recycled are either pending, failing or settled (for most CSDs) or cancelled by the system (for those CSDs exempted from recycling as per art. 3 par.11). In addition, no ISO code currently exists to identify recycled transactions (either in T2S or ou</w:t>
      </w:r>
      <w:r w:rsidRPr="00F56986">
        <w:rPr>
          <w:rFonts w:ascii="Arial" w:hAnsi="Arial" w:cs="Arial"/>
          <w:sz w:val="20"/>
          <w:szCs w:val="20"/>
        </w:rPr>
        <w:t>t</w:t>
      </w:r>
      <w:r w:rsidRPr="00F56986">
        <w:rPr>
          <w:rFonts w:ascii="Arial" w:hAnsi="Arial" w:cs="Arial"/>
          <w:sz w:val="20"/>
          <w:szCs w:val="20"/>
        </w:rPr>
        <w:t>side T2S). In any case, competent authorities are aware which CSDs are recycling instructions and which are not doing so.</w:t>
      </w:r>
    </w:p>
    <w:p w:rsidR="00F007F1" w:rsidRDefault="00F007F1" w:rsidP="00F007F1">
      <w:pPr>
        <w:pStyle w:val="NoSpacing"/>
        <w:rPr>
          <w:rFonts w:ascii="Arial" w:hAnsi="Arial" w:cs="Arial"/>
          <w:b/>
          <w:sz w:val="20"/>
          <w:szCs w:val="20"/>
        </w:rPr>
      </w:pPr>
    </w:p>
    <w:p w:rsidR="00F007F1" w:rsidRDefault="00650183" w:rsidP="00F007F1">
      <w:pPr>
        <w:pStyle w:val="NoSpacing"/>
        <w:rPr>
          <w:rFonts w:ascii="Arial" w:hAnsi="Arial" w:cs="Arial"/>
          <w:b/>
          <w:i/>
          <w:color w:val="000000"/>
          <w:sz w:val="20"/>
          <w:szCs w:val="20"/>
        </w:rPr>
      </w:pPr>
      <w:r w:rsidRPr="00650183">
        <w:rPr>
          <w:rFonts w:ascii="Arial" w:hAnsi="Arial" w:cs="Arial"/>
          <w:b/>
          <w:sz w:val="20"/>
          <w:szCs w:val="20"/>
        </w:rPr>
        <w:t>RTS Art.</w:t>
      </w:r>
      <w:r w:rsidR="00F007F1" w:rsidRPr="00650183">
        <w:rPr>
          <w:rFonts w:ascii="Arial" w:hAnsi="Arial" w:cs="Arial"/>
          <w:b/>
          <w:sz w:val="20"/>
          <w:szCs w:val="20"/>
        </w:rPr>
        <w:t xml:space="preserve"> 4(2)</w:t>
      </w:r>
      <w:r w:rsidRPr="00650183">
        <w:rPr>
          <w:rFonts w:ascii="Arial" w:hAnsi="Arial" w:cs="Arial"/>
          <w:b/>
          <w:sz w:val="20"/>
          <w:szCs w:val="20"/>
        </w:rPr>
        <w:t>, Annex I</w:t>
      </w:r>
      <w:r w:rsidR="00F007F1" w:rsidRPr="00650183">
        <w:rPr>
          <w:rFonts w:ascii="Arial" w:hAnsi="Arial" w:cs="Arial"/>
          <w:sz w:val="20"/>
          <w:szCs w:val="20"/>
        </w:rPr>
        <w:t xml:space="preserve"> </w:t>
      </w:r>
      <w:r w:rsidR="00F007F1" w:rsidRPr="009A42D5">
        <w:rPr>
          <w:rFonts w:ascii="Arial" w:hAnsi="Arial" w:cs="Arial"/>
          <w:i/>
          <w:sz w:val="20"/>
          <w:szCs w:val="20"/>
        </w:rPr>
        <w:t xml:space="preserve">on </w:t>
      </w:r>
      <w:r w:rsidR="00F007F1" w:rsidRPr="009A42D5">
        <w:rPr>
          <w:rFonts w:ascii="Arial" w:hAnsi="Arial" w:cs="Arial"/>
          <w:i/>
          <w:color w:val="000000"/>
          <w:spacing w:val="2"/>
          <w:sz w:val="20"/>
          <w:szCs w:val="20"/>
        </w:rPr>
        <w:t>s</w:t>
      </w:r>
      <w:r w:rsidR="00F007F1" w:rsidRPr="009A42D5">
        <w:rPr>
          <w:rFonts w:ascii="Arial" w:hAnsi="Arial" w:cs="Arial"/>
          <w:i/>
          <w:color w:val="000000"/>
          <w:spacing w:val="-5"/>
          <w:sz w:val="20"/>
          <w:szCs w:val="20"/>
        </w:rPr>
        <w:t>y</w:t>
      </w:r>
      <w:r w:rsidR="00F007F1" w:rsidRPr="009A42D5">
        <w:rPr>
          <w:rFonts w:ascii="Arial" w:hAnsi="Arial" w:cs="Arial"/>
          <w:i/>
          <w:color w:val="000000"/>
          <w:sz w:val="20"/>
          <w:szCs w:val="20"/>
        </w:rPr>
        <w:t>stem moni</w:t>
      </w:r>
      <w:r w:rsidR="00F007F1" w:rsidRPr="009A42D5">
        <w:rPr>
          <w:rFonts w:ascii="Arial" w:hAnsi="Arial" w:cs="Arial"/>
          <w:i/>
          <w:color w:val="000000"/>
          <w:spacing w:val="1"/>
          <w:sz w:val="20"/>
          <w:szCs w:val="20"/>
        </w:rPr>
        <w:t>t</w:t>
      </w:r>
      <w:r w:rsidR="00F007F1" w:rsidRPr="009A42D5">
        <w:rPr>
          <w:rFonts w:ascii="Arial" w:hAnsi="Arial" w:cs="Arial"/>
          <w:i/>
          <w:color w:val="000000"/>
          <w:sz w:val="20"/>
          <w:szCs w:val="20"/>
        </w:rPr>
        <w:t>o</w:t>
      </w:r>
      <w:r w:rsidR="00F007F1" w:rsidRPr="009A42D5">
        <w:rPr>
          <w:rFonts w:ascii="Arial" w:hAnsi="Arial" w:cs="Arial"/>
          <w:i/>
          <w:color w:val="000000"/>
          <w:spacing w:val="-1"/>
          <w:sz w:val="20"/>
          <w:szCs w:val="20"/>
        </w:rPr>
        <w:t>r</w:t>
      </w:r>
      <w:r w:rsidR="00F007F1" w:rsidRPr="009A42D5">
        <w:rPr>
          <w:rFonts w:ascii="Arial" w:hAnsi="Arial" w:cs="Arial"/>
          <w:i/>
          <w:color w:val="000000"/>
          <w:sz w:val="20"/>
          <w:szCs w:val="20"/>
        </w:rPr>
        <w:t>ing settlem</w:t>
      </w:r>
      <w:r w:rsidR="00F007F1" w:rsidRPr="009A42D5">
        <w:rPr>
          <w:rFonts w:ascii="Arial" w:hAnsi="Arial" w:cs="Arial"/>
          <w:i/>
          <w:color w:val="000000"/>
          <w:spacing w:val="-1"/>
          <w:sz w:val="20"/>
          <w:szCs w:val="20"/>
        </w:rPr>
        <w:t>e</w:t>
      </w:r>
      <w:r w:rsidR="00F007F1" w:rsidRPr="009A42D5">
        <w:rPr>
          <w:rFonts w:ascii="Arial" w:hAnsi="Arial" w:cs="Arial"/>
          <w:i/>
          <w:color w:val="000000"/>
          <w:sz w:val="20"/>
          <w:szCs w:val="20"/>
        </w:rPr>
        <w:t>nt f</w:t>
      </w:r>
      <w:r w:rsidR="00F007F1" w:rsidRPr="009A42D5">
        <w:rPr>
          <w:rFonts w:ascii="Arial" w:hAnsi="Arial" w:cs="Arial"/>
          <w:i/>
          <w:color w:val="000000"/>
          <w:spacing w:val="-1"/>
          <w:sz w:val="20"/>
          <w:szCs w:val="20"/>
        </w:rPr>
        <w:t>a</w:t>
      </w:r>
      <w:r w:rsidR="00F007F1" w:rsidRPr="009A42D5">
        <w:rPr>
          <w:rFonts w:ascii="Arial" w:hAnsi="Arial" w:cs="Arial"/>
          <w:i/>
          <w:color w:val="000000"/>
          <w:sz w:val="20"/>
          <w:szCs w:val="20"/>
        </w:rPr>
        <w:t>i</w:t>
      </w:r>
      <w:r w:rsidR="00F007F1" w:rsidRPr="009A42D5">
        <w:rPr>
          <w:rFonts w:ascii="Arial" w:hAnsi="Arial" w:cs="Arial"/>
          <w:i/>
          <w:color w:val="000000"/>
          <w:spacing w:val="1"/>
          <w:sz w:val="20"/>
          <w:szCs w:val="20"/>
        </w:rPr>
        <w:t>l</w:t>
      </w:r>
      <w:r w:rsidR="00F007F1" w:rsidRPr="00B64799">
        <w:rPr>
          <w:rFonts w:ascii="Arial" w:hAnsi="Arial" w:cs="Arial"/>
          <w:i/>
          <w:color w:val="000000"/>
          <w:sz w:val="20"/>
          <w:szCs w:val="20"/>
        </w:rPr>
        <w:t>s</w:t>
      </w:r>
      <w:r w:rsidR="00B64799" w:rsidRPr="00B64799">
        <w:rPr>
          <w:rFonts w:ascii="Arial" w:hAnsi="Arial" w:cs="Arial"/>
          <w:i/>
          <w:color w:val="000000"/>
          <w:sz w:val="20"/>
          <w:szCs w:val="20"/>
        </w:rPr>
        <w:t>:</w:t>
      </w:r>
    </w:p>
    <w:p w:rsidR="00F007F1" w:rsidRDefault="00F007F1" w:rsidP="00F007F1">
      <w:pPr>
        <w:pStyle w:val="NoSpacing"/>
        <w:rPr>
          <w:rFonts w:ascii="Arial" w:hAnsi="Arial" w:cs="Arial"/>
          <w:i/>
          <w:color w:val="000000"/>
          <w:sz w:val="20"/>
          <w:szCs w:val="20"/>
        </w:rPr>
      </w:pPr>
    </w:p>
    <w:p w:rsidR="00F007F1" w:rsidRDefault="00F007F1" w:rsidP="00F007F1">
      <w:pPr>
        <w:pStyle w:val="NoSpacing"/>
        <w:rPr>
          <w:rFonts w:ascii="Arial" w:hAnsi="Arial" w:cs="Arial"/>
          <w:i/>
          <w:sz w:val="20"/>
          <w:szCs w:val="20"/>
        </w:rPr>
      </w:pPr>
      <w:r w:rsidRPr="00726AF0">
        <w:rPr>
          <w:rFonts w:ascii="Arial" w:hAnsi="Arial" w:cs="Arial"/>
          <w:i/>
          <w:color w:val="000000"/>
          <w:sz w:val="20"/>
          <w:szCs w:val="20"/>
        </w:rPr>
        <w:t>4(2/b)</w:t>
      </w:r>
      <w:r>
        <w:rPr>
          <w:rFonts w:ascii="Arial" w:hAnsi="Arial" w:cs="Arial"/>
          <w:i/>
          <w:color w:val="000000"/>
          <w:sz w:val="20"/>
          <w:szCs w:val="20"/>
        </w:rPr>
        <w:t xml:space="preserve"> regarding </w:t>
      </w:r>
      <w:r w:rsidRPr="00726AF0">
        <w:rPr>
          <w:rFonts w:ascii="Arial" w:hAnsi="Arial" w:cs="Arial"/>
          <w:i/>
          <w:sz w:val="20"/>
          <w:szCs w:val="20"/>
        </w:rPr>
        <w:t>reason an instruction is failing</w:t>
      </w:r>
    </w:p>
    <w:p w:rsidR="00F007F1" w:rsidRDefault="00F007F1" w:rsidP="00F007F1">
      <w:pPr>
        <w:pStyle w:val="NoSpacing"/>
        <w:rPr>
          <w:rFonts w:ascii="Arial" w:hAnsi="Arial" w:cs="Arial"/>
          <w:sz w:val="20"/>
          <w:szCs w:val="20"/>
        </w:rPr>
      </w:pPr>
      <w:r>
        <w:rPr>
          <w:rFonts w:ascii="Arial" w:hAnsi="Arial" w:cs="Arial"/>
          <w:sz w:val="20"/>
          <w:szCs w:val="20"/>
        </w:rPr>
        <w:t>The AG would like to note that in addition</w:t>
      </w:r>
      <w:r w:rsidRPr="00E76A6C">
        <w:rPr>
          <w:rFonts w:ascii="Arial" w:hAnsi="Arial" w:cs="Arial"/>
          <w:sz w:val="20"/>
          <w:szCs w:val="20"/>
        </w:rPr>
        <w:t xml:space="preserve"> </w:t>
      </w:r>
      <w:r>
        <w:rPr>
          <w:rFonts w:ascii="Arial" w:hAnsi="Arial" w:cs="Arial"/>
          <w:sz w:val="20"/>
          <w:szCs w:val="20"/>
        </w:rPr>
        <w:t xml:space="preserve">to </w:t>
      </w:r>
      <w:r w:rsidRPr="004066F6">
        <w:rPr>
          <w:rFonts w:ascii="Arial" w:hAnsi="Arial" w:cs="Arial"/>
          <w:i/>
          <w:sz w:val="20"/>
          <w:szCs w:val="20"/>
        </w:rPr>
        <w:t>lack of securities</w:t>
      </w:r>
      <w:r w:rsidRPr="00E76A6C">
        <w:rPr>
          <w:rFonts w:ascii="Arial" w:hAnsi="Arial" w:cs="Arial"/>
          <w:sz w:val="20"/>
          <w:szCs w:val="20"/>
        </w:rPr>
        <w:t xml:space="preserve"> </w:t>
      </w:r>
      <w:r>
        <w:rPr>
          <w:rFonts w:ascii="Arial" w:hAnsi="Arial" w:cs="Arial"/>
          <w:sz w:val="20"/>
          <w:szCs w:val="20"/>
        </w:rPr>
        <w:t>or</w:t>
      </w:r>
      <w:r w:rsidRPr="00E76A6C">
        <w:rPr>
          <w:rFonts w:ascii="Arial" w:hAnsi="Arial" w:cs="Arial"/>
          <w:sz w:val="20"/>
          <w:szCs w:val="20"/>
        </w:rPr>
        <w:t xml:space="preserve"> </w:t>
      </w:r>
      <w:r w:rsidRPr="004066F6">
        <w:rPr>
          <w:rFonts w:ascii="Arial" w:hAnsi="Arial" w:cs="Arial"/>
          <w:i/>
          <w:sz w:val="20"/>
          <w:szCs w:val="20"/>
        </w:rPr>
        <w:t>lack of cash</w:t>
      </w:r>
      <w:r w:rsidRPr="00E76A6C">
        <w:rPr>
          <w:rFonts w:ascii="Arial" w:hAnsi="Arial" w:cs="Arial"/>
          <w:sz w:val="20"/>
          <w:szCs w:val="20"/>
        </w:rPr>
        <w:t xml:space="preserve">, there are other reasons for settlement fails (e.g. </w:t>
      </w:r>
      <w:r w:rsidRPr="004066F6">
        <w:rPr>
          <w:rFonts w:ascii="Arial" w:hAnsi="Arial" w:cs="Arial"/>
          <w:i/>
          <w:sz w:val="20"/>
          <w:szCs w:val="20"/>
        </w:rPr>
        <w:t xml:space="preserve">linking of instructions with the settlement of other instructions which have </w:t>
      </w:r>
      <w:r>
        <w:rPr>
          <w:rFonts w:ascii="Arial" w:hAnsi="Arial" w:cs="Arial"/>
          <w:i/>
          <w:sz w:val="20"/>
          <w:szCs w:val="20"/>
        </w:rPr>
        <w:t xml:space="preserve">not </w:t>
      </w:r>
      <w:r w:rsidRPr="004066F6">
        <w:rPr>
          <w:rFonts w:ascii="Arial" w:hAnsi="Arial" w:cs="Arial"/>
          <w:i/>
          <w:sz w:val="20"/>
          <w:szCs w:val="20"/>
        </w:rPr>
        <w:t>settled</w:t>
      </w:r>
      <w:r w:rsidRPr="00B87FE9">
        <w:rPr>
          <w:rFonts w:ascii="Arial" w:hAnsi="Arial" w:cs="Arial"/>
          <w:i/>
          <w:sz w:val="20"/>
          <w:szCs w:val="20"/>
        </w:rPr>
        <w:t xml:space="preserve"> yet</w:t>
      </w:r>
      <w:r w:rsidRPr="00E76A6C">
        <w:rPr>
          <w:rFonts w:ascii="Arial" w:hAnsi="Arial" w:cs="Arial"/>
          <w:sz w:val="20"/>
          <w:szCs w:val="20"/>
        </w:rPr>
        <w:t>, sending late instructions, temporary restriction for settlements with a certain ISIN</w:t>
      </w:r>
      <w:r>
        <w:rPr>
          <w:rFonts w:ascii="Arial" w:hAnsi="Arial" w:cs="Arial"/>
          <w:sz w:val="20"/>
          <w:szCs w:val="20"/>
        </w:rPr>
        <w:t xml:space="preserve"> etc.</w:t>
      </w:r>
      <w:r w:rsidRPr="00E76A6C">
        <w:rPr>
          <w:rFonts w:ascii="Arial" w:hAnsi="Arial" w:cs="Arial"/>
          <w:sz w:val="20"/>
          <w:szCs w:val="20"/>
        </w:rPr>
        <w:t>)</w:t>
      </w:r>
      <w:r>
        <w:rPr>
          <w:rFonts w:ascii="Arial" w:hAnsi="Arial" w:cs="Arial"/>
          <w:sz w:val="20"/>
          <w:szCs w:val="20"/>
        </w:rPr>
        <w:t xml:space="preserve"> which are </w:t>
      </w:r>
      <w:r>
        <w:rPr>
          <w:rFonts w:ascii="Arial" w:hAnsi="Arial" w:cs="Arial"/>
          <w:sz w:val="20"/>
          <w:szCs w:val="20"/>
        </w:rPr>
        <w:lastRenderedPageBreak/>
        <w:t>captured by ISO codes and should be available in the reports.</w:t>
      </w:r>
      <w:r w:rsidRPr="00E76A6C">
        <w:rPr>
          <w:rFonts w:ascii="Arial" w:hAnsi="Arial" w:cs="Arial"/>
          <w:sz w:val="20"/>
          <w:szCs w:val="20"/>
        </w:rPr>
        <w:t xml:space="preserve"> It is not clear to the AG whether penalties and buy-in regime would be applicable in these cases or whether instructions will be exempted from this regime</w:t>
      </w:r>
      <w:r>
        <w:rPr>
          <w:rFonts w:ascii="Arial" w:hAnsi="Arial" w:cs="Arial"/>
          <w:sz w:val="20"/>
          <w:szCs w:val="20"/>
        </w:rPr>
        <w:t xml:space="preserve"> in case the reasons for fails are different from lack of securities and cash.</w:t>
      </w:r>
      <w:r w:rsidRPr="00E76A6C">
        <w:rPr>
          <w:rFonts w:ascii="Arial" w:hAnsi="Arial" w:cs="Arial"/>
          <w:sz w:val="20"/>
          <w:szCs w:val="20"/>
        </w:rPr>
        <w:t xml:space="preserve"> </w:t>
      </w:r>
    </w:p>
    <w:p w:rsidR="00F007F1" w:rsidRDefault="00F007F1" w:rsidP="00F007F1">
      <w:pPr>
        <w:pStyle w:val="NoSpacing"/>
        <w:rPr>
          <w:rFonts w:ascii="Arial" w:hAnsi="Arial" w:cs="Arial"/>
          <w:sz w:val="20"/>
          <w:szCs w:val="20"/>
        </w:rPr>
      </w:pPr>
      <w:r>
        <w:rPr>
          <w:rFonts w:ascii="Arial" w:hAnsi="Arial" w:cs="Arial"/>
          <w:sz w:val="20"/>
          <w:szCs w:val="20"/>
        </w:rPr>
        <w:t>The AG invites ESMA to clarify the usage and procedures (if any) on the management of fails for reasons other than lack of securities and/or cash.</w:t>
      </w:r>
    </w:p>
    <w:p w:rsidR="00F007F1" w:rsidRDefault="00F007F1" w:rsidP="00F007F1">
      <w:pPr>
        <w:pStyle w:val="NoSpacing"/>
        <w:rPr>
          <w:rFonts w:ascii="Arial" w:hAnsi="Arial" w:cs="Arial"/>
          <w:sz w:val="20"/>
          <w:szCs w:val="20"/>
        </w:rPr>
      </w:pPr>
      <w:r>
        <w:rPr>
          <w:rFonts w:ascii="Arial" w:hAnsi="Arial" w:cs="Arial"/>
          <w:sz w:val="20"/>
          <w:szCs w:val="20"/>
        </w:rPr>
        <w:t>In addition, the AG would like to underline that in the case of fails due to lack of cash, CSDs do not have access to the information regarding the “missing amount” of cash in the relevant cash accounts of their participants.</w:t>
      </w:r>
    </w:p>
    <w:p w:rsidR="00F007F1" w:rsidRDefault="00F007F1" w:rsidP="00F007F1">
      <w:pPr>
        <w:pStyle w:val="NoSpacing"/>
        <w:rPr>
          <w:rFonts w:ascii="Arial" w:hAnsi="Arial" w:cs="Arial"/>
          <w:b/>
          <w:i/>
          <w:sz w:val="20"/>
          <w:szCs w:val="20"/>
        </w:rPr>
      </w:pPr>
      <w:r w:rsidRPr="00F92B31">
        <w:rPr>
          <w:rFonts w:ascii="Arial" w:hAnsi="Arial" w:cs="Arial"/>
          <w:b/>
          <w:i/>
          <w:sz w:val="20"/>
          <w:szCs w:val="20"/>
        </w:rPr>
        <w:t>Alternative drafting proposal for 4(2/b)</w:t>
      </w:r>
    </w:p>
    <w:p w:rsidR="00F007F1" w:rsidRDefault="00F007F1" w:rsidP="00F007F1">
      <w:pPr>
        <w:pStyle w:val="NoSpacing"/>
        <w:rPr>
          <w:rFonts w:ascii="Arial" w:hAnsi="Arial" w:cs="Arial"/>
          <w:i/>
          <w:color w:val="000000"/>
          <w:sz w:val="20"/>
          <w:szCs w:val="20"/>
        </w:rPr>
      </w:pPr>
      <w:r>
        <w:rPr>
          <w:rFonts w:ascii="Arial" w:hAnsi="Arial" w:cs="Arial"/>
          <w:i/>
          <w:color w:val="000000"/>
          <w:sz w:val="20"/>
          <w:szCs w:val="20"/>
        </w:rPr>
        <w:t>“</w:t>
      </w:r>
      <w:r w:rsidRPr="00F56986">
        <w:rPr>
          <w:rFonts w:ascii="Arial" w:hAnsi="Arial" w:cs="Arial"/>
          <w:i/>
          <w:color w:val="000000"/>
          <w:sz w:val="20"/>
          <w:szCs w:val="20"/>
        </w:rPr>
        <w:t>(b)</w:t>
      </w:r>
      <w:r w:rsidRPr="00F56986">
        <w:rPr>
          <w:rFonts w:ascii="Arial" w:hAnsi="Arial" w:cs="Arial"/>
          <w:i/>
          <w:color w:val="000000"/>
          <w:spacing w:val="10"/>
          <w:sz w:val="20"/>
          <w:szCs w:val="20"/>
        </w:rPr>
        <w:t xml:space="preserve"> </w:t>
      </w:r>
      <w:r w:rsidRPr="00F56986">
        <w:rPr>
          <w:rFonts w:ascii="Arial" w:hAnsi="Arial" w:cs="Arial"/>
          <w:i/>
          <w:color w:val="000000"/>
          <w:sz w:val="20"/>
          <w:szCs w:val="20"/>
        </w:rPr>
        <w:t>the reason for any cause of fail (e.g. w</w:t>
      </w:r>
      <w:r w:rsidRPr="00F56986">
        <w:rPr>
          <w:rFonts w:ascii="Arial" w:hAnsi="Arial" w:cs="Arial"/>
          <w:i/>
          <w:color w:val="000000"/>
          <w:spacing w:val="2"/>
          <w:sz w:val="20"/>
          <w:szCs w:val="20"/>
        </w:rPr>
        <w:t>h</w:t>
      </w:r>
      <w:r w:rsidRPr="00F56986">
        <w:rPr>
          <w:rFonts w:ascii="Arial" w:hAnsi="Arial" w:cs="Arial"/>
          <w:i/>
          <w:color w:val="000000"/>
          <w:spacing w:val="-1"/>
          <w:sz w:val="20"/>
          <w:szCs w:val="20"/>
        </w:rPr>
        <w:t>e</w:t>
      </w:r>
      <w:r w:rsidRPr="00F56986">
        <w:rPr>
          <w:rFonts w:ascii="Arial" w:hAnsi="Arial" w:cs="Arial"/>
          <w:i/>
          <w:color w:val="000000"/>
          <w:sz w:val="20"/>
          <w:szCs w:val="20"/>
        </w:rPr>
        <w:t>ther</w:t>
      </w:r>
      <w:r w:rsidRPr="00F56986">
        <w:rPr>
          <w:rFonts w:ascii="Arial" w:hAnsi="Arial" w:cs="Arial"/>
          <w:i/>
          <w:color w:val="000000"/>
          <w:spacing w:val="13"/>
          <w:sz w:val="20"/>
          <w:szCs w:val="20"/>
        </w:rPr>
        <w:t xml:space="preserve"> </w:t>
      </w:r>
      <w:r w:rsidRPr="00F56986">
        <w:rPr>
          <w:rFonts w:ascii="Arial" w:hAnsi="Arial" w:cs="Arial"/>
          <w:i/>
          <w:color w:val="000000"/>
          <w:sz w:val="20"/>
          <w:szCs w:val="20"/>
        </w:rPr>
        <w:t>the</w:t>
      </w:r>
      <w:r w:rsidRPr="00F56986">
        <w:rPr>
          <w:rFonts w:ascii="Arial" w:hAnsi="Arial" w:cs="Arial"/>
          <w:i/>
          <w:color w:val="000000"/>
          <w:spacing w:val="11"/>
          <w:sz w:val="20"/>
          <w:szCs w:val="20"/>
        </w:rPr>
        <w:t xml:space="preserve"> </w:t>
      </w:r>
      <w:r w:rsidRPr="00F56986">
        <w:rPr>
          <w:rFonts w:ascii="Arial" w:hAnsi="Arial" w:cs="Arial"/>
          <w:i/>
          <w:color w:val="000000"/>
          <w:spacing w:val="2"/>
          <w:sz w:val="20"/>
          <w:szCs w:val="20"/>
        </w:rPr>
        <w:t>s</w:t>
      </w:r>
      <w:r w:rsidRPr="00F56986">
        <w:rPr>
          <w:rFonts w:ascii="Arial" w:hAnsi="Arial" w:cs="Arial"/>
          <w:i/>
          <w:color w:val="000000"/>
          <w:spacing w:val="-1"/>
          <w:sz w:val="20"/>
          <w:szCs w:val="20"/>
        </w:rPr>
        <w:t>e</w:t>
      </w:r>
      <w:r w:rsidRPr="00F56986">
        <w:rPr>
          <w:rFonts w:ascii="Arial" w:hAnsi="Arial" w:cs="Arial"/>
          <w:i/>
          <w:color w:val="000000"/>
          <w:sz w:val="20"/>
          <w:szCs w:val="20"/>
        </w:rPr>
        <w:t>t</w:t>
      </w:r>
      <w:r w:rsidRPr="00F56986">
        <w:rPr>
          <w:rFonts w:ascii="Arial" w:hAnsi="Arial" w:cs="Arial"/>
          <w:i/>
          <w:color w:val="000000"/>
          <w:spacing w:val="1"/>
          <w:sz w:val="20"/>
          <w:szCs w:val="20"/>
        </w:rPr>
        <w:t>t</w:t>
      </w:r>
      <w:r w:rsidRPr="00F56986">
        <w:rPr>
          <w:rFonts w:ascii="Arial" w:hAnsi="Arial" w:cs="Arial"/>
          <w:i/>
          <w:color w:val="000000"/>
          <w:sz w:val="20"/>
          <w:szCs w:val="20"/>
        </w:rPr>
        <w:t>lem</w:t>
      </w:r>
      <w:r w:rsidRPr="00F56986">
        <w:rPr>
          <w:rFonts w:ascii="Arial" w:hAnsi="Arial" w:cs="Arial"/>
          <w:i/>
          <w:color w:val="000000"/>
          <w:spacing w:val="-1"/>
          <w:sz w:val="20"/>
          <w:szCs w:val="20"/>
        </w:rPr>
        <w:t>e</w:t>
      </w:r>
      <w:r w:rsidRPr="00F56986">
        <w:rPr>
          <w:rFonts w:ascii="Arial" w:hAnsi="Arial" w:cs="Arial"/>
          <w:i/>
          <w:color w:val="000000"/>
          <w:sz w:val="20"/>
          <w:szCs w:val="20"/>
        </w:rPr>
        <w:t>nt</w:t>
      </w:r>
      <w:r w:rsidRPr="00F56986">
        <w:rPr>
          <w:rFonts w:ascii="Arial" w:hAnsi="Arial" w:cs="Arial"/>
          <w:i/>
          <w:color w:val="000000"/>
          <w:spacing w:val="12"/>
          <w:sz w:val="20"/>
          <w:szCs w:val="20"/>
        </w:rPr>
        <w:t xml:space="preserve"> </w:t>
      </w:r>
      <w:r w:rsidRPr="00F56986">
        <w:rPr>
          <w:rFonts w:ascii="Arial" w:hAnsi="Arial" w:cs="Arial"/>
          <w:i/>
          <w:color w:val="000000"/>
          <w:sz w:val="20"/>
          <w:szCs w:val="20"/>
        </w:rPr>
        <w:t>f</w:t>
      </w:r>
      <w:r w:rsidRPr="00F56986">
        <w:rPr>
          <w:rFonts w:ascii="Arial" w:hAnsi="Arial" w:cs="Arial"/>
          <w:i/>
          <w:color w:val="000000"/>
          <w:spacing w:val="-2"/>
          <w:sz w:val="20"/>
          <w:szCs w:val="20"/>
        </w:rPr>
        <w:t>a</w:t>
      </w:r>
      <w:r w:rsidRPr="00F56986">
        <w:rPr>
          <w:rFonts w:ascii="Arial" w:hAnsi="Arial" w:cs="Arial"/>
          <w:i/>
          <w:color w:val="000000"/>
          <w:sz w:val="20"/>
          <w:szCs w:val="20"/>
        </w:rPr>
        <w:t>il</w:t>
      </w:r>
      <w:r w:rsidRPr="00F56986">
        <w:rPr>
          <w:rFonts w:ascii="Arial" w:hAnsi="Arial" w:cs="Arial"/>
          <w:i/>
          <w:color w:val="000000"/>
          <w:spacing w:val="12"/>
          <w:sz w:val="20"/>
          <w:szCs w:val="20"/>
        </w:rPr>
        <w:t xml:space="preserve"> </w:t>
      </w:r>
      <w:r w:rsidRPr="00F56986">
        <w:rPr>
          <w:rFonts w:ascii="Arial" w:hAnsi="Arial" w:cs="Arial"/>
          <w:i/>
          <w:color w:val="000000"/>
          <w:sz w:val="20"/>
          <w:szCs w:val="20"/>
        </w:rPr>
        <w:t>is</w:t>
      </w:r>
      <w:r w:rsidRPr="00F56986">
        <w:rPr>
          <w:rFonts w:ascii="Arial" w:hAnsi="Arial" w:cs="Arial"/>
          <w:i/>
          <w:color w:val="000000"/>
          <w:spacing w:val="12"/>
          <w:sz w:val="20"/>
          <w:szCs w:val="20"/>
        </w:rPr>
        <w:t xml:space="preserve"> </w:t>
      </w:r>
      <w:r w:rsidRPr="00F56986">
        <w:rPr>
          <w:rFonts w:ascii="Arial" w:hAnsi="Arial" w:cs="Arial"/>
          <w:i/>
          <w:color w:val="000000"/>
          <w:sz w:val="20"/>
          <w:szCs w:val="20"/>
        </w:rPr>
        <w:t>d</w:t>
      </w:r>
      <w:r w:rsidRPr="00F56986">
        <w:rPr>
          <w:rFonts w:ascii="Arial" w:hAnsi="Arial" w:cs="Arial"/>
          <w:i/>
          <w:color w:val="000000"/>
          <w:spacing w:val="2"/>
          <w:sz w:val="20"/>
          <w:szCs w:val="20"/>
        </w:rPr>
        <w:t>u</w:t>
      </w:r>
      <w:r w:rsidRPr="00F56986">
        <w:rPr>
          <w:rFonts w:ascii="Arial" w:hAnsi="Arial" w:cs="Arial"/>
          <w:i/>
          <w:color w:val="000000"/>
          <w:sz w:val="20"/>
          <w:szCs w:val="20"/>
        </w:rPr>
        <w:t>e</w:t>
      </w:r>
      <w:r w:rsidRPr="00F56986">
        <w:rPr>
          <w:rFonts w:ascii="Arial" w:hAnsi="Arial" w:cs="Arial"/>
          <w:i/>
          <w:color w:val="000000"/>
          <w:spacing w:val="11"/>
          <w:sz w:val="20"/>
          <w:szCs w:val="20"/>
        </w:rPr>
        <w:t xml:space="preserve"> </w:t>
      </w:r>
      <w:r w:rsidRPr="00F56986">
        <w:rPr>
          <w:rFonts w:ascii="Arial" w:hAnsi="Arial" w:cs="Arial"/>
          <w:i/>
          <w:color w:val="000000"/>
          <w:sz w:val="20"/>
          <w:szCs w:val="20"/>
        </w:rPr>
        <w:t>to</w:t>
      </w:r>
      <w:r w:rsidRPr="00F56986">
        <w:rPr>
          <w:rFonts w:ascii="Arial" w:hAnsi="Arial" w:cs="Arial"/>
          <w:i/>
          <w:color w:val="000000"/>
          <w:spacing w:val="19"/>
          <w:sz w:val="20"/>
          <w:szCs w:val="20"/>
        </w:rPr>
        <w:t xml:space="preserve"> </w:t>
      </w:r>
      <w:r w:rsidRPr="00F56986">
        <w:rPr>
          <w:rFonts w:ascii="Arial" w:hAnsi="Arial" w:cs="Arial"/>
          <w:i/>
          <w:color w:val="000000"/>
          <w:sz w:val="20"/>
          <w:szCs w:val="20"/>
        </w:rPr>
        <w:t>a</w:t>
      </w:r>
      <w:r w:rsidRPr="00F56986">
        <w:rPr>
          <w:rFonts w:ascii="Arial" w:hAnsi="Arial" w:cs="Arial"/>
          <w:i/>
          <w:color w:val="000000"/>
          <w:spacing w:val="11"/>
          <w:sz w:val="20"/>
          <w:szCs w:val="20"/>
        </w:rPr>
        <w:t xml:space="preserve"> </w:t>
      </w:r>
      <w:r w:rsidRPr="00F56986">
        <w:rPr>
          <w:rFonts w:ascii="Arial" w:hAnsi="Arial" w:cs="Arial"/>
          <w:i/>
          <w:color w:val="000000"/>
          <w:sz w:val="20"/>
          <w:szCs w:val="20"/>
        </w:rPr>
        <w:t>p</w:t>
      </w:r>
      <w:r w:rsidRPr="00F56986">
        <w:rPr>
          <w:rFonts w:ascii="Arial" w:hAnsi="Arial" w:cs="Arial"/>
          <w:i/>
          <w:color w:val="000000"/>
          <w:spacing w:val="1"/>
          <w:sz w:val="20"/>
          <w:szCs w:val="20"/>
        </w:rPr>
        <w:t>a</w:t>
      </w:r>
      <w:r w:rsidRPr="00F56986">
        <w:rPr>
          <w:rFonts w:ascii="Arial" w:hAnsi="Arial" w:cs="Arial"/>
          <w:i/>
          <w:color w:val="000000"/>
          <w:sz w:val="20"/>
          <w:szCs w:val="20"/>
        </w:rPr>
        <w:t>rtial</w:t>
      </w:r>
      <w:r w:rsidRPr="00F56986">
        <w:rPr>
          <w:rFonts w:ascii="Arial" w:hAnsi="Arial" w:cs="Arial"/>
          <w:i/>
          <w:color w:val="000000"/>
          <w:spacing w:val="14"/>
          <w:sz w:val="20"/>
          <w:szCs w:val="20"/>
        </w:rPr>
        <w:t xml:space="preserve"> </w:t>
      </w:r>
      <w:r w:rsidRPr="00F56986">
        <w:rPr>
          <w:rFonts w:ascii="Arial" w:hAnsi="Arial" w:cs="Arial"/>
          <w:i/>
          <w:color w:val="000000"/>
          <w:sz w:val="20"/>
          <w:szCs w:val="20"/>
        </w:rPr>
        <w:t>or</w:t>
      </w:r>
      <w:r w:rsidRPr="00F56986">
        <w:rPr>
          <w:rFonts w:ascii="Arial" w:hAnsi="Arial" w:cs="Arial"/>
          <w:i/>
          <w:color w:val="000000"/>
          <w:spacing w:val="11"/>
          <w:sz w:val="20"/>
          <w:szCs w:val="20"/>
        </w:rPr>
        <w:t xml:space="preserve"> </w:t>
      </w:r>
      <w:r w:rsidRPr="00F56986">
        <w:rPr>
          <w:rFonts w:ascii="Arial" w:hAnsi="Arial" w:cs="Arial"/>
          <w:i/>
          <w:color w:val="000000"/>
          <w:sz w:val="20"/>
          <w:szCs w:val="20"/>
        </w:rPr>
        <w:t>to</w:t>
      </w:r>
      <w:r w:rsidRPr="00F56986">
        <w:rPr>
          <w:rFonts w:ascii="Arial" w:hAnsi="Arial" w:cs="Arial"/>
          <w:i/>
          <w:color w:val="000000"/>
          <w:spacing w:val="1"/>
          <w:sz w:val="20"/>
          <w:szCs w:val="20"/>
        </w:rPr>
        <w:t>t</w:t>
      </w:r>
      <w:r w:rsidRPr="00F56986">
        <w:rPr>
          <w:rFonts w:ascii="Arial" w:hAnsi="Arial" w:cs="Arial"/>
          <w:i/>
          <w:color w:val="000000"/>
          <w:spacing w:val="-1"/>
          <w:sz w:val="20"/>
          <w:szCs w:val="20"/>
        </w:rPr>
        <w:t>a</w:t>
      </w:r>
      <w:r w:rsidRPr="00F56986">
        <w:rPr>
          <w:rFonts w:ascii="Arial" w:hAnsi="Arial" w:cs="Arial"/>
          <w:i/>
          <w:color w:val="000000"/>
          <w:sz w:val="20"/>
          <w:szCs w:val="20"/>
        </w:rPr>
        <w:t>l</w:t>
      </w:r>
      <w:r w:rsidRPr="00F56986">
        <w:rPr>
          <w:rFonts w:ascii="Arial" w:hAnsi="Arial" w:cs="Arial"/>
          <w:i/>
          <w:color w:val="000000"/>
          <w:spacing w:val="12"/>
          <w:sz w:val="20"/>
          <w:szCs w:val="20"/>
        </w:rPr>
        <w:t xml:space="preserve"> </w:t>
      </w:r>
      <w:r w:rsidRPr="00F56986">
        <w:rPr>
          <w:rFonts w:ascii="Arial" w:hAnsi="Arial" w:cs="Arial"/>
          <w:i/>
          <w:color w:val="000000"/>
          <w:sz w:val="20"/>
          <w:szCs w:val="20"/>
        </w:rPr>
        <w:t>l</w:t>
      </w:r>
      <w:r w:rsidRPr="00F56986">
        <w:rPr>
          <w:rFonts w:ascii="Arial" w:hAnsi="Arial" w:cs="Arial"/>
          <w:i/>
          <w:color w:val="000000"/>
          <w:spacing w:val="2"/>
          <w:sz w:val="20"/>
          <w:szCs w:val="20"/>
        </w:rPr>
        <w:t>a</w:t>
      </w:r>
      <w:r w:rsidRPr="00F56986">
        <w:rPr>
          <w:rFonts w:ascii="Arial" w:hAnsi="Arial" w:cs="Arial"/>
          <w:i/>
          <w:color w:val="000000"/>
          <w:spacing w:val="-1"/>
          <w:sz w:val="20"/>
          <w:szCs w:val="20"/>
        </w:rPr>
        <w:t>c</w:t>
      </w:r>
      <w:r w:rsidRPr="00F56986">
        <w:rPr>
          <w:rFonts w:ascii="Arial" w:hAnsi="Arial" w:cs="Arial"/>
          <w:i/>
          <w:color w:val="000000"/>
          <w:sz w:val="20"/>
          <w:szCs w:val="20"/>
        </w:rPr>
        <w:t>k</w:t>
      </w:r>
      <w:r w:rsidRPr="00F56986">
        <w:rPr>
          <w:rFonts w:ascii="Arial" w:hAnsi="Arial" w:cs="Arial"/>
          <w:i/>
          <w:color w:val="000000"/>
          <w:spacing w:val="12"/>
          <w:sz w:val="20"/>
          <w:szCs w:val="20"/>
        </w:rPr>
        <w:t xml:space="preserve"> </w:t>
      </w:r>
      <w:r w:rsidRPr="00F56986">
        <w:rPr>
          <w:rFonts w:ascii="Arial" w:hAnsi="Arial" w:cs="Arial"/>
          <w:i/>
          <w:color w:val="000000"/>
          <w:sz w:val="20"/>
          <w:szCs w:val="20"/>
        </w:rPr>
        <w:t>of</w:t>
      </w:r>
      <w:r w:rsidRPr="00F56986">
        <w:rPr>
          <w:rFonts w:ascii="Arial" w:hAnsi="Arial" w:cs="Arial"/>
          <w:i/>
          <w:color w:val="000000"/>
          <w:spacing w:val="13"/>
          <w:sz w:val="20"/>
          <w:szCs w:val="20"/>
        </w:rPr>
        <w:t xml:space="preserve"> </w:t>
      </w:r>
      <w:r w:rsidRPr="00F56986">
        <w:rPr>
          <w:rFonts w:ascii="Arial" w:hAnsi="Arial" w:cs="Arial"/>
          <w:i/>
          <w:color w:val="000000"/>
          <w:sz w:val="20"/>
          <w:szCs w:val="20"/>
        </w:rPr>
        <w:t>s</w:t>
      </w:r>
      <w:r w:rsidRPr="00F56986">
        <w:rPr>
          <w:rFonts w:ascii="Arial" w:hAnsi="Arial" w:cs="Arial"/>
          <w:i/>
          <w:color w:val="000000"/>
          <w:spacing w:val="-1"/>
          <w:sz w:val="20"/>
          <w:szCs w:val="20"/>
        </w:rPr>
        <w:t>ec</w:t>
      </w:r>
      <w:r w:rsidRPr="00F56986">
        <w:rPr>
          <w:rFonts w:ascii="Arial" w:hAnsi="Arial" w:cs="Arial"/>
          <w:i/>
          <w:color w:val="000000"/>
          <w:spacing w:val="2"/>
          <w:sz w:val="20"/>
          <w:szCs w:val="20"/>
        </w:rPr>
        <w:t>u</w:t>
      </w:r>
      <w:r w:rsidRPr="00F56986">
        <w:rPr>
          <w:rFonts w:ascii="Arial" w:hAnsi="Arial" w:cs="Arial"/>
          <w:i/>
          <w:color w:val="000000"/>
          <w:sz w:val="20"/>
          <w:szCs w:val="20"/>
        </w:rPr>
        <w:t>rities</w:t>
      </w:r>
      <w:r w:rsidRPr="00F56986">
        <w:rPr>
          <w:rFonts w:ascii="Arial" w:hAnsi="Arial" w:cs="Arial"/>
          <w:i/>
          <w:color w:val="000000"/>
          <w:spacing w:val="12"/>
          <w:sz w:val="20"/>
          <w:szCs w:val="20"/>
        </w:rPr>
        <w:t xml:space="preserve"> </w:t>
      </w:r>
      <w:r w:rsidRPr="00F56986">
        <w:rPr>
          <w:rFonts w:ascii="Arial" w:hAnsi="Arial" w:cs="Arial"/>
          <w:i/>
          <w:color w:val="000000"/>
          <w:sz w:val="20"/>
          <w:szCs w:val="20"/>
        </w:rPr>
        <w:t>or</w:t>
      </w:r>
      <w:r w:rsidRPr="00F56986">
        <w:rPr>
          <w:rFonts w:ascii="Arial" w:hAnsi="Arial" w:cs="Arial"/>
          <w:i/>
          <w:color w:val="000000"/>
          <w:spacing w:val="11"/>
          <w:sz w:val="20"/>
          <w:szCs w:val="20"/>
        </w:rPr>
        <w:t xml:space="preserve"> </w:t>
      </w:r>
      <w:r w:rsidRPr="00F56986">
        <w:rPr>
          <w:rFonts w:ascii="Arial" w:hAnsi="Arial" w:cs="Arial"/>
          <w:i/>
          <w:color w:val="000000"/>
          <w:sz w:val="20"/>
          <w:szCs w:val="20"/>
        </w:rPr>
        <w:t>d</w:t>
      </w:r>
      <w:r w:rsidRPr="00F56986">
        <w:rPr>
          <w:rFonts w:ascii="Arial" w:hAnsi="Arial" w:cs="Arial"/>
          <w:i/>
          <w:color w:val="000000"/>
          <w:spacing w:val="2"/>
          <w:sz w:val="20"/>
          <w:szCs w:val="20"/>
        </w:rPr>
        <w:t>u</w:t>
      </w:r>
      <w:r w:rsidRPr="00F56986">
        <w:rPr>
          <w:rFonts w:ascii="Arial" w:hAnsi="Arial" w:cs="Arial"/>
          <w:i/>
          <w:color w:val="000000"/>
          <w:sz w:val="20"/>
          <w:szCs w:val="20"/>
        </w:rPr>
        <w:t>e</w:t>
      </w:r>
      <w:r w:rsidRPr="00F56986">
        <w:rPr>
          <w:rFonts w:ascii="Arial" w:hAnsi="Arial" w:cs="Arial"/>
          <w:i/>
          <w:color w:val="000000"/>
          <w:spacing w:val="11"/>
          <w:sz w:val="20"/>
          <w:szCs w:val="20"/>
        </w:rPr>
        <w:t xml:space="preserve"> </w:t>
      </w:r>
      <w:r w:rsidRPr="00F56986">
        <w:rPr>
          <w:rFonts w:ascii="Arial" w:hAnsi="Arial" w:cs="Arial"/>
          <w:i/>
          <w:color w:val="000000"/>
          <w:sz w:val="20"/>
          <w:szCs w:val="20"/>
        </w:rPr>
        <w:t>to</w:t>
      </w:r>
      <w:r w:rsidRPr="00F56986">
        <w:rPr>
          <w:rFonts w:ascii="Arial" w:hAnsi="Arial" w:cs="Arial"/>
          <w:i/>
          <w:color w:val="000000"/>
          <w:spacing w:val="15"/>
          <w:sz w:val="20"/>
          <w:szCs w:val="20"/>
        </w:rPr>
        <w:t xml:space="preserve"> </w:t>
      </w:r>
      <w:r w:rsidRPr="00F56986">
        <w:rPr>
          <w:rFonts w:ascii="Arial" w:hAnsi="Arial" w:cs="Arial"/>
          <w:i/>
          <w:color w:val="000000"/>
          <w:sz w:val="20"/>
          <w:szCs w:val="20"/>
        </w:rPr>
        <w:t>a la</w:t>
      </w:r>
      <w:r w:rsidRPr="00F56986">
        <w:rPr>
          <w:rFonts w:ascii="Arial" w:hAnsi="Arial" w:cs="Arial"/>
          <w:i/>
          <w:color w:val="000000"/>
          <w:spacing w:val="-1"/>
          <w:sz w:val="20"/>
          <w:szCs w:val="20"/>
        </w:rPr>
        <w:t>c</w:t>
      </w:r>
      <w:r w:rsidRPr="00F56986">
        <w:rPr>
          <w:rFonts w:ascii="Arial" w:hAnsi="Arial" w:cs="Arial"/>
          <w:i/>
          <w:color w:val="000000"/>
          <w:sz w:val="20"/>
          <w:szCs w:val="20"/>
        </w:rPr>
        <w:t>k of c</w:t>
      </w:r>
      <w:r w:rsidRPr="00F56986">
        <w:rPr>
          <w:rFonts w:ascii="Arial" w:hAnsi="Arial" w:cs="Arial"/>
          <w:i/>
          <w:color w:val="000000"/>
          <w:spacing w:val="-1"/>
          <w:sz w:val="20"/>
          <w:szCs w:val="20"/>
        </w:rPr>
        <w:t>a</w:t>
      </w:r>
      <w:r w:rsidRPr="00F56986">
        <w:rPr>
          <w:rFonts w:ascii="Arial" w:hAnsi="Arial" w:cs="Arial"/>
          <w:i/>
          <w:color w:val="000000"/>
          <w:sz w:val="20"/>
          <w:szCs w:val="20"/>
        </w:rPr>
        <w:t>sh, temporary restriction etc.)</w:t>
      </w:r>
      <w:r>
        <w:rPr>
          <w:rFonts w:ascii="Arial" w:hAnsi="Arial" w:cs="Arial"/>
          <w:i/>
          <w:color w:val="000000"/>
          <w:sz w:val="20"/>
          <w:szCs w:val="20"/>
        </w:rPr>
        <w:t>”</w:t>
      </w:r>
    </w:p>
    <w:p w:rsidR="00F007F1" w:rsidRDefault="00F007F1" w:rsidP="00F007F1">
      <w:pPr>
        <w:pStyle w:val="NoSpacing"/>
        <w:rPr>
          <w:rFonts w:ascii="Arial" w:hAnsi="Arial" w:cs="Arial"/>
          <w:i/>
          <w:color w:val="000000"/>
          <w:sz w:val="20"/>
          <w:szCs w:val="20"/>
        </w:rPr>
      </w:pPr>
    </w:p>
    <w:p w:rsidR="00F007F1" w:rsidRPr="009A42D5" w:rsidRDefault="00F007F1" w:rsidP="00F007F1">
      <w:pPr>
        <w:pStyle w:val="NoSpacing"/>
        <w:rPr>
          <w:rFonts w:ascii="Arial" w:hAnsi="Arial" w:cs="Arial"/>
          <w:i/>
          <w:sz w:val="20"/>
          <w:szCs w:val="20"/>
        </w:rPr>
      </w:pPr>
      <w:r>
        <w:rPr>
          <w:rFonts w:ascii="Arial" w:hAnsi="Arial" w:cs="Arial"/>
          <w:i/>
          <w:sz w:val="20"/>
          <w:szCs w:val="20"/>
        </w:rPr>
        <w:t xml:space="preserve">4 (2) d) on </w:t>
      </w:r>
      <w:r w:rsidRPr="009A42D5">
        <w:rPr>
          <w:rFonts w:ascii="Arial" w:hAnsi="Arial" w:cs="Arial"/>
          <w:i/>
          <w:sz w:val="20"/>
          <w:szCs w:val="20"/>
        </w:rPr>
        <w:t>differentiation between differ</w:t>
      </w:r>
      <w:r>
        <w:rPr>
          <w:rFonts w:ascii="Arial" w:hAnsi="Arial" w:cs="Arial"/>
          <w:i/>
          <w:sz w:val="20"/>
          <w:szCs w:val="20"/>
        </w:rPr>
        <w:t>ent types of asset classes</w:t>
      </w:r>
    </w:p>
    <w:p w:rsidR="00F007F1" w:rsidRDefault="00F007F1" w:rsidP="00F007F1">
      <w:pPr>
        <w:pStyle w:val="NoSpacing"/>
        <w:rPr>
          <w:rFonts w:ascii="Arial" w:hAnsi="Arial" w:cs="Arial"/>
          <w:sz w:val="20"/>
          <w:szCs w:val="20"/>
        </w:rPr>
      </w:pPr>
      <w:r w:rsidRPr="00681776">
        <w:rPr>
          <w:rFonts w:ascii="Arial" w:hAnsi="Arial" w:cs="Arial"/>
          <w:sz w:val="20"/>
          <w:szCs w:val="20"/>
        </w:rPr>
        <w:t xml:space="preserve">There is an inconsistency </w:t>
      </w:r>
      <w:r>
        <w:rPr>
          <w:rFonts w:ascii="Arial" w:hAnsi="Arial" w:cs="Arial"/>
          <w:sz w:val="20"/>
          <w:szCs w:val="20"/>
        </w:rPr>
        <w:t xml:space="preserve">between the proposed differentiation </w:t>
      </w:r>
      <w:r w:rsidRPr="00681776">
        <w:rPr>
          <w:rFonts w:ascii="Arial" w:hAnsi="Arial" w:cs="Arial"/>
          <w:sz w:val="20"/>
          <w:szCs w:val="20"/>
        </w:rPr>
        <w:t>of</w:t>
      </w:r>
      <w:r>
        <w:rPr>
          <w:rFonts w:ascii="Arial" w:hAnsi="Arial" w:cs="Arial"/>
          <w:sz w:val="20"/>
          <w:szCs w:val="20"/>
        </w:rPr>
        <w:t xml:space="preserve"> the</w:t>
      </w:r>
      <w:r w:rsidRPr="00681776">
        <w:rPr>
          <w:rFonts w:ascii="Arial" w:hAnsi="Arial" w:cs="Arial"/>
          <w:sz w:val="20"/>
          <w:szCs w:val="20"/>
        </w:rPr>
        <w:t xml:space="preserve"> </w:t>
      </w:r>
      <w:r>
        <w:rPr>
          <w:rFonts w:ascii="Arial" w:hAnsi="Arial" w:cs="Arial"/>
          <w:sz w:val="20"/>
          <w:szCs w:val="20"/>
        </w:rPr>
        <w:t xml:space="preserve">types of </w:t>
      </w:r>
      <w:r w:rsidRPr="00681776">
        <w:rPr>
          <w:rFonts w:ascii="Arial" w:hAnsi="Arial" w:cs="Arial"/>
          <w:sz w:val="20"/>
          <w:szCs w:val="20"/>
        </w:rPr>
        <w:t xml:space="preserve">assets </w:t>
      </w:r>
      <w:r>
        <w:rPr>
          <w:rFonts w:ascii="Arial" w:hAnsi="Arial" w:cs="Arial"/>
          <w:sz w:val="20"/>
          <w:szCs w:val="20"/>
        </w:rPr>
        <w:t xml:space="preserve">classes required for the purposes of monitoring settlement fails and the one for calculating penalties </w:t>
      </w:r>
      <w:r w:rsidRPr="00D748E4">
        <w:rPr>
          <w:rFonts w:ascii="Arial" w:hAnsi="Arial" w:cs="Arial"/>
          <w:sz w:val="20"/>
          <w:szCs w:val="20"/>
        </w:rPr>
        <w:t xml:space="preserve">(see Table </w:t>
      </w:r>
      <w:r>
        <w:rPr>
          <w:rFonts w:ascii="Arial" w:hAnsi="Arial" w:cs="Arial"/>
          <w:sz w:val="20"/>
          <w:szCs w:val="20"/>
        </w:rPr>
        <w:t xml:space="preserve">in </w:t>
      </w:r>
      <w:r w:rsidRPr="00D748E4">
        <w:rPr>
          <w:rFonts w:ascii="Arial" w:hAnsi="Arial" w:cs="Arial"/>
          <w:sz w:val="20"/>
          <w:szCs w:val="20"/>
        </w:rPr>
        <w:t>the Tec</w:t>
      </w:r>
      <w:r w:rsidRPr="00D748E4">
        <w:rPr>
          <w:rFonts w:ascii="Arial" w:hAnsi="Arial" w:cs="Arial"/>
          <w:sz w:val="20"/>
          <w:szCs w:val="20"/>
        </w:rPr>
        <w:t>h</w:t>
      </w:r>
      <w:r w:rsidRPr="00D748E4">
        <w:rPr>
          <w:rFonts w:ascii="Arial" w:hAnsi="Arial" w:cs="Arial"/>
          <w:sz w:val="20"/>
          <w:szCs w:val="20"/>
        </w:rPr>
        <w:t>nical Advice, par. 52)</w:t>
      </w:r>
      <w:r>
        <w:rPr>
          <w:rFonts w:ascii="Arial" w:hAnsi="Arial" w:cs="Arial"/>
          <w:sz w:val="20"/>
          <w:szCs w:val="20"/>
        </w:rPr>
        <w:t xml:space="preserve"> and also for those proposed for </w:t>
      </w:r>
      <w:r w:rsidRPr="00681776">
        <w:rPr>
          <w:rFonts w:ascii="Arial" w:hAnsi="Arial" w:cs="Arial"/>
          <w:sz w:val="20"/>
          <w:szCs w:val="20"/>
        </w:rPr>
        <w:t>buy-in rules</w:t>
      </w:r>
      <w:r>
        <w:rPr>
          <w:rFonts w:ascii="Arial" w:hAnsi="Arial" w:cs="Arial"/>
          <w:sz w:val="20"/>
          <w:szCs w:val="20"/>
        </w:rPr>
        <w:t xml:space="preserve"> (see article 12, Annex I). The AG would welcome the alignment of both systems in terms of information requirements for reasons of harmonisation of the information source and flow of the two processes (penalties and buy-ins).</w:t>
      </w:r>
    </w:p>
    <w:p w:rsidR="00F007F1" w:rsidRDefault="00F007F1" w:rsidP="00F007F1">
      <w:pPr>
        <w:pStyle w:val="NoSpacing"/>
        <w:rPr>
          <w:rFonts w:ascii="Arial" w:hAnsi="Arial" w:cs="Arial"/>
          <w:sz w:val="20"/>
          <w:szCs w:val="20"/>
        </w:rPr>
      </w:pPr>
    </w:p>
    <w:p w:rsidR="00F007F1" w:rsidRPr="009A42D5" w:rsidRDefault="00F007F1" w:rsidP="00F007F1">
      <w:pPr>
        <w:pStyle w:val="NoSpacing"/>
        <w:rPr>
          <w:rFonts w:ascii="Arial" w:hAnsi="Arial" w:cs="Arial"/>
          <w:i/>
          <w:sz w:val="20"/>
          <w:szCs w:val="20"/>
        </w:rPr>
      </w:pPr>
      <w:r w:rsidRPr="009A42D5">
        <w:rPr>
          <w:rFonts w:ascii="Arial" w:hAnsi="Arial" w:cs="Arial"/>
          <w:sz w:val="20"/>
          <w:szCs w:val="20"/>
        </w:rPr>
        <w:t xml:space="preserve">4 (2) e) </w:t>
      </w:r>
      <w:r>
        <w:rPr>
          <w:rFonts w:ascii="Arial" w:hAnsi="Arial" w:cs="Arial"/>
          <w:i/>
          <w:sz w:val="20"/>
          <w:szCs w:val="20"/>
        </w:rPr>
        <w:t xml:space="preserve">on </w:t>
      </w:r>
      <w:r w:rsidRPr="009A42D5">
        <w:rPr>
          <w:rFonts w:ascii="Arial" w:hAnsi="Arial" w:cs="Arial"/>
          <w:i/>
          <w:sz w:val="20"/>
          <w:szCs w:val="20"/>
        </w:rPr>
        <w:t xml:space="preserve">differentiation between </w:t>
      </w:r>
      <w:r>
        <w:rPr>
          <w:rFonts w:ascii="Arial" w:hAnsi="Arial" w:cs="Arial"/>
          <w:i/>
          <w:sz w:val="20"/>
          <w:szCs w:val="20"/>
        </w:rPr>
        <w:t>different types of transactions</w:t>
      </w:r>
    </w:p>
    <w:p w:rsidR="00F007F1" w:rsidRDefault="00F007F1" w:rsidP="00F007F1">
      <w:pPr>
        <w:pStyle w:val="NoSpacing"/>
        <w:rPr>
          <w:rFonts w:ascii="Arial" w:hAnsi="Arial" w:cs="Arial"/>
          <w:sz w:val="20"/>
          <w:szCs w:val="20"/>
        </w:rPr>
      </w:pPr>
      <w:r w:rsidRPr="00F56986">
        <w:rPr>
          <w:rFonts w:ascii="Arial" w:hAnsi="Arial" w:cs="Arial"/>
          <w:sz w:val="20"/>
          <w:szCs w:val="20"/>
        </w:rPr>
        <w:t xml:space="preserve">There is an additional category “others (please specify)” which is included in Table 2 of Annex 1 of the RTS on settlement discipline regarding reports on settlement fails. This information is missing from the text described in art. 4.2(e). </w:t>
      </w:r>
    </w:p>
    <w:p w:rsidR="00F007F1" w:rsidRDefault="00F007F1" w:rsidP="00F007F1">
      <w:pPr>
        <w:pStyle w:val="NoSpacing"/>
        <w:rPr>
          <w:rFonts w:ascii="Arial" w:hAnsi="Arial" w:cs="Arial"/>
          <w:sz w:val="20"/>
          <w:szCs w:val="20"/>
        </w:rPr>
      </w:pPr>
      <w:r w:rsidRPr="00F56986">
        <w:rPr>
          <w:rFonts w:ascii="Arial" w:hAnsi="Arial" w:cs="Arial"/>
          <w:sz w:val="20"/>
          <w:szCs w:val="20"/>
        </w:rPr>
        <w:t>The AG would like to clarify that the currently agreed ISO field “transaction type” codes do not provide the information required by the proposed RTS 4 (2) e). The business purpose of the “transaction type” is not to identify location of trading or clearing but rather to provide information on underlying business transa</w:t>
      </w:r>
      <w:r w:rsidRPr="00F56986">
        <w:rPr>
          <w:rFonts w:ascii="Arial" w:hAnsi="Arial" w:cs="Arial"/>
          <w:sz w:val="20"/>
          <w:szCs w:val="20"/>
        </w:rPr>
        <w:t>c</w:t>
      </w:r>
      <w:r w:rsidRPr="00F56986">
        <w:rPr>
          <w:rFonts w:ascii="Arial" w:hAnsi="Arial" w:cs="Arial"/>
          <w:sz w:val="20"/>
          <w:szCs w:val="20"/>
        </w:rPr>
        <w:t xml:space="preserve">tion or </w:t>
      </w:r>
      <w:r w:rsidRPr="00EB4FD5">
        <w:rPr>
          <w:rFonts w:ascii="Arial" w:hAnsi="Arial" w:cs="Arial"/>
          <w:sz w:val="20"/>
          <w:szCs w:val="20"/>
        </w:rPr>
        <w:t>type of business operation per financial instrument</w:t>
      </w:r>
      <w:r w:rsidRPr="00F56986">
        <w:rPr>
          <w:rFonts w:ascii="Arial" w:hAnsi="Arial" w:cs="Arial"/>
          <w:sz w:val="20"/>
          <w:szCs w:val="20"/>
        </w:rPr>
        <w:t xml:space="preserve">.   </w:t>
      </w:r>
    </w:p>
    <w:p w:rsidR="00F007F1" w:rsidRDefault="00F007F1" w:rsidP="00F007F1">
      <w:pPr>
        <w:pStyle w:val="NoSpacing"/>
        <w:rPr>
          <w:rFonts w:ascii="Arial" w:hAnsi="Arial" w:cs="Arial"/>
          <w:sz w:val="20"/>
          <w:szCs w:val="20"/>
        </w:rPr>
      </w:pPr>
      <w:r w:rsidRPr="004A1490">
        <w:rPr>
          <w:rFonts w:ascii="Arial" w:hAnsi="Arial" w:cs="Arial"/>
          <w:sz w:val="20"/>
          <w:szCs w:val="20"/>
        </w:rPr>
        <w:t xml:space="preserve">The AG proposes </w:t>
      </w:r>
      <w:r>
        <w:rPr>
          <w:rFonts w:ascii="Arial" w:hAnsi="Arial" w:cs="Arial"/>
          <w:sz w:val="20"/>
          <w:szCs w:val="20"/>
        </w:rPr>
        <w:t xml:space="preserve">that </w:t>
      </w:r>
      <w:r w:rsidRPr="004A1490">
        <w:rPr>
          <w:rFonts w:ascii="Arial" w:hAnsi="Arial" w:cs="Arial"/>
          <w:sz w:val="20"/>
          <w:szCs w:val="20"/>
        </w:rPr>
        <w:t>the differentiation between the different ty</w:t>
      </w:r>
      <w:r>
        <w:rPr>
          <w:rFonts w:ascii="Arial" w:hAnsi="Arial" w:cs="Arial"/>
          <w:sz w:val="20"/>
          <w:szCs w:val="20"/>
        </w:rPr>
        <w:t>pes of categories under 4(2) e) f</w:t>
      </w:r>
      <w:r w:rsidRPr="004A1490">
        <w:rPr>
          <w:rFonts w:ascii="Arial" w:hAnsi="Arial" w:cs="Arial"/>
          <w:sz w:val="20"/>
          <w:szCs w:val="20"/>
        </w:rPr>
        <w:t>ollows the categorisation of transaction types adopted by ISO for the ‘transaction type’ field, making use of the available ISO codes for the different categories (see comment on question 23, Annex VII/Table 1). This is the preferred option of the T2S AG as the codes provided will be the same as the ones used in the settl</w:t>
      </w:r>
      <w:r w:rsidRPr="004A1490">
        <w:rPr>
          <w:rFonts w:ascii="Arial" w:hAnsi="Arial" w:cs="Arial"/>
          <w:sz w:val="20"/>
          <w:szCs w:val="20"/>
        </w:rPr>
        <w:t>e</w:t>
      </w:r>
      <w:r w:rsidRPr="004A1490">
        <w:rPr>
          <w:rFonts w:ascii="Arial" w:hAnsi="Arial" w:cs="Arial"/>
          <w:sz w:val="20"/>
          <w:szCs w:val="20"/>
        </w:rPr>
        <w:t xml:space="preserve">ment messages. In any case, the exact ISO codes have to be kept for record keeping by the CSDs as required by </w:t>
      </w:r>
      <w:r>
        <w:rPr>
          <w:rFonts w:ascii="Arial" w:hAnsi="Arial" w:cs="Arial"/>
          <w:sz w:val="20"/>
          <w:szCs w:val="20"/>
        </w:rPr>
        <w:t>other</w:t>
      </w:r>
      <w:r w:rsidRPr="004A1490">
        <w:rPr>
          <w:rFonts w:ascii="Arial" w:hAnsi="Arial" w:cs="Arial"/>
          <w:sz w:val="20"/>
          <w:szCs w:val="20"/>
        </w:rPr>
        <w:t xml:space="preserve"> RTS (in particular recordkeeping requirements).</w:t>
      </w:r>
    </w:p>
    <w:p w:rsidR="00F007F1" w:rsidRDefault="00F007F1" w:rsidP="00F007F1">
      <w:pPr>
        <w:pStyle w:val="NoSpacing"/>
        <w:rPr>
          <w:rFonts w:ascii="Arial" w:hAnsi="Arial" w:cs="Arial"/>
          <w:sz w:val="20"/>
          <w:szCs w:val="20"/>
        </w:rPr>
      </w:pPr>
      <w:r>
        <w:rPr>
          <w:rFonts w:ascii="Arial" w:hAnsi="Arial" w:cs="Arial"/>
          <w:sz w:val="20"/>
          <w:szCs w:val="20"/>
        </w:rPr>
        <w:t>In addition, t</w:t>
      </w:r>
      <w:r w:rsidRPr="00F56986">
        <w:rPr>
          <w:rFonts w:ascii="Arial" w:hAnsi="Arial" w:cs="Arial"/>
          <w:sz w:val="20"/>
          <w:szCs w:val="20"/>
        </w:rPr>
        <w:t xml:space="preserve">he AG would like to propose that CSDs use the ISO fields “place of trade” and “place of clearing” for recording the information required under RTS 4.2(e). In any case, </w:t>
      </w:r>
      <w:r>
        <w:rPr>
          <w:rFonts w:ascii="Arial" w:hAnsi="Arial" w:cs="Arial"/>
          <w:sz w:val="20"/>
          <w:szCs w:val="20"/>
        </w:rPr>
        <w:t xml:space="preserve">the AG </w:t>
      </w:r>
      <w:r w:rsidRPr="00F56986">
        <w:rPr>
          <w:rFonts w:ascii="Arial" w:hAnsi="Arial" w:cs="Arial"/>
          <w:sz w:val="20"/>
          <w:szCs w:val="20"/>
        </w:rPr>
        <w:t>understand</w:t>
      </w:r>
      <w:r>
        <w:rPr>
          <w:rFonts w:ascii="Arial" w:hAnsi="Arial" w:cs="Arial"/>
          <w:sz w:val="20"/>
          <w:szCs w:val="20"/>
        </w:rPr>
        <w:t>s</w:t>
      </w:r>
      <w:r w:rsidRPr="00F56986">
        <w:rPr>
          <w:rFonts w:ascii="Arial" w:hAnsi="Arial" w:cs="Arial"/>
          <w:sz w:val="20"/>
          <w:szCs w:val="20"/>
        </w:rPr>
        <w:t xml:space="preserve"> that the exact trading venue and CCP have to be known to the CSD for other requirements on settlement discipline: CCPs have to be known for passing the information on calculated penalties and trading venues to inform them about a failing transactions that should be subject to buy-ins. </w:t>
      </w:r>
    </w:p>
    <w:p w:rsidR="00F007F1" w:rsidRDefault="00F007F1" w:rsidP="00F007F1">
      <w:pPr>
        <w:pStyle w:val="NoSpacing"/>
        <w:rPr>
          <w:rFonts w:ascii="Arial" w:hAnsi="Arial" w:cs="Arial"/>
          <w:sz w:val="20"/>
          <w:szCs w:val="20"/>
        </w:rPr>
      </w:pPr>
      <w:r w:rsidRPr="00F56986">
        <w:rPr>
          <w:rFonts w:ascii="Arial" w:hAnsi="Arial" w:cs="Arial"/>
          <w:sz w:val="20"/>
          <w:szCs w:val="20"/>
        </w:rPr>
        <w:t>Please see our comment on question 23 regarding Annex VII/Table 1.</w:t>
      </w:r>
    </w:p>
    <w:p w:rsidR="00F007F1" w:rsidRDefault="00F007F1" w:rsidP="00F007F1">
      <w:pPr>
        <w:pStyle w:val="NoSpacing"/>
        <w:rPr>
          <w:rFonts w:ascii="Arial" w:hAnsi="Arial" w:cs="Arial"/>
          <w:b/>
          <w:i/>
          <w:sz w:val="20"/>
          <w:szCs w:val="20"/>
          <w:u w:val="single"/>
        </w:rPr>
      </w:pPr>
      <w:r w:rsidRPr="00F62F68">
        <w:rPr>
          <w:rFonts w:ascii="Arial" w:hAnsi="Arial" w:cs="Arial"/>
          <w:b/>
          <w:i/>
          <w:sz w:val="20"/>
          <w:szCs w:val="20"/>
          <w:u w:val="single"/>
        </w:rPr>
        <w:t xml:space="preserve">Alternative </w:t>
      </w:r>
      <w:r>
        <w:rPr>
          <w:rFonts w:ascii="Arial" w:hAnsi="Arial" w:cs="Arial"/>
          <w:b/>
          <w:i/>
          <w:sz w:val="20"/>
          <w:szCs w:val="20"/>
          <w:u w:val="single"/>
        </w:rPr>
        <w:t xml:space="preserve">drafting </w:t>
      </w:r>
      <w:r w:rsidRPr="00F62F68">
        <w:rPr>
          <w:rFonts w:ascii="Arial" w:hAnsi="Arial" w:cs="Arial"/>
          <w:b/>
          <w:i/>
          <w:sz w:val="20"/>
          <w:szCs w:val="20"/>
          <w:u w:val="single"/>
        </w:rPr>
        <w:t>proposal</w:t>
      </w:r>
    </w:p>
    <w:p w:rsidR="00F007F1" w:rsidRDefault="00F007F1" w:rsidP="00F007F1">
      <w:pPr>
        <w:pStyle w:val="NoSpacing"/>
        <w:rPr>
          <w:rFonts w:ascii="Arial" w:hAnsi="Arial" w:cs="Arial"/>
          <w:sz w:val="20"/>
          <w:szCs w:val="20"/>
        </w:rPr>
      </w:pPr>
      <w:r>
        <w:rPr>
          <w:rFonts w:ascii="Arial" w:hAnsi="Arial" w:cs="Arial"/>
          <w:sz w:val="20"/>
          <w:szCs w:val="20"/>
        </w:rPr>
        <w:t>The AG proposes the following drafting under 4(2) e):</w:t>
      </w:r>
    </w:p>
    <w:p w:rsidR="00F007F1" w:rsidRDefault="00F007F1" w:rsidP="00F007F1">
      <w:pPr>
        <w:pStyle w:val="NoSpacing"/>
        <w:rPr>
          <w:rFonts w:ascii="Arial" w:hAnsi="Arial" w:cs="Arial"/>
          <w:i/>
          <w:sz w:val="20"/>
          <w:szCs w:val="20"/>
        </w:rPr>
      </w:pPr>
      <w:r w:rsidRPr="00CB3A2E">
        <w:rPr>
          <w:rFonts w:ascii="Arial" w:hAnsi="Arial" w:cs="Arial"/>
          <w:i/>
          <w:sz w:val="20"/>
          <w:szCs w:val="20"/>
        </w:rPr>
        <w:t>“e) the ISO transaction type of the settlement instruction;”</w:t>
      </w:r>
    </w:p>
    <w:p w:rsidR="00F007F1" w:rsidRDefault="00F007F1" w:rsidP="00F007F1">
      <w:pPr>
        <w:pStyle w:val="NoSpacing"/>
        <w:rPr>
          <w:rFonts w:ascii="Arial" w:hAnsi="Arial" w:cs="Arial"/>
          <w:sz w:val="20"/>
          <w:szCs w:val="20"/>
        </w:rPr>
      </w:pPr>
      <w:r w:rsidRPr="00F56986">
        <w:rPr>
          <w:rFonts w:ascii="Arial" w:hAnsi="Arial" w:cs="Arial"/>
          <w:sz w:val="20"/>
          <w:szCs w:val="20"/>
        </w:rPr>
        <w:t>In addition, the AG proposes to add the following information to be provided</w:t>
      </w:r>
      <w:r>
        <w:rPr>
          <w:rFonts w:ascii="Arial" w:hAnsi="Arial" w:cs="Arial"/>
          <w:sz w:val="20"/>
          <w:szCs w:val="20"/>
        </w:rPr>
        <w:t>,</w:t>
      </w:r>
      <w:r w:rsidRPr="00F56986">
        <w:rPr>
          <w:rFonts w:ascii="Arial" w:hAnsi="Arial" w:cs="Arial"/>
          <w:sz w:val="20"/>
          <w:szCs w:val="20"/>
        </w:rPr>
        <w:t xml:space="preserve"> </w:t>
      </w:r>
      <w:r>
        <w:rPr>
          <w:rFonts w:ascii="Arial" w:hAnsi="Arial" w:cs="Arial"/>
          <w:sz w:val="20"/>
          <w:szCs w:val="20"/>
        </w:rPr>
        <w:t xml:space="preserve">if available in the settlement instructions, for the purposes of </w:t>
      </w:r>
      <w:r w:rsidRPr="00F56986">
        <w:rPr>
          <w:rFonts w:ascii="Arial" w:hAnsi="Arial" w:cs="Arial"/>
          <w:sz w:val="20"/>
          <w:szCs w:val="20"/>
        </w:rPr>
        <w:t xml:space="preserve">the system of monitoring settlement fails </w:t>
      </w:r>
      <w:r>
        <w:rPr>
          <w:rFonts w:ascii="Arial" w:hAnsi="Arial" w:cs="Arial"/>
          <w:sz w:val="20"/>
          <w:szCs w:val="20"/>
        </w:rPr>
        <w:t>after</w:t>
      </w:r>
      <w:r w:rsidRPr="00F56986">
        <w:rPr>
          <w:rFonts w:ascii="Arial" w:hAnsi="Arial" w:cs="Arial"/>
          <w:sz w:val="20"/>
          <w:szCs w:val="20"/>
        </w:rPr>
        <w:t xml:space="preserve"> article 4 </w:t>
      </w:r>
      <w:r>
        <w:rPr>
          <w:rFonts w:ascii="Arial" w:hAnsi="Arial" w:cs="Arial"/>
          <w:sz w:val="20"/>
          <w:szCs w:val="20"/>
        </w:rPr>
        <w:t>(g)</w:t>
      </w:r>
      <w:r w:rsidRPr="00F56986">
        <w:rPr>
          <w:rFonts w:ascii="Arial" w:hAnsi="Arial" w:cs="Arial"/>
          <w:sz w:val="20"/>
          <w:szCs w:val="20"/>
        </w:rPr>
        <w:t>:</w:t>
      </w:r>
    </w:p>
    <w:p w:rsidR="00F007F1" w:rsidRDefault="00F007F1" w:rsidP="00F007F1">
      <w:pPr>
        <w:pStyle w:val="NoSpacing"/>
        <w:rPr>
          <w:rFonts w:ascii="Arial" w:hAnsi="Arial" w:cs="Arial"/>
          <w:i/>
          <w:sz w:val="20"/>
          <w:szCs w:val="20"/>
        </w:rPr>
      </w:pPr>
      <w:r>
        <w:rPr>
          <w:rFonts w:ascii="Arial" w:hAnsi="Arial" w:cs="Arial"/>
          <w:i/>
          <w:sz w:val="20"/>
          <w:szCs w:val="20"/>
        </w:rPr>
        <w:t>‘</w:t>
      </w:r>
      <w:r w:rsidRPr="00F56986">
        <w:rPr>
          <w:rFonts w:ascii="Arial" w:hAnsi="Arial" w:cs="Arial"/>
          <w:i/>
          <w:sz w:val="20"/>
          <w:szCs w:val="20"/>
        </w:rPr>
        <w:t>h) place of trade (to be provided if the transaction has been concluded on a trading venue)</w:t>
      </w:r>
    </w:p>
    <w:p w:rsidR="00F007F1" w:rsidRDefault="00F007F1" w:rsidP="00F007F1">
      <w:pPr>
        <w:pStyle w:val="NoSpacing"/>
        <w:rPr>
          <w:rFonts w:ascii="Arial" w:hAnsi="Arial" w:cs="Arial"/>
          <w:i/>
          <w:sz w:val="20"/>
          <w:szCs w:val="20"/>
        </w:rPr>
      </w:pPr>
      <w:r w:rsidRPr="00F56986">
        <w:rPr>
          <w:rFonts w:ascii="Arial" w:hAnsi="Arial" w:cs="Arial"/>
          <w:i/>
          <w:sz w:val="20"/>
          <w:szCs w:val="20"/>
        </w:rPr>
        <w:t>i) place of clearing (to be provided if the transaction has been cleared by a CCP)</w:t>
      </w:r>
      <w:r>
        <w:rPr>
          <w:rFonts w:ascii="Arial" w:hAnsi="Arial" w:cs="Arial"/>
          <w:i/>
          <w:sz w:val="20"/>
          <w:szCs w:val="20"/>
        </w:rPr>
        <w:t>’</w:t>
      </w:r>
    </w:p>
    <w:p w:rsidR="00F007F1" w:rsidRDefault="00F007F1" w:rsidP="00F007F1">
      <w:pPr>
        <w:pStyle w:val="NoSpacing"/>
        <w:rPr>
          <w:rFonts w:ascii="Arial" w:hAnsi="Arial" w:cs="Arial"/>
          <w:b/>
          <w:sz w:val="20"/>
          <w:szCs w:val="20"/>
        </w:rPr>
      </w:pPr>
    </w:p>
    <w:p w:rsidR="00F007F1" w:rsidRDefault="00F007F1" w:rsidP="00F007F1">
      <w:pPr>
        <w:pStyle w:val="NoSpacing"/>
        <w:rPr>
          <w:rFonts w:ascii="Arial" w:hAnsi="Arial" w:cs="Arial"/>
          <w:b/>
          <w:i/>
          <w:sz w:val="20"/>
          <w:szCs w:val="20"/>
        </w:rPr>
      </w:pPr>
      <w:r w:rsidRPr="00650183">
        <w:rPr>
          <w:rFonts w:ascii="Arial" w:hAnsi="Arial" w:cs="Arial"/>
          <w:b/>
          <w:sz w:val="20"/>
          <w:szCs w:val="20"/>
        </w:rPr>
        <w:t>RTS Article 5</w:t>
      </w:r>
      <w:r w:rsidR="00650183" w:rsidRPr="00650183">
        <w:rPr>
          <w:rFonts w:ascii="Arial" w:hAnsi="Arial" w:cs="Arial"/>
          <w:b/>
          <w:sz w:val="20"/>
          <w:szCs w:val="20"/>
        </w:rPr>
        <w:t>, Annex I</w:t>
      </w:r>
      <w:r w:rsidRPr="00650183">
        <w:rPr>
          <w:rFonts w:ascii="Arial" w:hAnsi="Arial" w:cs="Arial"/>
          <w:b/>
          <w:sz w:val="20"/>
          <w:szCs w:val="20"/>
        </w:rPr>
        <w:t xml:space="preserve"> </w:t>
      </w:r>
      <w:r w:rsidRPr="009A42D5">
        <w:rPr>
          <w:rFonts w:ascii="Arial" w:hAnsi="Arial" w:cs="Arial"/>
          <w:i/>
          <w:sz w:val="20"/>
          <w:szCs w:val="20"/>
        </w:rPr>
        <w:t>on reports to public authorities</w:t>
      </w:r>
    </w:p>
    <w:p w:rsidR="00F007F1" w:rsidRDefault="00F007F1" w:rsidP="00F007F1">
      <w:pPr>
        <w:pStyle w:val="NoSpacing"/>
        <w:rPr>
          <w:rFonts w:ascii="Arial" w:hAnsi="Arial" w:cs="Arial"/>
          <w:sz w:val="20"/>
          <w:szCs w:val="20"/>
        </w:rPr>
      </w:pPr>
      <w:r w:rsidRPr="00E76A6C">
        <w:rPr>
          <w:rFonts w:ascii="Arial" w:hAnsi="Arial" w:cs="Arial"/>
          <w:sz w:val="20"/>
          <w:szCs w:val="20"/>
        </w:rPr>
        <w:t>The AG would like to propose that the items in the reports to competent authorities should be built as much as possible using the available ISO standards on messages, queries and reports.</w:t>
      </w:r>
      <w:r>
        <w:rPr>
          <w:rFonts w:ascii="Arial" w:hAnsi="Arial" w:cs="Arial"/>
          <w:sz w:val="20"/>
          <w:szCs w:val="20"/>
        </w:rPr>
        <w:t xml:space="preserve"> </w:t>
      </w:r>
    </w:p>
    <w:p w:rsidR="00F007F1" w:rsidRDefault="00F007F1" w:rsidP="00F007F1">
      <w:pPr>
        <w:pStyle w:val="NoSpacing"/>
        <w:rPr>
          <w:rFonts w:ascii="Arial" w:hAnsi="Arial" w:cs="Arial"/>
          <w:sz w:val="20"/>
          <w:szCs w:val="20"/>
        </w:rPr>
      </w:pPr>
      <w:r>
        <w:rPr>
          <w:rFonts w:ascii="Arial" w:hAnsi="Arial" w:cs="Arial"/>
          <w:sz w:val="20"/>
          <w:szCs w:val="20"/>
        </w:rPr>
        <w:t>This would ensure wider market harmonisation.</w:t>
      </w:r>
    </w:p>
    <w:p w:rsidR="00F007F1" w:rsidRDefault="00F007F1" w:rsidP="00F007F1">
      <w:pPr>
        <w:pStyle w:val="NoSpacing"/>
        <w:rPr>
          <w:rFonts w:ascii="Arial" w:hAnsi="Arial" w:cs="Arial"/>
          <w:sz w:val="20"/>
          <w:szCs w:val="20"/>
        </w:rPr>
      </w:pPr>
      <w:r>
        <w:rPr>
          <w:rFonts w:ascii="Arial" w:hAnsi="Arial" w:cs="Arial"/>
          <w:sz w:val="20"/>
          <w:szCs w:val="20"/>
        </w:rPr>
        <w:t>See AG comment on “transaction type” in response above.</w:t>
      </w:r>
    </w:p>
    <w:p w:rsidR="00F007F1" w:rsidRDefault="00F007F1" w:rsidP="00F007F1">
      <w:pPr>
        <w:pStyle w:val="NoSpacing"/>
        <w:rPr>
          <w:rFonts w:ascii="Arial" w:hAnsi="Arial" w:cs="Arial"/>
          <w:b/>
          <w:i/>
          <w:sz w:val="20"/>
          <w:szCs w:val="20"/>
        </w:rPr>
      </w:pPr>
    </w:p>
    <w:p w:rsidR="00F007F1" w:rsidRDefault="00F007F1" w:rsidP="00F007F1">
      <w:pPr>
        <w:pStyle w:val="NoSpacing"/>
        <w:rPr>
          <w:rFonts w:ascii="Arial" w:hAnsi="Arial" w:cs="Arial"/>
          <w:b/>
          <w:i/>
          <w:sz w:val="20"/>
          <w:szCs w:val="20"/>
        </w:rPr>
      </w:pPr>
      <w:r w:rsidRPr="00650183">
        <w:rPr>
          <w:rFonts w:ascii="Arial" w:hAnsi="Arial" w:cs="Arial"/>
          <w:b/>
          <w:sz w:val="20"/>
          <w:szCs w:val="20"/>
        </w:rPr>
        <w:t>RTS Art. 5.1</w:t>
      </w:r>
      <w:r w:rsidR="00650183" w:rsidRPr="00650183">
        <w:rPr>
          <w:rFonts w:ascii="Arial" w:hAnsi="Arial" w:cs="Arial"/>
          <w:b/>
          <w:sz w:val="20"/>
          <w:szCs w:val="20"/>
        </w:rPr>
        <w:t>, Annex I</w:t>
      </w:r>
      <w:r w:rsidRPr="009418FF">
        <w:rPr>
          <w:rFonts w:ascii="Arial" w:hAnsi="Arial" w:cs="Arial"/>
          <w:b/>
          <w:i/>
          <w:sz w:val="20"/>
          <w:szCs w:val="20"/>
        </w:rPr>
        <w:t xml:space="preserve"> </w:t>
      </w:r>
      <w:r w:rsidRPr="009A42D5">
        <w:rPr>
          <w:rFonts w:ascii="Arial" w:hAnsi="Arial" w:cs="Arial"/>
          <w:i/>
          <w:sz w:val="20"/>
          <w:szCs w:val="20"/>
        </w:rPr>
        <w:t>on information and data on settlement fails</w:t>
      </w:r>
    </w:p>
    <w:p w:rsidR="00F007F1" w:rsidRDefault="00F007F1" w:rsidP="00F007F1">
      <w:pPr>
        <w:pStyle w:val="NoSpacing"/>
        <w:rPr>
          <w:rFonts w:ascii="Arial" w:hAnsi="Arial" w:cs="Arial"/>
          <w:sz w:val="20"/>
          <w:szCs w:val="20"/>
        </w:rPr>
      </w:pPr>
      <w:r>
        <w:rPr>
          <w:rFonts w:ascii="Arial" w:hAnsi="Arial" w:cs="Arial"/>
          <w:sz w:val="20"/>
          <w:szCs w:val="20"/>
        </w:rPr>
        <w:t>The AG would propose to ESMA that information on the types of securities accounts (i.e. which types of securities accounts are connected to the fails) are also reported by the CSDs to the competent authorities. This could be included in Annex I, Table 2.</w:t>
      </w:r>
    </w:p>
    <w:p w:rsidR="00F007F1" w:rsidRPr="00544E4D" w:rsidRDefault="00F007F1" w:rsidP="00F007F1">
      <w:pPr>
        <w:pStyle w:val="NoSpacing"/>
        <w:rPr>
          <w:rFonts w:ascii="Arial" w:hAnsi="Arial" w:cs="Arial"/>
          <w:b/>
          <w:i/>
          <w:sz w:val="20"/>
          <w:szCs w:val="20"/>
        </w:rPr>
      </w:pPr>
      <w:r>
        <w:rPr>
          <w:rFonts w:ascii="Arial" w:hAnsi="Arial" w:cs="Arial"/>
          <w:sz w:val="20"/>
          <w:szCs w:val="20"/>
        </w:rPr>
        <w:lastRenderedPageBreak/>
        <w:t>In this way it would be possible for the competent authorities to receive information on whether the fails are due to lack of securities of the CSD participant or of its clients.</w:t>
      </w:r>
    </w:p>
    <w:permEnd w:id="1181643858"/>
    <w:p w:rsidR="00D12AFD" w:rsidRDefault="00D12AFD" w:rsidP="00D12AFD">
      <w:r>
        <w:t>&lt;ESMA_QUESTION_TS_CSDR_5&gt;</w:t>
      </w:r>
    </w:p>
    <w:p w:rsidR="00D12AFD" w:rsidRPr="002C4F00" w:rsidRDefault="00D12AFD" w:rsidP="00965B03">
      <w:pPr>
        <w:pStyle w:val="Heading5"/>
        <w:ind w:left="567" w:hanging="567"/>
      </w:pPr>
      <w:r w:rsidRPr="002C4F00">
        <w:t>What are your views on the proposed draft RTS related to the penalty mechanism? Do you agree that when CSDs use a common settlement infrastructure, the proc</w:t>
      </w:r>
      <w:r w:rsidRPr="002C4F00">
        <w:t>e</w:t>
      </w:r>
      <w:r w:rsidRPr="002C4F00">
        <w:t>dures for cash penalties should be jointly managed?</w:t>
      </w:r>
    </w:p>
    <w:p w:rsidR="00D12AFD" w:rsidRDefault="00D12AFD" w:rsidP="00D12AFD"/>
    <w:p w:rsidR="00D12AFD" w:rsidRDefault="00D12AFD" w:rsidP="00D12AFD">
      <w:r>
        <w:t>&lt;ESMA_QUESTION_TS_CSDR_6&gt;</w:t>
      </w:r>
    </w:p>
    <w:p w:rsidR="00EF7076" w:rsidRDefault="00EF7076" w:rsidP="00EF7076">
      <w:pPr>
        <w:pStyle w:val="NoSpacing"/>
        <w:rPr>
          <w:rFonts w:ascii="Arial" w:hAnsi="Arial" w:cs="Arial"/>
          <w:b/>
          <w:iCs/>
          <w:sz w:val="20"/>
          <w:szCs w:val="20"/>
          <w:u w:val="single"/>
          <w:lang w:eastAsia="de-DE"/>
        </w:rPr>
      </w:pPr>
      <w:permStart w:id="1465393426" w:edGrp="everyone"/>
      <w:r w:rsidRPr="0088497B">
        <w:rPr>
          <w:rFonts w:ascii="Arial" w:hAnsi="Arial" w:cs="Arial"/>
          <w:b/>
          <w:sz w:val="20"/>
          <w:szCs w:val="20"/>
          <w:u w:val="single"/>
        </w:rPr>
        <w:t xml:space="preserve">AG response to </w:t>
      </w:r>
      <w:r w:rsidRPr="0088497B">
        <w:rPr>
          <w:rFonts w:ascii="Arial" w:hAnsi="Arial" w:cs="Arial"/>
          <w:b/>
          <w:iCs/>
          <w:sz w:val="20"/>
          <w:szCs w:val="20"/>
          <w:u w:val="single"/>
          <w:lang w:eastAsia="de-DE"/>
        </w:rPr>
        <w:t>Q6</w:t>
      </w:r>
    </w:p>
    <w:p w:rsidR="00EF7076" w:rsidRDefault="00EF7076" w:rsidP="00EF7076">
      <w:pPr>
        <w:pStyle w:val="NoSpacing"/>
        <w:rPr>
          <w:rFonts w:ascii="Arial" w:hAnsi="Arial" w:cs="Arial"/>
          <w:b/>
          <w:iCs/>
          <w:sz w:val="20"/>
          <w:szCs w:val="20"/>
          <w:u w:val="single"/>
          <w:lang w:eastAsia="de-DE"/>
        </w:rPr>
      </w:pPr>
    </w:p>
    <w:p w:rsidR="00EF7076" w:rsidRDefault="00EF7076" w:rsidP="00EF7076">
      <w:pPr>
        <w:pStyle w:val="NoSpacing"/>
        <w:jc w:val="center"/>
        <w:rPr>
          <w:rFonts w:ascii="Arial" w:hAnsi="Arial" w:cs="Arial"/>
          <w:b/>
          <w:i/>
          <w:sz w:val="20"/>
          <w:szCs w:val="20"/>
          <w:u w:val="single"/>
        </w:rPr>
      </w:pPr>
      <w:r w:rsidRPr="0088497B">
        <w:rPr>
          <w:rFonts w:ascii="Arial" w:hAnsi="Arial" w:cs="Arial"/>
          <w:b/>
          <w:i/>
          <w:sz w:val="20"/>
          <w:szCs w:val="20"/>
          <w:u w:val="single"/>
        </w:rPr>
        <w:t>Part 1 of the Response on Scope of CSDR (Level I) Art. 7</w:t>
      </w:r>
    </w:p>
    <w:p w:rsidR="00EF7076" w:rsidRDefault="00EF7076" w:rsidP="00EF7076">
      <w:pPr>
        <w:pStyle w:val="NoSpacing"/>
        <w:rPr>
          <w:rFonts w:ascii="Arial" w:hAnsi="Arial" w:cs="Arial"/>
          <w:b/>
          <w:i/>
          <w:sz w:val="20"/>
          <w:szCs w:val="20"/>
          <w:u w:val="single"/>
        </w:rPr>
      </w:pPr>
    </w:p>
    <w:p w:rsidR="00EF7076" w:rsidRDefault="00EF7076" w:rsidP="00EF7076">
      <w:pPr>
        <w:pStyle w:val="NoSpacing"/>
        <w:rPr>
          <w:rFonts w:ascii="Arial" w:hAnsi="Arial" w:cs="Arial"/>
          <w:b/>
          <w:i/>
          <w:sz w:val="20"/>
          <w:szCs w:val="20"/>
        </w:rPr>
      </w:pPr>
      <w:r w:rsidRPr="0088497B">
        <w:rPr>
          <w:rFonts w:ascii="Arial" w:hAnsi="Arial" w:cs="Arial"/>
          <w:b/>
          <w:i/>
          <w:sz w:val="20"/>
          <w:szCs w:val="20"/>
        </w:rPr>
        <w:t>General AG Comment on the scope of all settlement discipline regime RTS (applying to all que</w:t>
      </w:r>
      <w:r w:rsidRPr="0088497B">
        <w:rPr>
          <w:rFonts w:ascii="Arial" w:hAnsi="Arial" w:cs="Arial"/>
          <w:b/>
          <w:i/>
          <w:sz w:val="20"/>
          <w:szCs w:val="20"/>
        </w:rPr>
        <w:t>s</w:t>
      </w:r>
      <w:r w:rsidRPr="0088497B">
        <w:rPr>
          <w:rFonts w:ascii="Arial" w:hAnsi="Arial" w:cs="Arial"/>
          <w:b/>
          <w:i/>
          <w:sz w:val="20"/>
          <w:szCs w:val="20"/>
        </w:rPr>
        <w:t>tion of the ESMA consultation):</w:t>
      </w:r>
    </w:p>
    <w:p w:rsidR="00EF7076" w:rsidRDefault="00EF7076" w:rsidP="00EF7076">
      <w:pPr>
        <w:pStyle w:val="NoSpacing"/>
        <w:rPr>
          <w:rFonts w:ascii="Arial" w:eastAsia="Times New Roman" w:hAnsi="Arial" w:cs="Arial"/>
          <w:b/>
          <w:sz w:val="20"/>
          <w:szCs w:val="20"/>
          <w:lang w:eastAsia="de-DE"/>
        </w:rPr>
      </w:pPr>
    </w:p>
    <w:p w:rsidR="00EF7076" w:rsidRDefault="00EF7076" w:rsidP="00EF7076">
      <w:pPr>
        <w:pStyle w:val="NoSpacing"/>
        <w:rPr>
          <w:rFonts w:ascii="Arial" w:eastAsia="Times New Roman" w:hAnsi="Arial" w:cs="Arial"/>
          <w:b/>
          <w:sz w:val="20"/>
          <w:szCs w:val="20"/>
          <w:lang w:eastAsia="de-DE"/>
        </w:rPr>
      </w:pPr>
      <w:r w:rsidRPr="0088497B">
        <w:rPr>
          <w:rFonts w:ascii="Arial" w:eastAsia="Times New Roman" w:hAnsi="Arial" w:cs="Arial"/>
          <w:b/>
          <w:sz w:val="20"/>
          <w:szCs w:val="20"/>
          <w:lang w:eastAsia="de-DE"/>
        </w:rPr>
        <w:t>Scope of Financial Instruments and Transactions</w:t>
      </w:r>
    </w:p>
    <w:p w:rsidR="00EF7076" w:rsidRDefault="00EF7076" w:rsidP="00EF7076">
      <w:pPr>
        <w:pStyle w:val="NoSpacing"/>
        <w:rPr>
          <w:rFonts w:ascii="Arial" w:eastAsia="Times New Roman" w:hAnsi="Arial" w:cs="Arial"/>
          <w:sz w:val="20"/>
          <w:szCs w:val="20"/>
          <w:lang w:eastAsia="de-DE"/>
        </w:rPr>
      </w:pPr>
      <w:r w:rsidRPr="0088497B">
        <w:rPr>
          <w:rFonts w:ascii="Arial" w:eastAsia="Times New Roman" w:hAnsi="Arial" w:cs="Arial"/>
          <w:sz w:val="20"/>
          <w:szCs w:val="20"/>
          <w:lang w:eastAsia="de-DE"/>
        </w:rPr>
        <w:t>According to CSDR Art. 1(2), the CSDR applies to the settlement of all financial instruments unless othe</w:t>
      </w:r>
      <w:r w:rsidRPr="0088497B">
        <w:rPr>
          <w:rFonts w:ascii="Arial" w:eastAsia="Times New Roman" w:hAnsi="Arial" w:cs="Arial"/>
          <w:sz w:val="20"/>
          <w:szCs w:val="20"/>
          <w:lang w:eastAsia="de-DE"/>
        </w:rPr>
        <w:t>r</w:t>
      </w:r>
      <w:r w:rsidRPr="0088497B">
        <w:rPr>
          <w:rFonts w:ascii="Arial" w:eastAsia="Times New Roman" w:hAnsi="Arial" w:cs="Arial"/>
          <w:sz w:val="20"/>
          <w:szCs w:val="20"/>
          <w:lang w:eastAsia="de-DE"/>
        </w:rPr>
        <w:t>wise explicitly specified in a given provision of the CSDR, i.e. Articles 3 and 5(2) are only applicable to transferable securities. In the absence of such an explicit limitation, a given provision of the CSDR applies to all financial instruments.</w:t>
      </w:r>
    </w:p>
    <w:p w:rsidR="00EF7076" w:rsidRDefault="00EF7076" w:rsidP="00EF7076">
      <w:pPr>
        <w:pStyle w:val="NoSpacing"/>
        <w:rPr>
          <w:rFonts w:ascii="Arial" w:eastAsia="Times New Roman" w:hAnsi="Arial" w:cs="Arial"/>
          <w:sz w:val="20"/>
          <w:szCs w:val="20"/>
          <w:lang w:eastAsia="de-DE"/>
        </w:rPr>
      </w:pPr>
      <w:r w:rsidRPr="0088497B">
        <w:rPr>
          <w:rFonts w:ascii="Arial" w:eastAsia="Times New Roman" w:hAnsi="Arial" w:cs="Arial"/>
          <w:sz w:val="20"/>
          <w:szCs w:val="20"/>
          <w:lang w:eastAsia="de-DE"/>
        </w:rPr>
        <w:t xml:space="preserve">In addition, the AG’s understanding is that the scope of financial instruments covered by the Level II RTS is described in CSDR Arti.2(8), where the definition of “financial instruments” is referring to Art. 4(1)(15) of </w:t>
      </w:r>
      <w:hyperlink r:id="rId15" w:history="1">
        <w:r w:rsidRPr="0088497B">
          <w:rPr>
            <w:rFonts w:ascii="Arial" w:eastAsia="Times New Roman" w:hAnsi="Arial" w:cs="Arial"/>
            <w:sz w:val="20"/>
            <w:szCs w:val="20"/>
            <w:lang w:eastAsia="de-DE"/>
          </w:rPr>
          <w:t>MIFID 2</w:t>
        </w:r>
      </w:hyperlink>
      <w:r w:rsidRPr="0088497B">
        <w:rPr>
          <w:rFonts w:ascii="Arial" w:eastAsia="Times New Roman" w:hAnsi="Arial" w:cs="Arial"/>
          <w:sz w:val="20"/>
          <w:szCs w:val="20"/>
          <w:lang w:eastAsia="de-DE"/>
        </w:rPr>
        <w:t>. MiFID 2 provides a list of instruments defined as “financial instruments”</w:t>
      </w:r>
      <w:r>
        <w:rPr>
          <w:rFonts w:ascii="Arial" w:eastAsia="Times New Roman" w:hAnsi="Arial" w:cs="Arial"/>
          <w:sz w:val="20"/>
          <w:szCs w:val="20"/>
          <w:lang w:eastAsia="de-DE"/>
        </w:rPr>
        <w:t xml:space="preserve"> [1]</w:t>
      </w:r>
    </w:p>
    <w:p w:rsidR="00EF7076" w:rsidRDefault="00EF7076" w:rsidP="00EF7076">
      <w:pPr>
        <w:pStyle w:val="NoSpacing"/>
        <w:rPr>
          <w:rFonts w:ascii="Arial" w:eastAsia="Times New Roman" w:hAnsi="Arial" w:cs="Arial"/>
          <w:sz w:val="20"/>
          <w:szCs w:val="20"/>
          <w:lang w:eastAsia="de-DE"/>
        </w:rPr>
      </w:pPr>
      <w:r w:rsidRPr="0088497B">
        <w:rPr>
          <w:rFonts w:ascii="Arial" w:eastAsia="Times New Roman" w:hAnsi="Arial" w:cs="Arial"/>
          <w:sz w:val="20"/>
          <w:szCs w:val="20"/>
          <w:lang w:eastAsia="de-DE"/>
        </w:rPr>
        <w:t>The AG assumption is that a central authority, e.g. ESMA, will maintain a list of securities, which are in the scope of the penalties regime</w:t>
      </w:r>
    </w:p>
    <w:p w:rsidR="00EF7076" w:rsidRDefault="00EF7076" w:rsidP="00EF7076">
      <w:pPr>
        <w:pStyle w:val="NoSpacing"/>
        <w:rPr>
          <w:rFonts w:ascii="Arial" w:eastAsia="Times New Roman" w:hAnsi="Arial" w:cs="Arial"/>
          <w:sz w:val="20"/>
          <w:szCs w:val="20"/>
          <w:lang w:eastAsia="de-DE"/>
        </w:rPr>
      </w:pPr>
    </w:p>
    <w:p w:rsidR="00EF7076" w:rsidRDefault="00EF7076" w:rsidP="00EF7076">
      <w:pPr>
        <w:pStyle w:val="NoSpacing"/>
        <w:rPr>
          <w:rFonts w:ascii="Arial" w:eastAsia="Times New Roman" w:hAnsi="Arial" w:cs="Arial"/>
          <w:b/>
          <w:sz w:val="20"/>
          <w:szCs w:val="20"/>
          <w:lang w:eastAsia="de-DE"/>
        </w:rPr>
      </w:pPr>
      <w:r w:rsidRPr="0088497B">
        <w:rPr>
          <w:rFonts w:ascii="Arial" w:eastAsia="Times New Roman" w:hAnsi="Arial" w:cs="Arial"/>
          <w:b/>
          <w:sz w:val="20"/>
          <w:szCs w:val="20"/>
          <w:lang w:eastAsia="de-DE"/>
        </w:rPr>
        <w:t>Scope of Settlement transactions</w:t>
      </w:r>
    </w:p>
    <w:p w:rsidR="00EF7076" w:rsidRDefault="00EF7076" w:rsidP="00EF7076">
      <w:pPr>
        <w:pStyle w:val="NoSpacing"/>
        <w:rPr>
          <w:rFonts w:ascii="Arial" w:eastAsia="Times New Roman" w:hAnsi="Arial" w:cs="Arial"/>
          <w:sz w:val="20"/>
          <w:szCs w:val="20"/>
          <w:lang w:eastAsia="de-DE"/>
        </w:rPr>
      </w:pPr>
      <w:r w:rsidRPr="0088497B">
        <w:rPr>
          <w:rFonts w:ascii="Arial" w:eastAsia="Times New Roman" w:hAnsi="Arial" w:cs="Arial"/>
          <w:sz w:val="20"/>
          <w:szCs w:val="20"/>
          <w:lang w:eastAsia="de-DE"/>
        </w:rPr>
        <w:t>The assumption of the AG is that all transferable securities transactions settled in an EU CSD (i.e. in a securities settlement system governed by the law of a Member State) are in the scope of the CSDR. This is independent of where the security has initially been issued (in or outside the EU).</w:t>
      </w:r>
    </w:p>
    <w:p w:rsidR="00EF7076" w:rsidRDefault="00EF7076" w:rsidP="00EF7076">
      <w:pPr>
        <w:pStyle w:val="NoSpacing"/>
        <w:rPr>
          <w:rFonts w:ascii="Arial" w:eastAsia="Times New Roman" w:hAnsi="Arial" w:cs="Arial"/>
          <w:sz w:val="20"/>
          <w:szCs w:val="20"/>
          <w:lang w:eastAsia="de-DE"/>
        </w:rPr>
      </w:pPr>
      <w:r w:rsidRPr="0088497B">
        <w:rPr>
          <w:rFonts w:ascii="Arial" w:eastAsia="Times New Roman" w:hAnsi="Arial" w:cs="Arial"/>
          <w:sz w:val="20"/>
          <w:szCs w:val="20"/>
          <w:lang w:eastAsia="de-DE"/>
        </w:rPr>
        <w:t>In addition, CSDR provides that the settlement discipline measures referred to in Art. 7(2) to (9) (i.e. penalties and buy-ins) apply to the following transactions regarding transferable securities, money market instruments, UCITS and emission allowances (CSDR Art. 5(1)):</w:t>
      </w:r>
    </w:p>
    <w:p w:rsidR="00EF7076" w:rsidRDefault="00EF7076" w:rsidP="00EF7076">
      <w:pPr>
        <w:pStyle w:val="NoSpacing"/>
        <w:rPr>
          <w:rFonts w:ascii="Arial" w:eastAsia="Times New Roman" w:hAnsi="Arial" w:cs="Arial"/>
          <w:b/>
          <w:sz w:val="20"/>
          <w:szCs w:val="20"/>
          <w:lang w:eastAsia="de-DE"/>
        </w:rPr>
      </w:pPr>
      <w:r w:rsidRPr="0088497B">
        <w:rPr>
          <w:rFonts w:ascii="Arial" w:eastAsia="Times New Roman" w:hAnsi="Arial" w:cs="Arial"/>
          <w:sz w:val="20"/>
          <w:szCs w:val="20"/>
          <w:lang w:eastAsia="de-DE"/>
        </w:rPr>
        <w:t xml:space="preserve">a) </w:t>
      </w:r>
      <w:r w:rsidRPr="0088497B">
        <w:rPr>
          <w:rFonts w:ascii="Arial" w:eastAsia="Times New Roman" w:hAnsi="Arial" w:cs="Arial"/>
          <w:b/>
          <w:sz w:val="20"/>
          <w:szCs w:val="20"/>
          <w:lang w:eastAsia="de-DE"/>
        </w:rPr>
        <w:t>OTC transactions</w:t>
      </w:r>
      <w:r w:rsidRPr="0088497B">
        <w:rPr>
          <w:rFonts w:ascii="Arial" w:eastAsia="Times New Roman" w:hAnsi="Arial" w:cs="Arial"/>
          <w:sz w:val="20"/>
          <w:szCs w:val="20"/>
          <w:lang w:eastAsia="de-DE"/>
        </w:rPr>
        <w:t xml:space="preserve"> on the above financial instruments admitted to trading on trading venues. </w:t>
      </w:r>
      <w:r w:rsidRPr="0088497B">
        <w:rPr>
          <w:rFonts w:ascii="Arial" w:eastAsia="Times New Roman" w:hAnsi="Arial" w:cs="Arial"/>
          <w:b/>
          <w:sz w:val="20"/>
          <w:szCs w:val="20"/>
          <w:lang w:eastAsia="de-DE"/>
        </w:rPr>
        <w:t>In this case the CSD shall include in their internal rules an obligation for their participants to be subject to the buy-in measures;</w:t>
      </w:r>
    </w:p>
    <w:p w:rsidR="00EF7076" w:rsidRDefault="00EF7076" w:rsidP="00EF7076">
      <w:pPr>
        <w:pStyle w:val="NoSpacing"/>
        <w:rPr>
          <w:rFonts w:ascii="Arial" w:eastAsia="Times New Roman" w:hAnsi="Arial" w:cs="Arial"/>
          <w:sz w:val="20"/>
          <w:szCs w:val="20"/>
          <w:lang w:eastAsia="de-DE"/>
        </w:rPr>
      </w:pPr>
      <w:r w:rsidRPr="0088497B">
        <w:rPr>
          <w:rFonts w:ascii="Arial" w:eastAsia="Times New Roman" w:hAnsi="Arial" w:cs="Arial"/>
          <w:sz w:val="20"/>
          <w:szCs w:val="20"/>
          <w:lang w:eastAsia="de-DE"/>
        </w:rPr>
        <w:t xml:space="preserve">b) </w:t>
      </w:r>
      <w:r w:rsidRPr="0088497B">
        <w:rPr>
          <w:rFonts w:ascii="Arial" w:eastAsia="Times New Roman" w:hAnsi="Arial" w:cs="Arial"/>
          <w:b/>
          <w:sz w:val="20"/>
          <w:szCs w:val="20"/>
          <w:lang w:eastAsia="de-DE"/>
        </w:rPr>
        <w:t>non-OTC transactions</w:t>
      </w:r>
      <w:r w:rsidRPr="0088497B">
        <w:rPr>
          <w:rFonts w:ascii="Arial" w:eastAsia="Times New Roman" w:hAnsi="Arial" w:cs="Arial"/>
          <w:sz w:val="20"/>
          <w:szCs w:val="20"/>
          <w:lang w:eastAsia="de-DE"/>
        </w:rPr>
        <w:t xml:space="preserve"> on the above financial instruments traded on a trading venue. In this case the trading venue shall include in its internal rules an obligation for its members and its participants to apply the buy-in measures.</w:t>
      </w:r>
    </w:p>
    <w:p w:rsidR="00EF7076" w:rsidRDefault="00EF7076" w:rsidP="00EF7076">
      <w:pPr>
        <w:pStyle w:val="NoSpacing"/>
        <w:rPr>
          <w:rFonts w:ascii="Arial" w:eastAsia="Times New Roman" w:hAnsi="Arial" w:cs="Arial"/>
          <w:b/>
          <w:sz w:val="20"/>
          <w:szCs w:val="20"/>
          <w:lang w:eastAsia="de-DE"/>
        </w:rPr>
      </w:pPr>
      <w:r w:rsidRPr="0088497B">
        <w:rPr>
          <w:rFonts w:ascii="Arial" w:eastAsia="Times New Roman" w:hAnsi="Arial" w:cs="Arial"/>
          <w:sz w:val="20"/>
          <w:szCs w:val="20"/>
          <w:lang w:eastAsia="de-DE"/>
        </w:rPr>
        <w:t xml:space="preserve">c) transactions on the above financial instruments </w:t>
      </w:r>
      <w:r w:rsidRPr="0088497B">
        <w:rPr>
          <w:rFonts w:ascii="Arial" w:eastAsia="Times New Roman" w:hAnsi="Arial" w:cs="Arial"/>
          <w:b/>
          <w:sz w:val="20"/>
          <w:szCs w:val="20"/>
          <w:lang w:eastAsia="de-DE"/>
        </w:rPr>
        <w:t>cleared by a CCP</w:t>
      </w:r>
      <w:r w:rsidRPr="0088497B">
        <w:rPr>
          <w:rFonts w:ascii="Arial" w:eastAsia="Times New Roman" w:hAnsi="Arial" w:cs="Arial"/>
          <w:sz w:val="20"/>
          <w:szCs w:val="20"/>
          <w:lang w:eastAsia="de-DE"/>
        </w:rPr>
        <w:t xml:space="preserve"> (OTC and non-OTC transactions regardless of whether the financial instruments are or not admitted to trading on trading venues). </w:t>
      </w:r>
      <w:r w:rsidRPr="0088497B">
        <w:rPr>
          <w:rFonts w:ascii="Arial" w:eastAsia="Times New Roman" w:hAnsi="Arial" w:cs="Arial"/>
          <w:b/>
          <w:sz w:val="20"/>
          <w:szCs w:val="20"/>
          <w:lang w:eastAsia="de-DE"/>
        </w:rPr>
        <w:t>In this case the CCP shall be the entity executing the buy-ins.</w:t>
      </w:r>
    </w:p>
    <w:p w:rsidR="00EF7076" w:rsidRDefault="00EF7076" w:rsidP="00EF7076">
      <w:pPr>
        <w:pStyle w:val="NoSpacing"/>
        <w:rPr>
          <w:rFonts w:ascii="Arial" w:eastAsia="Times New Roman" w:hAnsi="Arial" w:cs="Arial"/>
          <w:b/>
          <w:sz w:val="20"/>
          <w:szCs w:val="20"/>
          <w:lang w:eastAsia="de-DE"/>
        </w:rPr>
      </w:pPr>
    </w:p>
    <w:p w:rsidR="00EF7076" w:rsidRDefault="00EF7076" w:rsidP="00927D5F">
      <w:pPr>
        <w:pStyle w:val="NoSpacing"/>
        <w:numPr>
          <w:ilvl w:val="0"/>
          <w:numId w:val="38"/>
        </w:numPr>
        <w:rPr>
          <w:rFonts w:ascii="Arial" w:eastAsia="Times New Roman" w:hAnsi="Arial" w:cs="Arial"/>
          <w:sz w:val="20"/>
          <w:szCs w:val="20"/>
          <w:lang w:eastAsia="de-DE"/>
        </w:rPr>
      </w:pPr>
      <w:r w:rsidRPr="0088497B">
        <w:rPr>
          <w:rFonts w:ascii="Arial" w:eastAsia="Times New Roman" w:hAnsi="Arial" w:cs="Arial"/>
          <w:sz w:val="20"/>
          <w:szCs w:val="20"/>
          <w:lang w:eastAsia="de-DE"/>
        </w:rPr>
        <w:t>CSDR therefore excludes from the scope of application of the penalties and buy-ins requirements: OTC transactions in financial instruments (as per Art 5.1 of CSDR) which are not admitted to tra</w:t>
      </w:r>
      <w:r w:rsidRPr="0088497B">
        <w:rPr>
          <w:rFonts w:ascii="Arial" w:eastAsia="Times New Roman" w:hAnsi="Arial" w:cs="Arial"/>
          <w:sz w:val="20"/>
          <w:szCs w:val="20"/>
          <w:lang w:eastAsia="de-DE"/>
        </w:rPr>
        <w:t>d</w:t>
      </w:r>
      <w:r w:rsidRPr="0088497B">
        <w:rPr>
          <w:rFonts w:ascii="Arial" w:eastAsia="Times New Roman" w:hAnsi="Arial" w:cs="Arial"/>
          <w:sz w:val="20"/>
          <w:szCs w:val="20"/>
          <w:lang w:eastAsia="de-DE"/>
        </w:rPr>
        <w:t xml:space="preserve">ing; </w:t>
      </w:r>
    </w:p>
    <w:p w:rsidR="00EF7076" w:rsidRDefault="00EF7076" w:rsidP="00EF7076">
      <w:pPr>
        <w:pStyle w:val="NoSpacing"/>
        <w:ind w:firstLine="720"/>
        <w:rPr>
          <w:rFonts w:ascii="Arial" w:eastAsia="Times New Roman" w:hAnsi="Arial" w:cs="Arial"/>
          <w:sz w:val="20"/>
          <w:szCs w:val="20"/>
          <w:lang w:eastAsia="de-DE"/>
        </w:rPr>
      </w:pPr>
      <w:r w:rsidRPr="0088497B">
        <w:rPr>
          <w:rFonts w:ascii="Arial" w:eastAsia="Times New Roman" w:hAnsi="Arial" w:cs="Arial"/>
          <w:sz w:val="20"/>
          <w:szCs w:val="20"/>
          <w:lang w:eastAsia="de-DE"/>
        </w:rPr>
        <w:t xml:space="preserve">and </w:t>
      </w:r>
      <w:r w:rsidRPr="0088497B">
        <w:rPr>
          <w:rFonts w:ascii="Arial" w:eastAsia="Times New Roman" w:hAnsi="Arial" w:cs="Arial"/>
          <w:sz w:val="20"/>
          <w:szCs w:val="20"/>
          <w:u w:val="single"/>
          <w:lang w:eastAsia="de-DE"/>
        </w:rPr>
        <w:t>at the same time</w:t>
      </w:r>
      <w:r w:rsidRPr="0088497B">
        <w:rPr>
          <w:rFonts w:ascii="Arial" w:eastAsia="Times New Roman" w:hAnsi="Arial" w:cs="Arial"/>
          <w:sz w:val="20"/>
          <w:szCs w:val="20"/>
          <w:lang w:eastAsia="de-DE"/>
        </w:rPr>
        <w:t xml:space="preserve"> </w:t>
      </w:r>
    </w:p>
    <w:p w:rsidR="00EF7076" w:rsidRPr="0088497B" w:rsidRDefault="00EF7076" w:rsidP="00927D5F">
      <w:pPr>
        <w:pStyle w:val="NoSpacing"/>
        <w:numPr>
          <w:ilvl w:val="0"/>
          <w:numId w:val="38"/>
        </w:numPr>
        <w:rPr>
          <w:rFonts w:ascii="Arial" w:eastAsia="Times New Roman" w:hAnsi="Arial" w:cs="Arial"/>
          <w:sz w:val="20"/>
          <w:szCs w:val="20"/>
          <w:lang w:eastAsia="de-DE"/>
        </w:rPr>
      </w:pPr>
      <w:r w:rsidRPr="0088497B">
        <w:rPr>
          <w:rFonts w:ascii="Arial" w:eastAsia="Times New Roman" w:hAnsi="Arial" w:cs="Arial"/>
          <w:sz w:val="20"/>
          <w:szCs w:val="20"/>
          <w:lang w:eastAsia="de-DE"/>
        </w:rPr>
        <w:t xml:space="preserve">they are not cleared by a CCP. </w:t>
      </w:r>
    </w:p>
    <w:p w:rsidR="00EF7076" w:rsidRDefault="00EF7076" w:rsidP="00EF7076">
      <w:pPr>
        <w:pStyle w:val="NoSpacing"/>
        <w:rPr>
          <w:rFonts w:ascii="Arial" w:eastAsia="Times New Roman" w:hAnsi="Arial" w:cs="Arial"/>
          <w:b/>
          <w:sz w:val="20"/>
          <w:szCs w:val="20"/>
          <w:lang w:eastAsia="de-DE"/>
        </w:rPr>
      </w:pPr>
      <w:r w:rsidRPr="0088497B">
        <w:rPr>
          <w:rFonts w:ascii="Arial" w:eastAsia="Times New Roman" w:hAnsi="Arial" w:cs="Arial"/>
          <w:b/>
          <w:sz w:val="20"/>
          <w:szCs w:val="20"/>
          <w:lang w:eastAsia="de-DE"/>
        </w:rPr>
        <w:t>This scope of application of CSDR art. 7 (and the related RTS) is independent of the types of transactions underlying the settlement process.</w:t>
      </w:r>
    </w:p>
    <w:p w:rsidR="00EF7076" w:rsidRDefault="00EF7076" w:rsidP="00EF7076">
      <w:pPr>
        <w:pStyle w:val="NoSpacing"/>
        <w:rPr>
          <w:rFonts w:ascii="Arial" w:eastAsia="Times New Roman" w:hAnsi="Arial" w:cs="Arial"/>
          <w:b/>
          <w:sz w:val="20"/>
          <w:szCs w:val="20"/>
          <w:lang w:eastAsia="de-DE"/>
        </w:rPr>
      </w:pPr>
    </w:p>
    <w:p w:rsidR="00EF7076" w:rsidRDefault="00EF7076" w:rsidP="00EF7076">
      <w:pPr>
        <w:pStyle w:val="NoSpacing"/>
        <w:rPr>
          <w:rFonts w:ascii="Arial" w:eastAsia="Times New Roman" w:hAnsi="Arial" w:cs="Arial"/>
          <w:sz w:val="20"/>
          <w:szCs w:val="20"/>
          <w:lang w:eastAsia="de-DE"/>
        </w:rPr>
      </w:pPr>
      <w:r w:rsidRPr="0088497B">
        <w:rPr>
          <w:rFonts w:ascii="Arial" w:eastAsia="Times New Roman" w:hAnsi="Arial" w:cs="Arial"/>
          <w:sz w:val="20"/>
          <w:szCs w:val="20"/>
          <w:lang w:eastAsia="de-DE"/>
        </w:rPr>
        <w:t>CSDR Art. 7 provides for the following exemptions from the penalty and/or buy-in rules:</w:t>
      </w:r>
    </w:p>
    <w:p w:rsidR="00EF7076" w:rsidRDefault="00EF7076" w:rsidP="00EF7076">
      <w:pPr>
        <w:pStyle w:val="NoSpacing"/>
        <w:rPr>
          <w:rFonts w:ascii="Arial" w:eastAsia="Times New Roman" w:hAnsi="Arial" w:cs="Arial"/>
          <w:sz w:val="20"/>
          <w:szCs w:val="20"/>
          <w:lang w:eastAsia="en-GB"/>
        </w:rPr>
      </w:pPr>
      <w:r w:rsidRPr="0088497B">
        <w:rPr>
          <w:rFonts w:ascii="Arial" w:eastAsia="Times New Roman" w:hAnsi="Arial" w:cs="Arial"/>
          <w:sz w:val="20"/>
          <w:szCs w:val="20"/>
          <w:lang w:eastAsia="de-DE"/>
        </w:rPr>
        <w:t xml:space="preserve">- CSDR Art. 7(4)(b), excludes certain operations composed of several transactions as further specified in RTS Art. 14 on </w:t>
      </w:r>
      <w:r w:rsidRPr="0088497B">
        <w:rPr>
          <w:rFonts w:ascii="Arial" w:eastAsia="Times New Roman" w:hAnsi="Arial" w:cs="Arial"/>
          <w:i/>
          <w:sz w:val="20"/>
          <w:szCs w:val="20"/>
          <w:lang w:eastAsia="de-DE"/>
        </w:rPr>
        <w:t>ineffective buy-ins</w:t>
      </w:r>
      <w:r w:rsidRPr="0088497B">
        <w:rPr>
          <w:rFonts w:ascii="Arial" w:eastAsia="Times New Roman" w:hAnsi="Arial" w:cs="Arial"/>
          <w:sz w:val="20"/>
          <w:szCs w:val="20"/>
          <w:lang w:eastAsia="en-GB"/>
        </w:rPr>
        <w:t>;</w:t>
      </w:r>
    </w:p>
    <w:p w:rsidR="00EF7076" w:rsidRDefault="00EF7076" w:rsidP="00EF7076">
      <w:pPr>
        <w:pStyle w:val="NoSpacing"/>
        <w:rPr>
          <w:rFonts w:ascii="Arial" w:eastAsia="Times New Roman" w:hAnsi="Arial" w:cs="Arial"/>
          <w:sz w:val="20"/>
          <w:szCs w:val="20"/>
          <w:lang w:eastAsia="en-GB"/>
        </w:rPr>
      </w:pPr>
      <w:r w:rsidRPr="0088497B">
        <w:rPr>
          <w:rFonts w:ascii="Arial" w:eastAsia="Times New Roman" w:hAnsi="Arial" w:cs="Arial"/>
          <w:sz w:val="20"/>
          <w:szCs w:val="20"/>
          <w:lang w:eastAsia="en-GB"/>
        </w:rPr>
        <w:lastRenderedPageBreak/>
        <w:t>- CSDR Art 7 (12) exempts from all penalty and buying requirements, if insolvency procedure are opened against the failing participant;</w:t>
      </w:r>
    </w:p>
    <w:p w:rsidR="00EF7076" w:rsidRDefault="00EF7076" w:rsidP="00EF7076">
      <w:pPr>
        <w:pStyle w:val="NoSpacing"/>
        <w:rPr>
          <w:rFonts w:ascii="Arial" w:eastAsia="Times New Roman" w:hAnsi="Arial" w:cs="Arial"/>
          <w:sz w:val="20"/>
          <w:szCs w:val="20"/>
          <w:lang w:eastAsia="en-GB"/>
        </w:rPr>
      </w:pPr>
      <w:r w:rsidRPr="0088497B">
        <w:rPr>
          <w:rFonts w:ascii="Arial" w:eastAsia="Times New Roman" w:hAnsi="Arial" w:cs="Arial"/>
          <w:sz w:val="20"/>
          <w:szCs w:val="20"/>
          <w:lang w:eastAsia="en-GB"/>
        </w:rPr>
        <w:t xml:space="preserve">- CSDR Art. 7 (13) exempts from all penalty and buy-in requirements, transactions in securities for which </w:t>
      </w:r>
      <w:r w:rsidRPr="0088497B">
        <w:rPr>
          <w:rFonts w:ascii="Arial" w:eastAsia="Times New Roman" w:hAnsi="Arial" w:cs="Arial"/>
          <w:i/>
          <w:sz w:val="20"/>
          <w:szCs w:val="20"/>
          <w:lang w:eastAsia="en-GB"/>
        </w:rPr>
        <w:t xml:space="preserve">the principal venue for the trading is located in a third country. </w:t>
      </w:r>
      <w:r w:rsidRPr="0088497B">
        <w:rPr>
          <w:rFonts w:ascii="Arial" w:eastAsia="Times New Roman" w:hAnsi="Arial" w:cs="Arial"/>
          <w:sz w:val="20"/>
          <w:szCs w:val="20"/>
          <w:lang w:eastAsia="en-GB"/>
        </w:rPr>
        <w:t xml:space="preserve">The location of the “principal venue” shall be determined in accordance with Article 16 of </w:t>
      </w:r>
      <w:hyperlink r:id="rId16" w:history="1">
        <w:r w:rsidRPr="0088497B">
          <w:rPr>
            <w:rFonts w:ascii="Arial" w:eastAsia="Times New Roman" w:hAnsi="Arial" w:cs="Arial"/>
            <w:color w:val="0000FF"/>
            <w:sz w:val="20"/>
            <w:szCs w:val="20"/>
            <w:u w:val="single"/>
            <w:lang w:eastAsia="en-GB"/>
          </w:rPr>
          <w:t>Short Selling Regulation</w:t>
        </w:r>
      </w:hyperlink>
      <w:r w:rsidRPr="0088497B">
        <w:rPr>
          <w:rFonts w:ascii="Arial" w:eastAsia="Times New Roman" w:hAnsi="Arial" w:cs="Arial"/>
          <w:sz w:val="20"/>
          <w:szCs w:val="20"/>
          <w:lang w:eastAsia="en-GB"/>
        </w:rPr>
        <w:t xml:space="preserve"> (EU No 236/2012).</w:t>
      </w:r>
    </w:p>
    <w:p w:rsidR="00EF7076" w:rsidRDefault="00EF7076" w:rsidP="00EF7076">
      <w:pPr>
        <w:pStyle w:val="NoSpacing"/>
        <w:rPr>
          <w:rFonts w:ascii="Arial" w:eastAsia="Times New Roman" w:hAnsi="Arial" w:cs="Arial"/>
          <w:sz w:val="20"/>
          <w:szCs w:val="20"/>
          <w:lang w:eastAsia="en-GB"/>
        </w:rPr>
      </w:pPr>
    </w:p>
    <w:p w:rsidR="00EF7076" w:rsidRDefault="00EF7076" w:rsidP="00EF7076">
      <w:pPr>
        <w:pStyle w:val="NoSpacing"/>
        <w:jc w:val="center"/>
        <w:rPr>
          <w:rFonts w:ascii="Arial" w:eastAsia="Times New Roman" w:hAnsi="Arial" w:cs="Arial"/>
          <w:b/>
          <w:i/>
          <w:sz w:val="20"/>
          <w:szCs w:val="20"/>
          <w:u w:val="single"/>
          <w:lang w:eastAsia="en-GB"/>
        </w:rPr>
      </w:pPr>
      <w:r w:rsidRPr="0088497B">
        <w:rPr>
          <w:rFonts w:ascii="Arial" w:eastAsia="Times New Roman" w:hAnsi="Arial" w:cs="Arial"/>
          <w:b/>
          <w:i/>
          <w:sz w:val="20"/>
          <w:szCs w:val="20"/>
          <w:u w:val="single"/>
          <w:lang w:eastAsia="en-GB"/>
        </w:rPr>
        <w:t>Part 2 of the Response on the scope of RTS Art. 7</w:t>
      </w:r>
    </w:p>
    <w:p w:rsidR="00EF7076" w:rsidRDefault="00EF7076" w:rsidP="00EF7076">
      <w:pPr>
        <w:pStyle w:val="NoSpacing"/>
        <w:rPr>
          <w:rFonts w:ascii="Arial" w:eastAsia="Times New Roman" w:hAnsi="Arial" w:cs="Arial"/>
          <w:b/>
          <w:i/>
          <w:sz w:val="20"/>
          <w:szCs w:val="20"/>
          <w:u w:val="single"/>
          <w:lang w:eastAsia="en-GB"/>
        </w:rPr>
      </w:pPr>
    </w:p>
    <w:p w:rsidR="00EF7076" w:rsidRDefault="00EF7076" w:rsidP="00EF7076">
      <w:pPr>
        <w:pStyle w:val="NoSpacing"/>
        <w:rPr>
          <w:rFonts w:ascii="Arial" w:eastAsia="Times New Roman" w:hAnsi="Arial" w:cs="Arial"/>
          <w:b/>
          <w:sz w:val="20"/>
          <w:szCs w:val="20"/>
          <w:lang w:eastAsia="en-GB"/>
        </w:rPr>
      </w:pPr>
      <w:r w:rsidRPr="0088497B">
        <w:rPr>
          <w:rFonts w:ascii="Arial" w:eastAsia="Times New Roman" w:hAnsi="Arial" w:cs="Arial"/>
          <w:b/>
          <w:sz w:val="20"/>
          <w:szCs w:val="20"/>
          <w:lang w:eastAsia="en-GB"/>
        </w:rPr>
        <w:t>AG Comments on Scope and Design of Penalty Regime (as set out in RTS Article 7</w:t>
      </w:r>
      <w:r w:rsidR="00650183">
        <w:rPr>
          <w:rFonts w:ascii="Arial" w:eastAsia="Times New Roman" w:hAnsi="Arial" w:cs="Arial"/>
          <w:b/>
          <w:sz w:val="20"/>
          <w:szCs w:val="20"/>
          <w:lang w:eastAsia="en-GB"/>
        </w:rPr>
        <w:t>, Annex I</w:t>
      </w:r>
      <w:r w:rsidRPr="0088497B">
        <w:rPr>
          <w:rFonts w:ascii="Arial" w:eastAsia="Times New Roman" w:hAnsi="Arial" w:cs="Arial"/>
          <w:b/>
          <w:sz w:val="20"/>
          <w:szCs w:val="20"/>
          <w:lang w:eastAsia="en-GB"/>
        </w:rPr>
        <w:t>)</w:t>
      </w:r>
    </w:p>
    <w:p w:rsidR="00EF7076" w:rsidRDefault="00EF7076" w:rsidP="00EF7076">
      <w:pPr>
        <w:pStyle w:val="NoSpacing"/>
        <w:rPr>
          <w:rFonts w:ascii="Arial" w:eastAsia="Times New Roman" w:hAnsi="Arial" w:cs="Arial"/>
          <w:sz w:val="20"/>
          <w:szCs w:val="20"/>
          <w:lang w:eastAsia="en-GB"/>
        </w:rPr>
      </w:pPr>
      <w:r w:rsidRPr="0088497B">
        <w:rPr>
          <w:rFonts w:ascii="Arial" w:eastAsia="Times New Roman" w:hAnsi="Arial" w:cs="Arial"/>
          <w:sz w:val="20"/>
          <w:szCs w:val="20"/>
          <w:lang w:eastAsia="en-GB"/>
        </w:rPr>
        <w:t>The AG believes that the scope and the application of the penalty regime set out in RTS Article 7 should be as well-defined as possible. This is important both in the context of any jointly-managed cash penalty platform for T2S CSDs (as discussed below) as well as in the design of the pan-European environment beyond T2S CSDs.</w:t>
      </w:r>
    </w:p>
    <w:p w:rsidR="00EF7076" w:rsidRDefault="00EF7076" w:rsidP="00EF7076">
      <w:pPr>
        <w:pStyle w:val="NoSpacing"/>
        <w:rPr>
          <w:rFonts w:ascii="Arial" w:eastAsia="Times New Roman" w:hAnsi="Arial" w:cs="Arial"/>
          <w:sz w:val="20"/>
          <w:szCs w:val="20"/>
          <w:lang w:eastAsia="en-GB"/>
        </w:rPr>
      </w:pPr>
      <w:r w:rsidRPr="0088497B">
        <w:rPr>
          <w:rFonts w:ascii="Arial" w:eastAsia="Times New Roman" w:hAnsi="Arial" w:cs="Arial"/>
          <w:sz w:val="20"/>
          <w:szCs w:val="20"/>
          <w:lang w:eastAsia="en-GB"/>
        </w:rPr>
        <w:t>The AG has the following specific comments on the scope and application of the penalty regime as set out in RTS Article 7:</w:t>
      </w:r>
    </w:p>
    <w:p w:rsidR="00EF7076" w:rsidRDefault="00EF7076" w:rsidP="00927D5F">
      <w:pPr>
        <w:pStyle w:val="NoSpacing"/>
        <w:numPr>
          <w:ilvl w:val="0"/>
          <w:numId w:val="37"/>
        </w:numPr>
        <w:rPr>
          <w:rFonts w:ascii="Arial" w:eastAsia="Times New Roman" w:hAnsi="Arial" w:cs="Arial"/>
          <w:sz w:val="20"/>
          <w:szCs w:val="20"/>
          <w:lang w:eastAsia="en-GB"/>
        </w:rPr>
      </w:pPr>
      <w:r w:rsidRPr="0088497B">
        <w:rPr>
          <w:rFonts w:ascii="Arial" w:eastAsia="Times New Roman" w:hAnsi="Arial" w:cs="Arial"/>
          <w:sz w:val="20"/>
          <w:szCs w:val="20"/>
          <w:lang w:eastAsia="en-GB"/>
        </w:rPr>
        <w:t>the apparent scope is very broad, as it includes all transfer orders (as defined by the Settl</w:t>
      </w:r>
      <w:r w:rsidRPr="0088497B">
        <w:rPr>
          <w:rFonts w:ascii="Arial" w:eastAsia="Times New Roman" w:hAnsi="Arial" w:cs="Arial"/>
          <w:sz w:val="20"/>
          <w:szCs w:val="20"/>
          <w:lang w:eastAsia="en-GB"/>
        </w:rPr>
        <w:t>e</w:t>
      </w:r>
      <w:r w:rsidRPr="0088497B">
        <w:rPr>
          <w:rFonts w:ascii="Arial" w:eastAsia="Times New Roman" w:hAnsi="Arial" w:cs="Arial"/>
          <w:sz w:val="20"/>
          <w:szCs w:val="20"/>
          <w:lang w:eastAsia="en-GB"/>
        </w:rPr>
        <w:t>ment Finality Directive);</w:t>
      </w:r>
    </w:p>
    <w:p w:rsidR="00EF7076" w:rsidRDefault="00EF7076" w:rsidP="00927D5F">
      <w:pPr>
        <w:pStyle w:val="NoSpacing"/>
        <w:numPr>
          <w:ilvl w:val="0"/>
          <w:numId w:val="37"/>
        </w:numPr>
        <w:rPr>
          <w:rFonts w:ascii="Arial" w:eastAsia="Times New Roman" w:hAnsi="Arial" w:cs="Arial"/>
          <w:sz w:val="20"/>
          <w:szCs w:val="20"/>
          <w:lang w:eastAsia="en-GB"/>
        </w:rPr>
      </w:pPr>
      <w:r w:rsidRPr="0088497B">
        <w:rPr>
          <w:rFonts w:ascii="Arial" w:eastAsia="Times New Roman" w:hAnsi="Arial" w:cs="Arial"/>
          <w:sz w:val="20"/>
          <w:szCs w:val="20"/>
          <w:lang w:eastAsia="en-GB"/>
        </w:rPr>
        <w:t>this broad scope would mean that many specific types of transfer (such as movements related to corporate actions on stocks, portfolio transfers, and collateral movements (including colla</w:t>
      </w:r>
      <w:r w:rsidRPr="0088497B">
        <w:rPr>
          <w:rFonts w:ascii="Arial" w:eastAsia="Times New Roman" w:hAnsi="Arial" w:cs="Arial"/>
          <w:sz w:val="20"/>
          <w:szCs w:val="20"/>
          <w:lang w:eastAsia="en-GB"/>
        </w:rPr>
        <w:t>t</w:t>
      </w:r>
      <w:r w:rsidRPr="0088497B">
        <w:rPr>
          <w:rFonts w:ascii="Arial" w:eastAsia="Times New Roman" w:hAnsi="Arial" w:cs="Arial"/>
          <w:sz w:val="20"/>
          <w:szCs w:val="20"/>
          <w:lang w:eastAsia="en-GB"/>
        </w:rPr>
        <w:t>eral movements to and from central banks) would fall within the scope. The EU CSDs would benefit from an explicit clarification from EU p</w:t>
      </w:r>
      <w:r>
        <w:rPr>
          <w:rFonts w:ascii="Arial" w:eastAsia="Times New Roman" w:hAnsi="Arial" w:cs="Arial"/>
          <w:sz w:val="20"/>
          <w:szCs w:val="20"/>
          <w:lang w:eastAsia="en-GB"/>
        </w:rPr>
        <w:t>ublic authorities on the matter;</w:t>
      </w:r>
    </w:p>
    <w:p w:rsidR="00EF7076" w:rsidRDefault="00EF7076" w:rsidP="00927D5F">
      <w:pPr>
        <w:pStyle w:val="NoSpacing"/>
        <w:numPr>
          <w:ilvl w:val="0"/>
          <w:numId w:val="37"/>
        </w:numPr>
        <w:rPr>
          <w:rFonts w:ascii="Arial" w:eastAsia="Times New Roman" w:hAnsi="Arial" w:cs="Arial"/>
          <w:sz w:val="20"/>
          <w:szCs w:val="20"/>
          <w:lang w:eastAsia="en-GB"/>
        </w:rPr>
      </w:pPr>
      <w:r w:rsidRPr="0088497B">
        <w:rPr>
          <w:rFonts w:ascii="Arial" w:eastAsia="Times New Roman" w:hAnsi="Arial" w:cs="Arial"/>
          <w:sz w:val="20"/>
          <w:szCs w:val="20"/>
          <w:lang w:eastAsia="en-GB"/>
        </w:rPr>
        <w:t>the text is not fully clear as to what triggers the liability to pay a penalty; if a transaction fails because the participant delivering the securities either has insufficient securities or has put its instruction on hold, then the delivering participant is liable; but other scenarios are possible; it is possible that the receiving participant has insufficient cash, or has put its instruction on hold; there are also other possible reasons for failure (as, for example, a CSD can put a transaction on hold, or can freeze activity in an ISIN or on a securities account (see AG r</w:t>
      </w:r>
      <w:r w:rsidRPr="0088497B">
        <w:rPr>
          <w:rFonts w:ascii="Arial" w:eastAsia="Times New Roman" w:hAnsi="Arial" w:cs="Arial"/>
          <w:sz w:val="20"/>
          <w:szCs w:val="20"/>
          <w:lang w:eastAsia="en-GB"/>
        </w:rPr>
        <w:t>e</w:t>
      </w:r>
      <w:r w:rsidRPr="0088497B">
        <w:rPr>
          <w:rFonts w:ascii="Arial" w:eastAsia="Times New Roman" w:hAnsi="Arial" w:cs="Arial"/>
          <w:sz w:val="20"/>
          <w:szCs w:val="20"/>
          <w:lang w:eastAsia="en-GB"/>
        </w:rPr>
        <w:t>sponse on question 2 and 3 in the Technical Advice document)</w:t>
      </w:r>
      <w:r>
        <w:rPr>
          <w:rFonts w:ascii="Arial" w:eastAsia="Times New Roman" w:hAnsi="Arial" w:cs="Arial"/>
          <w:sz w:val="20"/>
          <w:szCs w:val="20"/>
          <w:lang w:eastAsia="en-GB"/>
        </w:rPr>
        <w:t>;</w:t>
      </w:r>
    </w:p>
    <w:p w:rsidR="00EF7076" w:rsidRDefault="00EF7076" w:rsidP="00927D5F">
      <w:pPr>
        <w:pStyle w:val="NoSpacing"/>
        <w:numPr>
          <w:ilvl w:val="0"/>
          <w:numId w:val="37"/>
        </w:numPr>
        <w:rPr>
          <w:rFonts w:ascii="Arial" w:eastAsia="Times New Roman" w:hAnsi="Arial" w:cs="Arial"/>
          <w:sz w:val="20"/>
          <w:szCs w:val="20"/>
          <w:lang w:eastAsia="en-GB"/>
        </w:rPr>
      </w:pPr>
      <w:r w:rsidRPr="0088497B">
        <w:rPr>
          <w:rFonts w:ascii="Arial" w:eastAsia="Times New Roman" w:hAnsi="Arial" w:cs="Arial"/>
          <w:sz w:val="20"/>
          <w:szCs w:val="20"/>
          <w:lang w:eastAsia="en-GB"/>
        </w:rPr>
        <w:t>it is important that the liability for a penalty be identified in each of the different possible sc</w:t>
      </w:r>
      <w:r w:rsidRPr="0088497B">
        <w:rPr>
          <w:rFonts w:ascii="Arial" w:eastAsia="Times New Roman" w:hAnsi="Arial" w:cs="Arial"/>
          <w:sz w:val="20"/>
          <w:szCs w:val="20"/>
          <w:lang w:eastAsia="en-GB"/>
        </w:rPr>
        <w:t>e</w:t>
      </w:r>
      <w:r w:rsidRPr="0088497B">
        <w:rPr>
          <w:rFonts w:ascii="Arial" w:eastAsia="Times New Roman" w:hAnsi="Arial" w:cs="Arial"/>
          <w:sz w:val="20"/>
          <w:szCs w:val="20"/>
          <w:lang w:eastAsia="en-GB"/>
        </w:rPr>
        <w:t>narios; it would, for example, be anomalous that a delivering party that has securities avail</w:t>
      </w:r>
      <w:r w:rsidRPr="0088497B">
        <w:rPr>
          <w:rFonts w:ascii="Arial" w:eastAsia="Times New Roman" w:hAnsi="Arial" w:cs="Arial"/>
          <w:sz w:val="20"/>
          <w:szCs w:val="20"/>
          <w:lang w:eastAsia="en-GB"/>
        </w:rPr>
        <w:t>a</w:t>
      </w:r>
      <w:r w:rsidRPr="0088497B">
        <w:rPr>
          <w:rFonts w:ascii="Arial" w:eastAsia="Times New Roman" w:hAnsi="Arial" w:cs="Arial"/>
          <w:sz w:val="20"/>
          <w:szCs w:val="20"/>
          <w:lang w:eastAsia="en-GB"/>
        </w:rPr>
        <w:t>ble be charged in the event that the receiving party has insufficient cash;</w:t>
      </w:r>
    </w:p>
    <w:p w:rsidR="00EF7076" w:rsidRDefault="00EF7076" w:rsidP="00927D5F">
      <w:pPr>
        <w:pStyle w:val="NoSpacing"/>
        <w:numPr>
          <w:ilvl w:val="0"/>
          <w:numId w:val="37"/>
        </w:numPr>
        <w:rPr>
          <w:rFonts w:ascii="Arial" w:eastAsia="Times New Roman" w:hAnsi="Arial" w:cs="Arial"/>
          <w:sz w:val="20"/>
          <w:szCs w:val="20"/>
          <w:lang w:eastAsia="en-GB"/>
        </w:rPr>
      </w:pPr>
      <w:r w:rsidRPr="0088497B">
        <w:rPr>
          <w:rFonts w:ascii="Arial" w:eastAsia="Times New Roman" w:hAnsi="Arial" w:cs="Arial"/>
          <w:sz w:val="20"/>
          <w:szCs w:val="20"/>
          <w:lang w:eastAsia="en-GB"/>
        </w:rPr>
        <w:t>the text is not fully clear with respect to the exact process in the event that one or both partic</w:t>
      </w:r>
      <w:r w:rsidRPr="0088497B">
        <w:rPr>
          <w:rFonts w:ascii="Arial" w:eastAsia="Times New Roman" w:hAnsi="Arial" w:cs="Arial"/>
          <w:sz w:val="20"/>
          <w:szCs w:val="20"/>
          <w:lang w:eastAsia="en-GB"/>
        </w:rPr>
        <w:t>i</w:t>
      </w:r>
      <w:r w:rsidRPr="0088497B">
        <w:rPr>
          <w:rFonts w:ascii="Arial" w:eastAsia="Times New Roman" w:hAnsi="Arial" w:cs="Arial"/>
          <w:sz w:val="20"/>
          <w:szCs w:val="20"/>
          <w:lang w:eastAsia="en-GB"/>
        </w:rPr>
        <w:t>pants send their settlement instructions to the CSD only after the intended settlement date; it is believed that a participant that sends its settlement instruction to the CSD on or before the intended settlement date is not liable for any penalty for the period up to the point of matching (as set out in Article 7, paragraph 1); it is assumed that if the other participant sends its i</w:t>
      </w:r>
      <w:r w:rsidRPr="0088497B">
        <w:rPr>
          <w:rFonts w:ascii="Arial" w:eastAsia="Times New Roman" w:hAnsi="Arial" w:cs="Arial"/>
          <w:sz w:val="20"/>
          <w:szCs w:val="20"/>
          <w:lang w:eastAsia="en-GB"/>
        </w:rPr>
        <w:t>n</w:t>
      </w:r>
      <w:r w:rsidRPr="0088497B">
        <w:rPr>
          <w:rFonts w:ascii="Arial" w:eastAsia="Times New Roman" w:hAnsi="Arial" w:cs="Arial"/>
          <w:sz w:val="20"/>
          <w:szCs w:val="20"/>
          <w:lang w:eastAsia="en-GB"/>
        </w:rPr>
        <w:t>struction on ISD +2, and matching occurs on ISD+2, then this second participant may become liable for fines for ISD and ISD+1, and both participants may become liable for fines in the event that the transactions is still failing on ISD +2 and afterwards; if both participants instruct after ISD, then it is unclear as to whether both participants are potentially liable for the full p</w:t>
      </w:r>
      <w:r w:rsidRPr="0088497B">
        <w:rPr>
          <w:rFonts w:ascii="Arial" w:eastAsia="Times New Roman" w:hAnsi="Arial" w:cs="Arial"/>
          <w:sz w:val="20"/>
          <w:szCs w:val="20"/>
          <w:lang w:eastAsia="en-GB"/>
        </w:rPr>
        <w:t>e</w:t>
      </w:r>
      <w:r w:rsidRPr="0088497B">
        <w:rPr>
          <w:rFonts w:ascii="Arial" w:eastAsia="Times New Roman" w:hAnsi="Arial" w:cs="Arial"/>
          <w:sz w:val="20"/>
          <w:szCs w:val="20"/>
          <w:lang w:eastAsia="en-GB"/>
        </w:rPr>
        <w:t>riod from ISD to point of settlement, or whether the first participant to instruct does benefit from an exemption for at least part of the period;</w:t>
      </w:r>
    </w:p>
    <w:p w:rsidR="00EF7076" w:rsidRDefault="00EF7076" w:rsidP="00927D5F">
      <w:pPr>
        <w:pStyle w:val="NoSpacing"/>
        <w:numPr>
          <w:ilvl w:val="0"/>
          <w:numId w:val="37"/>
        </w:numPr>
        <w:rPr>
          <w:rFonts w:ascii="Arial" w:eastAsia="Times New Roman" w:hAnsi="Arial" w:cs="Arial"/>
          <w:sz w:val="20"/>
          <w:szCs w:val="20"/>
          <w:lang w:eastAsia="en-GB"/>
        </w:rPr>
      </w:pPr>
      <w:r w:rsidRPr="0088497B">
        <w:rPr>
          <w:rFonts w:ascii="Arial" w:eastAsia="Times New Roman" w:hAnsi="Arial" w:cs="Arial"/>
          <w:sz w:val="20"/>
          <w:szCs w:val="20"/>
          <w:lang w:eastAsia="en-GB"/>
        </w:rPr>
        <w:t>in the event of instructions send to the settlement platform after ISD, and assuming that there is clarity on the exact periods of potential liability for both participants, and on the liability for the different possible scenarios of lack of securities and lack of cash, then there are still tec</w:t>
      </w:r>
      <w:r w:rsidRPr="0088497B">
        <w:rPr>
          <w:rFonts w:ascii="Arial" w:eastAsia="Times New Roman" w:hAnsi="Arial" w:cs="Arial"/>
          <w:sz w:val="20"/>
          <w:szCs w:val="20"/>
          <w:lang w:eastAsia="en-GB"/>
        </w:rPr>
        <w:t>h</w:t>
      </w:r>
      <w:r w:rsidRPr="0088497B">
        <w:rPr>
          <w:rFonts w:ascii="Arial" w:eastAsia="Times New Roman" w:hAnsi="Arial" w:cs="Arial"/>
          <w:sz w:val="20"/>
          <w:szCs w:val="20"/>
          <w:lang w:eastAsia="en-GB"/>
        </w:rPr>
        <w:t>nical problems; In a case a CSD is required to be able to look back in time, and identify whether a particular participant would have had at its disposal sufficient resources to settle a transaction, the CSD may not be able to look at cash accounts and to identify end of day ba</w:t>
      </w:r>
      <w:r w:rsidRPr="0088497B">
        <w:rPr>
          <w:rFonts w:ascii="Arial" w:eastAsia="Times New Roman" w:hAnsi="Arial" w:cs="Arial"/>
          <w:sz w:val="20"/>
          <w:szCs w:val="20"/>
          <w:lang w:eastAsia="en-GB"/>
        </w:rPr>
        <w:t>l</w:t>
      </w:r>
      <w:r w:rsidRPr="0088497B">
        <w:rPr>
          <w:rFonts w:ascii="Arial" w:eastAsia="Times New Roman" w:hAnsi="Arial" w:cs="Arial"/>
          <w:sz w:val="20"/>
          <w:szCs w:val="20"/>
          <w:lang w:eastAsia="en-GB"/>
        </w:rPr>
        <w:t>ances; a more fundamental point is that – given that the settlement instructions were u</w:t>
      </w:r>
      <w:r w:rsidRPr="0088497B">
        <w:rPr>
          <w:rFonts w:ascii="Arial" w:eastAsia="Times New Roman" w:hAnsi="Arial" w:cs="Arial"/>
          <w:sz w:val="20"/>
          <w:szCs w:val="20"/>
          <w:lang w:eastAsia="en-GB"/>
        </w:rPr>
        <w:t>n</w:t>
      </w:r>
      <w:r w:rsidRPr="0088497B">
        <w:rPr>
          <w:rFonts w:ascii="Arial" w:eastAsia="Times New Roman" w:hAnsi="Arial" w:cs="Arial"/>
          <w:sz w:val="20"/>
          <w:szCs w:val="20"/>
          <w:lang w:eastAsia="en-GB"/>
        </w:rPr>
        <w:t>matched at the relevant points of time in the past – the CSD participants may very well have used the resources (cash and/or securities) for other purposes; it would be very difficult for CSDs to reconstruct an alternative sequence of events.  Some AG members questioned the interpretation of this requirement and would welcome that ESMA clarifies the text further.</w:t>
      </w:r>
    </w:p>
    <w:p w:rsidR="00EF7076" w:rsidRDefault="00EF7076" w:rsidP="00EF7076">
      <w:pPr>
        <w:pStyle w:val="NoSpacing"/>
        <w:ind w:left="360"/>
        <w:rPr>
          <w:rFonts w:ascii="Arial" w:eastAsia="Times New Roman" w:hAnsi="Arial" w:cs="Arial"/>
          <w:sz w:val="20"/>
          <w:szCs w:val="20"/>
          <w:lang w:eastAsia="en-GB"/>
        </w:rPr>
      </w:pPr>
    </w:p>
    <w:p w:rsidR="00EF7076" w:rsidRDefault="00EF7076" w:rsidP="00EF7076">
      <w:pPr>
        <w:pStyle w:val="NoSpacing"/>
        <w:jc w:val="center"/>
        <w:rPr>
          <w:rFonts w:ascii="Arial" w:eastAsia="Times New Roman" w:hAnsi="Arial" w:cs="Arial"/>
          <w:b/>
          <w:i/>
          <w:sz w:val="20"/>
          <w:szCs w:val="20"/>
          <w:u w:val="single"/>
          <w:lang w:eastAsia="en-GB"/>
        </w:rPr>
      </w:pPr>
      <w:r w:rsidRPr="0088497B">
        <w:rPr>
          <w:rFonts w:ascii="Arial" w:eastAsia="Times New Roman" w:hAnsi="Arial" w:cs="Arial"/>
          <w:b/>
          <w:i/>
          <w:sz w:val="20"/>
          <w:szCs w:val="20"/>
          <w:u w:val="single"/>
          <w:lang w:eastAsia="en-GB"/>
        </w:rPr>
        <w:t>Part 3 of the Response on the scope of RTS Art. 7</w:t>
      </w:r>
    </w:p>
    <w:p w:rsidR="00EF7076" w:rsidRDefault="00EF7076" w:rsidP="00EF7076">
      <w:pPr>
        <w:pStyle w:val="NoSpacing"/>
        <w:rPr>
          <w:rFonts w:ascii="Arial" w:eastAsia="Times New Roman" w:hAnsi="Arial" w:cs="Arial"/>
          <w:b/>
          <w:i/>
          <w:sz w:val="20"/>
          <w:szCs w:val="20"/>
          <w:u w:val="single"/>
          <w:lang w:eastAsia="en-GB"/>
        </w:rPr>
      </w:pPr>
    </w:p>
    <w:p w:rsidR="00EF7076" w:rsidRDefault="00EF7076" w:rsidP="00EF7076">
      <w:pPr>
        <w:pStyle w:val="NoSpacing"/>
        <w:rPr>
          <w:rFonts w:ascii="Arial" w:eastAsia="Times New Roman" w:hAnsi="Arial" w:cs="Arial"/>
          <w:i/>
          <w:iCs/>
          <w:sz w:val="20"/>
          <w:szCs w:val="20"/>
          <w:lang w:eastAsia="de-DE"/>
        </w:rPr>
      </w:pPr>
      <w:r w:rsidRPr="00650183">
        <w:rPr>
          <w:rFonts w:ascii="Arial" w:eastAsia="Times New Roman" w:hAnsi="Arial" w:cs="Arial"/>
          <w:b/>
          <w:iCs/>
          <w:sz w:val="20"/>
          <w:szCs w:val="20"/>
          <w:lang w:eastAsia="de-DE"/>
        </w:rPr>
        <w:lastRenderedPageBreak/>
        <w:t>RTS Art. 7(6)</w:t>
      </w:r>
      <w:r w:rsidR="00650183" w:rsidRPr="00650183">
        <w:rPr>
          <w:rFonts w:ascii="Arial" w:eastAsia="Times New Roman" w:hAnsi="Arial" w:cs="Arial"/>
          <w:b/>
          <w:iCs/>
          <w:sz w:val="20"/>
          <w:szCs w:val="20"/>
          <w:lang w:eastAsia="de-DE"/>
        </w:rPr>
        <w:t>, Annex I</w:t>
      </w:r>
      <w:r w:rsidRPr="0088497B">
        <w:rPr>
          <w:rFonts w:ascii="Arial" w:eastAsia="Times New Roman" w:hAnsi="Arial" w:cs="Arial"/>
          <w:i/>
          <w:iCs/>
          <w:sz w:val="20"/>
          <w:szCs w:val="20"/>
          <w:lang w:eastAsia="de-DE"/>
        </w:rPr>
        <w:t xml:space="preserve"> on a requirement for</w:t>
      </w:r>
      <w:r w:rsidRPr="0088497B">
        <w:rPr>
          <w:rFonts w:ascii="Arial" w:eastAsia="Times New Roman" w:hAnsi="Arial" w:cs="Arial"/>
          <w:b/>
          <w:iCs/>
          <w:sz w:val="20"/>
          <w:szCs w:val="20"/>
          <w:lang w:eastAsia="de-DE"/>
        </w:rPr>
        <w:t xml:space="preserve"> </w:t>
      </w:r>
      <w:r w:rsidRPr="0088497B">
        <w:rPr>
          <w:rFonts w:ascii="Arial" w:eastAsia="Times New Roman" w:hAnsi="Arial" w:cs="Arial"/>
          <w:i/>
          <w:iCs/>
          <w:sz w:val="20"/>
          <w:szCs w:val="20"/>
          <w:lang w:eastAsia="de-DE"/>
        </w:rPr>
        <w:t>CSDs using a common platform to jointly manage cash penalties</w:t>
      </w:r>
    </w:p>
    <w:p w:rsidR="00EF7076" w:rsidRDefault="00EF7076" w:rsidP="00EF7076">
      <w:pPr>
        <w:pStyle w:val="NoSpacing"/>
        <w:rPr>
          <w:rFonts w:ascii="Arial" w:eastAsia="Times New Roman" w:hAnsi="Arial" w:cs="Arial"/>
          <w:b/>
          <w:i/>
          <w:iCs/>
          <w:sz w:val="20"/>
          <w:szCs w:val="20"/>
          <w:lang w:eastAsia="de-DE"/>
        </w:rPr>
      </w:pPr>
      <w:r w:rsidRPr="0088497B">
        <w:rPr>
          <w:rFonts w:ascii="Arial" w:eastAsia="Times New Roman" w:hAnsi="Arial" w:cs="Arial"/>
          <w:b/>
          <w:i/>
          <w:iCs/>
          <w:sz w:val="20"/>
          <w:szCs w:val="20"/>
          <w:lang w:eastAsia="de-DE"/>
        </w:rPr>
        <w:t>Justification for such jointly managed service</w:t>
      </w:r>
    </w:p>
    <w:p w:rsidR="00EF7076" w:rsidRDefault="00EF7076" w:rsidP="00EF7076">
      <w:pPr>
        <w:pStyle w:val="NoSpacing"/>
        <w:rPr>
          <w:rFonts w:ascii="Arial" w:eastAsia="Times New Roman" w:hAnsi="Arial" w:cs="Arial"/>
          <w:sz w:val="20"/>
          <w:szCs w:val="20"/>
          <w:lang w:eastAsia="de-DE"/>
        </w:rPr>
      </w:pPr>
      <w:r w:rsidRPr="0088497B">
        <w:rPr>
          <w:rFonts w:ascii="Arial" w:eastAsia="Times New Roman" w:hAnsi="Arial" w:cs="Arial"/>
          <w:sz w:val="20"/>
          <w:szCs w:val="20"/>
          <w:lang w:eastAsia="de-DE"/>
        </w:rPr>
        <w:t>The AG welcomes the principle for a harmonised management of the cash penalty regime across T2S CSDs. This principle ensures harmonisation and level playing field conditions for the competing CSDs and their participants in and outside T2S. The AG was one of the early supporters of such harmonised settl</w:t>
      </w:r>
      <w:r w:rsidRPr="0088497B">
        <w:rPr>
          <w:rFonts w:ascii="Arial" w:eastAsia="Times New Roman" w:hAnsi="Arial" w:cs="Arial"/>
          <w:sz w:val="20"/>
          <w:szCs w:val="20"/>
          <w:lang w:eastAsia="de-DE"/>
        </w:rPr>
        <w:t>e</w:t>
      </w:r>
      <w:r w:rsidRPr="0088497B">
        <w:rPr>
          <w:rFonts w:ascii="Arial" w:eastAsia="Times New Roman" w:hAnsi="Arial" w:cs="Arial"/>
          <w:sz w:val="20"/>
          <w:szCs w:val="20"/>
          <w:lang w:eastAsia="de-DE"/>
        </w:rPr>
        <w:t>ment discipline regime in the EU.</w:t>
      </w:r>
    </w:p>
    <w:p w:rsidR="00EF7076" w:rsidRDefault="00EF7076" w:rsidP="00EF7076">
      <w:pPr>
        <w:pStyle w:val="NoSpacing"/>
        <w:rPr>
          <w:rFonts w:ascii="Arial" w:eastAsia="Times New Roman" w:hAnsi="Arial" w:cs="Arial"/>
          <w:sz w:val="20"/>
          <w:szCs w:val="20"/>
          <w:lang w:eastAsia="de-DE"/>
        </w:rPr>
      </w:pPr>
      <w:r w:rsidRPr="0088497B">
        <w:rPr>
          <w:rFonts w:ascii="Arial" w:eastAsia="Times New Roman" w:hAnsi="Arial" w:cs="Arial"/>
          <w:sz w:val="20"/>
          <w:szCs w:val="20"/>
          <w:lang w:eastAsia="de-DE"/>
        </w:rPr>
        <w:t>However, regarding the ESMA provided justification for T2S CSDs to manage jointly a cash penalty se</w:t>
      </w:r>
      <w:r w:rsidRPr="0088497B">
        <w:rPr>
          <w:rFonts w:ascii="Arial" w:eastAsia="Times New Roman" w:hAnsi="Arial" w:cs="Arial"/>
          <w:sz w:val="20"/>
          <w:szCs w:val="20"/>
          <w:lang w:eastAsia="de-DE"/>
        </w:rPr>
        <w:t>r</w:t>
      </w:r>
      <w:r w:rsidRPr="0088497B">
        <w:rPr>
          <w:rFonts w:ascii="Arial" w:eastAsia="Times New Roman" w:hAnsi="Arial" w:cs="Arial"/>
          <w:sz w:val="20"/>
          <w:szCs w:val="20"/>
          <w:lang w:eastAsia="de-DE"/>
        </w:rPr>
        <w:t>vice as described in RTS Art. 7(6) and in section 2.3, par. 62 of the Consultation Paper, the AG could not identify the reasons why such jointly managed system is proposed to become a regulatory requirement for CSDs. Furthermore, the AG members could not identify the reasons why in the absence of implement</w:t>
      </w:r>
      <w:r w:rsidRPr="0088497B">
        <w:rPr>
          <w:rFonts w:ascii="Arial" w:eastAsia="Times New Roman" w:hAnsi="Arial" w:cs="Arial"/>
          <w:sz w:val="20"/>
          <w:szCs w:val="20"/>
          <w:lang w:eastAsia="de-DE"/>
        </w:rPr>
        <w:t>a</w:t>
      </w:r>
      <w:r w:rsidRPr="0088497B">
        <w:rPr>
          <w:rFonts w:ascii="Arial" w:eastAsia="Times New Roman" w:hAnsi="Arial" w:cs="Arial"/>
          <w:sz w:val="20"/>
          <w:szCs w:val="20"/>
          <w:lang w:eastAsia="de-DE"/>
        </w:rPr>
        <w:t xml:space="preserve">tion of such system at the level of a common infrastructure, “the penalty mechanism would collapse” (par. 62, p. 23 of the Consultation Paper).  </w:t>
      </w:r>
    </w:p>
    <w:p w:rsidR="00EF7076" w:rsidRDefault="00EF7076" w:rsidP="00EF7076">
      <w:pPr>
        <w:pStyle w:val="NoSpacing"/>
        <w:rPr>
          <w:rFonts w:ascii="Arial" w:eastAsia="Times New Roman" w:hAnsi="Arial" w:cs="Arial"/>
          <w:sz w:val="20"/>
          <w:szCs w:val="20"/>
          <w:lang w:eastAsia="de-DE"/>
        </w:rPr>
      </w:pPr>
      <w:r w:rsidRPr="0088497B">
        <w:rPr>
          <w:rFonts w:ascii="Arial" w:eastAsia="Times New Roman" w:hAnsi="Arial" w:cs="Arial"/>
          <w:sz w:val="20"/>
          <w:szCs w:val="20"/>
          <w:lang w:eastAsia="de-DE"/>
        </w:rPr>
        <w:t>On the other hand that the AG members would agree that a common solution for the T2S CSDs could potentially entail development and running cost synergies. Assuming that 24 T2S CSDs operating in 21 European jurisdictions could develop such jointly managed cash penalty system, still to be defined, the related costs could be shared between 24 CSDs. This would minimise the impact on the development efforts of CSDs and would ensure a level playing field for competing cross border.</w:t>
      </w:r>
    </w:p>
    <w:p w:rsidR="00EF7076" w:rsidRDefault="00EF7076" w:rsidP="00EF7076">
      <w:pPr>
        <w:pStyle w:val="NoSpacing"/>
        <w:rPr>
          <w:rFonts w:ascii="Arial" w:eastAsia="Times New Roman" w:hAnsi="Arial" w:cs="Arial"/>
          <w:sz w:val="20"/>
          <w:szCs w:val="20"/>
          <w:lang w:eastAsia="de-DE"/>
        </w:rPr>
      </w:pPr>
    </w:p>
    <w:p w:rsidR="00EF7076" w:rsidRDefault="00EF7076" w:rsidP="00EF7076">
      <w:pPr>
        <w:pStyle w:val="NoSpacing"/>
        <w:rPr>
          <w:rFonts w:ascii="Arial" w:eastAsia="Times New Roman" w:hAnsi="Arial" w:cs="Arial"/>
          <w:b/>
          <w:i/>
          <w:sz w:val="20"/>
          <w:szCs w:val="20"/>
          <w:lang w:eastAsia="de-DE"/>
        </w:rPr>
      </w:pPr>
      <w:r w:rsidRPr="0088497B">
        <w:rPr>
          <w:rFonts w:ascii="Arial" w:eastAsia="Times New Roman" w:hAnsi="Arial" w:cs="Arial"/>
          <w:b/>
          <w:i/>
          <w:sz w:val="20"/>
          <w:szCs w:val="20"/>
          <w:lang w:eastAsia="de-DE"/>
        </w:rPr>
        <w:t>Missing harmonisation/agreement</w:t>
      </w:r>
    </w:p>
    <w:p w:rsidR="00EF7076" w:rsidRDefault="00EF7076" w:rsidP="00EF7076">
      <w:pPr>
        <w:pStyle w:val="NoSpacing"/>
        <w:rPr>
          <w:rFonts w:ascii="Arial" w:eastAsia="Times New Roman" w:hAnsi="Arial" w:cs="Arial"/>
          <w:sz w:val="20"/>
          <w:szCs w:val="20"/>
          <w:lang w:eastAsia="de-DE"/>
        </w:rPr>
      </w:pPr>
      <w:r w:rsidRPr="0088497B">
        <w:rPr>
          <w:rFonts w:ascii="Arial" w:eastAsia="Times New Roman" w:hAnsi="Arial" w:cs="Arial"/>
          <w:sz w:val="20"/>
          <w:szCs w:val="20"/>
          <w:lang w:eastAsia="de-DE"/>
        </w:rPr>
        <w:t>The possibility for a third, non CSD, provider to offer such service to the T2S CSDs would pre-require a level of common agreement among all relevant CSDs and potentially of their competent authorities r</w:t>
      </w:r>
      <w:r w:rsidRPr="0088497B">
        <w:rPr>
          <w:rFonts w:ascii="Arial" w:eastAsia="Times New Roman" w:hAnsi="Arial" w:cs="Arial"/>
          <w:sz w:val="20"/>
          <w:szCs w:val="20"/>
          <w:lang w:eastAsia="de-DE"/>
        </w:rPr>
        <w:t>e</w:t>
      </w:r>
      <w:r w:rsidRPr="0088497B">
        <w:rPr>
          <w:rFonts w:ascii="Arial" w:eastAsia="Times New Roman" w:hAnsi="Arial" w:cs="Arial"/>
          <w:sz w:val="20"/>
          <w:szCs w:val="20"/>
          <w:lang w:eastAsia="de-DE"/>
        </w:rPr>
        <w:t>garding certain aspects of such service:</w:t>
      </w:r>
    </w:p>
    <w:p w:rsidR="00EF7076" w:rsidRDefault="00EF7076" w:rsidP="00927D5F">
      <w:pPr>
        <w:pStyle w:val="NoSpacing"/>
        <w:numPr>
          <w:ilvl w:val="0"/>
          <w:numId w:val="36"/>
        </w:numPr>
        <w:rPr>
          <w:rFonts w:ascii="Arial" w:eastAsia="Times New Roman" w:hAnsi="Arial" w:cs="Arial"/>
          <w:sz w:val="20"/>
          <w:szCs w:val="20"/>
          <w:lang w:eastAsia="en-GB"/>
        </w:rPr>
      </w:pPr>
      <w:r w:rsidRPr="0088497B">
        <w:rPr>
          <w:rFonts w:ascii="Arial" w:eastAsia="Times New Roman" w:hAnsi="Arial" w:cs="Arial"/>
          <w:iCs/>
          <w:sz w:val="20"/>
          <w:szCs w:val="20"/>
          <w:lang w:eastAsia="de-DE"/>
        </w:rPr>
        <w:t xml:space="preserve">Who is the </w:t>
      </w:r>
      <w:r w:rsidRPr="0088497B">
        <w:rPr>
          <w:rFonts w:ascii="Arial" w:eastAsia="Times New Roman" w:hAnsi="Arial" w:cs="Arial"/>
          <w:i/>
          <w:iCs/>
          <w:sz w:val="20"/>
          <w:szCs w:val="20"/>
          <w:lang w:eastAsia="de-DE"/>
        </w:rPr>
        <w:t>reference price</w:t>
      </w:r>
      <w:r w:rsidRPr="0088497B">
        <w:rPr>
          <w:rFonts w:ascii="Arial" w:eastAsia="Times New Roman" w:hAnsi="Arial" w:cs="Arial"/>
          <w:iCs/>
          <w:sz w:val="20"/>
          <w:szCs w:val="20"/>
          <w:lang w:eastAsia="de-DE"/>
        </w:rPr>
        <w:t xml:space="preserve"> provider to such central/jointly managed cash penalty service? </w:t>
      </w:r>
    </w:p>
    <w:p w:rsidR="00EF7076" w:rsidRDefault="00EF7076" w:rsidP="00927D5F">
      <w:pPr>
        <w:pStyle w:val="NoSpacing"/>
        <w:numPr>
          <w:ilvl w:val="0"/>
          <w:numId w:val="36"/>
        </w:numPr>
        <w:rPr>
          <w:rFonts w:ascii="Arial" w:eastAsia="Times New Roman" w:hAnsi="Arial" w:cs="Arial"/>
          <w:sz w:val="20"/>
          <w:szCs w:val="20"/>
          <w:lang w:eastAsia="en-GB"/>
        </w:rPr>
      </w:pPr>
      <w:r w:rsidRPr="0088497B">
        <w:rPr>
          <w:rFonts w:ascii="Arial" w:eastAsia="Times New Roman" w:hAnsi="Arial" w:cs="Arial"/>
          <w:iCs/>
          <w:sz w:val="20"/>
          <w:szCs w:val="20"/>
          <w:lang w:eastAsia="de-DE"/>
        </w:rPr>
        <w:t xml:space="preserve">What is the “value date” of such reference price? Trade or intended settlement day of the failed transaction? End of day price or intraday average etc.? </w:t>
      </w:r>
    </w:p>
    <w:p w:rsidR="00EF7076" w:rsidRDefault="00EF7076" w:rsidP="00927D5F">
      <w:pPr>
        <w:pStyle w:val="NoSpacing"/>
        <w:numPr>
          <w:ilvl w:val="0"/>
          <w:numId w:val="36"/>
        </w:numPr>
        <w:rPr>
          <w:rFonts w:ascii="Arial" w:eastAsia="Times New Roman" w:hAnsi="Arial" w:cs="Arial"/>
          <w:sz w:val="20"/>
          <w:szCs w:val="20"/>
          <w:lang w:eastAsia="en-GB"/>
        </w:rPr>
      </w:pPr>
      <w:r w:rsidRPr="0088497B">
        <w:rPr>
          <w:rFonts w:ascii="Arial" w:eastAsia="Times New Roman" w:hAnsi="Arial" w:cs="Arial"/>
          <w:iCs/>
          <w:sz w:val="20"/>
          <w:szCs w:val="20"/>
          <w:lang w:eastAsia="de-DE"/>
        </w:rPr>
        <w:t>What are the timelines for calculating/collecting the penalties? How often? On which day of the month?</w:t>
      </w:r>
    </w:p>
    <w:p w:rsidR="00EF7076" w:rsidRDefault="00EF7076" w:rsidP="00927D5F">
      <w:pPr>
        <w:pStyle w:val="NoSpacing"/>
        <w:numPr>
          <w:ilvl w:val="0"/>
          <w:numId w:val="36"/>
        </w:numPr>
        <w:rPr>
          <w:rFonts w:ascii="Arial" w:eastAsia="Times New Roman" w:hAnsi="Arial" w:cs="Arial"/>
          <w:sz w:val="20"/>
          <w:szCs w:val="20"/>
          <w:lang w:eastAsia="en-GB"/>
        </w:rPr>
      </w:pPr>
      <w:r w:rsidRPr="0088497B">
        <w:rPr>
          <w:rFonts w:ascii="Arial" w:eastAsia="Times New Roman" w:hAnsi="Arial" w:cs="Arial"/>
          <w:iCs/>
          <w:sz w:val="20"/>
          <w:szCs w:val="20"/>
          <w:lang w:eastAsia="de-DE"/>
        </w:rPr>
        <w:t>Who ensures that the non-T2S, but still EU, CSDs will also follow the same harmonised conve</w:t>
      </w:r>
      <w:r w:rsidRPr="0088497B">
        <w:rPr>
          <w:rFonts w:ascii="Arial" w:eastAsia="Times New Roman" w:hAnsi="Arial" w:cs="Arial"/>
          <w:iCs/>
          <w:sz w:val="20"/>
          <w:szCs w:val="20"/>
          <w:lang w:eastAsia="de-DE"/>
        </w:rPr>
        <w:t>r</w:t>
      </w:r>
      <w:r w:rsidRPr="0088497B">
        <w:rPr>
          <w:rFonts w:ascii="Arial" w:eastAsia="Times New Roman" w:hAnsi="Arial" w:cs="Arial"/>
          <w:iCs/>
          <w:sz w:val="20"/>
          <w:szCs w:val="20"/>
          <w:lang w:eastAsia="de-DE"/>
        </w:rPr>
        <w:t>sions/parameters as the CSDs participating in the jointly managed cash penalty system? ESMA, national competent authorities or is it left to voluntary best market practices?</w:t>
      </w:r>
    </w:p>
    <w:p w:rsidR="00EF7076" w:rsidRPr="004A0971" w:rsidRDefault="00EF7076" w:rsidP="00927D5F">
      <w:pPr>
        <w:pStyle w:val="NoSpacing"/>
        <w:numPr>
          <w:ilvl w:val="0"/>
          <w:numId w:val="36"/>
        </w:numPr>
        <w:rPr>
          <w:rFonts w:ascii="Arial" w:eastAsia="Times New Roman" w:hAnsi="Arial" w:cs="Arial"/>
          <w:sz w:val="20"/>
          <w:szCs w:val="20"/>
          <w:lang w:eastAsia="en-GB"/>
        </w:rPr>
      </w:pPr>
      <w:r w:rsidRPr="004A0971">
        <w:rPr>
          <w:rFonts w:ascii="Arial" w:hAnsi="Arial" w:cs="Arial"/>
          <w:sz w:val="20"/>
          <w:szCs w:val="20"/>
        </w:rPr>
        <w:t>More detailed information as to the scope and requirements for such a service. (See Part 2 of this response above)</w:t>
      </w:r>
    </w:p>
    <w:p w:rsidR="00EF7076" w:rsidRDefault="00EF7076" w:rsidP="00EF7076">
      <w:pPr>
        <w:pStyle w:val="NoSpacing"/>
        <w:rPr>
          <w:rFonts w:ascii="Arial" w:hAnsi="Arial" w:cs="Arial"/>
          <w:sz w:val="20"/>
          <w:szCs w:val="20"/>
        </w:rPr>
      </w:pPr>
    </w:p>
    <w:p w:rsidR="00EF7076" w:rsidRDefault="00EF7076" w:rsidP="00EF7076">
      <w:pPr>
        <w:pStyle w:val="NoSpacing"/>
        <w:rPr>
          <w:rFonts w:ascii="Arial" w:eastAsia="Times New Roman" w:hAnsi="Arial" w:cs="Arial"/>
          <w:b/>
          <w:i/>
          <w:sz w:val="20"/>
          <w:szCs w:val="20"/>
          <w:lang w:eastAsia="de-DE"/>
        </w:rPr>
      </w:pPr>
      <w:r w:rsidRPr="0088497B">
        <w:rPr>
          <w:rFonts w:ascii="Arial" w:eastAsia="Times New Roman" w:hAnsi="Arial" w:cs="Arial"/>
          <w:b/>
          <w:i/>
          <w:sz w:val="20"/>
          <w:szCs w:val="20"/>
          <w:lang w:eastAsia="de-DE"/>
        </w:rPr>
        <w:t>Preliminary understanding on the scope of services of a jointly managed system</w:t>
      </w:r>
    </w:p>
    <w:p w:rsidR="00EF7076" w:rsidRDefault="00EF7076" w:rsidP="00EF7076">
      <w:pPr>
        <w:pStyle w:val="NoSpacing"/>
        <w:rPr>
          <w:rFonts w:ascii="Arial" w:eastAsia="Times New Roman" w:hAnsi="Arial" w:cs="Arial"/>
          <w:sz w:val="20"/>
          <w:szCs w:val="20"/>
          <w:lang w:eastAsia="de-DE"/>
        </w:rPr>
      </w:pPr>
      <w:r w:rsidRPr="0088497B">
        <w:rPr>
          <w:rFonts w:ascii="Arial" w:eastAsia="Times New Roman" w:hAnsi="Arial" w:cs="Arial"/>
          <w:sz w:val="20"/>
          <w:szCs w:val="20"/>
          <w:lang w:eastAsia="de-DE"/>
        </w:rPr>
        <w:t>Based on the above, the AG is of the view that the only service a common cash penalty system could offer to the T2S CSDs is the outsourcing of the CSDs management of fail and penalty information (which is based on information available to CSDs).</w:t>
      </w:r>
    </w:p>
    <w:p w:rsidR="00EF7076" w:rsidRDefault="00EF7076" w:rsidP="00EF7076">
      <w:pPr>
        <w:pStyle w:val="NoSpacing"/>
        <w:rPr>
          <w:rFonts w:ascii="Arial" w:eastAsia="Times New Roman" w:hAnsi="Arial" w:cs="Arial"/>
          <w:sz w:val="20"/>
          <w:szCs w:val="20"/>
          <w:lang w:eastAsia="de-DE"/>
        </w:rPr>
      </w:pPr>
      <w:r w:rsidRPr="0088497B">
        <w:rPr>
          <w:rFonts w:ascii="Arial" w:eastAsia="Times New Roman" w:hAnsi="Arial" w:cs="Arial"/>
          <w:sz w:val="20"/>
          <w:szCs w:val="20"/>
          <w:lang w:eastAsia="de-DE"/>
        </w:rPr>
        <w:t>Further to this limited scope, the AG members would like to clarify that CSDs do not have any means to “charge and re-distribute the penalty when another CSD is involved” beyond their own CSD participants. This is valid in or outside T2S, with or without the use of a “jointly managed cash penalty system”.</w:t>
      </w:r>
    </w:p>
    <w:p w:rsidR="00EF7076" w:rsidRDefault="00EF7076" w:rsidP="00EF7076">
      <w:pPr>
        <w:pStyle w:val="NoSpacing"/>
        <w:rPr>
          <w:rFonts w:ascii="Arial" w:eastAsia="Times New Roman" w:hAnsi="Arial" w:cs="Arial"/>
          <w:sz w:val="20"/>
          <w:szCs w:val="20"/>
          <w:lang w:eastAsia="de-DE"/>
        </w:rPr>
      </w:pPr>
      <w:r w:rsidRPr="0088497B">
        <w:rPr>
          <w:rFonts w:ascii="Arial" w:eastAsia="Times New Roman" w:hAnsi="Arial" w:cs="Arial"/>
          <w:sz w:val="20"/>
          <w:szCs w:val="20"/>
          <w:lang w:eastAsia="de-DE"/>
        </w:rPr>
        <w:t>The AG members have tried to identify the potential services this jointly managed system could provide to the T2S CSDs. These preliminary assumptions are necessary in order for the T2S stakeholders, and especially the CSDs, to be able to assess the impact on their systems on developing such a jointly ma</w:t>
      </w:r>
      <w:r w:rsidRPr="0088497B">
        <w:rPr>
          <w:rFonts w:ascii="Arial" w:eastAsia="Times New Roman" w:hAnsi="Arial" w:cs="Arial"/>
          <w:sz w:val="20"/>
          <w:szCs w:val="20"/>
          <w:lang w:eastAsia="de-DE"/>
        </w:rPr>
        <w:t>n</w:t>
      </w:r>
      <w:r w:rsidRPr="0088497B">
        <w:rPr>
          <w:rFonts w:ascii="Arial" w:eastAsia="Times New Roman" w:hAnsi="Arial" w:cs="Arial"/>
          <w:sz w:val="20"/>
          <w:szCs w:val="20"/>
          <w:lang w:eastAsia="de-DE"/>
        </w:rPr>
        <w:t xml:space="preserve">aged cash penalty service. </w:t>
      </w:r>
    </w:p>
    <w:p w:rsidR="00EF7076" w:rsidRDefault="00EF7076" w:rsidP="00EF7076">
      <w:pPr>
        <w:pStyle w:val="NoSpacing"/>
        <w:rPr>
          <w:rFonts w:ascii="Arial" w:eastAsia="Times New Roman" w:hAnsi="Arial" w:cs="Arial"/>
          <w:iCs/>
          <w:sz w:val="20"/>
          <w:szCs w:val="20"/>
          <w:lang w:eastAsia="de-DE"/>
        </w:rPr>
      </w:pPr>
      <w:r w:rsidRPr="0088497B">
        <w:rPr>
          <w:rFonts w:ascii="Arial" w:eastAsia="Times New Roman" w:hAnsi="Arial" w:cs="Arial"/>
          <w:iCs/>
          <w:sz w:val="20"/>
          <w:szCs w:val="20"/>
          <w:lang w:eastAsia="de-DE"/>
        </w:rPr>
        <w:t>Any such jointly managed system, independently of who would be the service provider, could, upon a</w:t>
      </w:r>
      <w:r w:rsidRPr="0088497B">
        <w:rPr>
          <w:rFonts w:ascii="Arial" w:eastAsia="Times New Roman" w:hAnsi="Arial" w:cs="Arial"/>
          <w:iCs/>
          <w:sz w:val="20"/>
          <w:szCs w:val="20"/>
          <w:lang w:eastAsia="de-DE"/>
        </w:rPr>
        <w:t>u</w:t>
      </w:r>
      <w:r w:rsidRPr="0088497B">
        <w:rPr>
          <w:rFonts w:ascii="Arial" w:eastAsia="Times New Roman" w:hAnsi="Arial" w:cs="Arial"/>
          <w:iCs/>
          <w:sz w:val="20"/>
          <w:szCs w:val="20"/>
          <w:lang w:eastAsia="de-DE"/>
        </w:rPr>
        <w:t>thorisation by the CSDs, provide the following services:</w:t>
      </w:r>
    </w:p>
    <w:p w:rsidR="00EF7076" w:rsidRDefault="00EF7076" w:rsidP="00927D5F">
      <w:pPr>
        <w:pStyle w:val="NoSpacing"/>
        <w:numPr>
          <w:ilvl w:val="0"/>
          <w:numId w:val="39"/>
        </w:numPr>
        <w:rPr>
          <w:rFonts w:ascii="Arial" w:eastAsia="Times New Roman" w:hAnsi="Arial" w:cs="Arial"/>
          <w:iCs/>
          <w:sz w:val="20"/>
          <w:szCs w:val="20"/>
          <w:lang w:eastAsia="de-DE"/>
        </w:rPr>
      </w:pPr>
      <w:r w:rsidRPr="0088497B">
        <w:rPr>
          <w:rFonts w:ascii="Arial" w:eastAsia="Times New Roman" w:hAnsi="Arial" w:cs="Arial"/>
          <w:b/>
          <w:i/>
          <w:iCs/>
          <w:sz w:val="20"/>
          <w:szCs w:val="20"/>
          <w:u w:val="single"/>
          <w:lang w:eastAsia="de-DE"/>
        </w:rPr>
        <w:t>collect information</w:t>
      </w:r>
      <w:r w:rsidRPr="0088497B">
        <w:rPr>
          <w:rFonts w:ascii="Arial" w:eastAsia="Times New Roman" w:hAnsi="Arial" w:cs="Arial"/>
          <w:iCs/>
          <w:sz w:val="20"/>
          <w:szCs w:val="20"/>
          <w:lang w:eastAsia="de-DE"/>
        </w:rPr>
        <w:t xml:space="preserve"> on the failed transactions of the T2S CSDs (note: this information is the “property” of each CSD)</w:t>
      </w:r>
      <w:r>
        <w:rPr>
          <w:rFonts w:ascii="Arial" w:eastAsia="Times New Roman" w:hAnsi="Arial" w:cs="Arial"/>
          <w:iCs/>
          <w:sz w:val="20"/>
          <w:szCs w:val="20"/>
          <w:lang w:eastAsia="de-DE"/>
        </w:rPr>
        <w:t>;</w:t>
      </w:r>
    </w:p>
    <w:p w:rsidR="00EF7076" w:rsidRDefault="00EF7076" w:rsidP="00927D5F">
      <w:pPr>
        <w:pStyle w:val="NoSpacing"/>
        <w:numPr>
          <w:ilvl w:val="0"/>
          <w:numId w:val="39"/>
        </w:numPr>
        <w:rPr>
          <w:rFonts w:ascii="Arial" w:eastAsia="Times New Roman" w:hAnsi="Arial" w:cs="Arial"/>
          <w:iCs/>
          <w:sz w:val="20"/>
          <w:szCs w:val="20"/>
          <w:lang w:eastAsia="de-DE"/>
        </w:rPr>
      </w:pPr>
      <w:r w:rsidRPr="004A0971">
        <w:rPr>
          <w:rFonts w:ascii="Arial" w:eastAsia="Times New Roman" w:hAnsi="Arial" w:cs="Arial"/>
          <w:b/>
          <w:i/>
          <w:iCs/>
          <w:sz w:val="20"/>
          <w:szCs w:val="20"/>
          <w:u w:val="single"/>
          <w:lang w:eastAsia="de-DE"/>
        </w:rPr>
        <w:t>calculate the penalties</w:t>
      </w:r>
      <w:r w:rsidRPr="004A0971">
        <w:rPr>
          <w:rFonts w:ascii="Arial" w:eastAsia="Times New Roman" w:hAnsi="Arial" w:cs="Arial"/>
          <w:iCs/>
          <w:sz w:val="20"/>
          <w:szCs w:val="20"/>
          <w:lang w:eastAsia="de-DE"/>
        </w:rPr>
        <w:t>, as per the RTS requirements, and based on a reference price source provider to be agreed by the T2S CSDs/regulators;</w:t>
      </w:r>
    </w:p>
    <w:p w:rsidR="00EF7076" w:rsidRDefault="00EF7076" w:rsidP="00927D5F">
      <w:pPr>
        <w:pStyle w:val="NoSpacing"/>
        <w:numPr>
          <w:ilvl w:val="0"/>
          <w:numId w:val="39"/>
        </w:numPr>
        <w:rPr>
          <w:rFonts w:ascii="Arial" w:eastAsia="Times New Roman" w:hAnsi="Arial" w:cs="Arial"/>
          <w:iCs/>
          <w:sz w:val="20"/>
          <w:szCs w:val="20"/>
          <w:lang w:eastAsia="de-DE"/>
        </w:rPr>
      </w:pPr>
      <w:r w:rsidRPr="004A0971">
        <w:rPr>
          <w:rFonts w:ascii="Arial" w:eastAsia="Times New Roman" w:hAnsi="Arial" w:cs="Arial"/>
          <w:iCs/>
          <w:sz w:val="20"/>
          <w:szCs w:val="20"/>
          <w:lang w:eastAsia="de-DE"/>
        </w:rPr>
        <w:t xml:space="preserve">provide each T2S CSD with </w:t>
      </w:r>
      <w:r w:rsidRPr="004A0971">
        <w:rPr>
          <w:rFonts w:ascii="Arial" w:eastAsia="Times New Roman" w:hAnsi="Arial" w:cs="Arial"/>
          <w:b/>
          <w:i/>
          <w:iCs/>
          <w:sz w:val="20"/>
          <w:szCs w:val="20"/>
          <w:u w:val="single"/>
          <w:lang w:eastAsia="de-DE"/>
        </w:rPr>
        <w:t>reports</w:t>
      </w:r>
      <w:r w:rsidRPr="004A0971">
        <w:rPr>
          <w:rFonts w:ascii="Arial" w:eastAsia="Times New Roman" w:hAnsi="Arial" w:cs="Arial"/>
          <w:iCs/>
          <w:sz w:val="20"/>
          <w:szCs w:val="20"/>
          <w:lang w:eastAsia="de-DE"/>
        </w:rPr>
        <w:t xml:space="preserve"> on the fails and the penalties applicable to their own CSD participants (report to each CSD, per each CSD);</w:t>
      </w:r>
    </w:p>
    <w:p w:rsidR="00EF7076" w:rsidRDefault="00EF7076" w:rsidP="00927D5F">
      <w:pPr>
        <w:pStyle w:val="NoSpacing"/>
        <w:numPr>
          <w:ilvl w:val="0"/>
          <w:numId w:val="39"/>
        </w:numPr>
        <w:rPr>
          <w:rFonts w:ascii="Arial" w:eastAsia="Times New Roman" w:hAnsi="Arial" w:cs="Arial"/>
          <w:iCs/>
          <w:sz w:val="20"/>
          <w:szCs w:val="20"/>
          <w:lang w:eastAsia="de-DE"/>
        </w:rPr>
      </w:pPr>
      <w:r w:rsidRPr="004A0971">
        <w:rPr>
          <w:rFonts w:ascii="Arial" w:eastAsia="Times New Roman" w:hAnsi="Arial" w:cs="Arial"/>
          <w:iCs/>
          <w:sz w:val="20"/>
          <w:szCs w:val="20"/>
          <w:lang w:eastAsia="de-DE"/>
        </w:rPr>
        <w:t xml:space="preserve">potentially provide, if so required, a </w:t>
      </w:r>
      <w:r w:rsidRPr="004A0971">
        <w:rPr>
          <w:rFonts w:ascii="Arial" w:eastAsia="Times New Roman" w:hAnsi="Arial" w:cs="Arial"/>
          <w:b/>
          <w:i/>
          <w:iCs/>
          <w:sz w:val="20"/>
          <w:szCs w:val="20"/>
          <w:u w:val="single"/>
          <w:lang w:eastAsia="de-DE"/>
        </w:rPr>
        <w:t>billing service</w:t>
      </w:r>
      <w:r w:rsidRPr="004A0971">
        <w:rPr>
          <w:rFonts w:ascii="Arial" w:eastAsia="Times New Roman" w:hAnsi="Arial" w:cs="Arial"/>
          <w:iCs/>
          <w:sz w:val="20"/>
          <w:szCs w:val="20"/>
          <w:lang w:eastAsia="de-DE"/>
        </w:rPr>
        <w:t xml:space="preserve"> to the T2S CSDs.</w:t>
      </w:r>
    </w:p>
    <w:p w:rsidR="00EF7076" w:rsidRDefault="00EF7076" w:rsidP="00EF7076">
      <w:pPr>
        <w:pStyle w:val="NoSpacing"/>
        <w:rPr>
          <w:rFonts w:ascii="Arial" w:eastAsia="Times New Roman" w:hAnsi="Arial" w:cs="Arial"/>
          <w:iCs/>
          <w:sz w:val="20"/>
          <w:szCs w:val="20"/>
          <w:lang w:eastAsia="de-DE"/>
        </w:rPr>
      </w:pPr>
    </w:p>
    <w:p w:rsidR="00EF7076" w:rsidRDefault="00EF7076" w:rsidP="00EF7076">
      <w:pPr>
        <w:pStyle w:val="NoSpacing"/>
        <w:rPr>
          <w:rFonts w:ascii="Arial" w:eastAsia="Times New Roman" w:hAnsi="Arial" w:cs="Arial"/>
          <w:b/>
          <w:iCs/>
          <w:sz w:val="20"/>
          <w:szCs w:val="20"/>
          <w:lang w:eastAsia="de-DE"/>
        </w:rPr>
      </w:pPr>
      <w:r w:rsidRPr="004A0971">
        <w:rPr>
          <w:rFonts w:ascii="Arial" w:eastAsia="Times New Roman" w:hAnsi="Arial" w:cs="Arial"/>
          <w:b/>
          <w:iCs/>
          <w:sz w:val="20"/>
          <w:szCs w:val="20"/>
          <w:lang w:eastAsia="de-DE"/>
        </w:rPr>
        <w:lastRenderedPageBreak/>
        <w:t>In addition to these services to be provided by the central cash penalty service to the T2S CSDs, each T2S CSD would have to take further actions in order to fulfil its own regulatory responsibil</w:t>
      </w:r>
      <w:r w:rsidRPr="004A0971">
        <w:rPr>
          <w:rFonts w:ascii="Arial" w:eastAsia="Times New Roman" w:hAnsi="Arial" w:cs="Arial"/>
          <w:b/>
          <w:iCs/>
          <w:sz w:val="20"/>
          <w:szCs w:val="20"/>
          <w:lang w:eastAsia="de-DE"/>
        </w:rPr>
        <w:t>i</w:t>
      </w:r>
      <w:r w:rsidRPr="004A0971">
        <w:rPr>
          <w:rFonts w:ascii="Arial" w:eastAsia="Times New Roman" w:hAnsi="Arial" w:cs="Arial"/>
          <w:b/>
          <w:iCs/>
          <w:sz w:val="20"/>
          <w:szCs w:val="20"/>
          <w:lang w:eastAsia="de-DE"/>
        </w:rPr>
        <w:t>ties regarding the charging, collecting, netting, re-distributing or any other such action regarding the applicability of the cash penalties requirements on its own CSD participants.</w:t>
      </w:r>
    </w:p>
    <w:p w:rsidR="00EF7076" w:rsidRDefault="00EF7076" w:rsidP="00EF7076">
      <w:pPr>
        <w:pStyle w:val="NoSpacing"/>
        <w:rPr>
          <w:rFonts w:ascii="Arial" w:eastAsia="Times New Roman" w:hAnsi="Arial" w:cs="Arial"/>
          <w:iCs/>
          <w:sz w:val="20"/>
          <w:szCs w:val="20"/>
          <w:lang w:eastAsia="de-DE"/>
        </w:rPr>
      </w:pPr>
      <w:r w:rsidRPr="0088497B">
        <w:rPr>
          <w:rFonts w:ascii="Arial" w:eastAsia="Times New Roman" w:hAnsi="Arial" w:cs="Arial"/>
          <w:iCs/>
          <w:sz w:val="20"/>
          <w:szCs w:val="20"/>
          <w:lang w:eastAsia="de-DE"/>
        </w:rPr>
        <w:t xml:space="preserve">The T2S AG would like to underline that the description of this possible service is only indicative at this stage. It serves the AG as a proxy for assessing the impact on the T2S CSDs to jointly develop such service. </w:t>
      </w:r>
    </w:p>
    <w:p w:rsidR="00EF7076" w:rsidRDefault="00EF7076" w:rsidP="00EF7076">
      <w:pPr>
        <w:pStyle w:val="NoSpacing"/>
        <w:rPr>
          <w:rFonts w:ascii="Arial" w:eastAsia="Times New Roman" w:hAnsi="Arial" w:cs="Arial"/>
          <w:b/>
          <w:i/>
          <w:iCs/>
          <w:sz w:val="20"/>
          <w:szCs w:val="20"/>
          <w:lang w:eastAsia="de-DE"/>
        </w:rPr>
      </w:pPr>
      <w:r w:rsidRPr="0088497B">
        <w:rPr>
          <w:rFonts w:ascii="Arial" w:eastAsia="Times New Roman" w:hAnsi="Arial" w:cs="Arial"/>
          <w:b/>
          <w:i/>
          <w:iCs/>
          <w:sz w:val="20"/>
          <w:szCs w:val="20"/>
          <w:lang w:eastAsia="de-DE"/>
        </w:rPr>
        <w:t>Alternative AG proposal to ESMA</w:t>
      </w:r>
    </w:p>
    <w:p w:rsidR="00EF7076" w:rsidRDefault="00EF7076" w:rsidP="00EF7076">
      <w:pPr>
        <w:pStyle w:val="NoSpacing"/>
        <w:rPr>
          <w:rFonts w:ascii="Arial" w:hAnsi="Arial" w:cs="Arial"/>
          <w:sz w:val="20"/>
          <w:szCs w:val="20"/>
        </w:rPr>
      </w:pPr>
      <w:r w:rsidRPr="0088497B">
        <w:rPr>
          <w:rFonts w:ascii="Arial" w:hAnsi="Arial" w:cs="Arial"/>
          <w:sz w:val="20"/>
          <w:szCs w:val="20"/>
        </w:rPr>
        <w:t>The AG proposes the following drafting under 7(6):</w:t>
      </w:r>
    </w:p>
    <w:p w:rsidR="00EF7076" w:rsidRDefault="00EF7076" w:rsidP="00EF7076">
      <w:pPr>
        <w:pStyle w:val="NoSpacing"/>
        <w:pBdr>
          <w:bottom w:val="single" w:sz="6" w:space="1" w:color="auto"/>
        </w:pBdr>
        <w:rPr>
          <w:rFonts w:ascii="Arial" w:eastAsia="Times New Roman" w:hAnsi="Arial" w:cs="Arial"/>
          <w:i/>
          <w:color w:val="000000"/>
          <w:sz w:val="20"/>
          <w:szCs w:val="20"/>
          <w:lang w:eastAsia="en-GB"/>
        </w:rPr>
      </w:pPr>
      <w:r>
        <w:rPr>
          <w:rFonts w:ascii="Arial" w:hAnsi="Arial" w:cs="Arial"/>
          <w:sz w:val="20"/>
          <w:szCs w:val="20"/>
        </w:rPr>
        <w:t>“</w:t>
      </w:r>
      <w:r w:rsidRPr="0088497B">
        <w:rPr>
          <w:rFonts w:ascii="Arial" w:eastAsia="Times New Roman" w:hAnsi="Arial" w:cs="Arial"/>
          <w:i/>
          <w:strike/>
          <w:color w:val="000000"/>
          <w:spacing w:val="-3"/>
          <w:sz w:val="20"/>
          <w:szCs w:val="20"/>
          <w:lang w:eastAsia="en-GB"/>
        </w:rPr>
        <w:t>I</w:t>
      </w:r>
      <w:r w:rsidRPr="0088497B">
        <w:rPr>
          <w:rFonts w:ascii="Arial" w:eastAsia="Times New Roman" w:hAnsi="Arial" w:cs="Arial"/>
          <w:i/>
          <w:strike/>
          <w:color w:val="000000"/>
          <w:sz w:val="20"/>
          <w:szCs w:val="20"/>
          <w:lang w:eastAsia="en-GB"/>
        </w:rPr>
        <w:t>n</w:t>
      </w:r>
      <w:r w:rsidRPr="0088497B">
        <w:rPr>
          <w:rFonts w:ascii="Arial" w:eastAsia="Times New Roman" w:hAnsi="Arial" w:cs="Arial"/>
          <w:i/>
          <w:strike/>
          <w:color w:val="000000"/>
          <w:spacing w:val="19"/>
          <w:sz w:val="20"/>
          <w:szCs w:val="20"/>
          <w:lang w:eastAsia="en-GB"/>
        </w:rPr>
        <w:t xml:space="preserve"> </w:t>
      </w:r>
      <w:r w:rsidRPr="0088497B">
        <w:rPr>
          <w:rFonts w:ascii="Arial" w:eastAsia="Times New Roman" w:hAnsi="Arial" w:cs="Arial"/>
          <w:i/>
          <w:strike/>
          <w:color w:val="000000"/>
          <w:spacing w:val="1"/>
          <w:sz w:val="20"/>
          <w:szCs w:val="20"/>
          <w:lang w:eastAsia="en-GB"/>
        </w:rPr>
        <w:t>c</w:t>
      </w:r>
      <w:r w:rsidRPr="0088497B">
        <w:rPr>
          <w:rFonts w:ascii="Arial" w:eastAsia="Times New Roman" w:hAnsi="Arial" w:cs="Arial"/>
          <w:i/>
          <w:strike/>
          <w:color w:val="000000"/>
          <w:spacing w:val="-1"/>
          <w:sz w:val="20"/>
          <w:szCs w:val="20"/>
          <w:lang w:eastAsia="en-GB"/>
        </w:rPr>
        <w:t>a</w:t>
      </w:r>
      <w:r w:rsidRPr="0088497B">
        <w:rPr>
          <w:rFonts w:ascii="Arial" w:eastAsia="Times New Roman" w:hAnsi="Arial" w:cs="Arial"/>
          <w:i/>
          <w:strike/>
          <w:color w:val="000000"/>
          <w:sz w:val="20"/>
          <w:szCs w:val="20"/>
          <w:lang w:eastAsia="en-GB"/>
        </w:rPr>
        <w:t>se</w:t>
      </w:r>
      <w:r w:rsidRPr="0088497B">
        <w:rPr>
          <w:rFonts w:ascii="Arial" w:eastAsia="Times New Roman" w:hAnsi="Arial" w:cs="Arial"/>
          <w:i/>
          <w:strike/>
          <w:color w:val="000000"/>
          <w:spacing w:val="16"/>
          <w:sz w:val="20"/>
          <w:szCs w:val="20"/>
          <w:lang w:eastAsia="en-GB"/>
        </w:rPr>
        <w:t xml:space="preserve"> </w:t>
      </w:r>
      <w:r w:rsidRPr="0088497B">
        <w:rPr>
          <w:rFonts w:ascii="Arial" w:eastAsia="Times New Roman" w:hAnsi="Arial" w:cs="Arial"/>
          <w:i/>
          <w:strike/>
          <w:color w:val="000000"/>
          <w:spacing w:val="2"/>
          <w:sz w:val="20"/>
          <w:szCs w:val="20"/>
          <w:lang w:eastAsia="en-GB"/>
        </w:rPr>
        <w:t>o</w:t>
      </w:r>
      <w:r w:rsidRPr="0088497B">
        <w:rPr>
          <w:rFonts w:ascii="Arial" w:eastAsia="Times New Roman" w:hAnsi="Arial" w:cs="Arial"/>
          <w:i/>
          <w:strike/>
          <w:color w:val="000000"/>
          <w:sz w:val="20"/>
          <w:szCs w:val="20"/>
          <w:lang w:eastAsia="en-GB"/>
        </w:rPr>
        <w:t>f</w:t>
      </w:r>
      <w:r w:rsidRPr="0088497B">
        <w:rPr>
          <w:rFonts w:ascii="Arial" w:eastAsia="Times New Roman" w:hAnsi="Arial" w:cs="Arial"/>
          <w:i/>
          <w:strike/>
          <w:color w:val="000000"/>
          <w:spacing w:val="16"/>
          <w:sz w:val="20"/>
          <w:szCs w:val="20"/>
          <w:lang w:eastAsia="en-GB"/>
        </w:rPr>
        <w:t xml:space="preserve"> </w:t>
      </w:r>
      <w:r w:rsidRPr="0088497B">
        <w:rPr>
          <w:rFonts w:ascii="Arial" w:eastAsia="Times New Roman" w:hAnsi="Arial" w:cs="Arial"/>
          <w:i/>
          <w:strike/>
          <w:color w:val="000000"/>
          <w:sz w:val="20"/>
          <w:szCs w:val="20"/>
          <w:lang w:eastAsia="en-GB"/>
        </w:rPr>
        <w:t>in</w:t>
      </w:r>
      <w:r w:rsidRPr="0088497B">
        <w:rPr>
          <w:rFonts w:ascii="Arial" w:eastAsia="Times New Roman" w:hAnsi="Arial" w:cs="Arial"/>
          <w:i/>
          <w:strike/>
          <w:color w:val="000000"/>
          <w:spacing w:val="1"/>
          <w:sz w:val="20"/>
          <w:szCs w:val="20"/>
          <w:lang w:eastAsia="en-GB"/>
        </w:rPr>
        <w:t>t</w:t>
      </w:r>
      <w:r w:rsidRPr="0088497B">
        <w:rPr>
          <w:rFonts w:ascii="Arial" w:eastAsia="Times New Roman" w:hAnsi="Arial" w:cs="Arial"/>
          <w:i/>
          <w:strike/>
          <w:color w:val="000000"/>
          <w:spacing w:val="-1"/>
          <w:sz w:val="20"/>
          <w:szCs w:val="20"/>
          <w:lang w:eastAsia="en-GB"/>
        </w:rPr>
        <w:t>e</w:t>
      </w:r>
      <w:r w:rsidRPr="0088497B">
        <w:rPr>
          <w:rFonts w:ascii="Arial" w:eastAsia="Times New Roman" w:hAnsi="Arial" w:cs="Arial"/>
          <w:i/>
          <w:strike/>
          <w:color w:val="000000"/>
          <w:sz w:val="20"/>
          <w:szCs w:val="20"/>
          <w:lang w:eastAsia="en-GB"/>
        </w:rPr>
        <w:t>ro</w:t>
      </w:r>
      <w:r w:rsidRPr="0088497B">
        <w:rPr>
          <w:rFonts w:ascii="Arial" w:eastAsia="Times New Roman" w:hAnsi="Arial" w:cs="Arial"/>
          <w:i/>
          <w:strike/>
          <w:color w:val="000000"/>
          <w:spacing w:val="1"/>
          <w:sz w:val="20"/>
          <w:szCs w:val="20"/>
          <w:lang w:eastAsia="en-GB"/>
        </w:rPr>
        <w:t>p</w:t>
      </w:r>
      <w:r w:rsidRPr="0088497B">
        <w:rPr>
          <w:rFonts w:ascii="Arial" w:eastAsia="Times New Roman" w:hAnsi="Arial" w:cs="Arial"/>
          <w:i/>
          <w:strike/>
          <w:color w:val="000000"/>
          <w:spacing w:val="-1"/>
          <w:sz w:val="20"/>
          <w:szCs w:val="20"/>
          <w:lang w:eastAsia="en-GB"/>
        </w:rPr>
        <w:t>e</w:t>
      </w:r>
      <w:r w:rsidRPr="0088497B">
        <w:rPr>
          <w:rFonts w:ascii="Arial" w:eastAsia="Times New Roman" w:hAnsi="Arial" w:cs="Arial"/>
          <w:i/>
          <w:strike/>
          <w:color w:val="000000"/>
          <w:sz w:val="20"/>
          <w:szCs w:val="20"/>
          <w:lang w:eastAsia="en-GB"/>
        </w:rPr>
        <w:t>r</w:t>
      </w:r>
      <w:r w:rsidRPr="0088497B">
        <w:rPr>
          <w:rFonts w:ascii="Arial" w:eastAsia="Times New Roman" w:hAnsi="Arial" w:cs="Arial"/>
          <w:i/>
          <w:strike/>
          <w:color w:val="000000"/>
          <w:spacing w:val="-2"/>
          <w:sz w:val="20"/>
          <w:szCs w:val="20"/>
          <w:lang w:eastAsia="en-GB"/>
        </w:rPr>
        <w:t>a</w:t>
      </w:r>
      <w:r w:rsidRPr="0088497B">
        <w:rPr>
          <w:rFonts w:ascii="Arial" w:eastAsia="Times New Roman" w:hAnsi="Arial" w:cs="Arial"/>
          <w:i/>
          <w:strike/>
          <w:color w:val="000000"/>
          <w:sz w:val="20"/>
          <w:szCs w:val="20"/>
          <w:lang w:eastAsia="en-GB"/>
        </w:rPr>
        <w:t>b</w:t>
      </w:r>
      <w:r w:rsidRPr="0088497B">
        <w:rPr>
          <w:rFonts w:ascii="Arial" w:eastAsia="Times New Roman" w:hAnsi="Arial" w:cs="Arial"/>
          <w:i/>
          <w:strike/>
          <w:color w:val="000000"/>
          <w:spacing w:val="3"/>
          <w:sz w:val="20"/>
          <w:szCs w:val="20"/>
          <w:lang w:eastAsia="en-GB"/>
        </w:rPr>
        <w:t>l</w:t>
      </w:r>
      <w:r w:rsidRPr="0088497B">
        <w:rPr>
          <w:rFonts w:ascii="Arial" w:eastAsia="Times New Roman" w:hAnsi="Arial" w:cs="Arial"/>
          <w:i/>
          <w:strike/>
          <w:color w:val="000000"/>
          <w:sz w:val="20"/>
          <w:szCs w:val="20"/>
          <w:lang w:eastAsia="en-GB"/>
        </w:rPr>
        <w:t>e</w:t>
      </w:r>
      <w:r w:rsidRPr="0088497B">
        <w:rPr>
          <w:rFonts w:ascii="Arial" w:eastAsia="Times New Roman" w:hAnsi="Arial" w:cs="Arial"/>
          <w:i/>
          <w:strike/>
          <w:color w:val="000000"/>
          <w:spacing w:val="18"/>
          <w:sz w:val="20"/>
          <w:szCs w:val="20"/>
          <w:lang w:eastAsia="en-GB"/>
        </w:rPr>
        <w:t xml:space="preserve"> </w:t>
      </w:r>
      <w:r w:rsidRPr="00C34A33">
        <w:rPr>
          <w:rFonts w:ascii="Arial" w:eastAsia="Times New Roman" w:hAnsi="Arial" w:cs="Arial"/>
          <w:i/>
          <w:strike/>
          <w:color w:val="000000"/>
          <w:sz w:val="20"/>
          <w:szCs w:val="20"/>
          <w:lang w:eastAsia="en-GB"/>
        </w:rPr>
        <w:t>l</w:t>
      </w:r>
      <w:r w:rsidRPr="00C34A33">
        <w:rPr>
          <w:rFonts w:ascii="Arial" w:eastAsia="Times New Roman" w:hAnsi="Arial" w:cs="Arial"/>
          <w:i/>
          <w:strike/>
          <w:color w:val="000000"/>
          <w:spacing w:val="1"/>
          <w:sz w:val="20"/>
          <w:szCs w:val="20"/>
          <w:lang w:eastAsia="en-GB"/>
        </w:rPr>
        <w:t>i</w:t>
      </w:r>
      <w:r w:rsidRPr="00C34A33">
        <w:rPr>
          <w:rFonts w:ascii="Arial" w:eastAsia="Times New Roman" w:hAnsi="Arial" w:cs="Arial"/>
          <w:i/>
          <w:strike/>
          <w:color w:val="000000"/>
          <w:sz w:val="20"/>
          <w:szCs w:val="20"/>
          <w:lang w:eastAsia="en-GB"/>
        </w:rPr>
        <w:t>nks</w:t>
      </w:r>
      <w:r w:rsidRPr="00C34A33">
        <w:rPr>
          <w:rFonts w:ascii="Arial" w:eastAsia="Times New Roman" w:hAnsi="Arial" w:cs="Arial"/>
          <w:i/>
          <w:strike/>
          <w:color w:val="000000"/>
          <w:spacing w:val="17"/>
          <w:sz w:val="20"/>
          <w:szCs w:val="20"/>
          <w:lang w:eastAsia="en-GB"/>
        </w:rPr>
        <w:t xml:space="preserve"> </w:t>
      </w:r>
      <w:r w:rsidRPr="00C34A33">
        <w:rPr>
          <w:rFonts w:ascii="Arial" w:eastAsia="Times New Roman" w:hAnsi="Arial" w:cs="Arial"/>
          <w:i/>
          <w:strike/>
          <w:color w:val="000000"/>
          <w:spacing w:val="-1"/>
          <w:sz w:val="20"/>
          <w:szCs w:val="20"/>
          <w:lang w:eastAsia="en-GB"/>
        </w:rPr>
        <w:t>a</w:t>
      </w:r>
      <w:r w:rsidRPr="00C34A33">
        <w:rPr>
          <w:rFonts w:ascii="Arial" w:eastAsia="Times New Roman" w:hAnsi="Arial" w:cs="Arial"/>
          <w:i/>
          <w:strike/>
          <w:color w:val="000000"/>
          <w:sz w:val="20"/>
          <w:szCs w:val="20"/>
          <w:lang w:eastAsia="en-GB"/>
        </w:rPr>
        <w:t>nd</w:t>
      </w:r>
      <w:r w:rsidRPr="00C34A33">
        <w:rPr>
          <w:rFonts w:ascii="Arial" w:eastAsia="Times New Roman" w:hAnsi="Arial" w:cs="Arial"/>
          <w:i/>
          <w:color w:val="000000"/>
          <w:spacing w:val="17"/>
          <w:sz w:val="20"/>
          <w:szCs w:val="20"/>
          <w:lang w:eastAsia="en-GB"/>
        </w:rPr>
        <w:t xml:space="preserve"> </w:t>
      </w:r>
      <w:r w:rsidRPr="00C34A33">
        <w:rPr>
          <w:rFonts w:ascii="Arial" w:eastAsia="Times New Roman" w:hAnsi="Arial" w:cs="Arial"/>
          <w:i/>
          <w:color w:val="000000"/>
          <w:sz w:val="20"/>
          <w:szCs w:val="20"/>
          <w:lang w:eastAsia="en-GB"/>
        </w:rPr>
        <w:t>C</w:t>
      </w:r>
      <w:r w:rsidRPr="00C34A33">
        <w:rPr>
          <w:rFonts w:ascii="Arial" w:eastAsia="Times New Roman" w:hAnsi="Arial" w:cs="Arial"/>
          <w:i/>
          <w:color w:val="000000"/>
          <w:spacing w:val="1"/>
          <w:sz w:val="20"/>
          <w:szCs w:val="20"/>
          <w:lang w:eastAsia="en-GB"/>
        </w:rPr>
        <w:t>S</w:t>
      </w:r>
      <w:r w:rsidRPr="00C34A33">
        <w:rPr>
          <w:rFonts w:ascii="Arial" w:eastAsia="Times New Roman" w:hAnsi="Arial" w:cs="Arial"/>
          <w:i/>
          <w:color w:val="000000"/>
          <w:sz w:val="20"/>
          <w:szCs w:val="20"/>
          <w:lang w:eastAsia="en-GB"/>
        </w:rPr>
        <w:t>Ds</w:t>
      </w:r>
      <w:r w:rsidRPr="00C34A33">
        <w:rPr>
          <w:rFonts w:ascii="Arial" w:eastAsia="Times New Roman" w:hAnsi="Arial" w:cs="Arial"/>
          <w:i/>
          <w:color w:val="000000"/>
          <w:spacing w:val="16"/>
          <w:sz w:val="20"/>
          <w:szCs w:val="20"/>
          <w:lang w:eastAsia="en-GB"/>
        </w:rPr>
        <w:t xml:space="preserve"> </w:t>
      </w:r>
      <w:r w:rsidRPr="00C34A33">
        <w:rPr>
          <w:rFonts w:ascii="Arial" w:eastAsia="Times New Roman" w:hAnsi="Arial" w:cs="Arial"/>
          <w:i/>
          <w:color w:val="000000"/>
          <w:sz w:val="20"/>
          <w:szCs w:val="20"/>
          <w:lang w:eastAsia="en-GB"/>
        </w:rPr>
        <w:t>that</w:t>
      </w:r>
      <w:r w:rsidRPr="00C34A33">
        <w:rPr>
          <w:rFonts w:ascii="Arial" w:eastAsia="Times New Roman" w:hAnsi="Arial" w:cs="Arial"/>
          <w:i/>
          <w:color w:val="000000"/>
          <w:spacing w:val="17"/>
          <w:sz w:val="20"/>
          <w:szCs w:val="20"/>
          <w:lang w:eastAsia="en-GB"/>
        </w:rPr>
        <w:t xml:space="preserve"> </w:t>
      </w:r>
      <w:r w:rsidRPr="00C34A33">
        <w:rPr>
          <w:rFonts w:ascii="Arial" w:eastAsia="Times New Roman" w:hAnsi="Arial" w:cs="Arial"/>
          <w:i/>
          <w:color w:val="000000"/>
          <w:sz w:val="20"/>
          <w:szCs w:val="20"/>
          <w:lang w:eastAsia="en-GB"/>
        </w:rPr>
        <w:t>u</w:t>
      </w:r>
      <w:r w:rsidRPr="00C34A33">
        <w:rPr>
          <w:rFonts w:ascii="Arial" w:eastAsia="Times New Roman" w:hAnsi="Arial" w:cs="Arial"/>
          <w:i/>
          <w:color w:val="000000"/>
          <w:spacing w:val="2"/>
          <w:sz w:val="20"/>
          <w:szCs w:val="20"/>
          <w:lang w:eastAsia="en-GB"/>
        </w:rPr>
        <w:t>s</w:t>
      </w:r>
      <w:r w:rsidRPr="00C34A33">
        <w:rPr>
          <w:rFonts w:ascii="Arial" w:eastAsia="Times New Roman" w:hAnsi="Arial" w:cs="Arial"/>
          <w:i/>
          <w:color w:val="000000"/>
          <w:sz w:val="20"/>
          <w:szCs w:val="20"/>
          <w:lang w:eastAsia="en-GB"/>
        </w:rPr>
        <w:t>e</w:t>
      </w:r>
      <w:r w:rsidRPr="00C34A33">
        <w:rPr>
          <w:rFonts w:ascii="Arial" w:eastAsia="Times New Roman" w:hAnsi="Arial" w:cs="Arial"/>
          <w:i/>
          <w:color w:val="000000"/>
          <w:spacing w:val="18"/>
          <w:sz w:val="20"/>
          <w:szCs w:val="20"/>
          <w:lang w:eastAsia="en-GB"/>
        </w:rPr>
        <w:t xml:space="preserve"> </w:t>
      </w:r>
      <w:r w:rsidRPr="00C34A33">
        <w:rPr>
          <w:rFonts w:ascii="Arial" w:eastAsia="Times New Roman" w:hAnsi="Arial" w:cs="Arial"/>
          <w:i/>
          <w:color w:val="000000"/>
          <w:sz w:val="20"/>
          <w:szCs w:val="20"/>
          <w:lang w:eastAsia="en-GB"/>
        </w:rPr>
        <w:t>a</w:t>
      </w:r>
      <w:r w:rsidRPr="00C34A33">
        <w:rPr>
          <w:rFonts w:ascii="Arial" w:eastAsia="Times New Roman" w:hAnsi="Arial" w:cs="Arial"/>
          <w:i/>
          <w:color w:val="000000"/>
          <w:spacing w:val="16"/>
          <w:sz w:val="20"/>
          <w:szCs w:val="20"/>
          <w:lang w:eastAsia="en-GB"/>
        </w:rPr>
        <w:t xml:space="preserve"> </w:t>
      </w:r>
      <w:r w:rsidRPr="00C34A33">
        <w:rPr>
          <w:rFonts w:ascii="Arial" w:eastAsia="Times New Roman" w:hAnsi="Arial" w:cs="Arial"/>
          <w:i/>
          <w:color w:val="000000"/>
          <w:spacing w:val="-1"/>
          <w:sz w:val="20"/>
          <w:szCs w:val="20"/>
          <w:lang w:eastAsia="en-GB"/>
        </w:rPr>
        <w:t>c</w:t>
      </w:r>
      <w:r w:rsidRPr="00C34A33">
        <w:rPr>
          <w:rFonts w:ascii="Arial" w:eastAsia="Times New Roman" w:hAnsi="Arial" w:cs="Arial"/>
          <w:i/>
          <w:color w:val="000000"/>
          <w:sz w:val="20"/>
          <w:szCs w:val="20"/>
          <w:lang w:eastAsia="en-GB"/>
        </w:rPr>
        <w:t>om</w:t>
      </w:r>
      <w:r w:rsidRPr="00C34A33">
        <w:rPr>
          <w:rFonts w:ascii="Arial" w:eastAsia="Times New Roman" w:hAnsi="Arial" w:cs="Arial"/>
          <w:i/>
          <w:color w:val="000000"/>
          <w:spacing w:val="1"/>
          <w:sz w:val="20"/>
          <w:szCs w:val="20"/>
          <w:lang w:eastAsia="en-GB"/>
        </w:rPr>
        <w:t>m</w:t>
      </w:r>
      <w:r w:rsidRPr="00C34A33">
        <w:rPr>
          <w:rFonts w:ascii="Arial" w:eastAsia="Times New Roman" w:hAnsi="Arial" w:cs="Arial"/>
          <w:i/>
          <w:color w:val="000000"/>
          <w:sz w:val="20"/>
          <w:szCs w:val="20"/>
          <w:lang w:eastAsia="en-GB"/>
        </w:rPr>
        <w:t>on</w:t>
      </w:r>
      <w:r w:rsidRPr="00C34A33">
        <w:rPr>
          <w:rFonts w:ascii="Arial" w:eastAsia="Times New Roman" w:hAnsi="Arial" w:cs="Arial"/>
          <w:i/>
          <w:color w:val="000000"/>
          <w:spacing w:val="17"/>
          <w:sz w:val="20"/>
          <w:szCs w:val="20"/>
          <w:lang w:eastAsia="en-GB"/>
        </w:rPr>
        <w:t xml:space="preserve"> </w:t>
      </w:r>
      <w:r w:rsidRPr="00C34A33">
        <w:rPr>
          <w:rFonts w:ascii="Arial" w:eastAsia="Times New Roman" w:hAnsi="Arial" w:cs="Arial"/>
          <w:i/>
          <w:color w:val="000000"/>
          <w:spacing w:val="2"/>
          <w:sz w:val="20"/>
          <w:szCs w:val="20"/>
          <w:lang w:eastAsia="en-GB"/>
        </w:rPr>
        <w:t>s</w:t>
      </w:r>
      <w:r w:rsidRPr="00C34A33">
        <w:rPr>
          <w:rFonts w:ascii="Arial" w:eastAsia="Times New Roman" w:hAnsi="Arial" w:cs="Arial"/>
          <w:i/>
          <w:color w:val="000000"/>
          <w:spacing w:val="-1"/>
          <w:sz w:val="20"/>
          <w:szCs w:val="20"/>
          <w:lang w:eastAsia="en-GB"/>
        </w:rPr>
        <w:t>e</w:t>
      </w:r>
      <w:r w:rsidRPr="00C34A33">
        <w:rPr>
          <w:rFonts w:ascii="Arial" w:eastAsia="Times New Roman" w:hAnsi="Arial" w:cs="Arial"/>
          <w:i/>
          <w:color w:val="000000"/>
          <w:sz w:val="20"/>
          <w:szCs w:val="20"/>
          <w:lang w:eastAsia="en-GB"/>
        </w:rPr>
        <w:t>t</w:t>
      </w:r>
      <w:r w:rsidRPr="00C34A33">
        <w:rPr>
          <w:rFonts w:ascii="Arial" w:eastAsia="Times New Roman" w:hAnsi="Arial" w:cs="Arial"/>
          <w:i/>
          <w:color w:val="000000"/>
          <w:spacing w:val="1"/>
          <w:sz w:val="20"/>
          <w:szCs w:val="20"/>
          <w:lang w:eastAsia="en-GB"/>
        </w:rPr>
        <w:t>t</w:t>
      </w:r>
      <w:r w:rsidRPr="00C34A33">
        <w:rPr>
          <w:rFonts w:ascii="Arial" w:eastAsia="Times New Roman" w:hAnsi="Arial" w:cs="Arial"/>
          <w:i/>
          <w:color w:val="000000"/>
          <w:sz w:val="20"/>
          <w:szCs w:val="20"/>
          <w:lang w:eastAsia="en-GB"/>
        </w:rPr>
        <w:t>lem</w:t>
      </w:r>
      <w:r w:rsidRPr="00C34A33">
        <w:rPr>
          <w:rFonts w:ascii="Arial" w:eastAsia="Times New Roman" w:hAnsi="Arial" w:cs="Arial"/>
          <w:i/>
          <w:color w:val="000000"/>
          <w:spacing w:val="-1"/>
          <w:sz w:val="20"/>
          <w:szCs w:val="20"/>
          <w:lang w:eastAsia="en-GB"/>
        </w:rPr>
        <w:t>e</w:t>
      </w:r>
      <w:r w:rsidRPr="00C34A33">
        <w:rPr>
          <w:rFonts w:ascii="Arial" w:eastAsia="Times New Roman" w:hAnsi="Arial" w:cs="Arial"/>
          <w:i/>
          <w:color w:val="000000"/>
          <w:sz w:val="20"/>
          <w:szCs w:val="20"/>
          <w:lang w:eastAsia="en-GB"/>
        </w:rPr>
        <w:t>nt</w:t>
      </w:r>
      <w:r w:rsidRPr="00C34A33">
        <w:rPr>
          <w:rFonts w:ascii="Arial" w:eastAsia="Times New Roman" w:hAnsi="Arial" w:cs="Arial"/>
          <w:i/>
          <w:color w:val="000000"/>
          <w:spacing w:val="17"/>
          <w:sz w:val="20"/>
          <w:szCs w:val="20"/>
          <w:lang w:eastAsia="en-GB"/>
        </w:rPr>
        <w:t xml:space="preserve"> </w:t>
      </w:r>
      <w:r w:rsidRPr="00C34A33">
        <w:rPr>
          <w:rFonts w:ascii="Arial" w:eastAsia="Times New Roman" w:hAnsi="Arial" w:cs="Arial"/>
          <w:i/>
          <w:color w:val="000000"/>
          <w:sz w:val="20"/>
          <w:szCs w:val="20"/>
          <w:lang w:eastAsia="en-GB"/>
        </w:rPr>
        <w:t>in</w:t>
      </w:r>
      <w:r w:rsidRPr="00C34A33">
        <w:rPr>
          <w:rFonts w:ascii="Arial" w:eastAsia="Times New Roman" w:hAnsi="Arial" w:cs="Arial"/>
          <w:i/>
          <w:color w:val="000000"/>
          <w:spacing w:val="2"/>
          <w:sz w:val="20"/>
          <w:szCs w:val="20"/>
          <w:lang w:eastAsia="en-GB"/>
        </w:rPr>
        <w:t>f</w:t>
      </w:r>
      <w:r w:rsidRPr="00C34A33">
        <w:rPr>
          <w:rFonts w:ascii="Arial" w:eastAsia="Times New Roman" w:hAnsi="Arial" w:cs="Arial"/>
          <w:i/>
          <w:color w:val="000000"/>
          <w:sz w:val="20"/>
          <w:szCs w:val="20"/>
          <w:lang w:eastAsia="en-GB"/>
        </w:rPr>
        <w:t>r</w:t>
      </w:r>
      <w:r w:rsidRPr="00C34A33">
        <w:rPr>
          <w:rFonts w:ascii="Arial" w:eastAsia="Times New Roman" w:hAnsi="Arial" w:cs="Arial"/>
          <w:i/>
          <w:color w:val="000000"/>
          <w:spacing w:val="-2"/>
          <w:sz w:val="20"/>
          <w:szCs w:val="20"/>
          <w:lang w:eastAsia="en-GB"/>
        </w:rPr>
        <w:t>a</w:t>
      </w:r>
      <w:r w:rsidRPr="00C34A33">
        <w:rPr>
          <w:rFonts w:ascii="Arial" w:eastAsia="Times New Roman" w:hAnsi="Arial" w:cs="Arial"/>
          <w:i/>
          <w:color w:val="000000"/>
          <w:sz w:val="20"/>
          <w:szCs w:val="20"/>
          <w:lang w:eastAsia="en-GB"/>
        </w:rPr>
        <w:t>stru</w:t>
      </w:r>
      <w:r w:rsidRPr="00C34A33">
        <w:rPr>
          <w:rFonts w:ascii="Arial" w:eastAsia="Times New Roman" w:hAnsi="Arial" w:cs="Arial"/>
          <w:i/>
          <w:color w:val="000000"/>
          <w:spacing w:val="-1"/>
          <w:sz w:val="20"/>
          <w:szCs w:val="20"/>
          <w:lang w:eastAsia="en-GB"/>
        </w:rPr>
        <w:t>c</w:t>
      </w:r>
      <w:r w:rsidRPr="00C34A33">
        <w:rPr>
          <w:rFonts w:ascii="Arial" w:eastAsia="Times New Roman" w:hAnsi="Arial" w:cs="Arial"/>
          <w:i/>
          <w:color w:val="000000"/>
          <w:sz w:val="20"/>
          <w:szCs w:val="20"/>
          <w:lang w:eastAsia="en-GB"/>
        </w:rPr>
        <w:t>tu</w:t>
      </w:r>
      <w:r w:rsidRPr="00C34A33">
        <w:rPr>
          <w:rFonts w:ascii="Arial" w:eastAsia="Times New Roman" w:hAnsi="Arial" w:cs="Arial"/>
          <w:i/>
          <w:color w:val="000000"/>
          <w:spacing w:val="2"/>
          <w:sz w:val="20"/>
          <w:szCs w:val="20"/>
          <w:lang w:eastAsia="en-GB"/>
        </w:rPr>
        <w:t>r</w:t>
      </w:r>
      <w:r w:rsidRPr="00C34A33">
        <w:rPr>
          <w:rFonts w:ascii="Arial" w:eastAsia="Times New Roman" w:hAnsi="Arial" w:cs="Arial"/>
          <w:i/>
          <w:color w:val="000000"/>
          <w:spacing w:val="-1"/>
          <w:sz w:val="20"/>
          <w:szCs w:val="20"/>
          <w:lang w:eastAsia="en-GB"/>
        </w:rPr>
        <w:t>e</w:t>
      </w:r>
      <w:r w:rsidRPr="00C34A33">
        <w:rPr>
          <w:rFonts w:ascii="Arial" w:eastAsia="Times New Roman" w:hAnsi="Arial" w:cs="Arial"/>
          <w:i/>
          <w:color w:val="000000"/>
          <w:sz w:val="20"/>
          <w:szCs w:val="20"/>
          <w:lang w:eastAsia="en-GB"/>
        </w:rPr>
        <w:t xml:space="preserve">, </w:t>
      </w:r>
      <w:r w:rsidRPr="00C34A33">
        <w:rPr>
          <w:rFonts w:ascii="Arial" w:eastAsia="Times New Roman" w:hAnsi="Arial" w:cs="Arial"/>
          <w:i/>
          <w:strike/>
          <w:color w:val="000000"/>
          <w:sz w:val="20"/>
          <w:szCs w:val="20"/>
          <w:lang w:eastAsia="en-GB"/>
        </w:rPr>
        <w:t>including in</w:t>
      </w:r>
      <w:r w:rsidRPr="00C34A33">
        <w:rPr>
          <w:rFonts w:ascii="Arial" w:eastAsia="Times New Roman" w:hAnsi="Arial" w:cs="Arial"/>
          <w:i/>
          <w:strike/>
          <w:color w:val="000000"/>
          <w:spacing w:val="2"/>
          <w:sz w:val="20"/>
          <w:szCs w:val="20"/>
          <w:lang w:eastAsia="en-GB"/>
        </w:rPr>
        <w:t xml:space="preserve"> </w:t>
      </w:r>
      <w:r w:rsidRPr="00C34A33">
        <w:rPr>
          <w:rFonts w:ascii="Arial" w:eastAsia="Times New Roman" w:hAnsi="Arial" w:cs="Arial"/>
          <w:i/>
          <w:strike/>
          <w:color w:val="000000"/>
          <w:sz w:val="20"/>
          <w:szCs w:val="20"/>
          <w:lang w:eastAsia="en-GB"/>
        </w:rPr>
        <w:t>the</w:t>
      </w:r>
      <w:r w:rsidRPr="00C34A33">
        <w:rPr>
          <w:rFonts w:ascii="Arial" w:eastAsia="Times New Roman" w:hAnsi="Arial" w:cs="Arial"/>
          <w:i/>
          <w:strike/>
          <w:color w:val="000000"/>
          <w:spacing w:val="4"/>
          <w:sz w:val="20"/>
          <w:szCs w:val="20"/>
          <w:lang w:eastAsia="en-GB"/>
        </w:rPr>
        <w:t xml:space="preserve"> </w:t>
      </w:r>
      <w:r w:rsidRPr="00C34A33">
        <w:rPr>
          <w:rFonts w:ascii="Arial" w:eastAsia="Times New Roman" w:hAnsi="Arial" w:cs="Arial"/>
          <w:i/>
          <w:strike/>
          <w:color w:val="000000"/>
          <w:spacing w:val="-1"/>
          <w:sz w:val="20"/>
          <w:szCs w:val="20"/>
          <w:lang w:eastAsia="en-GB"/>
        </w:rPr>
        <w:t>c</w:t>
      </w:r>
      <w:r w:rsidRPr="00C34A33">
        <w:rPr>
          <w:rFonts w:ascii="Arial" w:eastAsia="Times New Roman" w:hAnsi="Arial" w:cs="Arial"/>
          <w:i/>
          <w:strike/>
          <w:color w:val="000000"/>
          <w:sz w:val="20"/>
          <w:szCs w:val="20"/>
          <w:lang w:eastAsia="en-GB"/>
        </w:rPr>
        <w:t>ir</w:t>
      </w:r>
      <w:r w:rsidRPr="00C34A33">
        <w:rPr>
          <w:rFonts w:ascii="Arial" w:eastAsia="Times New Roman" w:hAnsi="Arial" w:cs="Arial"/>
          <w:i/>
          <w:strike/>
          <w:color w:val="000000"/>
          <w:spacing w:val="-1"/>
          <w:sz w:val="20"/>
          <w:szCs w:val="20"/>
          <w:lang w:eastAsia="en-GB"/>
        </w:rPr>
        <w:t>c</w:t>
      </w:r>
      <w:r w:rsidRPr="00C34A33">
        <w:rPr>
          <w:rFonts w:ascii="Arial" w:eastAsia="Times New Roman" w:hAnsi="Arial" w:cs="Arial"/>
          <w:i/>
          <w:strike/>
          <w:color w:val="000000"/>
          <w:sz w:val="20"/>
          <w:szCs w:val="20"/>
          <w:lang w:eastAsia="en-GB"/>
        </w:rPr>
        <w:t>ums</w:t>
      </w:r>
      <w:r w:rsidRPr="00C34A33">
        <w:rPr>
          <w:rFonts w:ascii="Arial" w:eastAsia="Times New Roman" w:hAnsi="Arial" w:cs="Arial"/>
          <w:i/>
          <w:strike/>
          <w:color w:val="000000"/>
          <w:spacing w:val="3"/>
          <w:sz w:val="20"/>
          <w:szCs w:val="20"/>
          <w:lang w:eastAsia="en-GB"/>
        </w:rPr>
        <w:t>t</w:t>
      </w:r>
      <w:r w:rsidRPr="00C34A33">
        <w:rPr>
          <w:rFonts w:ascii="Arial" w:eastAsia="Times New Roman" w:hAnsi="Arial" w:cs="Arial"/>
          <w:i/>
          <w:strike/>
          <w:color w:val="000000"/>
          <w:spacing w:val="-1"/>
          <w:sz w:val="20"/>
          <w:szCs w:val="20"/>
          <w:lang w:eastAsia="en-GB"/>
        </w:rPr>
        <w:t>a</w:t>
      </w:r>
      <w:r w:rsidRPr="00C34A33">
        <w:rPr>
          <w:rFonts w:ascii="Arial" w:eastAsia="Times New Roman" w:hAnsi="Arial" w:cs="Arial"/>
          <w:i/>
          <w:strike/>
          <w:color w:val="000000"/>
          <w:sz w:val="20"/>
          <w:szCs w:val="20"/>
          <w:lang w:eastAsia="en-GB"/>
        </w:rPr>
        <w:t>n</w:t>
      </w:r>
      <w:r w:rsidRPr="00C34A33">
        <w:rPr>
          <w:rFonts w:ascii="Arial" w:eastAsia="Times New Roman" w:hAnsi="Arial" w:cs="Arial"/>
          <w:i/>
          <w:strike/>
          <w:color w:val="000000"/>
          <w:spacing w:val="-1"/>
          <w:sz w:val="20"/>
          <w:szCs w:val="20"/>
          <w:lang w:eastAsia="en-GB"/>
        </w:rPr>
        <w:t>ce</w:t>
      </w:r>
      <w:r w:rsidRPr="00C34A33">
        <w:rPr>
          <w:rFonts w:ascii="Arial" w:eastAsia="Times New Roman" w:hAnsi="Arial" w:cs="Arial"/>
          <w:i/>
          <w:strike/>
          <w:color w:val="000000"/>
          <w:sz w:val="20"/>
          <w:szCs w:val="20"/>
          <w:lang w:eastAsia="en-GB"/>
        </w:rPr>
        <w:t>s</w:t>
      </w:r>
      <w:r w:rsidRPr="00C34A33">
        <w:rPr>
          <w:rFonts w:ascii="Arial" w:eastAsia="Times New Roman" w:hAnsi="Arial" w:cs="Arial"/>
          <w:i/>
          <w:strike/>
          <w:color w:val="000000"/>
          <w:spacing w:val="5"/>
          <w:sz w:val="20"/>
          <w:szCs w:val="20"/>
          <w:lang w:eastAsia="en-GB"/>
        </w:rPr>
        <w:t xml:space="preserve"> </w:t>
      </w:r>
      <w:r w:rsidRPr="00C34A33">
        <w:rPr>
          <w:rFonts w:ascii="Arial" w:eastAsia="Times New Roman" w:hAnsi="Arial" w:cs="Arial"/>
          <w:i/>
          <w:strike/>
          <w:color w:val="000000"/>
          <w:sz w:val="20"/>
          <w:szCs w:val="20"/>
          <w:lang w:eastAsia="en-GB"/>
        </w:rPr>
        <w:t>r</w:t>
      </w:r>
      <w:r w:rsidRPr="00C34A33">
        <w:rPr>
          <w:rFonts w:ascii="Arial" w:eastAsia="Times New Roman" w:hAnsi="Arial" w:cs="Arial"/>
          <w:i/>
          <w:strike/>
          <w:color w:val="000000"/>
          <w:spacing w:val="-2"/>
          <w:sz w:val="20"/>
          <w:szCs w:val="20"/>
          <w:lang w:eastAsia="en-GB"/>
        </w:rPr>
        <w:t>e</w:t>
      </w:r>
      <w:r w:rsidRPr="00C34A33">
        <w:rPr>
          <w:rFonts w:ascii="Arial" w:eastAsia="Times New Roman" w:hAnsi="Arial" w:cs="Arial"/>
          <w:i/>
          <w:strike/>
          <w:color w:val="000000"/>
          <w:spacing w:val="1"/>
          <w:sz w:val="20"/>
          <w:szCs w:val="20"/>
          <w:lang w:eastAsia="en-GB"/>
        </w:rPr>
        <w:t>f</w:t>
      </w:r>
      <w:r w:rsidRPr="00C34A33">
        <w:rPr>
          <w:rFonts w:ascii="Arial" w:eastAsia="Times New Roman" w:hAnsi="Arial" w:cs="Arial"/>
          <w:i/>
          <w:strike/>
          <w:color w:val="000000"/>
          <w:spacing w:val="-1"/>
          <w:sz w:val="20"/>
          <w:szCs w:val="20"/>
          <w:lang w:eastAsia="en-GB"/>
        </w:rPr>
        <w:t>e</w:t>
      </w:r>
      <w:r w:rsidRPr="00C34A33">
        <w:rPr>
          <w:rFonts w:ascii="Arial" w:eastAsia="Times New Roman" w:hAnsi="Arial" w:cs="Arial"/>
          <w:i/>
          <w:strike/>
          <w:color w:val="000000"/>
          <w:sz w:val="20"/>
          <w:szCs w:val="20"/>
          <w:lang w:eastAsia="en-GB"/>
        </w:rPr>
        <w:t>r</w:t>
      </w:r>
      <w:r w:rsidRPr="00C34A33">
        <w:rPr>
          <w:rFonts w:ascii="Arial" w:eastAsia="Times New Roman" w:hAnsi="Arial" w:cs="Arial"/>
          <w:i/>
          <w:strike/>
          <w:color w:val="000000"/>
          <w:spacing w:val="1"/>
          <w:sz w:val="20"/>
          <w:szCs w:val="20"/>
          <w:lang w:eastAsia="en-GB"/>
        </w:rPr>
        <w:t>r</w:t>
      </w:r>
      <w:r w:rsidRPr="00C34A33">
        <w:rPr>
          <w:rFonts w:ascii="Arial" w:eastAsia="Times New Roman" w:hAnsi="Arial" w:cs="Arial"/>
          <w:i/>
          <w:strike/>
          <w:color w:val="000000"/>
          <w:spacing w:val="-1"/>
          <w:sz w:val="20"/>
          <w:szCs w:val="20"/>
          <w:lang w:eastAsia="en-GB"/>
        </w:rPr>
        <w:t>e</w:t>
      </w:r>
      <w:r w:rsidRPr="00C34A33">
        <w:rPr>
          <w:rFonts w:ascii="Arial" w:eastAsia="Times New Roman" w:hAnsi="Arial" w:cs="Arial"/>
          <w:i/>
          <w:strike/>
          <w:color w:val="000000"/>
          <w:sz w:val="20"/>
          <w:szCs w:val="20"/>
          <w:lang w:eastAsia="en-GB"/>
        </w:rPr>
        <w:t>d</w:t>
      </w:r>
      <w:r w:rsidRPr="00C34A33">
        <w:rPr>
          <w:rFonts w:ascii="Arial" w:eastAsia="Times New Roman" w:hAnsi="Arial" w:cs="Arial"/>
          <w:i/>
          <w:strike/>
          <w:color w:val="000000"/>
          <w:spacing w:val="2"/>
          <w:sz w:val="20"/>
          <w:szCs w:val="20"/>
          <w:lang w:eastAsia="en-GB"/>
        </w:rPr>
        <w:t xml:space="preserve"> </w:t>
      </w:r>
      <w:r w:rsidRPr="00C34A33">
        <w:rPr>
          <w:rFonts w:ascii="Arial" w:eastAsia="Times New Roman" w:hAnsi="Arial" w:cs="Arial"/>
          <w:i/>
          <w:strike/>
          <w:color w:val="000000"/>
          <w:sz w:val="20"/>
          <w:szCs w:val="20"/>
          <w:lang w:eastAsia="en-GB"/>
        </w:rPr>
        <w:t>to</w:t>
      </w:r>
      <w:r w:rsidRPr="00C34A33">
        <w:rPr>
          <w:rFonts w:ascii="Arial" w:eastAsia="Times New Roman" w:hAnsi="Arial" w:cs="Arial"/>
          <w:i/>
          <w:strike/>
          <w:color w:val="000000"/>
          <w:spacing w:val="2"/>
          <w:sz w:val="20"/>
          <w:szCs w:val="20"/>
          <w:lang w:eastAsia="en-GB"/>
        </w:rPr>
        <w:t xml:space="preserve"> </w:t>
      </w:r>
      <w:r w:rsidRPr="00C34A33">
        <w:rPr>
          <w:rFonts w:ascii="Arial" w:eastAsia="Times New Roman" w:hAnsi="Arial" w:cs="Arial"/>
          <w:i/>
          <w:strike/>
          <w:color w:val="000000"/>
          <w:sz w:val="20"/>
          <w:szCs w:val="20"/>
          <w:lang w:eastAsia="en-GB"/>
        </w:rPr>
        <w:t>in</w:t>
      </w:r>
      <w:r w:rsidRPr="00C34A33">
        <w:rPr>
          <w:rFonts w:ascii="Arial" w:eastAsia="Times New Roman" w:hAnsi="Arial" w:cs="Arial"/>
          <w:i/>
          <w:strike/>
          <w:color w:val="000000"/>
          <w:spacing w:val="2"/>
          <w:sz w:val="20"/>
          <w:szCs w:val="20"/>
          <w:lang w:eastAsia="en-GB"/>
        </w:rPr>
        <w:t xml:space="preserve"> </w:t>
      </w:r>
      <w:r w:rsidRPr="00C34A33">
        <w:rPr>
          <w:rFonts w:ascii="Arial" w:eastAsia="Times New Roman" w:hAnsi="Arial" w:cs="Arial"/>
          <w:i/>
          <w:strike/>
          <w:color w:val="000000"/>
          <w:sz w:val="20"/>
          <w:szCs w:val="20"/>
          <w:lang w:eastAsia="en-GB"/>
        </w:rPr>
        <w:t>p</w:t>
      </w:r>
      <w:r w:rsidRPr="00C34A33">
        <w:rPr>
          <w:rFonts w:ascii="Arial" w:eastAsia="Times New Roman" w:hAnsi="Arial" w:cs="Arial"/>
          <w:i/>
          <w:strike/>
          <w:color w:val="000000"/>
          <w:spacing w:val="1"/>
          <w:sz w:val="20"/>
          <w:szCs w:val="20"/>
          <w:lang w:eastAsia="en-GB"/>
        </w:rPr>
        <w:t>a</w:t>
      </w:r>
      <w:r w:rsidRPr="00C34A33">
        <w:rPr>
          <w:rFonts w:ascii="Arial" w:eastAsia="Times New Roman" w:hAnsi="Arial" w:cs="Arial"/>
          <w:i/>
          <w:strike/>
          <w:color w:val="000000"/>
          <w:sz w:val="20"/>
          <w:szCs w:val="20"/>
          <w:lang w:eastAsia="en-GB"/>
        </w:rPr>
        <w:t>ra</w:t>
      </w:r>
      <w:r w:rsidRPr="00C34A33">
        <w:rPr>
          <w:rFonts w:ascii="Arial" w:eastAsia="Times New Roman" w:hAnsi="Arial" w:cs="Arial"/>
          <w:i/>
          <w:strike/>
          <w:color w:val="000000"/>
          <w:spacing w:val="-2"/>
          <w:sz w:val="20"/>
          <w:szCs w:val="20"/>
          <w:lang w:eastAsia="en-GB"/>
        </w:rPr>
        <w:t>g</w:t>
      </w:r>
      <w:r w:rsidRPr="00C34A33">
        <w:rPr>
          <w:rFonts w:ascii="Arial" w:eastAsia="Times New Roman" w:hAnsi="Arial" w:cs="Arial"/>
          <w:i/>
          <w:strike/>
          <w:color w:val="000000"/>
          <w:spacing w:val="1"/>
          <w:sz w:val="20"/>
          <w:szCs w:val="20"/>
          <w:lang w:eastAsia="en-GB"/>
        </w:rPr>
        <w:t>r</w:t>
      </w:r>
      <w:r w:rsidRPr="00C34A33">
        <w:rPr>
          <w:rFonts w:ascii="Arial" w:eastAsia="Times New Roman" w:hAnsi="Arial" w:cs="Arial"/>
          <w:i/>
          <w:strike/>
          <w:color w:val="000000"/>
          <w:spacing w:val="-1"/>
          <w:sz w:val="20"/>
          <w:szCs w:val="20"/>
          <w:lang w:eastAsia="en-GB"/>
        </w:rPr>
        <w:t>a</w:t>
      </w:r>
      <w:r w:rsidRPr="00C34A33">
        <w:rPr>
          <w:rFonts w:ascii="Arial" w:eastAsia="Times New Roman" w:hAnsi="Arial" w:cs="Arial"/>
          <w:i/>
          <w:strike/>
          <w:color w:val="000000"/>
          <w:sz w:val="20"/>
          <w:szCs w:val="20"/>
          <w:lang w:eastAsia="en-GB"/>
        </w:rPr>
        <w:t>ph</w:t>
      </w:r>
      <w:r w:rsidRPr="00C34A33">
        <w:rPr>
          <w:rFonts w:ascii="Arial" w:eastAsia="Times New Roman" w:hAnsi="Arial" w:cs="Arial"/>
          <w:i/>
          <w:strike/>
          <w:color w:val="000000"/>
          <w:spacing w:val="2"/>
          <w:sz w:val="20"/>
          <w:szCs w:val="20"/>
          <w:lang w:eastAsia="en-GB"/>
        </w:rPr>
        <w:t xml:space="preserve"> </w:t>
      </w:r>
      <w:r w:rsidRPr="00C34A33">
        <w:rPr>
          <w:rFonts w:ascii="Arial" w:eastAsia="Times New Roman" w:hAnsi="Arial" w:cs="Arial"/>
          <w:i/>
          <w:strike/>
          <w:color w:val="000000"/>
          <w:sz w:val="20"/>
          <w:szCs w:val="20"/>
          <w:lang w:eastAsia="en-GB"/>
        </w:rPr>
        <w:t>5</w:t>
      </w:r>
      <w:r w:rsidRPr="00C34A33">
        <w:rPr>
          <w:rFonts w:ascii="Arial" w:eastAsia="Times New Roman" w:hAnsi="Arial" w:cs="Arial"/>
          <w:i/>
          <w:strike/>
          <w:color w:val="000000"/>
          <w:spacing w:val="2"/>
          <w:sz w:val="20"/>
          <w:szCs w:val="20"/>
          <w:lang w:eastAsia="en-GB"/>
        </w:rPr>
        <w:t xml:space="preserve"> </w:t>
      </w:r>
      <w:r w:rsidRPr="00C34A33">
        <w:rPr>
          <w:rFonts w:ascii="Arial" w:eastAsia="Times New Roman" w:hAnsi="Arial" w:cs="Arial"/>
          <w:i/>
          <w:strike/>
          <w:color w:val="000000"/>
          <w:sz w:val="20"/>
          <w:szCs w:val="20"/>
          <w:lang w:eastAsia="en-GB"/>
        </w:rPr>
        <w:t>of</w:t>
      </w:r>
      <w:r w:rsidRPr="00C34A33">
        <w:rPr>
          <w:rFonts w:ascii="Arial" w:eastAsia="Times New Roman" w:hAnsi="Arial" w:cs="Arial"/>
          <w:i/>
          <w:strike/>
          <w:color w:val="000000"/>
          <w:spacing w:val="3"/>
          <w:sz w:val="20"/>
          <w:szCs w:val="20"/>
          <w:lang w:eastAsia="en-GB"/>
        </w:rPr>
        <w:t xml:space="preserve"> </w:t>
      </w:r>
      <w:r w:rsidRPr="00C34A33">
        <w:rPr>
          <w:rFonts w:ascii="Arial" w:eastAsia="Times New Roman" w:hAnsi="Arial" w:cs="Arial"/>
          <w:i/>
          <w:strike/>
          <w:color w:val="000000"/>
          <w:sz w:val="20"/>
          <w:szCs w:val="20"/>
          <w:lang w:eastAsia="en-GB"/>
        </w:rPr>
        <w:t>A</w:t>
      </w:r>
      <w:r w:rsidRPr="00C34A33">
        <w:rPr>
          <w:rFonts w:ascii="Arial" w:eastAsia="Times New Roman" w:hAnsi="Arial" w:cs="Arial"/>
          <w:i/>
          <w:strike/>
          <w:color w:val="000000"/>
          <w:spacing w:val="-1"/>
          <w:sz w:val="20"/>
          <w:szCs w:val="20"/>
          <w:lang w:eastAsia="en-GB"/>
        </w:rPr>
        <w:t>r</w:t>
      </w:r>
      <w:r w:rsidRPr="00C34A33">
        <w:rPr>
          <w:rFonts w:ascii="Arial" w:eastAsia="Times New Roman" w:hAnsi="Arial" w:cs="Arial"/>
          <w:i/>
          <w:strike/>
          <w:color w:val="000000"/>
          <w:sz w:val="20"/>
          <w:szCs w:val="20"/>
          <w:lang w:eastAsia="en-GB"/>
        </w:rPr>
        <w:t>t</w:t>
      </w:r>
      <w:r w:rsidRPr="00C34A33">
        <w:rPr>
          <w:rFonts w:ascii="Arial" w:eastAsia="Times New Roman" w:hAnsi="Arial" w:cs="Arial"/>
          <w:i/>
          <w:strike/>
          <w:color w:val="000000"/>
          <w:spacing w:val="1"/>
          <w:sz w:val="20"/>
          <w:szCs w:val="20"/>
          <w:lang w:eastAsia="en-GB"/>
        </w:rPr>
        <w:t>i</w:t>
      </w:r>
      <w:r w:rsidRPr="00C34A33">
        <w:rPr>
          <w:rFonts w:ascii="Arial" w:eastAsia="Times New Roman" w:hAnsi="Arial" w:cs="Arial"/>
          <w:i/>
          <w:strike/>
          <w:color w:val="000000"/>
          <w:spacing w:val="-1"/>
          <w:sz w:val="20"/>
          <w:szCs w:val="20"/>
          <w:lang w:eastAsia="en-GB"/>
        </w:rPr>
        <w:t>c</w:t>
      </w:r>
      <w:r w:rsidRPr="00C34A33">
        <w:rPr>
          <w:rFonts w:ascii="Arial" w:eastAsia="Times New Roman" w:hAnsi="Arial" w:cs="Arial"/>
          <w:i/>
          <w:strike/>
          <w:color w:val="000000"/>
          <w:sz w:val="20"/>
          <w:szCs w:val="20"/>
          <w:lang w:eastAsia="en-GB"/>
        </w:rPr>
        <w:t>le</w:t>
      </w:r>
      <w:r w:rsidRPr="00C34A33">
        <w:rPr>
          <w:rFonts w:ascii="Arial" w:eastAsia="Times New Roman" w:hAnsi="Arial" w:cs="Arial"/>
          <w:i/>
          <w:strike/>
          <w:color w:val="000000"/>
          <w:spacing w:val="1"/>
          <w:sz w:val="20"/>
          <w:szCs w:val="20"/>
          <w:lang w:eastAsia="en-GB"/>
        </w:rPr>
        <w:t xml:space="preserve"> </w:t>
      </w:r>
      <w:r w:rsidRPr="00C34A33">
        <w:rPr>
          <w:rFonts w:ascii="Arial" w:eastAsia="Times New Roman" w:hAnsi="Arial" w:cs="Arial"/>
          <w:i/>
          <w:strike/>
          <w:color w:val="000000"/>
          <w:sz w:val="20"/>
          <w:szCs w:val="20"/>
          <w:lang w:eastAsia="en-GB"/>
        </w:rPr>
        <w:t>30</w:t>
      </w:r>
      <w:r w:rsidRPr="00C34A33">
        <w:rPr>
          <w:rFonts w:ascii="Arial" w:eastAsia="Times New Roman" w:hAnsi="Arial" w:cs="Arial"/>
          <w:i/>
          <w:strike/>
          <w:color w:val="000000"/>
          <w:spacing w:val="4"/>
          <w:sz w:val="20"/>
          <w:szCs w:val="20"/>
          <w:lang w:eastAsia="en-GB"/>
        </w:rPr>
        <w:t xml:space="preserve"> </w:t>
      </w:r>
      <w:r w:rsidRPr="00C34A33">
        <w:rPr>
          <w:rFonts w:ascii="Arial" w:eastAsia="Times New Roman" w:hAnsi="Arial" w:cs="Arial"/>
          <w:i/>
          <w:strike/>
          <w:color w:val="000000"/>
          <w:sz w:val="20"/>
          <w:szCs w:val="20"/>
          <w:lang w:eastAsia="en-GB"/>
        </w:rPr>
        <w:t>of</w:t>
      </w:r>
      <w:r w:rsidRPr="00C34A33">
        <w:rPr>
          <w:rFonts w:ascii="Arial" w:eastAsia="Times New Roman" w:hAnsi="Arial" w:cs="Arial"/>
          <w:i/>
          <w:strike/>
          <w:color w:val="000000"/>
          <w:spacing w:val="4"/>
          <w:sz w:val="20"/>
          <w:szCs w:val="20"/>
          <w:lang w:eastAsia="en-GB"/>
        </w:rPr>
        <w:t xml:space="preserve"> </w:t>
      </w:r>
      <w:r w:rsidRPr="00C34A33">
        <w:rPr>
          <w:rFonts w:ascii="Arial" w:eastAsia="Times New Roman" w:hAnsi="Arial" w:cs="Arial"/>
          <w:i/>
          <w:strike/>
          <w:color w:val="000000"/>
          <w:sz w:val="20"/>
          <w:szCs w:val="20"/>
          <w:lang w:eastAsia="en-GB"/>
        </w:rPr>
        <w:t>R</w:t>
      </w:r>
      <w:r w:rsidRPr="00C34A33">
        <w:rPr>
          <w:rFonts w:ascii="Arial" w:eastAsia="Times New Roman" w:hAnsi="Arial" w:cs="Arial"/>
          <w:i/>
          <w:strike/>
          <w:color w:val="000000"/>
          <w:spacing w:val="-1"/>
          <w:sz w:val="20"/>
          <w:szCs w:val="20"/>
          <w:lang w:eastAsia="en-GB"/>
        </w:rPr>
        <w:t>e</w:t>
      </w:r>
      <w:r w:rsidRPr="00C34A33">
        <w:rPr>
          <w:rFonts w:ascii="Arial" w:eastAsia="Times New Roman" w:hAnsi="Arial" w:cs="Arial"/>
          <w:i/>
          <w:strike/>
          <w:color w:val="000000"/>
          <w:spacing w:val="-2"/>
          <w:sz w:val="20"/>
          <w:szCs w:val="20"/>
          <w:lang w:eastAsia="en-GB"/>
        </w:rPr>
        <w:t>g</w:t>
      </w:r>
      <w:r w:rsidRPr="00C34A33">
        <w:rPr>
          <w:rFonts w:ascii="Arial" w:eastAsia="Times New Roman" w:hAnsi="Arial" w:cs="Arial"/>
          <w:i/>
          <w:strike/>
          <w:color w:val="000000"/>
          <w:sz w:val="20"/>
          <w:szCs w:val="20"/>
          <w:lang w:eastAsia="en-GB"/>
        </w:rPr>
        <w:t>ulation (</w:t>
      </w:r>
      <w:r w:rsidRPr="00C34A33">
        <w:rPr>
          <w:rFonts w:ascii="Arial" w:eastAsia="Times New Roman" w:hAnsi="Arial" w:cs="Arial"/>
          <w:i/>
          <w:strike/>
          <w:color w:val="000000"/>
          <w:spacing w:val="-1"/>
          <w:sz w:val="20"/>
          <w:szCs w:val="20"/>
          <w:lang w:eastAsia="en-GB"/>
        </w:rPr>
        <w:t>E</w:t>
      </w:r>
      <w:r w:rsidRPr="00C34A33">
        <w:rPr>
          <w:rFonts w:ascii="Arial" w:eastAsia="Times New Roman" w:hAnsi="Arial" w:cs="Arial"/>
          <w:i/>
          <w:strike/>
          <w:color w:val="000000"/>
          <w:sz w:val="20"/>
          <w:szCs w:val="20"/>
          <w:lang w:eastAsia="en-GB"/>
        </w:rPr>
        <w:t>U)</w:t>
      </w:r>
      <w:r w:rsidRPr="00C34A33">
        <w:rPr>
          <w:rFonts w:ascii="Arial" w:eastAsia="Times New Roman" w:hAnsi="Arial" w:cs="Arial"/>
          <w:i/>
          <w:strike/>
          <w:color w:val="000000"/>
          <w:spacing w:val="3"/>
          <w:sz w:val="20"/>
          <w:szCs w:val="20"/>
          <w:lang w:eastAsia="en-GB"/>
        </w:rPr>
        <w:t xml:space="preserve"> </w:t>
      </w:r>
      <w:r w:rsidRPr="00C34A33">
        <w:rPr>
          <w:rFonts w:ascii="Arial" w:eastAsia="Times New Roman" w:hAnsi="Arial" w:cs="Arial"/>
          <w:i/>
          <w:strike/>
          <w:color w:val="000000"/>
          <w:sz w:val="20"/>
          <w:szCs w:val="20"/>
          <w:lang w:eastAsia="en-GB"/>
        </w:rPr>
        <w:t>No</w:t>
      </w:r>
      <w:r w:rsidRPr="00C34A33">
        <w:rPr>
          <w:rFonts w:ascii="Arial" w:eastAsia="Times New Roman" w:hAnsi="Arial" w:cs="Arial"/>
          <w:i/>
          <w:strike/>
          <w:color w:val="000000"/>
          <w:spacing w:val="4"/>
          <w:sz w:val="20"/>
          <w:szCs w:val="20"/>
          <w:lang w:eastAsia="en-GB"/>
        </w:rPr>
        <w:t xml:space="preserve"> </w:t>
      </w:r>
      <w:r w:rsidRPr="00C34A33">
        <w:rPr>
          <w:rFonts w:ascii="Arial" w:eastAsia="Times New Roman" w:hAnsi="Arial" w:cs="Arial"/>
          <w:i/>
          <w:strike/>
          <w:color w:val="000000"/>
          <w:sz w:val="20"/>
          <w:szCs w:val="20"/>
          <w:lang w:eastAsia="en-GB"/>
        </w:rPr>
        <w:t>909/2014,</w:t>
      </w:r>
      <w:r w:rsidRPr="00C34A33">
        <w:rPr>
          <w:rFonts w:ascii="Arial" w:eastAsia="Times New Roman" w:hAnsi="Arial" w:cs="Arial"/>
          <w:i/>
          <w:strike/>
          <w:color w:val="000000"/>
          <w:spacing w:val="5"/>
          <w:sz w:val="20"/>
          <w:szCs w:val="20"/>
          <w:lang w:eastAsia="en-GB"/>
        </w:rPr>
        <w:t xml:space="preserve"> </w:t>
      </w:r>
      <w:r w:rsidRPr="00C34A33">
        <w:rPr>
          <w:rFonts w:ascii="Arial" w:eastAsia="Times New Roman" w:hAnsi="Arial" w:cs="Arial"/>
          <w:i/>
          <w:strike/>
          <w:color w:val="000000"/>
          <w:sz w:val="20"/>
          <w:szCs w:val="20"/>
          <w:lang w:eastAsia="en-GB"/>
        </w:rPr>
        <w:t>the</w:t>
      </w:r>
      <w:r w:rsidRPr="00C34A33">
        <w:rPr>
          <w:rFonts w:ascii="Arial" w:eastAsia="Times New Roman" w:hAnsi="Arial" w:cs="Arial"/>
          <w:i/>
          <w:strike/>
          <w:color w:val="000000"/>
          <w:spacing w:val="9"/>
          <w:sz w:val="20"/>
          <w:szCs w:val="20"/>
          <w:lang w:eastAsia="en-GB"/>
        </w:rPr>
        <w:t xml:space="preserve"> </w:t>
      </w:r>
      <w:r w:rsidRPr="00C34A33">
        <w:rPr>
          <w:rFonts w:ascii="Arial" w:eastAsia="Times New Roman" w:hAnsi="Arial" w:cs="Arial"/>
          <w:i/>
          <w:strike/>
          <w:color w:val="000000"/>
          <w:sz w:val="20"/>
          <w:szCs w:val="20"/>
          <w:lang w:eastAsia="en-GB"/>
        </w:rPr>
        <w:t>p</w:t>
      </w:r>
      <w:r w:rsidRPr="00C34A33">
        <w:rPr>
          <w:rFonts w:ascii="Arial" w:eastAsia="Times New Roman" w:hAnsi="Arial" w:cs="Arial"/>
          <w:i/>
          <w:strike/>
          <w:color w:val="000000"/>
          <w:spacing w:val="-1"/>
          <w:sz w:val="20"/>
          <w:szCs w:val="20"/>
          <w:lang w:eastAsia="en-GB"/>
        </w:rPr>
        <w:t>r</w:t>
      </w:r>
      <w:r w:rsidRPr="00C34A33">
        <w:rPr>
          <w:rFonts w:ascii="Arial" w:eastAsia="Times New Roman" w:hAnsi="Arial" w:cs="Arial"/>
          <w:i/>
          <w:strike/>
          <w:color w:val="000000"/>
          <w:sz w:val="20"/>
          <w:szCs w:val="20"/>
          <w:lang w:eastAsia="en-GB"/>
        </w:rPr>
        <w:t>o</w:t>
      </w:r>
      <w:r w:rsidRPr="00C34A33">
        <w:rPr>
          <w:rFonts w:ascii="Arial" w:eastAsia="Times New Roman" w:hAnsi="Arial" w:cs="Arial"/>
          <w:i/>
          <w:strike/>
          <w:color w:val="000000"/>
          <w:spacing w:val="-1"/>
          <w:sz w:val="20"/>
          <w:szCs w:val="20"/>
          <w:lang w:eastAsia="en-GB"/>
        </w:rPr>
        <w:t>ce</w:t>
      </w:r>
      <w:r w:rsidRPr="00C34A33">
        <w:rPr>
          <w:rFonts w:ascii="Arial" w:eastAsia="Times New Roman" w:hAnsi="Arial" w:cs="Arial"/>
          <w:i/>
          <w:strike/>
          <w:color w:val="000000"/>
          <w:sz w:val="20"/>
          <w:szCs w:val="20"/>
          <w:lang w:eastAsia="en-GB"/>
        </w:rPr>
        <w:t>du</w:t>
      </w:r>
      <w:r w:rsidRPr="00C34A33">
        <w:rPr>
          <w:rFonts w:ascii="Arial" w:eastAsia="Times New Roman" w:hAnsi="Arial" w:cs="Arial"/>
          <w:i/>
          <w:strike/>
          <w:color w:val="000000"/>
          <w:spacing w:val="1"/>
          <w:sz w:val="20"/>
          <w:szCs w:val="20"/>
          <w:lang w:eastAsia="en-GB"/>
        </w:rPr>
        <w:t>r</w:t>
      </w:r>
      <w:r w:rsidRPr="00C34A33">
        <w:rPr>
          <w:rFonts w:ascii="Arial" w:eastAsia="Times New Roman" w:hAnsi="Arial" w:cs="Arial"/>
          <w:i/>
          <w:strike/>
          <w:color w:val="000000"/>
          <w:spacing w:val="-1"/>
          <w:sz w:val="20"/>
          <w:szCs w:val="20"/>
          <w:lang w:eastAsia="en-GB"/>
        </w:rPr>
        <w:t>e</w:t>
      </w:r>
      <w:r w:rsidRPr="00C34A33">
        <w:rPr>
          <w:rFonts w:ascii="Arial" w:eastAsia="Times New Roman" w:hAnsi="Arial" w:cs="Arial"/>
          <w:i/>
          <w:strike/>
          <w:color w:val="000000"/>
          <w:sz w:val="20"/>
          <w:szCs w:val="20"/>
          <w:lang w:eastAsia="en-GB"/>
        </w:rPr>
        <w:t>s</w:t>
      </w:r>
      <w:r w:rsidRPr="00C34A33">
        <w:rPr>
          <w:rFonts w:ascii="Arial" w:eastAsia="Times New Roman" w:hAnsi="Arial" w:cs="Arial"/>
          <w:i/>
          <w:strike/>
          <w:color w:val="000000"/>
          <w:spacing w:val="5"/>
          <w:sz w:val="20"/>
          <w:szCs w:val="20"/>
          <w:lang w:eastAsia="en-GB"/>
        </w:rPr>
        <w:t xml:space="preserve"> </w:t>
      </w:r>
      <w:r w:rsidRPr="00C34A33">
        <w:rPr>
          <w:rFonts w:ascii="Arial" w:eastAsia="Times New Roman" w:hAnsi="Arial" w:cs="Arial"/>
          <w:i/>
          <w:strike/>
          <w:color w:val="000000"/>
          <w:sz w:val="20"/>
          <w:szCs w:val="20"/>
          <w:lang w:eastAsia="en-GB"/>
        </w:rPr>
        <w:t>for</w:t>
      </w:r>
      <w:r w:rsidRPr="00C34A33">
        <w:rPr>
          <w:rFonts w:ascii="Arial" w:eastAsia="Times New Roman" w:hAnsi="Arial" w:cs="Arial"/>
          <w:i/>
          <w:strike/>
          <w:color w:val="000000"/>
          <w:spacing w:val="5"/>
          <w:sz w:val="20"/>
          <w:szCs w:val="20"/>
          <w:lang w:eastAsia="en-GB"/>
        </w:rPr>
        <w:t xml:space="preserve"> </w:t>
      </w:r>
      <w:r w:rsidRPr="00C34A33">
        <w:rPr>
          <w:rFonts w:ascii="Arial" w:eastAsia="Times New Roman" w:hAnsi="Arial" w:cs="Arial"/>
          <w:i/>
          <w:strike/>
          <w:color w:val="000000"/>
          <w:spacing w:val="-1"/>
          <w:sz w:val="20"/>
          <w:szCs w:val="20"/>
          <w:lang w:eastAsia="en-GB"/>
        </w:rPr>
        <w:t>ca</w:t>
      </w:r>
      <w:r w:rsidRPr="00C34A33">
        <w:rPr>
          <w:rFonts w:ascii="Arial" w:eastAsia="Times New Roman" w:hAnsi="Arial" w:cs="Arial"/>
          <w:i/>
          <w:strike/>
          <w:color w:val="000000"/>
          <w:sz w:val="20"/>
          <w:szCs w:val="20"/>
          <w:lang w:eastAsia="en-GB"/>
        </w:rPr>
        <w:t>sh</w:t>
      </w:r>
      <w:r w:rsidRPr="00C34A33">
        <w:rPr>
          <w:rFonts w:ascii="Arial" w:eastAsia="Times New Roman" w:hAnsi="Arial" w:cs="Arial"/>
          <w:i/>
          <w:strike/>
          <w:color w:val="000000"/>
          <w:spacing w:val="5"/>
          <w:sz w:val="20"/>
          <w:szCs w:val="20"/>
          <w:lang w:eastAsia="en-GB"/>
        </w:rPr>
        <w:t xml:space="preserve"> </w:t>
      </w:r>
      <w:r w:rsidRPr="00C34A33">
        <w:rPr>
          <w:rFonts w:ascii="Arial" w:eastAsia="Times New Roman" w:hAnsi="Arial" w:cs="Arial"/>
          <w:i/>
          <w:strike/>
          <w:color w:val="000000"/>
          <w:spacing w:val="2"/>
          <w:sz w:val="20"/>
          <w:szCs w:val="20"/>
          <w:lang w:eastAsia="en-GB"/>
        </w:rPr>
        <w:t>p</w:t>
      </w:r>
      <w:r w:rsidRPr="00C34A33">
        <w:rPr>
          <w:rFonts w:ascii="Arial" w:eastAsia="Times New Roman" w:hAnsi="Arial" w:cs="Arial"/>
          <w:i/>
          <w:strike/>
          <w:color w:val="000000"/>
          <w:spacing w:val="-1"/>
          <w:sz w:val="20"/>
          <w:szCs w:val="20"/>
          <w:lang w:eastAsia="en-GB"/>
        </w:rPr>
        <w:t>e</w:t>
      </w:r>
      <w:r w:rsidRPr="00C34A33">
        <w:rPr>
          <w:rFonts w:ascii="Arial" w:eastAsia="Times New Roman" w:hAnsi="Arial" w:cs="Arial"/>
          <w:i/>
          <w:strike/>
          <w:color w:val="000000"/>
          <w:sz w:val="20"/>
          <w:szCs w:val="20"/>
          <w:lang w:eastAsia="en-GB"/>
        </w:rPr>
        <w:t>n</w:t>
      </w:r>
      <w:r w:rsidRPr="00C34A33">
        <w:rPr>
          <w:rFonts w:ascii="Arial" w:eastAsia="Times New Roman" w:hAnsi="Arial" w:cs="Arial"/>
          <w:i/>
          <w:strike/>
          <w:color w:val="000000"/>
          <w:spacing w:val="1"/>
          <w:sz w:val="20"/>
          <w:szCs w:val="20"/>
          <w:lang w:eastAsia="en-GB"/>
        </w:rPr>
        <w:t>a</w:t>
      </w:r>
      <w:r w:rsidRPr="00C34A33">
        <w:rPr>
          <w:rFonts w:ascii="Arial" w:eastAsia="Times New Roman" w:hAnsi="Arial" w:cs="Arial"/>
          <w:i/>
          <w:strike/>
          <w:color w:val="000000"/>
          <w:sz w:val="20"/>
          <w:szCs w:val="20"/>
          <w:lang w:eastAsia="en-GB"/>
        </w:rPr>
        <w:t>l</w:t>
      </w:r>
      <w:r w:rsidRPr="00C34A33">
        <w:rPr>
          <w:rFonts w:ascii="Arial" w:eastAsia="Times New Roman" w:hAnsi="Arial" w:cs="Arial"/>
          <w:i/>
          <w:strike/>
          <w:color w:val="000000"/>
          <w:spacing w:val="1"/>
          <w:sz w:val="20"/>
          <w:szCs w:val="20"/>
          <w:lang w:eastAsia="en-GB"/>
        </w:rPr>
        <w:t>t</w:t>
      </w:r>
      <w:r w:rsidRPr="00C34A33">
        <w:rPr>
          <w:rFonts w:ascii="Arial" w:eastAsia="Times New Roman" w:hAnsi="Arial" w:cs="Arial"/>
          <w:i/>
          <w:strike/>
          <w:color w:val="000000"/>
          <w:sz w:val="20"/>
          <w:szCs w:val="20"/>
          <w:lang w:eastAsia="en-GB"/>
        </w:rPr>
        <w:t>ies</w:t>
      </w:r>
      <w:r w:rsidRPr="00C34A33">
        <w:rPr>
          <w:rFonts w:ascii="Arial" w:eastAsia="Times New Roman" w:hAnsi="Arial" w:cs="Arial"/>
          <w:i/>
          <w:strike/>
          <w:color w:val="000000"/>
          <w:spacing w:val="9"/>
          <w:sz w:val="20"/>
          <w:szCs w:val="20"/>
          <w:lang w:eastAsia="en-GB"/>
        </w:rPr>
        <w:t xml:space="preserve"> </w:t>
      </w:r>
      <w:r w:rsidRPr="00C34A33">
        <w:rPr>
          <w:rFonts w:ascii="Arial" w:eastAsia="Times New Roman" w:hAnsi="Arial" w:cs="Arial"/>
          <w:i/>
          <w:strike/>
          <w:color w:val="000000"/>
          <w:sz w:val="20"/>
          <w:szCs w:val="20"/>
          <w:lang w:eastAsia="en-GB"/>
        </w:rPr>
        <w:t>shall</w:t>
      </w:r>
      <w:r w:rsidRPr="00C34A33">
        <w:rPr>
          <w:rFonts w:ascii="Arial" w:eastAsia="Times New Roman" w:hAnsi="Arial" w:cs="Arial"/>
          <w:i/>
          <w:strike/>
          <w:color w:val="000000"/>
          <w:spacing w:val="5"/>
          <w:sz w:val="20"/>
          <w:szCs w:val="20"/>
          <w:lang w:eastAsia="en-GB"/>
        </w:rPr>
        <w:t xml:space="preserve"> </w:t>
      </w:r>
      <w:r w:rsidRPr="00C34A33">
        <w:rPr>
          <w:rFonts w:ascii="Arial" w:eastAsia="Times New Roman" w:hAnsi="Arial" w:cs="Arial"/>
          <w:i/>
          <w:strike/>
          <w:color w:val="000000"/>
          <w:sz w:val="20"/>
          <w:szCs w:val="20"/>
          <w:lang w:eastAsia="en-GB"/>
        </w:rPr>
        <w:t>be</w:t>
      </w:r>
      <w:r w:rsidRPr="00C34A33">
        <w:rPr>
          <w:rFonts w:ascii="Arial" w:eastAsia="Times New Roman" w:hAnsi="Arial" w:cs="Arial"/>
          <w:i/>
          <w:strike/>
          <w:color w:val="000000"/>
          <w:spacing w:val="4"/>
          <w:sz w:val="20"/>
          <w:szCs w:val="20"/>
          <w:lang w:eastAsia="en-GB"/>
        </w:rPr>
        <w:t xml:space="preserve"> </w:t>
      </w:r>
      <w:r w:rsidRPr="00C34A33">
        <w:rPr>
          <w:rFonts w:ascii="Arial" w:eastAsia="Times New Roman" w:hAnsi="Arial" w:cs="Arial"/>
          <w:i/>
          <w:strike/>
          <w:color w:val="000000"/>
          <w:sz w:val="20"/>
          <w:szCs w:val="20"/>
          <w:lang w:eastAsia="en-GB"/>
        </w:rPr>
        <w:t>jo</w:t>
      </w:r>
      <w:r w:rsidRPr="00C34A33">
        <w:rPr>
          <w:rFonts w:ascii="Arial" w:eastAsia="Times New Roman" w:hAnsi="Arial" w:cs="Arial"/>
          <w:i/>
          <w:strike/>
          <w:color w:val="000000"/>
          <w:spacing w:val="1"/>
          <w:sz w:val="20"/>
          <w:szCs w:val="20"/>
          <w:lang w:eastAsia="en-GB"/>
        </w:rPr>
        <w:t>i</w:t>
      </w:r>
      <w:r w:rsidRPr="00C34A33">
        <w:rPr>
          <w:rFonts w:ascii="Arial" w:eastAsia="Times New Roman" w:hAnsi="Arial" w:cs="Arial"/>
          <w:i/>
          <w:strike/>
          <w:color w:val="000000"/>
          <w:sz w:val="20"/>
          <w:szCs w:val="20"/>
          <w:lang w:eastAsia="en-GB"/>
        </w:rPr>
        <w:t>nt</w:t>
      </w:r>
      <w:r w:rsidRPr="00C34A33">
        <w:rPr>
          <w:rFonts w:ascii="Arial" w:eastAsia="Times New Roman" w:hAnsi="Arial" w:cs="Arial"/>
          <w:i/>
          <w:strike/>
          <w:color w:val="000000"/>
          <w:spacing w:val="3"/>
          <w:sz w:val="20"/>
          <w:szCs w:val="20"/>
          <w:lang w:eastAsia="en-GB"/>
        </w:rPr>
        <w:t>l</w:t>
      </w:r>
      <w:r w:rsidRPr="00C34A33">
        <w:rPr>
          <w:rFonts w:ascii="Arial" w:eastAsia="Times New Roman" w:hAnsi="Arial" w:cs="Arial"/>
          <w:i/>
          <w:strike/>
          <w:color w:val="000000"/>
          <w:sz w:val="20"/>
          <w:szCs w:val="20"/>
          <w:lang w:eastAsia="en-GB"/>
        </w:rPr>
        <w:t>y ma</w:t>
      </w:r>
      <w:r w:rsidRPr="00C34A33">
        <w:rPr>
          <w:rFonts w:ascii="Arial" w:eastAsia="Times New Roman" w:hAnsi="Arial" w:cs="Arial"/>
          <w:i/>
          <w:strike/>
          <w:color w:val="000000"/>
          <w:spacing w:val="2"/>
          <w:sz w:val="20"/>
          <w:szCs w:val="20"/>
          <w:lang w:eastAsia="en-GB"/>
        </w:rPr>
        <w:t>n</w:t>
      </w:r>
      <w:r w:rsidRPr="00C34A33">
        <w:rPr>
          <w:rFonts w:ascii="Arial" w:eastAsia="Times New Roman" w:hAnsi="Arial" w:cs="Arial"/>
          <w:i/>
          <w:strike/>
          <w:color w:val="000000"/>
          <w:spacing w:val="-1"/>
          <w:sz w:val="20"/>
          <w:szCs w:val="20"/>
          <w:lang w:eastAsia="en-GB"/>
        </w:rPr>
        <w:t>a</w:t>
      </w:r>
      <w:r w:rsidRPr="00C34A33">
        <w:rPr>
          <w:rFonts w:ascii="Arial" w:eastAsia="Times New Roman" w:hAnsi="Arial" w:cs="Arial"/>
          <w:i/>
          <w:strike/>
          <w:color w:val="000000"/>
          <w:sz w:val="20"/>
          <w:szCs w:val="20"/>
          <w:lang w:eastAsia="en-GB"/>
        </w:rPr>
        <w:t>g</w:t>
      </w:r>
      <w:r w:rsidRPr="00C34A33">
        <w:rPr>
          <w:rFonts w:ascii="Arial" w:eastAsia="Times New Roman" w:hAnsi="Arial" w:cs="Arial"/>
          <w:i/>
          <w:strike/>
          <w:color w:val="000000"/>
          <w:spacing w:val="-1"/>
          <w:sz w:val="20"/>
          <w:szCs w:val="20"/>
          <w:lang w:eastAsia="en-GB"/>
        </w:rPr>
        <w:t>e</w:t>
      </w:r>
      <w:r w:rsidRPr="00C34A33">
        <w:rPr>
          <w:rFonts w:ascii="Arial" w:eastAsia="Times New Roman" w:hAnsi="Arial" w:cs="Arial"/>
          <w:i/>
          <w:strike/>
          <w:color w:val="000000"/>
          <w:sz w:val="20"/>
          <w:szCs w:val="20"/>
          <w:lang w:eastAsia="en-GB"/>
        </w:rPr>
        <w:t>d</w:t>
      </w:r>
      <w:r w:rsidRPr="00C34A33">
        <w:rPr>
          <w:rFonts w:ascii="Arial" w:eastAsia="Times New Roman" w:hAnsi="Arial" w:cs="Arial"/>
          <w:i/>
          <w:strike/>
          <w:color w:val="000000"/>
          <w:spacing w:val="5"/>
          <w:sz w:val="20"/>
          <w:szCs w:val="20"/>
          <w:lang w:eastAsia="en-GB"/>
        </w:rPr>
        <w:t xml:space="preserve"> b</w:t>
      </w:r>
      <w:r w:rsidRPr="00C34A33">
        <w:rPr>
          <w:rFonts w:ascii="Arial" w:eastAsia="Times New Roman" w:hAnsi="Arial" w:cs="Arial"/>
          <w:i/>
          <w:strike/>
          <w:color w:val="000000"/>
          <w:sz w:val="20"/>
          <w:szCs w:val="20"/>
          <w:lang w:eastAsia="en-GB"/>
        </w:rPr>
        <w:t>y the invo</w:t>
      </w:r>
      <w:r w:rsidRPr="00C34A33">
        <w:rPr>
          <w:rFonts w:ascii="Arial" w:eastAsia="Times New Roman" w:hAnsi="Arial" w:cs="Arial"/>
          <w:i/>
          <w:strike/>
          <w:color w:val="000000"/>
          <w:spacing w:val="1"/>
          <w:sz w:val="20"/>
          <w:szCs w:val="20"/>
          <w:lang w:eastAsia="en-GB"/>
        </w:rPr>
        <w:t>l</w:t>
      </w:r>
      <w:r w:rsidRPr="00C34A33">
        <w:rPr>
          <w:rFonts w:ascii="Arial" w:eastAsia="Times New Roman" w:hAnsi="Arial" w:cs="Arial"/>
          <w:i/>
          <w:strike/>
          <w:color w:val="000000"/>
          <w:sz w:val="20"/>
          <w:szCs w:val="20"/>
          <w:lang w:eastAsia="en-GB"/>
        </w:rPr>
        <w:t>v</w:t>
      </w:r>
      <w:r w:rsidRPr="00C34A33">
        <w:rPr>
          <w:rFonts w:ascii="Arial" w:eastAsia="Times New Roman" w:hAnsi="Arial" w:cs="Arial"/>
          <w:i/>
          <w:strike/>
          <w:color w:val="000000"/>
          <w:spacing w:val="-1"/>
          <w:sz w:val="20"/>
          <w:szCs w:val="20"/>
          <w:lang w:eastAsia="en-GB"/>
        </w:rPr>
        <w:t>e</w:t>
      </w:r>
      <w:r w:rsidRPr="00C34A33">
        <w:rPr>
          <w:rFonts w:ascii="Arial" w:eastAsia="Times New Roman" w:hAnsi="Arial" w:cs="Arial"/>
          <w:i/>
          <w:strike/>
          <w:color w:val="000000"/>
          <w:sz w:val="20"/>
          <w:szCs w:val="20"/>
          <w:lang w:eastAsia="en-GB"/>
        </w:rPr>
        <w:t>d</w:t>
      </w:r>
      <w:r w:rsidRPr="00C34A33">
        <w:rPr>
          <w:rFonts w:ascii="Arial" w:eastAsia="Times New Roman" w:hAnsi="Arial" w:cs="Arial"/>
          <w:i/>
          <w:strike/>
          <w:color w:val="000000"/>
          <w:spacing w:val="1"/>
          <w:sz w:val="20"/>
          <w:szCs w:val="20"/>
          <w:lang w:eastAsia="en-GB"/>
        </w:rPr>
        <w:t xml:space="preserve"> </w:t>
      </w:r>
      <w:r w:rsidRPr="00C34A33">
        <w:rPr>
          <w:rFonts w:ascii="Arial" w:eastAsia="Times New Roman" w:hAnsi="Arial" w:cs="Arial"/>
          <w:i/>
          <w:strike/>
          <w:color w:val="000000"/>
          <w:sz w:val="20"/>
          <w:szCs w:val="20"/>
          <w:lang w:eastAsia="en-GB"/>
        </w:rPr>
        <w:t>C</w:t>
      </w:r>
      <w:r w:rsidRPr="00C34A33">
        <w:rPr>
          <w:rFonts w:ascii="Arial" w:eastAsia="Times New Roman" w:hAnsi="Arial" w:cs="Arial"/>
          <w:i/>
          <w:strike/>
          <w:color w:val="000000"/>
          <w:spacing w:val="1"/>
          <w:sz w:val="20"/>
          <w:szCs w:val="20"/>
          <w:lang w:eastAsia="en-GB"/>
        </w:rPr>
        <w:t>S</w:t>
      </w:r>
      <w:r w:rsidRPr="00C34A33">
        <w:rPr>
          <w:rFonts w:ascii="Arial" w:eastAsia="Times New Roman" w:hAnsi="Arial" w:cs="Arial"/>
          <w:i/>
          <w:strike/>
          <w:color w:val="000000"/>
          <w:sz w:val="20"/>
          <w:szCs w:val="20"/>
          <w:lang w:eastAsia="en-GB"/>
        </w:rPr>
        <w:t>Ds.</w:t>
      </w:r>
      <w:r w:rsidRPr="00C34A33">
        <w:rPr>
          <w:rFonts w:ascii="Arial" w:eastAsia="Times New Roman" w:hAnsi="Arial" w:cs="Arial"/>
          <w:i/>
          <w:strike/>
          <w:color w:val="000000"/>
          <w:spacing w:val="1"/>
          <w:sz w:val="20"/>
          <w:szCs w:val="20"/>
          <w:lang w:eastAsia="en-GB"/>
        </w:rPr>
        <w:t xml:space="preserve"> </w:t>
      </w:r>
      <w:r w:rsidRPr="00C34A33">
        <w:rPr>
          <w:rFonts w:ascii="Arial" w:eastAsia="Times New Roman" w:hAnsi="Arial" w:cs="Arial"/>
          <w:i/>
          <w:strike/>
          <w:color w:val="000000"/>
          <w:sz w:val="20"/>
          <w:szCs w:val="20"/>
          <w:lang w:eastAsia="en-GB"/>
        </w:rPr>
        <w:t>The</w:t>
      </w:r>
      <w:r w:rsidRPr="00C34A33">
        <w:rPr>
          <w:rFonts w:ascii="Arial" w:eastAsia="Times New Roman" w:hAnsi="Arial" w:cs="Arial"/>
          <w:i/>
          <w:strike/>
          <w:color w:val="000000"/>
          <w:spacing w:val="2"/>
          <w:sz w:val="20"/>
          <w:szCs w:val="20"/>
          <w:lang w:eastAsia="en-GB"/>
        </w:rPr>
        <w:t xml:space="preserve"> </w:t>
      </w:r>
      <w:r w:rsidRPr="00C34A33">
        <w:rPr>
          <w:rFonts w:ascii="Arial" w:eastAsia="Times New Roman" w:hAnsi="Arial" w:cs="Arial"/>
          <w:i/>
          <w:strike/>
          <w:color w:val="000000"/>
          <w:spacing w:val="-1"/>
          <w:sz w:val="20"/>
          <w:szCs w:val="20"/>
          <w:lang w:eastAsia="en-GB"/>
        </w:rPr>
        <w:t>a</w:t>
      </w:r>
      <w:r w:rsidRPr="00C34A33">
        <w:rPr>
          <w:rFonts w:ascii="Arial" w:eastAsia="Times New Roman" w:hAnsi="Arial" w:cs="Arial"/>
          <w:i/>
          <w:strike/>
          <w:color w:val="000000"/>
          <w:spacing w:val="1"/>
          <w:sz w:val="20"/>
          <w:szCs w:val="20"/>
          <w:lang w:eastAsia="en-GB"/>
        </w:rPr>
        <w:t>r</w:t>
      </w:r>
      <w:r w:rsidRPr="00C34A33">
        <w:rPr>
          <w:rFonts w:ascii="Arial" w:eastAsia="Times New Roman" w:hAnsi="Arial" w:cs="Arial"/>
          <w:i/>
          <w:strike/>
          <w:color w:val="000000"/>
          <w:sz w:val="20"/>
          <w:szCs w:val="20"/>
          <w:lang w:eastAsia="en-GB"/>
        </w:rPr>
        <w:t>r</w:t>
      </w:r>
      <w:r w:rsidRPr="00C34A33">
        <w:rPr>
          <w:rFonts w:ascii="Arial" w:eastAsia="Times New Roman" w:hAnsi="Arial" w:cs="Arial"/>
          <w:i/>
          <w:strike/>
          <w:color w:val="000000"/>
          <w:spacing w:val="-2"/>
          <w:sz w:val="20"/>
          <w:szCs w:val="20"/>
          <w:lang w:eastAsia="en-GB"/>
        </w:rPr>
        <w:t>a</w:t>
      </w:r>
      <w:r w:rsidRPr="00C34A33">
        <w:rPr>
          <w:rFonts w:ascii="Arial" w:eastAsia="Times New Roman" w:hAnsi="Arial" w:cs="Arial"/>
          <w:i/>
          <w:strike/>
          <w:color w:val="000000"/>
          <w:spacing w:val="2"/>
          <w:sz w:val="20"/>
          <w:szCs w:val="20"/>
          <w:lang w:eastAsia="en-GB"/>
        </w:rPr>
        <w:t>n</w:t>
      </w:r>
      <w:r w:rsidRPr="00C34A33">
        <w:rPr>
          <w:rFonts w:ascii="Arial" w:eastAsia="Times New Roman" w:hAnsi="Arial" w:cs="Arial"/>
          <w:i/>
          <w:strike/>
          <w:color w:val="000000"/>
          <w:spacing w:val="-2"/>
          <w:sz w:val="20"/>
          <w:szCs w:val="20"/>
          <w:lang w:eastAsia="en-GB"/>
        </w:rPr>
        <w:t>g</w:t>
      </w:r>
      <w:r w:rsidRPr="00C34A33">
        <w:rPr>
          <w:rFonts w:ascii="Arial" w:eastAsia="Times New Roman" w:hAnsi="Arial" w:cs="Arial"/>
          <w:i/>
          <w:strike/>
          <w:color w:val="000000"/>
          <w:spacing w:val="-1"/>
          <w:sz w:val="20"/>
          <w:szCs w:val="20"/>
          <w:lang w:eastAsia="en-GB"/>
        </w:rPr>
        <w:t>e</w:t>
      </w:r>
      <w:r w:rsidRPr="00C34A33">
        <w:rPr>
          <w:rFonts w:ascii="Arial" w:eastAsia="Times New Roman" w:hAnsi="Arial" w:cs="Arial"/>
          <w:i/>
          <w:strike/>
          <w:color w:val="000000"/>
          <w:sz w:val="20"/>
          <w:szCs w:val="20"/>
          <w:lang w:eastAsia="en-GB"/>
        </w:rPr>
        <w:t>ment</w:t>
      </w:r>
      <w:r w:rsidRPr="00C34A33">
        <w:rPr>
          <w:rFonts w:ascii="Arial" w:eastAsia="Times New Roman" w:hAnsi="Arial" w:cs="Arial"/>
          <w:i/>
          <w:strike/>
          <w:color w:val="000000"/>
          <w:spacing w:val="1"/>
          <w:sz w:val="20"/>
          <w:szCs w:val="20"/>
          <w:lang w:eastAsia="en-GB"/>
        </w:rPr>
        <w:t xml:space="preserve"> </w:t>
      </w:r>
      <w:r w:rsidRPr="00C34A33">
        <w:rPr>
          <w:rFonts w:ascii="Arial" w:eastAsia="Times New Roman" w:hAnsi="Arial" w:cs="Arial"/>
          <w:i/>
          <w:strike/>
          <w:color w:val="000000"/>
          <w:spacing w:val="2"/>
          <w:sz w:val="20"/>
          <w:szCs w:val="20"/>
          <w:lang w:eastAsia="en-GB"/>
        </w:rPr>
        <w:t>b</w:t>
      </w:r>
      <w:r w:rsidRPr="00C34A33">
        <w:rPr>
          <w:rFonts w:ascii="Arial" w:eastAsia="Times New Roman" w:hAnsi="Arial" w:cs="Arial"/>
          <w:i/>
          <w:strike/>
          <w:color w:val="000000"/>
          <w:spacing w:val="-1"/>
          <w:sz w:val="20"/>
          <w:szCs w:val="20"/>
          <w:lang w:eastAsia="en-GB"/>
        </w:rPr>
        <w:t>e</w:t>
      </w:r>
      <w:r w:rsidRPr="00C34A33">
        <w:rPr>
          <w:rFonts w:ascii="Arial" w:eastAsia="Times New Roman" w:hAnsi="Arial" w:cs="Arial"/>
          <w:i/>
          <w:strike/>
          <w:color w:val="000000"/>
          <w:sz w:val="20"/>
          <w:szCs w:val="20"/>
          <w:lang w:eastAsia="en-GB"/>
        </w:rPr>
        <w:t>tw</w:t>
      </w:r>
      <w:r w:rsidRPr="00C34A33">
        <w:rPr>
          <w:rFonts w:ascii="Arial" w:eastAsia="Times New Roman" w:hAnsi="Arial" w:cs="Arial"/>
          <w:i/>
          <w:strike/>
          <w:color w:val="000000"/>
          <w:spacing w:val="1"/>
          <w:sz w:val="20"/>
          <w:szCs w:val="20"/>
          <w:lang w:eastAsia="en-GB"/>
        </w:rPr>
        <w:t>e</w:t>
      </w:r>
      <w:r w:rsidRPr="00C34A33">
        <w:rPr>
          <w:rFonts w:ascii="Arial" w:eastAsia="Times New Roman" w:hAnsi="Arial" w:cs="Arial"/>
          <w:i/>
          <w:strike/>
          <w:color w:val="000000"/>
          <w:spacing w:val="-1"/>
          <w:sz w:val="20"/>
          <w:szCs w:val="20"/>
          <w:lang w:eastAsia="en-GB"/>
        </w:rPr>
        <w:t>e</w:t>
      </w:r>
      <w:r w:rsidRPr="00C34A33">
        <w:rPr>
          <w:rFonts w:ascii="Arial" w:eastAsia="Times New Roman" w:hAnsi="Arial" w:cs="Arial"/>
          <w:i/>
          <w:strike/>
          <w:color w:val="000000"/>
          <w:sz w:val="20"/>
          <w:szCs w:val="20"/>
          <w:lang w:eastAsia="en-GB"/>
        </w:rPr>
        <w:t>n</w:t>
      </w:r>
      <w:r w:rsidRPr="00C34A33">
        <w:rPr>
          <w:rFonts w:ascii="Arial" w:eastAsia="Times New Roman" w:hAnsi="Arial" w:cs="Arial"/>
          <w:i/>
          <w:strike/>
          <w:color w:val="000000"/>
          <w:spacing w:val="1"/>
          <w:sz w:val="20"/>
          <w:szCs w:val="20"/>
          <w:lang w:eastAsia="en-GB"/>
        </w:rPr>
        <w:t xml:space="preserve"> </w:t>
      </w:r>
      <w:r w:rsidRPr="00C34A33">
        <w:rPr>
          <w:rFonts w:ascii="Arial" w:eastAsia="Times New Roman" w:hAnsi="Arial" w:cs="Arial"/>
          <w:i/>
          <w:strike/>
          <w:color w:val="000000"/>
          <w:sz w:val="20"/>
          <w:szCs w:val="20"/>
          <w:lang w:eastAsia="en-GB"/>
        </w:rPr>
        <w:t>the</w:t>
      </w:r>
      <w:r w:rsidRPr="00C34A33">
        <w:rPr>
          <w:rFonts w:ascii="Arial" w:eastAsia="Times New Roman" w:hAnsi="Arial" w:cs="Arial"/>
          <w:i/>
          <w:strike/>
          <w:color w:val="000000"/>
          <w:spacing w:val="3"/>
          <w:sz w:val="20"/>
          <w:szCs w:val="20"/>
          <w:lang w:eastAsia="en-GB"/>
        </w:rPr>
        <w:t xml:space="preserve"> </w:t>
      </w:r>
      <w:r w:rsidRPr="00C34A33">
        <w:rPr>
          <w:rFonts w:ascii="Arial" w:eastAsia="Times New Roman" w:hAnsi="Arial" w:cs="Arial"/>
          <w:i/>
          <w:strike/>
          <w:color w:val="000000"/>
          <w:sz w:val="20"/>
          <w:szCs w:val="20"/>
          <w:lang w:eastAsia="en-GB"/>
        </w:rPr>
        <w:t>invo</w:t>
      </w:r>
      <w:r w:rsidRPr="00C34A33">
        <w:rPr>
          <w:rFonts w:ascii="Arial" w:eastAsia="Times New Roman" w:hAnsi="Arial" w:cs="Arial"/>
          <w:i/>
          <w:strike/>
          <w:color w:val="000000"/>
          <w:spacing w:val="1"/>
          <w:sz w:val="20"/>
          <w:szCs w:val="20"/>
          <w:lang w:eastAsia="en-GB"/>
        </w:rPr>
        <w:t>l</w:t>
      </w:r>
      <w:r w:rsidRPr="00C34A33">
        <w:rPr>
          <w:rFonts w:ascii="Arial" w:eastAsia="Times New Roman" w:hAnsi="Arial" w:cs="Arial"/>
          <w:i/>
          <w:strike/>
          <w:color w:val="000000"/>
          <w:sz w:val="20"/>
          <w:szCs w:val="20"/>
          <w:lang w:eastAsia="en-GB"/>
        </w:rPr>
        <w:t>v</w:t>
      </w:r>
      <w:r w:rsidRPr="00C34A33">
        <w:rPr>
          <w:rFonts w:ascii="Arial" w:eastAsia="Times New Roman" w:hAnsi="Arial" w:cs="Arial"/>
          <w:i/>
          <w:strike/>
          <w:color w:val="000000"/>
          <w:spacing w:val="-1"/>
          <w:sz w:val="20"/>
          <w:szCs w:val="20"/>
          <w:lang w:eastAsia="en-GB"/>
        </w:rPr>
        <w:t>e</w:t>
      </w:r>
      <w:r w:rsidRPr="00C34A33">
        <w:rPr>
          <w:rFonts w:ascii="Arial" w:eastAsia="Times New Roman" w:hAnsi="Arial" w:cs="Arial"/>
          <w:i/>
          <w:strike/>
          <w:color w:val="000000"/>
          <w:sz w:val="20"/>
          <w:szCs w:val="20"/>
          <w:lang w:eastAsia="en-GB"/>
        </w:rPr>
        <w:t>d</w:t>
      </w:r>
      <w:r w:rsidRPr="00C34A33">
        <w:rPr>
          <w:rFonts w:ascii="Arial" w:eastAsia="Times New Roman" w:hAnsi="Arial" w:cs="Arial"/>
          <w:i/>
          <w:strike/>
          <w:color w:val="000000"/>
          <w:spacing w:val="1"/>
          <w:sz w:val="20"/>
          <w:szCs w:val="20"/>
          <w:lang w:eastAsia="en-GB"/>
        </w:rPr>
        <w:t xml:space="preserve"> </w:t>
      </w:r>
      <w:r w:rsidRPr="00C34A33">
        <w:rPr>
          <w:rFonts w:ascii="Arial" w:eastAsia="Times New Roman" w:hAnsi="Arial" w:cs="Arial"/>
          <w:i/>
          <w:strike/>
          <w:color w:val="000000"/>
          <w:sz w:val="20"/>
          <w:szCs w:val="20"/>
          <w:lang w:eastAsia="en-GB"/>
        </w:rPr>
        <w:t>C</w:t>
      </w:r>
      <w:r w:rsidRPr="00C34A33">
        <w:rPr>
          <w:rFonts w:ascii="Arial" w:eastAsia="Times New Roman" w:hAnsi="Arial" w:cs="Arial"/>
          <w:i/>
          <w:strike/>
          <w:color w:val="000000"/>
          <w:spacing w:val="1"/>
          <w:sz w:val="20"/>
          <w:szCs w:val="20"/>
          <w:lang w:eastAsia="en-GB"/>
        </w:rPr>
        <w:t>S</w:t>
      </w:r>
      <w:r w:rsidRPr="00C34A33">
        <w:rPr>
          <w:rFonts w:ascii="Arial" w:eastAsia="Times New Roman" w:hAnsi="Arial" w:cs="Arial"/>
          <w:i/>
          <w:strike/>
          <w:color w:val="000000"/>
          <w:sz w:val="20"/>
          <w:szCs w:val="20"/>
          <w:lang w:eastAsia="en-GB"/>
        </w:rPr>
        <w:t>Ds</w:t>
      </w:r>
      <w:r w:rsidRPr="00C34A33">
        <w:rPr>
          <w:rFonts w:ascii="Arial" w:eastAsia="Times New Roman" w:hAnsi="Arial" w:cs="Arial"/>
          <w:i/>
          <w:strike/>
          <w:color w:val="000000"/>
          <w:spacing w:val="1"/>
          <w:sz w:val="20"/>
          <w:szCs w:val="20"/>
          <w:lang w:eastAsia="en-GB"/>
        </w:rPr>
        <w:t xml:space="preserve"> </w:t>
      </w:r>
      <w:r w:rsidRPr="00C34A33">
        <w:rPr>
          <w:rFonts w:ascii="Arial" w:eastAsia="Times New Roman" w:hAnsi="Arial" w:cs="Arial"/>
          <w:i/>
          <w:strike/>
          <w:color w:val="000000"/>
          <w:sz w:val="20"/>
          <w:szCs w:val="20"/>
          <w:lang w:eastAsia="en-GB"/>
        </w:rPr>
        <w:t>or t</w:t>
      </w:r>
      <w:r w:rsidRPr="00C34A33">
        <w:rPr>
          <w:rFonts w:ascii="Arial" w:eastAsia="Times New Roman" w:hAnsi="Arial" w:cs="Arial"/>
          <w:i/>
          <w:strike/>
          <w:color w:val="000000"/>
          <w:spacing w:val="3"/>
          <w:sz w:val="20"/>
          <w:szCs w:val="20"/>
          <w:lang w:eastAsia="en-GB"/>
        </w:rPr>
        <w:t>h</w:t>
      </w:r>
      <w:r w:rsidRPr="00C34A33">
        <w:rPr>
          <w:rFonts w:ascii="Arial" w:eastAsia="Times New Roman" w:hAnsi="Arial" w:cs="Arial"/>
          <w:i/>
          <w:strike/>
          <w:color w:val="000000"/>
          <w:sz w:val="20"/>
          <w:szCs w:val="20"/>
          <w:lang w:eastAsia="en-GB"/>
        </w:rPr>
        <w:t>e</w:t>
      </w:r>
      <w:r w:rsidRPr="00C34A33">
        <w:rPr>
          <w:rFonts w:ascii="Arial" w:eastAsia="Times New Roman" w:hAnsi="Arial" w:cs="Arial"/>
          <w:i/>
          <w:strike/>
          <w:color w:val="000000"/>
          <w:spacing w:val="2"/>
          <w:sz w:val="20"/>
          <w:szCs w:val="20"/>
          <w:lang w:eastAsia="en-GB"/>
        </w:rPr>
        <w:t xml:space="preserve"> </w:t>
      </w:r>
      <w:r w:rsidRPr="00C34A33">
        <w:rPr>
          <w:rFonts w:ascii="Arial" w:eastAsia="Times New Roman" w:hAnsi="Arial" w:cs="Arial"/>
          <w:i/>
          <w:strike/>
          <w:color w:val="000000"/>
          <w:sz w:val="20"/>
          <w:szCs w:val="20"/>
          <w:lang w:eastAsia="en-GB"/>
        </w:rPr>
        <w:t>f</w:t>
      </w:r>
      <w:r w:rsidRPr="00C34A33">
        <w:rPr>
          <w:rFonts w:ascii="Arial" w:eastAsia="Times New Roman" w:hAnsi="Arial" w:cs="Arial"/>
          <w:i/>
          <w:strike/>
          <w:color w:val="000000"/>
          <w:spacing w:val="-1"/>
          <w:sz w:val="20"/>
          <w:szCs w:val="20"/>
          <w:lang w:eastAsia="en-GB"/>
        </w:rPr>
        <w:t>ra</w:t>
      </w:r>
      <w:r w:rsidRPr="00C34A33">
        <w:rPr>
          <w:rFonts w:ascii="Arial" w:eastAsia="Times New Roman" w:hAnsi="Arial" w:cs="Arial"/>
          <w:i/>
          <w:strike/>
          <w:color w:val="000000"/>
          <w:spacing w:val="3"/>
          <w:sz w:val="20"/>
          <w:szCs w:val="20"/>
          <w:lang w:eastAsia="en-GB"/>
        </w:rPr>
        <w:t>m</w:t>
      </w:r>
      <w:r w:rsidRPr="00C34A33">
        <w:rPr>
          <w:rFonts w:ascii="Arial" w:eastAsia="Times New Roman" w:hAnsi="Arial" w:cs="Arial"/>
          <w:i/>
          <w:strike/>
          <w:color w:val="000000"/>
          <w:spacing w:val="-1"/>
          <w:sz w:val="20"/>
          <w:szCs w:val="20"/>
          <w:lang w:eastAsia="en-GB"/>
        </w:rPr>
        <w:t>e</w:t>
      </w:r>
      <w:r w:rsidRPr="00C34A33">
        <w:rPr>
          <w:rFonts w:ascii="Arial" w:eastAsia="Times New Roman" w:hAnsi="Arial" w:cs="Arial"/>
          <w:i/>
          <w:strike/>
          <w:color w:val="000000"/>
          <w:sz w:val="20"/>
          <w:szCs w:val="20"/>
          <w:lang w:eastAsia="en-GB"/>
        </w:rPr>
        <w:t>wo</w:t>
      </w:r>
      <w:r w:rsidRPr="00C34A33">
        <w:rPr>
          <w:rFonts w:ascii="Arial" w:eastAsia="Times New Roman" w:hAnsi="Arial" w:cs="Arial"/>
          <w:i/>
          <w:strike/>
          <w:color w:val="000000"/>
          <w:spacing w:val="-1"/>
          <w:sz w:val="20"/>
          <w:szCs w:val="20"/>
          <w:lang w:eastAsia="en-GB"/>
        </w:rPr>
        <w:t>r</w:t>
      </w:r>
      <w:r w:rsidRPr="00C34A33">
        <w:rPr>
          <w:rFonts w:ascii="Arial" w:eastAsia="Times New Roman" w:hAnsi="Arial" w:cs="Arial"/>
          <w:i/>
          <w:strike/>
          <w:color w:val="000000"/>
          <w:sz w:val="20"/>
          <w:szCs w:val="20"/>
          <w:lang w:eastAsia="en-GB"/>
        </w:rPr>
        <w:t>k r</w:t>
      </w:r>
      <w:r w:rsidRPr="00C34A33">
        <w:rPr>
          <w:rFonts w:ascii="Arial" w:eastAsia="Times New Roman" w:hAnsi="Arial" w:cs="Arial"/>
          <w:i/>
          <w:strike/>
          <w:color w:val="000000"/>
          <w:spacing w:val="-2"/>
          <w:sz w:val="20"/>
          <w:szCs w:val="20"/>
          <w:lang w:eastAsia="en-GB"/>
        </w:rPr>
        <w:t>e</w:t>
      </w:r>
      <w:r w:rsidRPr="00C34A33">
        <w:rPr>
          <w:rFonts w:ascii="Arial" w:eastAsia="Times New Roman" w:hAnsi="Arial" w:cs="Arial"/>
          <w:i/>
          <w:strike/>
          <w:color w:val="000000"/>
          <w:sz w:val="20"/>
          <w:szCs w:val="20"/>
          <w:lang w:eastAsia="en-GB"/>
        </w:rPr>
        <w:t>fer</w:t>
      </w:r>
      <w:r w:rsidRPr="00C34A33">
        <w:rPr>
          <w:rFonts w:ascii="Arial" w:eastAsia="Times New Roman" w:hAnsi="Arial" w:cs="Arial"/>
          <w:i/>
          <w:strike/>
          <w:color w:val="000000"/>
          <w:spacing w:val="-1"/>
          <w:sz w:val="20"/>
          <w:szCs w:val="20"/>
          <w:lang w:eastAsia="en-GB"/>
        </w:rPr>
        <w:t>re</w:t>
      </w:r>
      <w:r w:rsidRPr="00C34A33">
        <w:rPr>
          <w:rFonts w:ascii="Arial" w:eastAsia="Times New Roman" w:hAnsi="Arial" w:cs="Arial"/>
          <w:i/>
          <w:strike/>
          <w:color w:val="000000"/>
          <w:sz w:val="20"/>
          <w:szCs w:val="20"/>
          <w:lang w:eastAsia="en-GB"/>
        </w:rPr>
        <w:t>d</w:t>
      </w:r>
      <w:r w:rsidRPr="00C34A33">
        <w:rPr>
          <w:rFonts w:ascii="Arial" w:eastAsia="Times New Roman" w:hAnsi="Arial" w:cs="Arial"/>
          <w:i/>
          <w:strike/>
          <w:color w:val="000000"/>
          <w:spacing w:val="1"/>
          <w:sz w:val="20"/>
          <w:szCs w:val="20"/>
          <w:lang w:eastAsia="en-GB"/>
        </w:rPr>
        <w:t xml:space="preserve"> </w:t>
      </w:r>
      <w:r w:rsidRPr="00C34A33">
        <w:rPr>
          <w:rFonts w:ascii="Arial" w:eastAsia="Times New Roman" w:hAnsi="Arial" w:cs="Arial"/>
          <w:i/>
          <w:strike/>
          <w:color w:val="000000"/>
          <w:sz w:val="20"/>
          <w:szCs w:val="20"/>
          <w:lang w:eastAsia="en-GB"/>
        </w:rPr>
        <w:t>to</w:t>
      </w:r>
      <w:r w:rsidRPr="00C34A33">
        <w:rPr>
          <w:rFonts w:ascii="Arial" w:eastAsia="Times New Roman" w:hAnsi="Arial" w:cs="Arial"/>
          <w:i/>
          <w:strike/>
          <w:color w:val="000000"/>
          <w:spacing w:val="1"/>
          <w:sz w:val="20"/>
          <w:szCs w:val="20"/>
          <w:lang w:eastAsia="en-GB"/>
        </w:rPr>
        <w:t xml:space="preserve"> </w:t>
      </w:r>
      <w:r w:rsidRPr="00C34A33">
        <w:rPr>
          <w:rFonts w:ascii="Arial" w:eastAsia="Times New Roman" w:hAnsi="Arial" w:cs="Arial"/>
          <w:i/>
          <w:strike/>
          <w:color w:val="000000"/>
          <w:sz w:val="20"/>
          <w:szCs w:val="20"/>
          <w:lang w:eastAsia="en-GB"/>
        </w:rPr>
        <w:t>in</w:t>
      </w:r>
      <w:r w:rsidRPr="00C34A33">
        <w:rPr>
          <w:rFonts w:ascii="Arial" w:eastAsia="Times New Roman" w:hAnsi="Arial" w:cs="Arial"/>
          <w:i/>
          <w:strike/>
          <w:color w:val="000000"/>
          <w:spacing w:val="1"/>
          <w:sz w:val="20"/>
          <w:szCs w:val="20"/>
          <w:lang w:eastAsia="en-GB"/>
        </w:rPr>
        <w:t xml:space="preserve"> </w:t>
      </w:r>
      <w:r w:rsidRPr="00C34A33">
        <w:rPr>
          <w:rFonts w:ascii="Arial" w:eastAsia="Times New Roman" w:hAnsi="Arial" w:cs="Arial"/>
          <w:i/>
          <w:strike/>
          <w:color w:val="000000"/>
          <w:sz w:val="20"/>
          <w:szCs w:val="20"/>
          <w:lang w:eastAsia="en-GB"/>
        </w:rPr>
        <w:t>A</w:t>
      </w:r>
      <w:r w:rsidRPr="00C34A33">
        <w:rPr>
          <w:rFonts w:ascii="Arial" w:eastAsia="Times New Roman" w:hAnsi="Arial" w:cs="Arial"/>
          <w:i/>
          <w:strike/>
          <w:color w:val="000000"/>
          <w:spacing w:val="-1"/>
          <w:sz w:val="20"/>
          <w:szCs w:val="20"/>
          <w:lang w:eastAsia="en-GB"/>
        </w:rPr>
        <w:t>r</w:t>
      </w:r>
      <w:r w:rsidRPr="00C34A33">
        <w:rPr>
          <w:rFonts w:ascii="Arial" w:eastAsia="Times New Roman" w:hAnsi="Arial" w:cs="Arial"/>
          <w:i/>
          <w:strike/>
          <w:color w:val="000000"/>
          <w:sz w:val="20"/>
          <w:szCs w:val="20"/>
          <w:lang w:eastAsia="en-GB"/>
        </w:rPr>
        <w:t>t</w:t>
      </w:r>
      <w:r w:rsidRPr="00C34A33">
        <w:rPr>
          <w:rFonts w:ascii="Arial" w:eastAsia="Times New Roman" w:hAnsi="Arial" w:cs="Arial"/>
          <w:i/>
          <w:strike/>
          <w:color w:val="000000"/>
          <w:spacing w:val="1"/>
          <w:sz w:val="20"/>
          <w:szCs w:val="20"/>
          <w:lang w:eastAsia="en-GB"/>
        </w:rPr>
        <w:t>i</w:t>
      </w:r>
      <w:r w:rsidRPr="00C34A33">
        <w:rPr>
          <w:rFonts w:ascii="Arial" w:eastAsia="Times New Roman" w:hAnsi="Arial" w:cs="Arial"/>
          <w:i/>
          <w:strike/>
          <w:color w:val="000000"/>
          <w:spacing w:val="-1"/>
          <w:sz w:val="20"/>
          <w:szCs w:val="20"/>
          <w:lang w:eastAsia="en-GB"/>
        </w:rPr>
        <w:t>c</w:t>
      </w:r>
      <w:r w:rsidRPr="00C34A33">
        <w:rPr>
          <w:rFonts w:ascii="Arial" w:eastAsia="Times New Roman" w:hAnsi="Arial" w:cs="Arial"/>
          <w:i/>
          <w:strike/>
          <w:color w:val="000000"/>
          <w:sz w:val="20"/>
          <w:szCs w:val="20"/>
          <w:lang w:eastAsia="en-GB"/>
        </w:rPr>
        <w:t>le 30(5) of R</w:t>
      </w:r>
      <w:r w:rsidRPr="00C34A33">
        <w:rPr>
          <w:rFonts w:ascii="Arial" w:eastAsia="Times New Roman" w:hAnsi="Arial" w:cs="Arial"/>
          <w:i/>
          <w:strike/>
          <w:color w:val="000000"/>
          <w:spacing w:val="-1"/>
          <w:sz w:val="20"/>
          <w:szCs w:val="20"/>
          <w:lang w:eastAsia="en-GB"/>
        </w:rPr>
        <w:t>e</w:t>
      </w:r>
      <w:r w:rsidRPr="00C34A33">
        <w:rPr>
          <w:rFonts w:ascii="Arial" w:eastAsia="Times New Roman" w:hAnsi="Arial" w:cs="Arial"/>
          <w:i/>
          <w:strike/>
          <w:color w:val="000000"/>
          <w:spacing w:val="-2"/>
          <w:sz w:val="20"/>
          <w:szCs w:val="20"/>
          <w:lang w:eastAsia="en-GB"/>
        </w:rPr>
        <w:t>g</w:t>
      </w:r>
      <w:r w:rsidRPr="00C34A33">
        <w:rPr>
          <w:rFonts w:ascii="Arial" w:eastAsia="Times New Roman" w:hAnsi="Arial" w:cs="Arial"/>
          <w:i/>
          <w:strike/>
          <w:color w:val="000000"/>
          <w:sz w:val="20"/>
          <w:szCs w:val="20"/>
          <w:lang w:eastAsia="en-GB"/>
        </w:rPr>
        <w:t>ulation</w:t>
      </w:r>
      <w:r w:rsidRPr="00C34A33">
        <w:rPr>
          <w:rFonts w:ascii="Arial" w:eastAsia="Times New Roman" w:hAnsi="Arial" w:cs="Arial"/>
          <w:i/>
          <w:strike/>
          <w:color w:val="000000"/>
          <w:spacing w:val="1"/>
          <w:sz w:val="20"/>
          <w:szCs w:val="20"/>
          <w:lang w:eastAsia="en-GB"/>
        </w:rPr>
        <w:t xml:space="preserve"> </w:t>
      </w:r>
      <w:r w:rsidRPr="00C34A33">
        <w:rPr>
          <w:rFonts w:ascii="Arial" w:eastAsia="Times New Roman" w:hAnsi="Arial" w:cs="Arial"/>
          <w:i/>
          <w:strike/>
          <w:color w:val="000000"/>
          <w:sz w:val="20"/>
          <w:szCs w:val="20"/>
          <w:lang w:eastAsia="en-GB"/>
        </w:rPr>
        <w:t>(</w:t>
      </w:r>
      <w:r w:rsidRPr="00C34A33">
        <w:rPr>
          <w:rFonts w:ascii="Arial" w:eastAsia="Times New Roman" w:hAnsi="Arial" w:cs="Arial"/>
          <w:i/>
          <w:strike/>
          <w:color w:val="000000"/>
          <w:spacing w:val="-1"/>
          <w:sz w:val="20"/>
          <w:szCs w:val="20"/>
          <w:lang w:eastAsia="en-GB"/>
        </w:rPr>
        <w:t>E</w:t>
      </w:r>
      <w:r w:rsidRPr="00C34A33">
        <w:rPr>
          <w:rFonts w:ascii="Arial" w:eastAsia="Times New Roman" w:hAnsi="Arial" w:cs="Arial"/>
          <w:i/>
          <w:strike/>
          <w:color w:val="000000"/>
          <w:spacing w:val="2"/>
          <w:sz w:val="20"/>
          <w:szCs w:val="20"/>
          <w:lang w:eastAsia="en-GB"/>
        </w:rPr>
        <w:t>U</w:t>
      </w:r>
      <w:r w:rsidRPr="00C34A33">
        <w:rPr>
          <w:rFonts w:ascii="Arial" w:eastAsia="Times New Roman" w:hAnsi="Arial" w:cs="Arial"/>
          <w:i/>
          <w:strike/>
          <w:color w:val="000000"/>
          <w:sz w:val="20"/>
          <w:szCs w:val="20"/>
          <w:lang w:eastAsia="en-GB"/>
        </w:rPr>
        <w:t>) No 909/2014</w:t>
      </w:r>
      <w:r w:rsidRPr="00C34A33">
        <w:rPr>
          <w:rFonts w:ascii="Arial" w:eastAsia="Times New Roman" w:hAnsi="Arial" w:cs="Arial"/>
          <w:i/>
          <w:color w:val="000000"/>
          <w:spacing w:val="1"/>
          <w:sz w:val="20"/>
          <w:szCs w:val="20"/>
          <w:lang w:eastAsia="en-GB"/>
        </w:rPr>
        <w:t xml:space="preserve"> </w:t>
      </w:r>
      <w:r w:rsidRPr="00C34A33">
        <w:rPr>
          <w:rFonts w:ascii="Arial" w:eastAsia="Times New Roman" w:hAnsi="Arial" w:cs="Arial"/>
          <w:i/>
          <w:strike/>
          <w:color w:val="000000"/>
          <w:sz w:val="20"/>
          <w:szCs w:val="20"/>
          <w:lang w:eastAsia="en-GB"/>
        </w:rPr>
        <w:t>2014</w:t>
      </w:r>
      <w:r w:rsidRPr="00C34A33">
        <w:rPr>
          <w:rFonts w:ascii="Arial" w:eastAsia="Times New Roman" w:hAnsi="Arial" w:cs="Arial"/>
          <w:i/>
          <w:color w:val="000000"/>
          <w:spacing w:val="1"/>
          <w:sz w:val="20"/>
          <w:szCs w:val="20"/>
          <w:lang w:eastAsia="en-GB"/>
        </w:rPr>
        <w:t xml:space="preserve"> </w:t>
      </w:r>
      <w:r w:rsidRPr="00C34A33">
        <w:rPr>
          <w:rFonts w:ascii="Arial" w:eastAsia="Times New Roman" w:hAnsi="Arial" w:cs="Arial"/>
          <w:i/>
          <w:iCs/>
          <w:sz w:val="20"/>
          <w:szCs w:val="20"/>
          <w:lang w:eastAsia="de-DE"/>
        </w:rPr>
        <w:t>shall work in close collaboration to establish harmonised</w:t>
      </w:r>
      <w:r w:rsidRPr="00C34A33" w:rsidDel="0086149D">
        <w:rPr>
          <w:rFonts w:ascii="Arial" w:eastAsia="Times New Roman" w:hAnsi="Arial" w:cs="Arial"/>
          <w:i/>
          <w:color w:val="000000"/>
          <w:sz w:val="20"/>
          <w:szCs w:val="20"/>
          <w:lang w:eastAsia="en-GB"/>
        </w:rPr>
        <w:t xml:space="preserve"> </w:t>
      </w:r>
      <w:r w:rsidRPr="00C34A33">
        <w:rPr>
          <w:rFonts w:ascii="Arial" w:eastAsia="Times New Roman" w:hAnsi="Arial" w:cs="Arial"/>
          <w:i/>
          <w:color w:val="000000"/>
          <w:sz w:val="20"/>
          <w:szCs w:val="20"/>
          <w:lang w:eastAsia="en-GB"/>
        </w:rPr>
        <w:t>modali</w:t>
      </w:r>
      <w:r w:rsidRPr="00C34A33">
        <w:rPr>
          <w:rFonts w:ascii="Arial" w:eastAsia="Times New Roman" w:hAnsi="Arial" w:cs="Arial"/>
          <w:i/>
          <w:color w:val="000000"/>
          <w:spacing w:val="1"/>
          <w:sz w:val="20"/>
          <w:szCs w:val="20"/>
          <w:lang w:eastAsia="en-GB"/>
        </w:rPr>
        <w:t>t</w:t>
      </w:r>
      <w:r w:rsidRPr="00C34A33">
        <w:rPr>
          <w:rFonts w:ascii="Arial" w:eastAsia="Times New Roman" w:hAnsi="Arial" w:cs="Arial"/>
          <w:i/>
          <w:color w:val="000000"/>
          <w:sz w:val="20"/>
          <w:szCs w:val="20"/>
          <w:lang w:eastAsia="en-GB"/>
        </w:rPr>
        <w:t>ies</w:t>
      </w:r>
      <w:r w:rsidRPr="00C34A33">
        <w:rPr>
          <w:rFonts w:ascii="Arial" w:eastAsia="Times New Roman" w:hAnsi="Arial" w:cs="Arial"/>
          <w:i/>
          <w:color w:val="000000"/>
          <w:spacing w:val="1"/>
          <w:sz w:val="20"/>
          <w:szCs w:val="20"/>
          <w:lang w:eastAsia="en-GB"/>
        </w:rPr>
        <w:t xml:space="preserve"> </w:t>
      </w:r>
      <w:r w:rsidRPr="00C34A33">
        <w:rPr>
          <w:rFonts w:ascii="Arial" w:eastAsia="Times New Roman" w:hAnsi="Arial" w:cs="Arial"/>
          <w:i/>
          <w:color w:val="000000"/>
          <w:sz w:val="20"/>
          <w:szCs w:val="20"/>
          <w:lang w:eastAsia="en-GB"/>
        </w:rPr>
        <w:t>for the</w:t>
      </w:r>
      <w:r w:rsidRPr="00C34A33">
        <w:rPr>
          <w:rFonts w:ascii="Arial" w:eastAsia="Times New Roman" w:hAnsi="Arial" w:cs="Arial"/>
          <w:i/>
          <w:color w:val="000000"/>
          <w:spacing w:val="1"/>
          <w:sz w:val="20"/>
          <w:szCs w:val="20"/>
          <w:lang w:eastAsia="en-GB"/>
        </w:rPr>
        <w:t xml:space="preserve"> </w:t>
      </w:r>
      <w:r w:rsidRPr="00C34A33">
        <w:rPr>
          <w:rFonts w:ascii="Arial" w:eastAsia="Times New Roman" w:hAnsi="Arial" w:cs="Arial"/>
          <w:i/>
          <w:color w:val="000000"/>
          <w:spacing w:val="-1"/>
          <w:sz w:val="20"/>
          <w:szCs w:val="20"/>
          <w:lang w:eastAsia="en-GB"/>
        </w:rPr>
        <w:t>c</w:t>
      </w:r>
      <w:r w:rsidRPr="00C34A33">
        <w:rPr>
          <w:rFonts w:ascii="Arial" w:eastAsia="Times New Roman" w:hAnsi="Arial" w:cs="Arial"/>
          <w:i/>
          <w:color w:val="000000"/>
          <w:sz w:val="20"/>
          <w:szCs w:val="20"/>
          <w:lang w:eastAsia="en-GB"/>
        </w:rPr>
        <w:t>ol</w:t>
      </w:r>
      <w:r w:rsidRPr="00C34A33">
        <w:rPr>
          <w:rFonts w:ascii="Arial" w:eastAsia="Times New Roman" w:hAnsi="Arial" w:cs="Arial"/>
          <w:i/>
          <w:color w:val="000000"/>
          <w:spacing w:val="1"/>
          <w:sz w:val="20"/>
          <w:szCs w:val="20"/>
          <w:lang w:eastAsia="en-GB"/>
        </w:rPr>
        <w:t>l</w:t>
      </w:r>
      <w:r w:rsidRPr="00C34A33">
        <w:rPr>
          <w:rFonts w:ascii="Arial" w:eastAsia="Times New Roman" w:hAnsi="Arial" w:cs="Arial"/>
          <w:i/>
          <w:color w:val="000000"/>
          <w:spacing w:val="-1"/>
          <w:sz w:val="20"/>
          <w:szCs w:val="20"/>
          <w:lang w:eastAsia="en-GB"/>
        </w:rPr>
        <w:t>ec</w:t>
      </w:r>
      <w:r w:rsidRPr="00C34A33">
        <w:rPr>
          <w:rFonts w:ascii="Arial" w:eastAsia="Times New Roman" w:hAnsi="Arial" w:cs="Arial"/>
          <w:i/>
          <w:color w:val="000000"/>
          <w:sz w:val="20"/>
          <w:szCs w:val="20"/>
          <w:lang w:eastAsia="en-GB"/>
        </w:rPr>
        <w:t>t</w:t>
      </w:r>
      <w:r w:rsidRPr="00C34A33">
        <w:rPr>
          <w:rFonts w:ascii="Arial" w:eastAsia="Times New Roman" w:hAnsi="Arial" w:cs="Arial"/>
          <w:i/>
          <w:color w:val="000000"/>
          <w:spacing w:val="1"/>
          <w:sz w:val="20"/>
          <w:szCs w:val="20"/>
          <w:lang w:eastAsia="en-GB"/>
        </w:rPr>
        <w:t>i</w:t>
      </w:r>
      <w:r w:rsidRPr="00C34A33">
        <w:rPr>
          <w:rFonts w:ascii="Arial" w:eastAsia="Times New Roman" w:hAnsi="Arial" w:cs="Arial"/>
          <w:i/>
          <w:color w:val="000000"/>
          <w:sz w:val="20"/>
          <w:szCs w:val="20"/>
          <w:lang w:eastAsia="en-GB"/>
        </w:rPr>
        <w:t>on</w:t>
      </w:r>
      <w:r w:rsidRPr="00C34A33">
        <w:rPr>
          <w:rFonts w:ascii="Arial" w:eastAsia="Times New Roman" w:hAnsi="Arial" w:cs="Arial"/>
          <w:i/>
          <w:color w:val="000000"/>
          <w:spacing w:val="2"/>
          <w:sz w:val="20"/>
          <w:szCs w:val="20"/>
          <w:lang w:eastAsia="en-GB"/>
        </w:rPr>
        <w:t xml:space="preserve"> </w:t>
      </w:r>
      <w:r w:rsidRPr="00C34A33">
        <w:rPr>
          <w:rFonts w:ascii="Arial" w:eastAsia="Times New Roman" w:hAnsi="Arial" w:cs="Arial"/>
          <w:i/>
          <w:color w:val="000000"/>
          <w:spacing w:val="-1"/>
          <w:sz w:val="20"/>
          <w:szCs w:val="20"/>
          <w:lang w:eastAsia="en-GB"/>
        </w:rPr>
        <w:t>a</w:t>
      </w:r>
      <w:r w:rsidRPr="00C34A33">
        <w:rPr>
          <w:rFonts w:ascii="Arial" w:eastAsia="Times New Roman" w:hAnsi="Arial" w:cs="Arial"/>
          <w:i/>
          <w:color w:val="000000"/>
          <w:sz w:val="20"/>
          <w:szCs w:val="20"/>
          <w:lang w:eastAsia="en-GB"/>
        </w:rPr>
        <w:t>nd</w:t>
      </w:r>
      <w:r w:rsidRPr="00C34A33">
        <w:rPr>
          <w:rFonts w:ascii="Arial" w:eastAsia="Times New Roman" w:hAnsi="Arial" w:cs="Arial"/>
          <w:i/>
          <w:color w:val="000000"/>
          <w:spacing w:val="2"/>
          <w:sz w:val="20"/>
          <w:szCs w:val="20"/>
          <w:lang w:eastAsia="en-GB"/>
        </w:rPr>
        <w:t xml:space="preserve"> </w:t>
      </w:r>
      <w:r w:rsidRPr="00C34A33">
        <w:rPr>
          <w:rFonts w:ascii="Arial" w:eastAsia="Times New Roman" w:hAnsi="Arial" w:cs="Arial"/>
          <w:i/>
          <w:color w:val="000000"/>
          <w:sz w:val="20"/>
          <w:szCs w:val="20"/>
          <w:lang w:eastAsia="en-GB"/>
        </w:rPr>
        <w:t>dis</w:t>
      </w:r>
      <w:r w:rsidRPr="00C34A33">
        <w:rPr>
          <w:rFonts w:ascii="Arial" w:eastAsia="Times New Roman" w:hAnsi="Arial" w:cs="Arial"/>
          <w:i/>
          <w:color w:val="000000"/>
          <w:spacing w:val="1"/>
          <w:sz w:val="20"/>
          <w:szCs w:val="20"/>
          <w:lang w:eastAsia="en-GB"/>
        </w:rPr>
        <w:t>t</w:t>
      </w:r>
      <w:r w:rsidRPr="00C34A33">
        <w:rPr>
          <w:rFonts w:ascii="Arial" w:eastAsia="Times New Roman" w:hAnsi="Arial" w:cs="Arial"/>
          <w:i/>
          <w:color w:val="000000"/>
          <w:sz w:val="20"/>
          <w:szCs w:val="20"/>
          <w:lang w:eastAsia="en-GB"/>
        </w:rPr>
        <w:t>ribution</w:t>
      </w:r>
      <w:r w:rsidRPr="00C34A33">
        <w:rPr>
          <w:rFonts w:ascii="Arial" w:eastAsia="Times New Roman" w:hAnsi="Arial" w:cs="Arial"/>
          <w:i/>
          <w:color w:val="000000"/>
          <w:spacing w:val="2"/>
          <w:sz w:val="20"/>
          <w:szCs w:val="20"/>
          <w:lang w:eastAsia="en-GB"/>
        </w:rPr>
        <w:t xml:space="preserve"> </w:t>
      </w:r>
      <w:r w:rsidRPr="00C34A33">
        <w:rPr>
          <w:rFonts w:ascii="Arial" w:eastAsia="Times New Roman" w:hAnsi="Arial" w:cs="Arial"/>
          <w:i/>
          <w:color w:val="000000"/>
          <w:sz w:val="20"/>
          <w:szCs w:val="20"/>
          <w:lang w:eastAsia="en-GB"/>
        </w:rPr>
        <w:t>of</w:t>
      </w:r>
      <w:r w:rsidRPr="00C34A33">
        <w:rPr>
          <w:rFonts w:ascii="Arial" w:eastAsia="Times New Roman" w:hAnsi="Arial" w:cs="Arial"/>
          <w:i/>
          <w:color w:val="000000"/>
          <w:spacing w:val="1"/>
          <w:sz w:val="20"/>
          <w:szCs w:val="20"/>
          <w:lang w:eastAsia="en-GB"/>
        </w:rPr>
        <w:t xml:space="preserve"> </w:t>
      </w:r>
      <w:r w:rsidRPr="00C34A33">
        <w:rPr>
          <w:rFonts w:ascii="Arial" w:eastAsia="Times New Roman" w:hAnsi="Arial" w:cs="Arial"/>
          <w:i/>
          <w:color w:val="000000"/>
          <w:spacing w:val="-3"/>
          <w:sz w:val="20"/>
          <w:szCs w:val="20"/>
          <w:lang w:eastAsia="en-GB"/>
        </w:rPr>
        <w:t>c</w:t>
      </w:r>
      <w:r w:rsidRPr="00C34A33">
        <w:rPr>
          <w:rFonts w:ascii="Arial" w:eastAsia="Times New Roman" w:hAnsi="Arial" w:cs="Arial"/>
          <w:i/>
          <w:color w:val="000000"/>
          <w:spacing w:val="-1"/>
          <w:sz w:val="20"/>
          <w:szCs w:val="20"/>
          <w:lang w:eastAsia="en-GB"/>
        </w:rPr>
        <w:t>a</w:t>
      </w:r>
      <w:r w:rsidRPr="00C34A33">
        <w:rPr>
          <w:rFonts w:ascii="Arial" w:eastAsia="Times New Roman" w:hAnsi="Arial" w:cs="Arial"/>
          <w:i/>
          <w:color w:val="000000"/>
          <w:sz w:val="20"/>
          <w:szCs w:val="20"/>
          <w:lang w:eastAsia="en-GB"/>
        </w:rPr>
        <w:t>sh</w:t>
      </w:r>
      <w:r w:rsidRPr="00C34A33">
        <w:rPr>
          <w:rFonts w:ascii="Arial" w:eastAsia="Times New Roman" w:hAnsi="Arial" w:cs="Arial"/>
          <w:i/>
          <w:color w:val="000000"/>
          <w:spacing w:val="2"/>
          <w:sz w:val="20"/>
          <w:szCs w:val="20"/>
          <w:lang w:eastAsia="en-GB"/>
        </w:rPr>
        <w:t xml:space="preserve"> </w:t>
      </w:r>
      <w:r w:rsidRPr="00C34A33">
        <w:rPr>
          <w:rFonts w:ascii="Arial" w:eastAsia="Times New Roman" w:hAnsi="Arial" w:cs="Arial"/>
          <w:i/>
          <w:color w:val="000000"/>
          <w:sz w:val="20"/>
          <w:szCs w:val="20"/>
          <w:lang w:eastAsia="en-GB"/>
        </w:rPr>
        <w:t>p</w:t>
      </w:r>
      <w:r w:rsidRPr="00C34A33">
        <w:rPr>
          <w:rFonts w:ascii="Arial" w:eastAsia="Times New Roman" w:hAnsi="Arial" w:cs="Arial"/>
          <w:i/>
          <w:color w:val="000000"/>
          <w:spacing w:val="-1"/>
          <w:sz w:val="20"/>
          <w:szCs w:val="20"/>
          <w:lang w:eastAsia="en-GB"/>
        </w:rPr>
        <w:t>e</w:t>
      </w:r>
      <w:r w:rsidRPr="00C34A33">
        <w:rPr>
          <w:rFonts w:ascii="Arial" w:eastAsia="Times New Roman" w:hAnsi="Arial" w:cs="Arial"/>
          <w:i/>
          <w:color w:val="000000"/>
          <w:sz w:val="20"/>
          <w:szCs w:val="20"/>
          <w:lang w:eastAsia="en-GB"/>
        </w:rPr>
        <w:t>n</w:t>
      </w:r>
      <w:r w:rsidRPr="00C34A33">
        <w:rPr>
          <w:rFonts w:ascii="Arial" w:eastAsia="Times New Roman" w:hAnsi="Arial" w:cs="Arial"/>
          <w:i/>
          <w:color w:val="000000"/>
          <w:spacing w:val="-1"/>
          <w:sz w:val="20"/>
          <w:szCs w:val="20"/>
          <w:lang w:eastAsia="en-GB"/>
        </w:rPr>
        <w:t>a</w:t>
      </w:r>
      <w:r w:rsidRPr="00C34A33">
        <w:rPr>
          <w:rFonts w:ascii="Arial" w:eastAsia="Times New Roman" w:hAnsi="Arial" w:cs="Arial"/>
          <w:i/>
          <w:color w:val="000000"/>
          <w:sz w:val="20"/>
          <w:szCs w:val="20"/>
          <w:lang w:eastAsia="en-GB"/>
        </w:rPr>
        <w:t>l</w:t>
      </w:r>
      <w:r w:rsidRPr="00C34A33">
        <w:rPr>
          <w:rFonts w:ascii="Arial" w:eastAsia="Times New Roman" w:hAnsi="Arial" w:cs="Arial"/>
          <w:i/>
          <w:color w:val="000000"/>
          <w:spacing w:val="1"/>
          <w:sz w:val="20"/>
          <w:szCs w:val="20"/>
          <w:lang w:eastAsia="en-GB"/>
        </w:rPr>
        <w:t>t</w:t>
      </w:r>
      <w:r w:rsidRPr="00C34A33">
        <w:rPr>
          <w:rFonts w:ascii="Arial" w:eastAsia="Times New Roman" w:hAnsi="Arial" w:cs="Arial"/>
          <w:i/>
          <w:color w:val="000000"/>
          <w:sz w:val="20"/>
          <w:szCs w:val="20"/>
          <w:lang w:eastAsia="en-GB"/>
        </w:rPr>
        <w:t>ies</w:t>
      </w:r>
      <w:r w:rsidRPr="00C34A33">
        <w:rPr>
          <w:rFonts w:ascii="Arial" w:eastAsia="Times New Roman" w:hAnsi="Arial" w:cs="Arial"/>
          <w:i/>
          <w:color w:val="000000"/>
          <w:spacing w:val="1"/>
          <w:sz w:val="20"/>
          <w:szCs w:val="20"/>
          <w:lang w:eastAsia="en-GB"/>
        </w:rPr>
        <w:t xml:space="preserve"> </w:t>
      </w:r>
      <w:r w:rsidRPr="00C34A33">
        <w:rPr>
          <w:rFonts w:ascii="Arial" w:eastAsia="Times New Roman" w:hAnsi="Arial" w:cs="Arial"/>
          <w:i/>
          <w:color w:val="000000"/>
          <w:sz w:val="20"/>
          <w:szCs w:val="20"/>
          <w:lang w:eastAsia="en-GB"/>
        </w:rPr>
        <w:t>in</w:t>
      </w:r>
      <w:r w:rsidRPr="00C34A33">
        <w:rPr>
          <w:rFonts w:ascii="Arial" w:eastAsia="Times New Roman" w:hAnsi="Arial" w:cs="Arial"/>
          <w:i/>
          <w:color w:val="000000"/>
          <w:spacing w:val="2"/>
          <w:sz w:val="20"/>
          <w:szCs w:val="20"/>
          <w:lang w:eastAsia="en-GB"/>
        </w:rPr>
        <w:t xml:space="preserve"> </w:t>
      </w:r>
      <w:r w:rsidRPr="00C34A33">
        <w:rPr>
          <w:rFonts w:ascii="Arial" w:eastAsia="Times New Roman" w:hAnsi="Arial" w:cs="Arial"/>
          <w:i/>
          <w:color w:val="000000"/>
          <w:spacing w:val="-1"/>
          <w:sz w:val="20"/>
          <w:szCs w:val="20"/>
          <w:lang w:eastAsia="en-GB"/>
        </w:rPr>
        <w:t>a</w:t>
      </w:r>
      <w:r w:rsidRPr="00C34A33">
        <w:rPr>
          <w:rFonts w:ascii="Arial" w:eastAsia="Times New Roman" w:hAnsi="Arial" w:cs="Arial"/>
          <w:i/>
          <w:color w:val="000000"/>
          <w:spacing w:val="4"/>
          <w:sz w:val="20"/>
          <w:szCs w:val="20"/>
          <w:lang w:eastAsia="en-GB"/>
        </w:rPr>
        <w:t>c</w:t>
      </w:r>
      <w:r w:rsidRPr="00C34A33">
        <w:rPr>
          <w:rFonts w:ascii="Arial" w:eastAsia="Times New Roman" w:hAnsi="Arial" w:cs="Arial"/>
          <w:i/>
          <w:color w:val="000000"/>
          <w:spacing w:val="-1"/>
          <w:sz w:val="20"/>
          <w:szCs w:val="20"/>
          <w:lang w:eastAsia="en-GB"/>
        </w:rPr>
        <w:t>c</w:t>
      </w:r>
      <w:r w:rsidRPr="00C34A33">
        <w:rPr>
          <w:rFonts w:ascii="Arial" w:eastAsia="Times New Roman" w:hAnsi="Arial" w:cs="Arial"/>
          <w:i/>
          <w:color w:val="000000"/>
          <w:sz w:val="20"/>
          <w:szCs w:val="20"/>
          <w:lang w:eastAsia="en-GB"/>
        </w:rPr>
        <w:t>o</w:t>
      </w:r>
      <w:r w:rsidRPr="00C34A33">
        <w:rPr>
          <w:rFonts w:ascii="Arial" w:eastAsia="Times New Roman" w:hAnsi="Arial" w:cs="Arial"/>
          <w:i/>
          <w:color w:val="000000"/>
          <w:spacing w:val="-1"/>
          <w:sz w:val="20"/>
          <w:szCs w:val="20"/>
          <w:lang w:eastAsia="en-GB"/>
        </w:rPr>
        <w:t>r</w:t>
      </w:r>
      <w:r w:rsidRPr="00C34A33">
        <w:rPr>
          <w:rFonts w:ascii="Arial" w:eastAsia="Times New Roman" w:hAnsi="Arial" w:cs="Arial"/>
          <w:i/>
          <w:color w:val="000000"/>
          <w:spacing w:val="2"/>
          <w:sz w:val="20"/>
          <w:szCs w:val="20"/>
          <w:lang w:eastAsia="en-GB"/>
        </w:rPr>
        <w:t>d</w:t>
      </w:r>
      <w:r w:rsidRPr="00C34A33">
        <w:rPr>
          <w:rFonts w:ascii="Arial" w:eastAsia="Times New Roman" w:hAnsi="Arial" w:cs="Arial"/>
          <w:i/>
          <w:color w:val="000000"/>
          <w:spacing w:val="-1"/>
          <w:sz w:val="20"/>
          <w:szCs w:val="20"/>
          <w:lang w:eastAsia="en-GB"/>
        </w:rPr>
        <w:t>a</w:t>
      </w:r>
      <w:r w:rsidRPr="00C34A33">
        <w:rPr>
          <w:rFonts w:ascii="Arial" w:eastAsia="Times New Roman" w:hAnsi="Arial" w:cs="Arial"/>
          <w:i/>
          <w:color w:val="000000"/>
          <w:spacing w:val="2"/>
          <w:sz w:val="20"/>
          <w:szCs w:val="20"/>
          <w:lang w:eastAsia="en-GB"/>
        </w:rPr>
        <w:t>n</w:t>
      </w:r>
      <w:r w:rsidRPr="00C34A33">
        <w:rPr>
          <w:rFonts w:ascii="Arial" w:eastAsia="Times New Roman" w:hAnsi="Arial" w:cs="Arial"/>
          <w:i/>
          <w:color w:val="000000"/>
          <w:spacing w:val="-1"/>
          <w:sz w:val="20"/>
          <w:szCs w:val="20"/>
          <w:lang w:eastAsia="en-GB"/>
        </w:rPr>
        <w:t>c</w:t>
      </w:r>
      <w:r w:rsidRPr="00C34A33">
        <w:rPr>
          <w:rFonts w:ascii="Arial" w:eastAsia="Times New Roman" w:hAnsi="Arial" w:cs="Arial"/>
          <w:i/>
          <w:color w:val="000000"/>
          <w:sz w:val="20"/>
          <w:szCs w:val="20"/>
          <w:lang w:eastAsia="en-GB"/>
        </w:rPr>
        <w:t>e</w:t>
      </w:r>
      <w:r w:rsidRPr="00C34A33">
        <w:rPr>
          <w:rFonts w:ascii="Arial" w:eastAsia="Times New Roman" w:hAnsi="Arial" w:cs="Arial"/>
          <w:i/>
          <w:color w:val="000000"/>
          <w:spacing w:val="1"/>
          <w:sz w:val="20"/>
          <w:szCs w:val="20"/>
          <w:lang w:eastAsia="en-GB"/>
        </w:rPr>
        <w:t xml:space="preserve"> </w:t>
      </w:r>
      <w:r w:rsidRPr="00C34A33">
        <w:rPr>
          <w:rFonts w:ascii="Arial" w:eastAsia="Times New Roman" w:hAnsi="Arial" w:cs="Arial"/>
          <w:i/>
          <w:color w:val="000000"/>
          <w:sz w:val="20"/>
          <w:szCs w:val="20"/>
          <w:lang w:eastAsia="en-GB"/>
        </w:rPr>
        <w:t>with</w:t>
      </w:r>
      <w:r w:rsidRPr="00C34A33">
        <w:rPr>
          <w:rFonts w:ascii="Arial" w:eastAsia="Times New Roman" w:hAnsi="Arial" w:cs="Arial"/>
          <w:i/>
          <w:color w:val="000000"/>
          <w:spacing w:val="2"/>
          <w:sz w:val="20"/>
          <w:szCs w:val="20"/>
          <w:lang w:eastAsia="en-GB"/>
        </w:rPr>
        <w:t xml:space="preserve"> </w:t>
      </w:r>
      <w:r w:rsidRPr="00C34A33">
        <w:rPr>
          <w:rFonts w:ascii="Arial" w:eastAsia="Times New Roman" w:hAnsi="Arial" w:cs="Arial"/>
          <w:i/>
          <w:color w:val="000000"/>
          <w:sz w:val="20"/>
          <w:szCs w:val="20"/>
          <w:lang w:eastAsia="en-GB"/>
        </w:rPr>
        <w:t>the p</w:t>
      </w:r>
      <w:r w:rsidRPr="00C34A33">
        <w:rPr>
          <w:rFonts w:ascii="Arial" w:eastAsia="Times New Roman" w:hAnsi="Arial" w:cs="Arial"/>
          <w:i/>
          <w:color w:val="000000"/>
          <w:spacing w:val="-1"/>
          <w:sz w:val="20"/>
          <w:szCs w:val="20"/>
          <w:lang w:eastAsia="en-GB"/>
        </w:rPr>
        <w:t>r</w:t>
      </w:r>
      <w:r w:rsidRPr="00C34A33">
        <w:rPr>
          <w:rFonts w:ascii="Arial" w:eastAsia="Times New Roman" w:hAnsi="Arial" w:cs="Arial"/>
          <w:i/>
          <w:color w:val="000000"/>
          <w:sz w:val="20"/>
          <w:szCs w:val="20"/>
          <w:lang w:eastAsia="en-GB"/>
        </w:rPr>
        <w:t>ovis</w:t>
      </w:r>
      <w:r w:rsidRPr="00C34A33">
        <w:rPr>
          <w:rFonts w:ascii="Arial" w:eastAsia="Times New Roman" w:hAnsi="Arial" w:cs="Arial"/>
          <w:i/>
          <w:color w:val="000000"/>
          <w:spacing w:val="1"/>
          <w:sz w:val="20"/>
          <w:szCs w:val="20"/>
          <w:lang w:eastAsia="en-GB"/>
        </w:rPr>
        <w:t>i</w:t>
      </w:r>
      <w:r w:rsidRPr="00C34A33">
        <w:rPr>
          <w:rFonts w:ascii="Arial" w:eastAsia="Times New Roman" w:hAnsi="Arial" w:cs="Arial"/>
          <w:i/>
          <w:color w:val="000000"/>
          <w:sz w:val="20"/>
          <w:szCs w:val="20"/>
          <w:lang w:eastAsia="en-GB"/>
        </w:rPr>
        <w:t>ons of R</w:t>
      </w:r>
      <w:r w:rsidRPr="00C34A33">
        <w:rPr>
          <w:rFonts w:ascii="Arial" w:eastAsia="Times New Roman" w:hAnsi="Arial" w:cs="Arial"/>
          <w:i/>
          <w:color w:val="000000"/>
          <w:spacing w:val="-1"/>
          <w:sz w:val="20"/>
          <w:szCs w:val="20"/>
          <w:lang w:eastAsia="en-GB"/>
        </w:rPr>
        <w:t>e</w:t>
      </w:r>
      <w:r w:rsidRPr="00C34A33">
        <w:rPr>
          <w:rFonts w:ascii="Arial" w:eastAsia="Times New Roman" w:hAnsi="Arial" w:cs="Arial"/>
          <w:i/>
          <w:color w:val="000000"/>
          <w:spacing w:val="-2"/>
          <w:sz w:val="20"/>
          <w:szCs w:val="20"/>
          <w:lang w:eastAsia="en-GB"/>
        </w:rPr>
        <w:t>g</w:t>
      </w:r>
      <w:r w:rsidRPr="00C34A33">
        <w:rPr>
          <w:rFonts w:ascii="Arial" w:eastAsia="Times New Roman" w:hAnsi="Arial" w:cs="Arial"/>
          <w:i/>
          <w:color w:val="000000"/>
          <w:sz w:val="20"/>
          <w:szCs w:val="20"/>
          <w:lang w:eastAsia="en-GB"/>
        </w:rPr>
        <w:t>ulation</w:t>
      </w:r>
      <w:r w:rsidRPr="00C34A33">
        <w:rPr>
          <w:rFonts w:ascii="Arial" w:eastAsia="Times New Roman" w:hAnsi="Arial" w:cs="Arial"/>
          <w:i/>
          <w:color w:val="000000"/>
          <w:spacing w:val="3"/>
          <w:sz w:val="20"/>
          <w:szCs w:val="20"/>
          <w:lang w:eastAsia="en-GB"/>
        </w:rPr>
        <w:t xml:space="preserve"> </w:t>
      </w:r>
      <w:r w:rsidRPr="00C34A33">
        <w:rPr>
          <w:rFonts w:ascii="Arial" w:eastAsia="Times New Roman" w:hAnsi="Arial" w:cs="Arial"/>
          <w:i/>
          <w:color w:val="000000"/>
          <w:sz w:val="20"/>
          <w:szCs w:val="20"/>
          <w:lang w:eastAsia="en-GB"/>
        </w:rPr>
        <w:t>(</w:t>
      </w:r>
      <w:r w:rsidRPr="00C34A33">
        <w:rPr>
          <w:rFonts w:ascii="Arial" w:eastAsia="Times New Roman" w:hAnsi="Arial" w:cs="Arial"/>
          <w:i/>
          <w:color w:val="000000"/>
          <w:spacing w:val="-1"/>
          <w:sz w:val="20"/>
          <w:szCs w:val="20"/>
          <w:lang w:eastAsia="en-GB"/>
        </w:rPr>
        <w:t>E</w:t>
      </w:r>
      <w:r w:rsidRPr="00C34A33">
        <w:rPr>
          <w:rFonts w:ascii="Arial" w:eastAsia="Times New Roman" w:hAnsi="Arial" w:cs="Arial"/>
          <w:i/>
          <w:color w:val="000000"/>
          <w:sz w:val="20"/>
          <w:szCs w:val="20"/>
          <w:lang w:eastAsia="en-GB"/>
        </w:rPr>
        <w:t>U)</w:t>
      </w:r>
      <w:r w:rsidRPr="00C34A33">
        <w:rPr>
          <w:rFonts w:ascii="Arial" w:eastAsia="Times New Roman" w:hAnsi="Arial" w:cs="Arial"/>
          <w:i/>
          <w:color w:val="000000"/>
          <w:spacing w:val="-1"/>
          <w:sz w:val="20"/>
          <w:szCs w:val="20"/>
          <w:lang w:eastAsia="en-GB"/>
        </w:rPr>
        <w:t xml:space="preserve"> </w:t>
      </w:r>
      <w:r w:rsidRPr="00C34A33">
        <w:rPr>
          <w:rFonts w:ascii="Arial" w:eastAsia="Times New Roman" w:hAnsi="Arial" w:cs="Arial"/>
          <w:i/>
          <w:color w:val="000000"/>
          <w:sz w:val="20"/>
          <w:szCs w:val="20"/>
          <w:lang w:eastAsia="en-GB"/>
        </w:rPr>
        <w:t xml:space="preserve">No 909/2014 </w:t>
      </w:r>
      <w:r w:rsidRPr="00C34A33">
        <w:rPr>
          <w:rFonts w:ascii="Arial" w:eastAsia="Times New Roman" w:hAnsi="Arial" w:cs="Arial"/>
          <w:i/>
          <w:color w:val="000000"/>
          <w:spacing w:val="-1"/>
          <w:sz w:val="20"/>
          <w:szCs w:val="20"/>
          <w:lang w:eastAsia="en-GB"/>
        </w:rPr>
        <w:t>a</w:t>
      </w:r>
      <w:r w:rsidRPr="00C34A33">
        <w:rPr>
          <w:rFonts w:ascii="Arial" w:eastAsia="Times New Roman" w:hAnsi="Arial" w:cs="Arial"/>
          <w:i/>
          <w:color w:val="000000"/>
          <w:sz w:val="20"/>
          <w:szCs w:val="20"/>
          <w:lang w:eastAsia="en-GB"/>
        </w:rPr>
        <w:t>nd t</w:t>
      </w:r>
      <w:r w:rsidRPr="00C34A33">
        <w:rPr>
          <w:rFonts w:ascii="Arial" w:eastAsia="Times New Roman" w:hAnsi="Arial" w:cs="Arial"/>
          <w:i/>
          <w:color w:val="000000"/>
          <w:spacing w:val="3"/>
          <w:sz w:val="20"/>
          <w:szCs w:val="20"/>
          <w:lang w:eastAsia="en-GB"/>
        </w:rPr>
        <w:t>h</w:t>
      </w:r>
      <w:r w:rsidRPr="00C34A33">
        <w:rPr>
          <w:rFonts w:ascii="Arial" w:eastAsia="Times New Roman" w:hAnsi="Arial" w:cs="Arial"/>
          <w:i/>
          <w:color w:val="000000"/>
          <w:sz w:val="20"/>
          <w:szCs w:val="20"/>
          <w:lang w:eastAsia="en-GB"/>
        </w:rPr>
        <w:t xml:space="preserve">is </w:t>
      </w:r>
      <w:r w:rsidRPr="00C34A33">
        <w:rPr>
          <w:rFonts w:ascii="Arial" w:eastAsia="Times New Roman" w:hAnsi="Arial" w:cs="Arial"/>
          <w:i/>
          <w:color w:val="000000"/>
          <w:spacing w:val="1"/>
          <w:sz w:val="20"/>
          <w:szCs w:val="20"/>
          <w:lang w:eastAsia="en-GB"/>
        </w:rPr>
        <w:t>R</w:t>
      </w:r>
      <w:r w:rsidRPr="00C34A33">
        <w:rPr>
          <w:rFonts w:ascii="Arial" w:eastAsia="Times New Roman" w:hAnsi="Arial" w:cs="Arial"/>
          <w:i/>
          <w:color w:val="000000"/>
          <w:spacing w:val="-1"/>
          <w:sz w:val="20"/>
          <w:szCs w:val="20"/>
          <w:lang w:eastAsia="en-GB"/>
        </w:rPr>
        <w:t>e</w:t>
      </w:r>
      <w:r w:rsidRPr="00C34A33">
        <w:rPr>
          <w:rFonts w:ascii="Arial" w:eastAsia="Times New Roman" w:hAnsi="Arial" w:cs="Arial"/>
          <w:i/>
          <w:color w:val="000000"/>
          <w:spacing w:val="-2"/>
          <w:sz w:val="20"/>
          <w:szCs w:val="20"/>
          <w:lang w:eastAsia="en-GB"/>
        </w:rPr>
        <w:t>g</w:t>
      </w:r>
      <w:r w:rsidRPr="00C34A33">
        <w:rPr>
          <w:rFonts w:ascii="Arial" w:eastAsia="Times New Roman" w:hAnsi="Arial" w:cs="Arial"/>
          <w:i/>
          <w:color w:val="000000"/>
          <w:sz w:val="20"/>
          <w:szCs w:val="20"/>
          <w:lang w:eastAsia="en-GB"/>
        </w:rPr>
        <w:t>ulation</w:t>
      </w:r>
      <w:r w:rsidRPr="0088497B">
        <w:rPr>
          <w:rFonts w:ascii="Arial" w:eastAsia="Times New Roman" w:hAnsi="Arial" w:cs="Arial"/>
          <w:i/>
          <w:color w:val="000000"/>
          <w:sz w:val="20"/>
          <w:szCs w:val="20"/>
          <w:lang w:eastAsia="en-GB"/>
        </w:rPr>
        <w:t>.</w:t>
      </w:r>
      <w:r>
        <w:rPr>
          <w:rFonts w:ascii="Arial" w:eastAsia="Times New Roman" w:hAnsi="Arial" w:cs="Arial"/>
          <w:i/>
          <w:color w:val="000000"/>
          <w:sz w:val="20"/>
          <w:szCs w:val="20"/>
          <w:lang w:eastAsia="en-GB"/>
        </w:rPr>
        <w:t>”</w:t>
      </w:r>
    </w:p>
    <w:p w:rsidR="00EF7076" w:rsidRDefault="00EF7076" w:rsidP="00EF7076">
      <w:pPr>
        <w:pStyle w:val="NoSpacing"/>
        <w:pBdr>
          <w:bottom w:val="single" w:sz="6" w:space="1" w:color="auto"/>
        </w:pBdr>
        <w:rPr>
          <w:rFonts w:ascii="Arial" w:eastAsia="Times New Roman" w:hAnsi="Arial" w:cs="Arial"/>
          <w:i/>
          <w:color w:val="000000"/>
          <w:sz w:val="20"/>
          <w:szCs w:val="20"/>
          <w:lang w:eastAsia="en-GB"/>
        </w:rPr>
      </w:pPr>
    </w:p>
    <w:p w:rsidR="00EF7076" w:rsidRDefault="00EF7076" w:rsidP="00EF7076">
      <w:pPr>
        <w:pStyle w:val="NoSpacing"/>
        <w:rPr>
          <w:rFonts w:ascii="Arial" w:eastAsia="Times New Roman" w:hAnsi="Arial" w:cs="Arial"/>
          <w:i/>
          <w:color w:val="000000"/>
          <w:sz w:val="20"/>
          <w:szCs w:val="20"/>
          <w:lang w:eastAsia="en-GB"/>
        </w:rPr>
      </w:pPr>
    </w:p>
    <w:p w:rsidR="00EF7076" w:rsidRDefault="00EF7076" w:rsidP="00EF7076">
      <w:pPr>
        <w:pStyle w:val="NoSpacing"/>
        <w:rPr>
          <w:rFonts w:ascii="Arial" w:hAnsi="Arial" w:cs="Arial"/>
          <w:sz w:val="16"/>
          <w:szCs w:val="16"/>
        </w:rPr>
      </w:pPr>
      <w:r w:rsidRPr="00EF7076">
        <w:rPr>
          <w:rFonts w:ascii="Arial" w:eastAsia="Times New Roman" w:hAnsi="Arial" w:cs="Arial"/>
          <w:color w:val="000000"/>
          <w:sz w:val="20"/>
          <w:szCs w:val="20"/>
          <w:lang w:eastAsia="en-GB"/>
        </w:rPr>
        <w:t>[1]</w:t>
      </w:r>
      <w:r>
        <w:rPr>
          <w:rFonts w:ascii="Arial" w:eastAsia="Times New Roman" w:hAnsi="Arial" w:cs="Arial"/>
          <w:i/>
          <w:color w:val="000000"/>
          <w:sz w:val="20"/>
          <w:szCs w:val="20"/>
          <w:lang w:eastAsia="en-GB"/>
        </w:rPr>
        <w:t xml:space="preserve"> </w:t>
      </w:r>
      <w:r>
        <w:rPr>
          <w:rFonts w:ascii="Arial" w:hAnsi="Arial" w:cs="Arial"/>
          <w:sz w:val="16"/>
          <w:szCs w:val="16"/>
        </w:rPr>
        <w:t>(1) Transferable securities;</w:t>
      </w:r>
    </w:p>
    <w:p w:rsidR="00EF7076" w:rsidRDefault="00EF7076" w:rsidP="00EF7076">
      <w:pPr>
        <w:pStyle w:val="NoSpacing"/>
        <w:rPr>
          <w:rFonts w:ascii="Arial" w:hAnsi="Arial" w:cs="Arial"/>
          <w:sz w:val="16"/>
          <w:szCs w:val="16"/>
        </w:rPr>
      </w:pPr>
      <w:r>
        <w:rPr>
          <w:rFonts w:ascii="Arial" w:hAnsi="Arial" w:cs="Arial"/>
          <w:sz w:val="16"/>
          <w:szCs w:val="16"/>
        </w:rPr>
        <w:t>(2) Money-market instruments;</w:t>
      </w:r>
    </w:p>
    <w:p w:rsidR="00EF7076" w:rsidRDefault="00EF7076" w:rsidP="00EF7076">
      <w:pPr>
        <w:pStyle w:val="NoSpacing"/>
        <w:rPr>
          <w:rFonts w:ascii="Arial" w:hAnsi="Arial" w:cs="Arial"/>
          <w:sz w:val="16"/>
          <w:szCs w:val="16"/>
        </w:rPr>
      </w:pPr>
      <w:r>
        <w:rPr>
          <w:rFonts w:ascii="Arial" w:hAnsi="Arial" w:cs="Arial"/>
          <w:sz w:val="16"/>
          <w:szCs w:val="16"/>
        </w:rPr>
        <w:t>(3) Units in collective investment undertakings;</w:t>
      </w:r>
    </w:p>
    <w:p w:rsidR="00EF7076" w:rsidRDefault="00EF7076" w:rsidP="00EF7076">
      <w:pPr>
        <w:pStyle w:val="NoSpacing"/>
        <w:rPr>
          <w:rFonts w:ascii="Arial" w:hAnsi="Arial" w:cs="Arial"/>
          <w:sz w:val="16"/>
          <w:szCs w:val="16"/>
        </w:rPr>
      </w:pPr>
      <w:r>
        <w:rPr>
          <w:rFonts w:ascii="Arial" w:hAnsi="Arial" w:cs="Arial"/>
          <w:sz w:val="16"/>
          <w:szCs w:val="16"/>
        </w:rPr>
        <w:t>(4) Options, futures, swaps, forward rate agreements and any other derivative contracts relating to securities, currencies, interest rates or yields, emission allowances or other derivatives instruments, financial indices or financial measures which may be settled physically or in cash;</w:t>
      </w:r>
    </w:p>
    <w:p w:rsidR="00EF7076" w:rsidRDefault="00EF7076" w:rsidP="00EF7076">
      <w:pPr>
        <w:pStyle w:val="NoSpacing"/>
        <w:rPr>
          <w:rFonts w:ascii="Arial" w:hAnsi="Arial" w:cs="Arial"/>
          <w:sz w:val="16"/>
          <w:szCs w:val="16"/>
        </w:rPr>
      </w:pPr>
      <w:r>
        <w:rPr>
          <w:rFonts w:ascii="Arial" w:hAnsi="Arial" w:cs="Arial"/>
          <w:sz w:val="16"/>
          <w:szCs w:val="16"/>
        </w:rPr>
        <w:t>(5) Options, futures, swaps, forwards and any other derivative contracts relating to commodities that must be settled in cash or may be settled in cash at the option of one of the parties other than by reason of default or other termination event;</w:t>
      </w:r>
    </w:p>
    <w:p w:rsidR="00EF7076" w:rsidRDefault="00EF7076" w:rsidP="00EF7076">
      <w:pPr>
        <w:pStyle w:val="NoSpacing"/>
        <w:rPr>
          <w:rFonts w:ascii="Arial" w:hAnsi="Arial" w:cs="Arial"/>
          <w:sz w:val="16"/>
          <w:szCs w:val="16"/>
        </w:rPr>
      </w:pPr>
      <w:r>
        <w:rPr>
          <w:rFonts w:ascii="Arial" w:hAnsi="Arial" w:cs="Arial"/>
          <w:sz w:val="16"/>
          <w:szCs w:val="16"/>
        </w:rPr>
        <w:t>(6) Options, futures, swaps, and any other derivative contract relating to commodities that can be physically settled provided that they are traded on a regulated market, a MTF, or an OTF, except for wholesale energy products traded on an OTF that must be physically settled;</w:t>
      </w:r>
    </w:p>
    <w:p w:rsidR="00EF7076" w:rsidRDefault="00EF7076" w:rsidP="00EF7076">
      <w:pPr>
        <w:pStyle w:val="NoSpacing"/>
        <w:rPr>
          <w:rFonts w:ascii="Arial" w:hAnsi="Arial" w:cs="Arial"/>
          <w:sz w:val="16"/>
          <w:szCs w:val="16"/>
        </w:rPr>
      </w:pPr>
      <w:r>
        <w:rPr>
          <w:rFonts w:ascii="Arial" w:hAnsi="Arial" w:cs="Arial"/>
          <w:sz w:val="16"/>
          <w:szCs w:val="16"/>
        </w:rPr>
        <w:t>(7) Options, futures, swaps, forwards and any other derivative contracts relating to commodities, that can be physically settled not otherwise mentioned in point 6 of this Section and not being for commercial purposes, which have the characteristics of other derivative financial instruments;</w:t>
      </w:r>
    </w:p>
    <w:p w:rsidR="00EF7076" w:rsidRDefault="00EF7076" w:rsidP="00EF7076">
      <w:pPr>
        <w:pStyle w:val="NoSpacing"/>
        <w:rPr>
          <w:rFonts w:ascii="Arial" w:hAnsi="Arial" w:cs="Arial"/>
          <w:sz w:val="16"/>
          <w:szCs w:val="16"/>
        </w:rPr>
      </w:pPr>
      <w:r>
        <w:rPr>
          <w:rFonts w:ascii="Arial" w:hAnsi="Arial" w:cs="Arial"/>
          <w:sz w:val="16"/>
          <w:szCs w:val="16"/>
        </w:rPr>
        <w:t>(8) Derivative instruments for the transfer of credit risk;</w:t>
      </w:r>
    </w:p>
    <w:p w:rsidR="00EF7076" w:rsidRDefault="00EF7076" w:rsidP="00EF7076">
      <w:pPr>
        <w:pStyle w:val="NoSpacing"/>
        <w:rPr>
          <w:rFonts w:ascii="Arial" w:hAnsi="Arial" w:cs="Arial"/>
          <w:sz w:val="16"/>
          <w:szCs w:val="16"/>
        </w:rPr>
      </w:pPr>
      <w:r>
        <w:rPr>
          <w:rFonts w:ascii="Arial" w:hAnsi="Arial" w:cs="Arial"/>
          <w:sz w:val="16"/>
          <w:szCs w:val="16"/>
        </w:rPr>
        <w:t>(9) Financial contracts for differences;</w:t>
      </w:r>
    </w:p>
    <w:p w:rsidR="00EF7076" w:rsidRDefault="00EF7076" w:rsidP="00EF7076">
      <w:pPr>
        <w:pStyle w:val="NoSpacing"/>
        <w:rPr>
          <w:rFonts w:ascii="Arial" w:hAnsi="Arial" w:cs="Arial"/>
          <w:sz w:val="16"/>
          <w:szCs w:val="16"/>
        </w:rPr>
      </w:pPr>
      <w:r>
        <w:rPr>
          <w:rFonts w:ascii="Arial" w:hAnsi="Arial" w:cs="Arial"/>
          <w:sz w:val="16"/>
          <w:szCs w:val="16"/>
        </w:rPr>
        <w:t>(10) Options, futures, swaps, forward rate agreements and any other derivative contracts relating to climatic variables, freight rates or inflation rates or other official economic statistics that must be settled in cash or may be settled in cash at the option of one of the parties other than by reason of default or other termination event, as well as any other derivative contracts relating to assets, rights, obligations, indices and measures not otherwise mentioned in this Section, which have the characteristics of other derivative financial instruments, having regard to whether, inter alia, they are traded on a regulated market, OTF, or an MTF;</w:t>
      </w:r>
    </w:p>
    <w:p w:rsidR="00EF7076" w:rsidRPr="00EF7076" w:rsidRDefault="00EF7076" w:rsidP="00EF7076">
      <w:pPr>
        <w:pStyle w:val="NoSpacing"/>
        <w:rPr>
          <w:rFonts w:ascii="Arial" w:hAnsi="Arial" w:cs="Arial"/>
          <w:sz w:val="16"/>
          <w:szCs w:val="16"/>
        </w:rPr>
      </w:pPr>
      <w:r>
        <w:rPr>
          <w:rFonts w:ascii="Arial" w:hAnsi="Arial" w:cs="Arial"/>
          <w:sz w:val="16"/>
          <w:szCs w:val="16"/>
        </w:rPr>
        <w:t>(11) Emission allowances consisting of any units recognised for compliance with the requirements of Directive 2003/87/EC (Emi</w:t>
      </w:r>
      <w:r>
        <w:rPr>
          <w:rFonts w:ascii="Arial" w:hAnsi="Arial" w:cs="Arial"/>
          <w:sz w:val="16"/>
          <w:szCs w:val="16"/>
        </w:rPr>
        <w:t>s</w:t>
      </w:r>
      <w:r>
        <w:rPr>
          <w:rFonts w:ascii="Arial" w:hAnsi="Arial" w:cs="Arial"/>
          <w:sz w:val="16"/>
          <w:szCs w:val="16"/>
        </w:rPr>
        <w:t>sions Trading Scheme).</w:t>
      </w:r>
    </w:p>
    <w:permEnd w:id="1465393426"/>
    <w:p w:rsidR="00D12AFD" w:rsidRDefault="00D12AFD" w:rsidP="00D12AFD">
      <w:r>
        <w:t>&lt;ESMA_QUESTION_TS_CSDR_6&gt;</w:t>
      </w:r>
    </w:p>
    <w:p w:rsidR="00D12AFD" w:rsidRDefault="00D12AFD" w:rsidP="00965B03">
      <w:pPr>
        <w:pStyle w:val="Heading5"/>
        <w:ind w:left="567" w:hanging="567"/>
      </w:pPr>
      <w:r w:rsidRPr="002C4F00">
        <w:t>What are your views on the proposed draft RTS related to the buy-in process?</w:t>
      </w:r>
    </w:p>
    <w:p w:rsidR="00D12AFD" w:rsidRDefault="00D12AFD" w:rsidP="00BA1DEE">
      <w:pPr>
        <w:pStyle w:val="Heading5"/>
        <w:numPr>
          <w:ilvl w:val="0"/>
          <w:numId w:val="0"/>
        </w:numPr>
        <w:ind w:left="567"/>
        <w:rPr>
          <w:b w:val="0"/>
        </w:rPr>
      </w:pPr>
      <w:r w:rsidRPr="002C4F00">
        <w:t>In particular, what are your views on applying partial settlement at the end of the e</w:t>
      </w:r>
      <w:r w:rsidRPr="002C4F00">
        <w:t>x</w:t>
      </w:r>
      <w:r w:rsidRPr="002C4F00">
        <w:t>tension period? Do you consider that the partialling of the settlement instruction would impact the rights and obligations of the participants?</w:t>
      </w:r>
    </w:p>
    <w:p w:rsidR="00D12AFD" w:rsidRPr="002C4F00" w:rsidRDefault="00D12AFD" w:rsidP="00BA1DEE">
      <w:pPr>
        <w:pStyle w:val="Heading5"/>
        <w:numPr>
          <w:ilvl w:val="0"/>
          <w:numId w:val="0"/>
        </w:numPr>
        <w:ind w:left="567"/>
      </w:pPr>
      <w:r w:rsidRPr="002C4F00">
        <w:t xml:space="preserve"> What do you think about the proposed approach for limiting multiple buy-in and the timing for the participant to provide the information to the CSD?</w:t>
      </w:r>
    </w:p>
    <w:p w:rsidR="00D12AFD" w:rsidRDefault="00D12AFD" w:rsidP="00D12AFD"/>
    <w:p w:rsidR="00D12AFD" w:rsidRDefault="00D12AFD" w:rsidP="00D12AFD">
      <w:r>
        <w:t>&lt;ESMA_QUESTION_TS_CSDR_7&gt;</w:t>
      </w:r>
    </w:p>
    <w:p w:rsidR="00B10F6A" w:rsidRPr="00A161FC" w:rsidRDefault="00B10F6A" w:rsidP="00961A6D">
      <w:pPr>
        <w:pStyle w:val="NoSpacing"/>
        <w:rPr>
          <w:rFonts w:ascii="Arial" w:hAnsi="Arial" w:cs="Arial"/>
          <w:b/>
          <w:iCs/>
          <w:sz w:val="20"/>
          <w:szCs w:val="20"/>
          <w:u w:val="single"/>
          <w:lang w:eastAsia="de-DE"/>
        </w:rPr>
      </w:pPr>
      <w:permStart w:id="1007230515" w:edGrp="everyone"/>
      <w:r w:rsidRPr="00A161FC">
        <w:rPr>
          <w:rFonts w:ascii="Arial" w:hAnsi="Arial" w:cs="Arial"/>
          <w:b/>
          <w:sz w:val="20"/>
          <w:szCs w:val="20"/>
          <w:u w:val="single"/>
        </w:rPr>
        <w:t xml:space="preserve">AG response to </w:t>
      </w:r>
      <w:r w:rsidRPr="00A161FC">
        <w:rPr>
          <w:rFonts w:ascii="Arial" w:hAnsi="Arial" w:cs="Arial"/>
          <w:b/>
          <w:iCs/>
          <w:sz w:val="20"/>
          <w:szCs w:val="20"/>
          <w:u w:val="single"/>
          <w:lang w:eastAsia="de-DE"/>
        </w:rPr>
        <w:t>Q7</w:t>
      </w:r>
    </w:p>
    <w:p w:rsidR="00B10F6A" w:rsidRDefault="00B10F6A" w:rsidP="00961A6D">
      <w:pPr>
        <w:pStyle w:val="NoSpacing"/>
        <w:rPr>
          <w:rFonts w:ascii="Arial" w:hAnsi="Arial" w:cs="Arial"/>
          <w:sz w:val="20"/>
          <w:szCs w:val="20"/>
        </w:rPr>
      </w:pPr>
      <w:r w:rsidRPr="001C7B7A">
        <w:rPr>
          <w:rFonts w:ascii="Arial" w:hAnsi="Arial" w:cs="Arial"/>
          <w:sz w:val="20"/>
          <w:szCs w:val="20"/>
        </w:rPr>
        <w:t>The AG would like to note that there are certain RTS requirements which require further developments from the CSDs regarding the ISO messages and reports.</w:t>
      </w:r>
      <w:r>
        <w:rPr>
          <w:rFonts w:ascii="Arial" w:hAnsi="Arial" w:cs="Arial"/>
          <w:sz w:val="20"/>
          <w:szCs w:val="20"/>
        </w:rPr>
        <w:t xml:space="preserve"> (See the AG comments on Q4, Q5 and Q23)</w:t>
      </w:r>
    </w:p>
    <w:p w:rsidR="00B10F6A" w:rsidRDefault="00B10F6A" w:rsidP="00961A6D">
      <w:pPr>
        <w:pStyle w:val="NoSpacing"/>
        <w:rPr>
          <w:rFonts w:ascii="Arial" w:hAnsi="Arial" w:cs="Arial"/>
          <w:sz w:val="20"/>
          <w:szCs w:val="20"/>
        </w:rPr>
      </w:pPr>
    </w:p>
    <w:p w:rsidR="00B10F6A" w:rsidRDefault="00B10F6A" w:rsidP="00961A6D">
      <w:pPr>
        <w:pStyle w:val="NoSpacing"/>
        <w:rPr>
          <w:rFonts w:ascii="Arial" w:hAnsi="Arial" w:cs="Arial"/>
          <w:b/>
          <w:i/>
          <w:color w:val="000000"/>
          <w:spacing w:val="5"/>
          <w:sz w:val="20"/>
          <w:szCs w:val="20"/>
        </w:rPr>
      </w:pPr>
      <w:r w:rsidRPr="002A21EA">
        <w:rPr>
          <w:rFonts w:ascii="Arial" w:hAnsi="Arial" w:cs="Arial"/>
          <w:b/>
          <w:color w:val="000000"/>
          <w:sz w:val="20"/>
          <w:szCs w:val="20"/>
        </w:rPr>
        <w:t>RTS Art.11(5)</w:t>
      </w:r>
      <w:r w:rsidR="008C054B">
        <w:rPr>
          <w:rFonts w:ascii="Arial" w:hAnsi="Arial" w:cs="Arial"/>
          <w:b/>
          <w:color w:val="000000"/>
          <w:sz w:val="20"/>
          <w:szCs w:val="20"/>
        </w:rPr>
        <w:t>, Annex I</w:t>
      </w:r>
      <w:r w:rsidRPr="001C7B7A">
        <w:rPr>
          <w:rFonts w:ascii="Arial" w:hAnsi="Arial" w:cs="Arial"/>
          <w:b/>
          <w:i/>
          <w:color w:val="000000"/>
          <w:sz w:val="20"/>
          <w:szCs w:val="20"/>
        </w:rPr>
        <w:t xml:space="preserve"> </w:t>
      </w:r>
      <w:r w:rsidRPr="002A21EA">
        <w:rPr>
          <w:rFonts w:ascii="Arial" w:hAnsi="Arial" w:cs="Arial"/>
          <w:i/>
          <w:color w:val="000000"/>
          <w:sz w:val="20"/>
          <w:szCs w:val="20"/>
        </w:rPr>
        <w:t>on r</w:t>
      </w:r>
      <w:r w:rsidRPr="002A21EA">
        <w:rPr>
          <w:rFonts w:ascii="Arial" w:hAnsi="Arial" w:cs="Arial"/>
          <w:i/>
          <w:color w:val="000000"/>
          <w:spacing w:val="-2"/>
          <w:sz w:val="20"/>
          <w:szCs w:val="20"/>
        </w:rPr>
        <w:t>e</w:t>
      </w:r>
      <w:r w:rsidRPr="002A21EA">
        <w:rPr>
          <w:rFonts w:ascii="Arial" w:hAnsi="Arial" w:cs="Arial"/>
          <w:i/>
          <w:color w:val="000000"/>
          <w:sz w:val="20"/>
          <w:szCs w:val="20"/>
        </w:rPr>
        <w:t>s</w:t>
      </w:r>
      <w:r w:rsidRPr="002A21EA">
        <w:rPr>
          <w:rFonts w:ascii="Arial" w:hAnsi="Arial" w:cs="Arial"/>
          <w:i/>
          <w:color w:val="000000"/>
          <w:spacing w:val="-1"/>
          <w:sz w:val="20"/>
          <w:szCs w:val="20"/>
        </w:rPr>
        <w:t>e</w:t>
      </w:r>
      <w:r w:rsidRPr="002A21EA">
        <w:rPr>
          <w:rFonts w:ascii="Arial" w:hAnsi="Arial" w:cs="Arial"/>
          <w:i/>
          <w:color w:val="000000"/>
          <w:sz w:val="20"/>
          <w:szCs w:val="20"/>
        </w:rPr>
        <w:t>rvation of the</w:t>
      </w:r>
      <w:r w:rsidRPr="002A21EA">
        <w:rPr>
          <w:rFonts w:ascii="Arial" w:hAnsi="Arial" w:cs="Arial"/>
          <w:i/>
          <w:color w:val="000000"/>
          <w:spacing w:val="4"/>
          <w:sz w:val="20"/>
          <w:szCs w:val="20"/>
        </w:rPr>
        <w:t xml:space="preserve"> </w:t>
      </w:r>
      <w:r w:rsidRPr="002A21EA">
        <w:rPr>
          <w:rFonts w:ascii="Arial" w:hAnsi="Arial" w:cs="Arial"/>
          <w:i/>
          <w:color w:val="000000"/>
          <w:sz w:val="20"/>
          <w:szCs w:val="20"/>
        </w:rPr>
        <w:t>r</w:t>
      </w:r>
      <w:r w:rsidRPr="002A21EA">
        <w:rPr>
          <w:rFonts w:ascii="Arial" w:hAnsi="Arial" w:cs="Arial"/>
          <w:i/>
          <w:color w:val="000000"/>
          <w:spacing w:val="-2"/>
          <w:sz w:val="20"/>
          <w:szCs w:val="20"/>
        </w:rPr>
        <w:t>e</w:t>
      </w:r>
      <w:r w:rsidRPr="002A21EA">
        <w:rPr>
          <w:rFonts w:ascii="Arial" w:hAnsi="Arial" w:cs="Arial"/>
          <w:i/>
          <w:color w:val="000000"/>
          <w:sz w:val="20"/>
          <w:szCs w:val="20"/>
        </w:rPr>
        <w:t>lev</w:t>
      </w:r>
      <w:r w:rsidRPr="002A21EA">
        <w:rPr>
          <w:rFonts w:ascii="Arial" w:hAnsi="Arial" w:cs="Arial"/>
          <w:i/>
          <w:color w:val="000000"/>
          <w:spacing w:val="-1"/>
          <w:sz w:val="20"/>
          <w:szCs w:val="20"/>
        </w:rPr>
        <w:t>a</w:t>
      </w:r>
      <w:r w:rsidRPr="002A21EA">
        <w:rPr>
          <w:rFonts w:ascii="Arial" w:hAnsi="Arial" w:cs="Arial"/>
          <w:i/>
          <w:color w:val="000000"/>
          <w:sz w:val="20"/>
          <w:szCs w:val="20"/>
        </w:rPr>
        <w:t xml:space="preserve">nt </w:t>
      </w:r>
      <w:r w:rsidRPr="002A21EA">
        <w:rPr>
          <w:rFonts w:ascii="Arial" w:hAnsi="Arial" w:cs="Arial"/>
          <w:i/>
          <w:color w:val="000000"/>
          <w:spacing w:val="5"/>
          <w:sz w:val="20"/>
          <w:szCs w:val="20"/>
        </w:rPr>
        <w:t xml:space="preserve"> </w:t>
      </w:r>
      <w:r w:rsidRPr="002A21EA">
        <w:rPr>
          <w:rFonts w:ascii="Arial" w:hAnsi="Arial" w:cs="Arial"/>
          <w:i/>
          <w:color w:val="000000"/>
          <w:sz w:val="20"/>
          <w:szCs w:val="20"/>
        </w:rPr>
        <w:t>fin</w:t>
      </w:r>
      <w:r w:rsidRPr="002A21EA">
        <w:rPr>
          <w:rFonts w:ascii="Arial" w:hAnsi="Arial" w:cs="Arial"/>
          <w:i/>
          <w:color w:val="000000"/>
          <w:spacing w:val="-1"/>
          <w:sz w:val="20"/>
          <w:szCs w:val="20"/>
        </w:rPr>
        <w:t>a</w:t>
      </w:r>
      <w:r w:rsidRPr="002A21EA">
        <w:rPr>
          <w:rFonts w:ascii="Arial" w:hAnsi="Arial" w:cs="Arial"/>
          <w:i/>
          <w:color w:val="000000"/>
          <w:spacing w:val="2"/>
          <w:sz w:val="20"/>
          <w:szCs w:val="20"/>
        </w:rPr>
        <w:t>n</w:t>
      </w:r>
      <w:r w:rsidRPr="002A21EA">
        <w:rPr>
          <w:rFonts w:ascii="Arial" w:hAnsi="Arial" w:cs="Arial"/>
          <w:i/>
          <w:color w:val="000000"/>
          <w:spacing w:val="-1"/>
          <w:sz w:val="20"/>
          <w:szCs w:val="20"/>
        </w:rPr>
        <w:t>c</w:t>
      </w:r>
      <w:r w:rsidRPr="002A21EA">
        <w:rPr>
          <w:rFonts w:ascii="Arial" w:hAnsi="Arial" w:cs="Arial"/>
          <w:i/>
          <w:color w:val="000000"/>
          <w:sz w:val="20"/>
          <w:szCs w:val="20"/>
        </w:rPr>
        <w:t xml:space="preserve">ial </w:t>
      </w:r>
      <w:r w:rsidRPr="002A21EA">
        <w:rPr>
          <w:rFonts w:ascii="Arial" w:hAnsi="Arial" w:cs="Arial"/>
          <w:i/>
          <w:color w:val="000000"/>
          <w:spacing w:val="5"/>
          <w:sz w:val="20"/>
          <w:szCs w:val="20"/>
        </w:rPr>
        <w:t xml:space="preserve"> </w:t>
      </w:r>
      <w:r w:rsidRPr="002A21EA">
        <w:rPr>
          <w:rFonts w:ascii="Arial" w:hAnsi="Arial" w:cs="Arial"/>
          <w:i/>
          <w:color w:val="000000"/>
          <w:sz w:val="20"/>
          <w:szCs w:val="20"/>
        </w:rPr>
        <w:t>ins</w:t>
      </w:r>
      <w:r w:rsidRPr="002A21EA">
        <w:rPr>
          <w:rFonts w:ascii="Arial" w:hAnsi="Arial" w:cs="Arial"/>
          <w:i/>
          <w:color w:val="000000"/>
          <w:spacing w:val="1"/>
          <w:sz w:val="20"/>
          <w:szCs w:val="20"/>
        </w:rPr>
        <w:t>t</w:t>
      </w:r>
      <w:r w:rsidRPr="002A21EA">
        <w:rPr>
          <w:rFonts w:ascii="Arial" w:hAnsi="Arial" w:cs="Arial"/>
          <w:i/>
          <w:color w:val="000000"/>
          <w:sz w:val="20"/>
          <w:szCs w:val="20"/>
        </w:rPr>
        <w:t>rum</w:t>
      </w:r>
      <w:r w:rsidRPr="002A21EA">
        <w:rPr>
          <w:rFonts w:ascii="Arial" w:hAnsi="Arial" w:cs="Arial"/>
          <w:i/>
          <w:color w:val="000000"/>
          <w:spacing w:val="-1"/>
          <w:sz w:val="20"/>
          <w:szCs w:val="20"/>
        </w:rPr>
        <w:t>e</w:t>
      </w:r>
      <w:r w:rsidRPr="002A21EA">
        <w:rPr>
          <w:rFonts w:ascii="Arial" w:hAnsi="Arial" w:cs="Arial"/>
          <w:i/>
          <w:color w:val="000000"/>
          <w:sz w:val="20"/>
          <w:szCs w:val="20"/>
        </w:rPr>
        <w:t>nts</w:t>
      </w:r>
      <w:r>
        <w:rPr>
          <w:rFonts w:ascii="Arial" w:hAnsi="Arial" w:cs="Arial"/>
          <w:i/>
          <w:color w:val="000000"/>
          <w:sz w:val="20"/>
          <w:szCs w:val="20"/>
        </w:rPr>
        <w:t>:</w:t>
      </w:r>
      <w:r w:rsidRPr="001C7B7A">
        <w:rPr>
          <w:rFonts w:ascii="Arial" w:hAnsi="Arial" w:cs="Arial"/>
          <w:b/>
          <w:i/>
          <w:color w:val="000000"/>
          <w:sz w:val="20"/>
          <w:szCs w:val="20"/>
        </w:rPr>
        <w:t xml:space="preserve"> </w:t>
      </w:r>
      <w:r w:rsidRPr="001C7B7A">
        <w:rPr>
          <w:rFonts w:ascii="Arial" w:hAnsi="Arial" w:cs="Arial"/>
          <w:b/>
          <w:i/>
          <w:color w:val="000000"/>
          <w:spacing w:val="5"/>
          <w:sz w:val="20"/>
          <w:szCs w:val="20"/>
        </w:rPr>
        <w:t xml:space="preserve"> </w:t>
      </w:r>
    </w:p>
    <w:p w:rsidR="00B10F6A" w:rsidRDefault="00B10F6A" w:rsidP="00961A6D">
      <w:pPr>
        <w:pStyle w:val="NoSpacing"/>
        <w:rPr>
          <w:rFonts w:ascii="Arial" w:hAnsi="Arial" w:cs="Arial"/>
          <w:color w:val="000000"/>
          <w:sz w:val="20"/>
          <w:szCs w:val="20"/>
        </w:rPr>
      </w:pPr>
      <w:r w:rsidRPr="001C7B7A">
        <w:rPr>
          <w:rFonts w:ascii="Arial" w:hAnsi="Arial" w:cs="Arial"/>
          <w:color w:val="000000"/>
          <w:sz w:val="20"/>
          <w:szCs w:val="20"/>
        </w:rPr>
        <w:t xml:space="preserve">The AG would like to clarify that if </w:t>
      </w:r>
      <w:r>
        <w:rPr>
          <w:rFonts w:ascii="Arial" w:hAnsi="Arial" w:cs="Arial"/>
          <w:color w:val="000000"/>
          <w:sz w:val="20"/>
          <w:szCs w:val="20"/>
        </w:rPr>
        <w:t>a</w:t>
      </w:r>
      <w:r w:rsidRPr="001C7B7A">
        <w:rPr>
          <w:rFonts w:ascii="Arial" w:hAnsi="Arial" w:cs="Arial"/>
          <w:color w:val="000000"/>
          <w:sz w:val="20"/>
          <w:szCs w:val="20"/>
        </w:rPr>
        <w:t xml:space="preserve"> CSD reserves the relevant financial instruments (as proposed in </w:t>
      </w:r>
      <w:r>
        <w:rPr>
          <w:rFonts w:ascii="Arial" w:hAnsi="Arial" w:cs="Arial"/>
          <w:color w:val="000000"/>
          <w:sz w:val="20"/>
          <w:szCs w:val="20"/>
        </w:rPr>
        <w:t xml:space="preserve">RTS </w:t>
      </w:r>
      <w:r w:rsidRPr="001C7B7A">
        <w:rPr>
          <w:rFonts w:ascii="Arial" w:hAnsi="Arial" w:cs="Arial"/>
          <w:color w:val="000000"/>
          <w:sz w:val="20"/>
          <w:szCs w:val="20"/>
        </w:rPr>
        <w:t>Art</w:t>
      </w:r>
      <w:r>
        <w:rPr>
          <w:rFonts w:ascii="Arial" w:hAnsi="Arial" w:cs="Arial"/>
          <w:color w:val="000000"/>
          <w:sz w:val="20"/>
          <w:szCs w:val="20"/>
        </w:rPr>
        <w:t>.</w:t>
      </w:r>
      <w:r w:rsidRPr="001C7B7A">
        <w:rPr>
          <w:rFonts w:ascii="Arial" w:hAnsi="Arial" w:cs="Arial"/>
          <w:color w:val="000000"/>
          <w:sz w:val="20"/>
          <w:szCs w:val="20"/>
        </w:rPr>
        <w:t xml:space="preserve"> 11(5)) on the participant’s account, then partial settlement on that position cannot take place because the positions are by definition unavailable.</w:t>
      </w:r>
    </w:p>
    <w:p w:rsidR="00B10F6A" w:rsidRDefault="00B10F6A" w:rsidP="00961A6D">
      <w:pPr>
        <w:pStyle w:val="NoSpacing"/>
        <w:rPr>
          <w:rFonts w:ascii="Arial" w:hAnsi="Arial" w:cs="Arial"/>
          <w:b/>
          <w:i/>
          <w:color w:val="000000"/>
          <w:sz w:val="20"/>
          <w:szCs w:val="20"/>
          <w:u w:val="single"/>
        </w:rPr>
      </w:pPr>
      <w:r w:rsidRPr="00CB4036">
        <w:rPr>
          <w:rFonts w:ascii="Arial" w:hAnsi="Arial" w:cs="Arial"/>
          <w:b/>
          <w:i/>
          <w:color w:val="000000"/>
          <w:sz w:val="20"/>
          <w:szCs w:val="20"/>
          <w:u w:val="single"/>
        </w:rPr>
        <w:lastRenderedPageBreak/>
        <w:t>Alternative drafting proposal:</w:t>
      </w:r>
    </w:p>
    <w:p w:rsidR="00B10F6A" w:rsidRDefault="00B10F6A" w:rsidP="00961A6D">
      <w:pPr>
        <w:pStyle w:val="NoSpacing"/>
        <w:rPr>
          <w:rFonts w:ascii="Arial" w:hAnsi="Arial" w:cs="Arial"/>
          <w:color w:val="000000"/>
          <w:sz w:val="20"/>
          <w:szCs w:val="20"/>
        </w:rPr>
      </w:pPr>
      <w:r>
        <w:rPr>
          <w:rFonts w:ascii="Arial" w:hAnsi="Arial" w:cs="Arial"/>
          <w:color w:val="000000"/>
          <w:sz w:val="20"/>
          <w:szCs w:val="20"/>
        </w:rPr>
        <w:t>The AG would therefore propose to ESAM to consider</w:t>
      </w:r>
      <w:r w:rsidRPr="001C7B7A">
        <w:rPr>
          <w:rFonts w:ascii="Arial" w:hAnsi="Arial" w:cs="Arial"/>
          <w:color w:val="000000"/>
          <w:sz w:val="20"/>
          <w:szCs w:val="20"/>
        </w:rPr>
        <w:t xml:space="preserve"> </w:t>
      </w:r>
      <w:r>
        <w:rPr>
          <w:rFonts w:ascii="Arial" w:hAnsi="Arial" w:cs="Arial"/>
          <w:color w:val="000000"/>
          <w:sz w:val="20"/>
          <w:szCs w:val="20"/>
        </w:rPr>
        <w:t>deleting</w:t>
      </w:r>
      <w:r w:rsidRPr="001C7B7A">
        <w:rPr>
          <w:rFonts w:ascii="Arial" w:hAnsi="Arial" w:cs="Arial"/>
          <w:color w:val="000000"/>
          <w:sz w:val="20"/>
          <w:szCs w:val="20"/>
        </w:rPr>
        <w:t xml:space="preserve"> the following sentence from the RTS</w:t>
      </w:r>
      <w:r>
        <w:rPr>
          <w:rFonts w:ascii="Arial" w:hAnsi="Arial" w:cs="Arial"/>
          <w:color w:val="000000"/>
          <w:sz w:val="20"/>
          <w:szCs w:val="20"/>
        </w:rPr>
        <w:t xml:space="preserve"> Art. 11(5)</w:t>
      </w:r>
      <w:r w:rsidRPr="001C7B7A">
        <w:rPr>
          <w:rFonts w:ascii="Arial" w:hAnsi="Arial" w:cs="Arial"/>
          <w:color w:val="000000"/>
          <w:sz w:val="20"/>
          <w:szCs w:val="20"/>
        </w:rPr>
        <w:t xml:space="preserve"> :</w:t>
      </w:r>
    </w:p>
    <w:p w:rsidR="00B10F6A" w:rsidRDefault="00B10F6A" w:rsidP="00961A6D">
      <w:pPr>
        <w:pStyle w:val="NoSpacing"/>
        <w:rPr>
          <w:rFonts w:ascii="Arial" w:hAnsi="Arial" w:cs="Arial"/>
          <w:i/>
          <w:color w:val="000000"/>
          <w:sz w:val="20"/>
          <w:szCs w:val="20"/>
        </w:rPr>
      </w:pPr>
      <w:r w:rsidRPr="001C7B7A">
        <w:rPr>
          <w:rFonts w:ascii="Arial" w:hAnsi="Arial" w:cs="Arial"/>
          <w:color w:val="000000"/>
          <w:sz w:val="20"/>
          <w:szCs w:val="20"/>
        </w:rPr>
        <w:t>“</w:t>
      </w:r>
      <w:r w:rsidRPr="001C7B7A">
        <w:rPr>
          <w:rFonts w:ascii="Arial" w:hAnsi="Arial" w:cs="Arial"/>
          <w:i/>
          <w:color w:val="000000"/>
          <w:sz w:val="20"/>
          <w:szCs w:val="20"/>
        </w:rPr>
        <w:t>The CSD  shall  reserve  the  relevant  financial  instruments  available  in  the  failing participant’s a</w:t>
      </w:r>
      <w:r w:rsidRPr="001C7B7A">
        <w:rPr>
          <w:rFonts w:ascii="Arial" w:hAnsi="Arial" w:cs="Arial"/>
          <w:i/>
          <w:color w:val="000000"/>
          <w:sz w:val="20"/>
          <w:szCs w:val="20"/>
        </w:rPr>
        <w:t>c</w:t>
      </w:r>
      <w:r w:rsidRPr="001C7B7A">
        <w:rPr>
          <w:rFonts w:ascii="Arial" w:hAnsi="Arial" w:cs="Arial"/>
          <w:i/>
          <w:color w:val="000000"/>
          <w:sz w:val="20"/>
          <w:szCs w:val="20"/>
        </w:rPr>
        <w:t>count for the settlement of that instruction.”</w:t>
      </w:r>
    </w:p>
    <w:p w:rsidR="00B10F6A" w:rsidRDefault="00B10F6A" w:rsidP="00961A6D">
      <w:pPr>
        <w:pStyle w:val="NoSpacing"/>
        <w:rPr>
          <w:rFonts w:ascii="Arial" w:hAnsi="Arial" w:cs="Arial"/>
          <w:i/>
          <w:color w:val="000000"/>
          <w:sz w:val="20"/>
          <w:szCs w:val="20"/>
        </w:rPr>
      </w:pPr>
    </w:p>
    <w:p w:rsidR="00B10F6A" w:rsidRDefault="00B10F6A" w:rsidP="00961A6D">
      <w:pPr>
        <w:pStyle w:val="NoSpacing"/>
        <w:rPr>
          <w:rFonts w:ascii="Arial" w:hAnsi="Arial" w:cs="Arial"/>
          <w:i/>
          <w:iCs/>
          <w:color w:val="000000"/>
          <w:sz w:val="20"/>
          <w:szCs w:val="20"/>
        </w:rPr>
      </w:pPr>
      <w:r w:rsidRPr="002A21EA">
        <w:rPr>
          <w:rFonts w:ascii="Arial" w:hAnsi="Arial" w:cs="Arial"/>
          <w:b/>
          <w:color w:val="000000"/>
          <w:sz w:val="20"/>
          <w:szCs w:val="20"/>
        </w:rPr>
        <w:t xml:space="preserve">RTS </w:t>
      </w:r>
      <w:r>
        <w:rPr>
          <w:rFonts w:ascii="Arial" w:hAnsi="Arial" w:cs="Arial"/>
          <w:b/>
          <w:bCs/>
          <w:color w:val="000000"/>
          <w:sz w:val="20"/>
          <w:szCs w:val="20"/>
        </w:rPr>
        <w:t>Art. 11(6)</w:t>
      </w:r>
      <w:r w:rsidR="008C054B">
        <w:rPr>
          <w:rFonts w:ascii="Arial" w:hAnsi="Arial" w:cs="Arial"/>
          <w:b/>
          <w:bCs/>
          <w:color w:val="000000"/>
          <w:sz w:val="20"/>
          <w:szCs w:val="20"/>
        </w:rPr>
        <w:t>,</w:t>
      </w:r>
      <w:r w:rsidR="008C054B" w:rsidRPr="008C054B">
        <w:rPr>
          <w:rFonts w:ascii="Arial" w:hAnsi="Arial" w:cs="Arial"/>
          <w:b/>
          <w:color w:val="000000"/>
          <w:sz w:val="20"/>
          <w:szCs w:val="20"/>
        </w:rPr>
        <w:t xml:space="preserve"> </w:t>
      </w:r>
      <w:r w:rsidR="008C054B">
        <w:rPr>
          <w:rFonts w:ascii="Arial" w:hAnsi="Arial" w:cs="Arial"/>
          <w:b/>
          <w:color w:val="000000"/>
          <w:sz w:val="20"/>
          <w:szCs w:val="20"/>
        </w:rPr>
        <w:t>Annex I</w:t>
      </w:r>
      <w:r>
        <w:rPr>
          <w:rFonts w:ascii="Arial" w:hAnsi="Arial" w:cs="Arial"/>
          <w:b/>
          <w:bCs/>
          <w:i/>
          <w:iCs/>
          <w:color w:val="000000"/>
          <w:sz w:val="20"/>
          <w:szCs w:val="20"/>
        </w:rPr>
        <w:t xml:space="preserve"> </w:t>
      </w:r>
      <w:r>
        <w:rPr>
          <w:rFonts w:ascii="Arial" w:hAnsi="Arial" w:cs="Arial"/>
          <w:i/>
          <w:iCs/>
          <w:color w:val="000000"/>
          <w:sz w:val="20"/>
          <w:szCs w:val="20"/>
        </w:rPr>
        <w:t>on partialling and buy-in process:</w:t>
      </w:r>
    </w:p>
    <w:p w:rsidR="00B10F6A" w:rsidRDefault="00B10F6A" w:rsidP="00961A6D">
      <w:pPr>
        <w:pStyle w:val="NoSpacing"/>
        <w:rPr>
          <w:rFonts w:ascii="Arial" w:hAnsi="Arial" w:cs="Arial"/>
          <w:color w:val="000000"/>
          <w:sz w:val="20"/>
          <w:szCs w:val="20"/>
        </w:rPr>
      </w:pPr>
      <w:r>
        <w:rPr>
          <w:rFonts w:ascii="Arial" w:hAnsi="Arial" w:cs="Arial"/>
          <w:color w:val="000000"/>
          <w:sz w:val="20"/>
          <w:szCs w:val="20"/>
        </w:rPr>
        <w:t>The AG is of the opinion that mandatory partial settlement should not be applied on the last day of the extension period but at an earlier stage e.g. as of ISD+x business days (where ISD +x should be earlier than the end of the extension period).</w:t>
      </w:r>
    </w:p>
    <w:p w:rsidR="00B10F6A" w:rsidRDefault="00B10F6A" w:rsidP="00961A6D">
      <w:pPr>
        <w:pStyle w:val="NoSpacing"/>
        <w:rPr>
          <w:rFonts w:ascii="Arial" w:hAnsi="Arial" w:cs="Arial"/>
          <w:color w:val="000000"/>
          <w:sz w:val="20"/>
          <w:szCs w:val="20"/>
        </w:rPr>
      </w:pPr>
      <w:r>
        <w:rPr>
          <w:rFonts w:ascii="Arial" w:hAnsi="Arial" w:cs="Arial"/>
          <w:color w:val="000000"/>
          <w:sz w:val="20"/>
          <w:szCs w:val="20"/>
        </w:rPr>
        <w:t xml:space="preserve">The AG proposal would allow for some opportunity for the trade to settle (partially) before the end of the extension period. This, in turn, would provide more opportunities for other pending transactions to settle before the end of the extension period, since more liquidity (securities and cash) would be available in the settlement system.  </w:t>
      </w:r>
    </w:p>
    <w:p w:rsidR="00B10F6A" w:rsidRDefault="00B10F6A" w:rsidP="00961A6D">
      <w:pPr>
        <w:pStyle w:val="NoSpacing"/>
        <w:rPr>
          <w:rFonts w:ascii="Arial" w:hAnsi="Arial" w:cs="Arial"/>
          <w:color w:val="000000"/>
          <w:sz w:val="20"/>
          <w:szCs w:val="20"/>
        </w:rPr>
      </w:pPr>
      <w:r>
        <w:rPr>
          <w:rFonts w:ascii="Arial" w:hAnsi="Arial" w:cs="Arial"/>
          <w:color w:val="000000"/>
          <w:sz w:val="20"/>
          <w:szCs w:val="20"/>
        </w:rPr>
        <w:t>Regarding the cash and securities thresholds of the partialling processing the AG would like to note the following:</w:t>
      </w:r>
    </w:p>
    <w:p w:rsidR="00B10F6A" w:rsidRDefault="00B10F6A" w:rsidP="00961A6D">
      <w:pPr>
        <w:pStyle w:val="NoSpacing"/>
        <w:rPr>
          <w:rFonts w:ascii="Arial" w:hAnsi="Arial" w:cs="Arial"/>
          <w:color w:val="000000"/>
          <w:sz w:val="20"/>
          <w:szCs w:val="20"/>
        </w:rPr>
      </w:pPr>
      <w:r>
        <w:rPr>
          <w:rFonts w:ascii="Arial" w:hAnsi="Arial" w:cs="Arial"/>
          <w:color w:val="000000"/>
          <w:sz w:val="20"/>
          <w:szCs w:val="20"/>
        </w:rPr>
        <w:t xml:space="preserve">Quantity thresholds (on securities) on partial settlement should be provided by CSDs as there should be no settlement below a certain minimum settlement quantity or not in accordance with the settlement unit multiple agreed for a given security. If partial settlement would be allowed without respecting the minimum settlement quantity and settlement unit multiple of an ISIN, it could lead to the need of manual corrections which have to be performed by CSDs. </w:t>
      </w:r>
    </w:p>
    <w:p w:rsidR="00B10F6A" w:rsidRDefault="00B10F6A" w:rsidP="00961A6D">
      <w:pPr>
        <w:pStyle w:val="NoSpacing"/>
        <w:rPr>
          <w:rFonts w:ascii="Arial" w:hAnsi="Arial" w:cs="Arial"/>
          <w:color w:val="000000"/>
          <w:sz w:val="20"/>
          <w:szCs w:val="20"/>
        </w:rPr>
      </w:pPr>
      <w:r>
        <w:rPr>
          <w:rFonts w:ascii="Arial" w:hAnsi="Arial" w:cs="Arial"/>
          <w:color w:val="000000"/>
          <w:sz w:val="20"/>
          <w:szCs w:val="20"/>
        </w:rPr>
        <w:t>Cash thresholds on partial settlement are also applied in most schemes for partial settlement. If those are removed for all partial settlement on ISD, it will lead to unnecessary increase of settlement volumes and, therefore, additional costs for all the actors. However, if these cash thresholds are applied also in the extension period, this could lead in rare cases to situations which will not be compatible with the immu</w:t>
      </w:r>
      <w:r>
        <w:rPr>
          <w:rFonts w:ascii="Arial" w:hAnsi="Arial" w:cs="Arial"/>
          <w:color w:val="000000"/>
          <w:sz w:val="20"/>
          <w:szCs w:val="20"/>
        </w:rPr>
        <w:t>n</w:t>
      </w:r>
      <w:r>
        <w:rPr>
          <w:rFonts w:ascii="Arial" w:hAnsi="Arial" w:cs="Arial"/>
          <w:color w:val="000000"/>
          <w:sz w:val="20"/>
          <w:szCs w:val="20"/>
        </w:rPr>
        <w:t>ization principle (netting of penalties paid and penalties received in case of chains of transactions) as described by ESMA in para 65 of the consultation paper (page 23). Therefore, the AG proposes that the threshold of cash on partial settlement is not applied when partial settlement is made mandatory in the extension period.</w:t>
      </w:r>
    </w:p>
    <w:p w:rsidR="00B10F6A" w:rsidRDefault="00B10F6A" w:rsidP="00961A6D">
      <w:pPr>
        <w:pStyle w:val="NoSpacing"/>
        <w:rPr>
          <w:rFonts w:ascii="Arial" w:hAnsi="Arial" w:cs="Arial"/>
          <w:b/>
          <w:bCs/>
          <w:i/>
          <w:iCs/>
          <w:color w:val="000000"/>
          <w:sz w:val="20"/>
          <w:szCs w:val="20"/>
        </w:rPr>
      </w:pPr>
      <w:r>
        <w:rPr>
          <w:rFonts w:ascii="Arial" w:hAnsi="Arial" w:cs="Arial"/>
          <w:b/>
          <w:bCs/>
          <w:i/>
          <w:iCs/>
          <w:color w:val="000000"/>
          <w:sz w:val="20"/>
          <w:szCs w:val="20"/>
        </w:rPr>
        <w:t>Alternative drafting proposal:</w:t>
      </w:r>
    </w:p>
    <w:p w:rsidR="00B10F6A" w:rsidRDefault="00B10F6A" w:rsidP="00961A6D">
      <w:pPr>
        <w:pStyle w:val="NoSpacing"/>
        <w:rPr>
          <w:rFonts w:ascii="Arial" w:hAnsi="Arial" w:cs="Arial"/>
          <w:i/>
          <w:sz w:val="20"/>
          <w:szCs w:val="20"/>
        </w:rPr>
      </w:pPr>
      <w:r w:rsidRPr="002F7D81">
        <w:rPr>
          <w:rFonts w:ascii="Arial" w:hAnsi="Arial" w:cs="Arial"/>
          <w:i/>
          <w:sz w:val="20"/>
          <w:szCs w:val="20"/>
        </w:rPr>
        <w:t>“6.   The partialling functionality offered by the CSD, referred to under Article 3 (7), shall be applied as of intended settlement day (ISD) + x business days on the last day  of the extension period when the fina</w:t>
      </w:r>
      <w:r w:rsidRPr="002F7D81">
        <w:rPr>
          <w:rFonts w:ascii="Arial" w:hAnsi="Arial" w:cs="Arial"/>
          <w:i/>
          <w:sz w:val="20"/>
          <w:szCs w:val="20"/>
        </w:rPr>
        <w:t>n</w:t>
      </w:r>
      <w:r w:rsidRPr="002F7D81">
        <w:rPr>
          <w:rFonts w:ascii="Arial" w:hAnsi="Arial" w:cs="Arial"/>
          <w:i/>
          <w:sz w:val="20"/>
          <w:szCs w:val="20"/>
        </w:rPr>
        <w:t xml:space="preserve">cial instruments are available in the account of the delivering participant irrespective of any opt out elected by the receiving participant.” </w:t>
      </w:r>
    </w:p>
    <w:p w:rsidR="00B10F6A" w:rsidRDefault="00B10F6A" w:rsidP="00961A6D">
      <w:pPr>
        <w:pStyle w:val="NoSpacing"/>
        <w:rPr>
          <w:rFonts w:ascii="Arial" w:hAnsi="Arial" w:cs="Arial"/>
          <w:sz w:val="20"/>
          <w:szCs w:val="20"/>
        </w:rPr>
      </w:pPr>
      <w:r>
        <w:rPr>
          <w:rFonts w:ascii="Arial" w:hAnsi="Arial" w:cs="Arial"/>
          <w:sz w:val="20"/>
          <w:szCs w:val="20"/>
        </w:rPr>
        <w:t xml:space="preserve">The AG would invite ESMA to consider the following principle: </w:t>
      </w:r>
      <w:r w:rsidRPr="00CB4949">
        <w:rPr>
          <w:rFonts w:ascii="Arial" w:hAnsi="Arial" w:cs="Arial"/>
          <w:sz w:val="20"/>
          <w:szCs w:val="20"/>
        </w:rPr>
        <w:t>In order to avoid manual operations to correct securities positions while allowing netting of penalties paid and penalties received by participants in chains of transactions, the mandatory partial settlement facility applied in the extension period should respect the minimum settlement unit and the settlement unit multiple attributes of the ISINs but not any minimum cash thresholds for partial settlement which are normally applied for settlement on the ISD</w:t>
      </w:r>
      <w:r>
        <w:rPr>
          <w:rFonts w:ascii="Arial" w:hAnsi="Arial" w:cs="Arial"/>
          <w:sz w:val="20"/>
          <w:szCs w:val="20"/>
        </w:rPr>
        <w:t>.</w:t>
      </w:r>
    </w:p>
    <w:p w:rsidR="00B10F6A" w:rsidRDefault="00B10F6A" w:rsidP="00961A6D">
      <w:pPr>
        <w:pStyle w:val="NoSpacing"/>
        <w:rPr>
          <w:rFonts w:ascii="Arial" w:hAnsi="Arial" w:cs="Arial"/>
          <w:sz w:val="20"/>
          <w:szCs w:val="20"/>
        </w:rPr>
      </w:pPr>
    </w:p>
    <w:p w:rsidR="00B10F6A" w:rsidRDefault="00B10F6A" w:rsidP="00961A6D">
      <w:pPr>
        <w:pStyle w:val="NoSpacing"/>
        <w:rPr>
          <w:rFonts w:ascii="Arial" w:hAnsi="Arial" w:cs="Arial"/>
          <w:i/>
          <w:color w:val="000000"/>
          <w:sz w:val="20"/>
          <w:szCs w:val="20"/>
        </w:rPr>
      </w:pPr>
      <w:r w:rsidRPr="000D4C0C">
        <w:rPr>
          <w:rFonts w:ascii="Arial" w:hAnsi="Arial" w:cs="Arial"/>
          <w:b/>
          <w:color w:val="000000"/>
          <w:sz w:val="20"/>
          <w:szCs w:val="20"/>
        </w:rPr>
        <w:t>RTS Art. 11(9</w:t>
      </w:r>
      <w:r w:rsidRPr="002A21EA">
        <w:rPr>
          <w:rFonts w:ascii="Arial" w:hAnsi="Arial" w:cs="Arial"/>
          <w:b/>
          <w:i/>
          <w:color w:val="000000"/>
          <w:sz w:val="20"/>
          <w:szCs w:val="20"/>
        </w:rPr>
        <w:t>)</w:t>
      </w:r>
      <w:r w:rsidR="008C054B">
        <w:rPr>
          <w:rFonts w:ascii="Arial" w:hAnsi="Arial" w:cs="Arial"/>
          <w:b/>
          <w:i/>
          <w:color w:val="000000"/>
          <w:sz w:val="20"/>
          <w:szCs w:val="20"/>
        </w:rPr>
        <w:t>,</w:t>
      </w:r>
      <w:r w:rsidR="008C054B" w:rsidRPr="008C054B">
        <w:rPr>
          <w:rFonts w:ascii="Arial" w:hAnsi="Arial" w:cs="Arial"/>
          <w:b/>
          <w:color w:val="000000"/>
          <w:sz w:val="20"/>
          <w:szCs w:val="20"/>
        </w:rPr>
        <w:t xml:space="preserve"> </w:t>
      </w:r>
      <w:r w:rsidR="008C054B">
        <w:rPr>
          <w:rFonts w:ascii="Arial" w:hAnsi="Arial" w:cs="Arial"/>
          <w:b/>
          <w:color w:val="000000"/>
          <w:sz w:val="20"/>
          <w:szCs w:val="20"/>
        </w:rPr>
        <w:t>Annex I</w:t>
      </w:r>
      <w:r w:rsidRPr="001C7B7A">
        <w:rPr>
          <w:rFonts w:ascii="Arial" w:hAnsi="Arial" w:cs="Arial"/>
          <w:b/>
          <w:i/>
          <w:color w:val="000000"/>
          <w:sz w:val="20"/>
          <w:szCs w:val="20"/>
        </w:rPr>
        <w:t xml:space="preserve"> </w:t>
      </w:r>
      <w:r w:rsidRPr="002A21EA">
        <w:rPr>
          <w:rFonts w:ascii="Arial" w:hAnsi="Arial" w:cs="Arial"/>
          <w:i/>
          <w:color w:val="000000"/>
          <w:sz w:val="20"/>
          <w:szCs w:val="20"/>
        </w:rPr>
        <w:t>on buy-in not possible</w:t>
      </w:r>
      <w:r>
        <w:rPr>
          <w:rFonts w:ascii="Arial" w:hAnsi="Arial" w:cs="Arial"/>
          <w:i/>
          <w:color w:val="000000"/>
          <w:sz w:val="20"/>
          <w:szCs w:val="20"/>
        </w:rPr>
        <w:t>:</w:t>
      </w:r>
    </w:p>
    <w:p w:rsidR="00B10F6A" w:rsidRDefault="00B10F6A" w:rsidP="00961A6D">
      <w:pPr>
        <w:pStyle w:val="NoSpacing"/>
        <w:rPr>
          <w:rFonts w:ascii="Arial" w:hAnsi="Arial" w:cs="Arial"/>
          <w:sz w:val="20"/>
          <w:szCs w:val="20"/>
        </w:rPr>
      </w:pPr>
      <w:r w:rsidRPr="001C7B7A">
        <w:rPr>
          <w:rFonts w:ascii="Arial" w:hAnsi="Arial" w:cs="Arial"/>
          <w:sz w:val="20"/>
          <w:szCs w:val="20"/>
        </w:rPr>
        <w:t>In some circumstances a financial instrument may not be available any more on the market, for instance when a financial instrument has redeemed or was converted</w:t>
      </w:r>
      <w:r>
        <w:rPr>
          <w:rFonts w:ascii="Arial" w:hAnsi="Arial" w:cs="Arial"/>
          <w:sz w:val="20"/>
          <w:szCs w:val="20"/>
        </w:rPr>
        <w:t xml:space="preserve"> (i.e. certain corporate actions)</w:t>
      </w:r>
      <w:r w:rsidRPr="001C7B7A">
        <w:rPr>
          <w:rFonts w:ascii="Arial" w:hAnsi="Arial" w:cs="Arial"/>
          <w:sz w:val="20"/>
          <w:szCs w:val="20"/>
        </w:rPr>
        <w:t xml:space="preserve">. In these situations a buy-in would not be possible. </w:t>
      </w:r>
      <w:r>
        <w:rPr>
          <w:rFonts w:ascii="Arial" w:hAnsi="Arial" w:cs="Arial"/>
          <w:sz w:val="20"/>
          <w:szCs w:val="20"/>
        </w:rPr>
        <w:t>In such case, and in line with the Market Standards for Corp</w:t>
      </w:r>
      <w:r>
        <w:rPr>
          <w:rFonts w:ascii="Arial" w:hAnsi="Arial" w:cs="Arial"/>
          <w:sz w:val="20"/>
          <w:szCs w:val="20"/>
        </w:rPr>
        <w:t>o</w:t>
      </w:r>
      <w:r>
        <w:rPr>
          <w:rFonts w:ascii="Arial" w:hAnsi="Arial" w:cs="Arial"/>
          <w:sz w:val="20"/>
          <w:szCs w:val="20"/>
        </w:rPr>
        <w:t>rate Actions Processing, the result of the corporate action entitlements would compensate the counterpa</w:t>
      </w:r>
      <w:r>
        <w:rPr>
          <w:rFonts w:ascii="Arial" w:hAnsi="Arial" w:cs="Arial"/>
          <w:sz w:val="20"/>
          <w:szCs w:val="20"/>
        </w:rPr>
        <w:t>r</w:t>
      </w:r>
      <w:r>
        <w:rPr>
          <w:rFonts w:ascii="Arial" w:hAnsi="Arial" w:cs="Arial"/>
          <w:sz w:val="20"/>
          <w:szCs w:val="20"/>
        </w:rPr>
        <w:t xml:space="preserve">ties. </w:t>
      </w:r>
    </w:p>
    <w:p w:rsidR="00B10F6A" w:rsidRDefault="00B10F6A" w:rsidP="00961A6D">
      <w:pPr>
        <w:pStyle w:val="NoSpacing"/>
        <w:rPr>
          <w:rFonts w:ascii="Arial" w:hAnsi="Arial" w:cs="Arial"/>
          <w:b/>
          <w:color w:val="000000"/>
          <w:sz w:val="20"/>
          <w:szCs w:val="20"/>
        </w:rPr>
      </w:pPr>
    </w:p>
    <w:p w:rsidR="00B10F6A" w:rsidRDefault="00B10F6A" w:rsidP="00961A6D">
      <w:pPr>
        <w:pStyle w:val="NoSpacing"/>
        <w:rPr>
          <w:rFonts w:ascii="Arial" w:hAnsi="Arial" w:cs="Arial"/>
          <w:b/>
          <w:i/>
          <w:color w:val="000000"/>
          <w:sz w:val="20"/>
          <w:szCs w:val="20"/>
        </w:rPr>
      </w:pPr>
      <w:r w:rsidRPr="000D4C0C">
        <w:rPr>
          <w:rFonts w:ascii="Arial" w:hAnsi="Arial" w:cs="Arial"/>
          <w:b/>
          <w:color w:val="000000"/>
          <w:sz w:val="20"/>
          <w:szCs w:val="20"/>
        </w:rPr>
        <w:t>RTS Art.</w:t>
      </w:r>
      <w:r>
        <w:rPr>
          <w:rFonts w:ascii="Arial" w:hAnsi="Arial" w:cs="Arial"/>
          <w:b/>
          <w:color w:val="000000"/>
          <w:sz w:val="20"/>
          <w:szCs w:val="20"/>
        </w:rPr>
        <w:t xml:space="preserve"> </w:t>
      </w:r>
      <w:r w:rsidRPr="000D4C0C">
        <w:rPr>
          <w:rFonts w:ascii="Arial" w:hAnsi="Arial" w:cs="Arial"/>
          <w:b/>
          <w:color w:val="000000"/>
          <w:sz w:val="20"/>
          <w:szCs w:val="20"/>
        </w:rPr>
        <w:t>11(10)</w:t>
      </w:r>
      <w:r w:rsidR="008C054B">
        <w:rPr>
          <w:rFonts w:ascii="Arial" w:hAnsi="Arial" w:cs="Arial"/>
          <w:b/>
          <w:color w:val="000000"/>
          <w:sz w:val="20"/>
          <w:szCs w:val="20"/>
        </w:rPr>
        <w:t>,</w:t>
      </w:r>
      <w:r w:rsidR="008C054B" w:rsidRPr="008C054B">
        <w:rPr>
          <w:rFonts w:ascii="Arial" w:hAnsi="Arial" w:cs="Arial"/>
          <w:b/>
          <w:color w:val="000000"/>
          <w:sz w:val="20"/>
          <w:szCs w:val="20"/>
        </w:rPr>
        <w:t xml:space="preserve"> </w:t>
      </w:r>
      <w:r w:rsidR="008C054B">
        <w:rPr>
          <w:rFonts w:ascii="Arial" w:hAnsi="Arial" w:cs="Arial"/>
          <w:b/>
          <w:color w:val="000000"/>
          <w:sz w:val="20"/>
          <w:szCs w:val="20"/>
        </w:rPr>
        <w:t>Annex I</w:t>
      </w:r>
      <w:r w:rsidRPr="001C7B7A">
        <w:rPr>
          <w:rFonts w:ascii="Arial" w:hAnsi="Arial" w:cs="Arial"/>
          <w:b/>
          <w:i/>
          <w:color w:val="000000"/>
          <w:sz w:val="20"/>
          <w:szCs w:val="20"/>
        </w:rPr>
        <w:t xml:space="preserve"> </w:t>
      </w:r>
      <w:r w:rsidRPr="000D4C0C">
        <w:rPr>
          <w:rFonts w:ascii="Arial" w:hAnsi="Arial" w:cs="Arial"/>
          <w:i/>
          <w:color w:val="000000"/>
          <w:sz w:val="20"/>
          <w:szCs w:val="20"/>
        </w:rPr>
        <w:t>on the details of actors causing the fail</w:t>
      </w:r>
      <w:r>
        <w:rPr>
          <w:rFonts w:ascii="Arial" w:hAnsi="Arial" w:cs="Arial"/>
          <w:b/>
          <w:i/>
          <w:color w:val="000000"/>
          <w:sz w:val="20"/>
          <w:szCs w:val="20"/>
        </w:rPr>
        <w:t>:</w:t>
      </w:r>
    </w:p>
    <w:p w:rsidR="00B10F6A" w:rsidRDefault="00B10F6A" w:rsidP="00961A6D">
      <w:pPr>
        <w:pStyle w:val="NoSpacing"/>
        <w:rPr>
          <w:rFonts w:ascii="Arial" w:hAnsi="Arial" w:cs="Arial"/>
          <w:color w:val="000000"/>
          <w:sz w:val="20"/>
          <w:szCs w:val="20"/>
        </w:rPr>
      </w:pPr>
      <w:r w:rsidRPr="001C7B7A">
        <w:rPr>
          <w:rFonts w:ascii="Arial" w:hAnsi="Arial" w:cs="Arial"/>
          <w:color w:val="000000"/>
          <w:sz w:val="20"/>
          <w:szCs w:val="20"/>
        </w:rPr>
        <w:t>The AG is of the opinion that the CSDs cannot identify who are the actors that “caused the fail” beyond its own CSD participants. In addition</w:t>
      </w:r>
      <w:r>
        <w:rPr>
          <w:rFonts w:ascii="Arial" w:hAnsi="Arial" w:cs="Arial"/>
          <w:color w:val="000000"/>
          <w:sz w:val="20"/>
          <w:szCs w:val="20"/>
        </w:rPr>
        <w:t>,</w:t>
      </w:r>
      <w:r w:rsidRPr="001C7B7A">
        <w:rPr>
          <w:rFonts w:ascii="Arial" w:hAnsi="Arial" w:cs="Arial"/>
          <w:color w:val="000000"/>
          <w:sz w:val="20"/>
          <w:szCs w:val="20"/>
        </w:rPr>
        <w:t xml:space="preserve"> the RTS is requiring “CSDs to test the consistency of this information”. This is related to the vaguely defined notion of chains of failed transactions (see also AG comment on chains in the ESMA’s Technical Advice text).</w:t>
      </w:r>
    </w:p>
    <w:p w:rsidR="00B10F6A" w:rsidRDefault="00B10F6A" w:rsidP="00961A6D">
      <w:pPr>
        <w:pStyle w:val="NoSpacing"/>
        <w:rPr>
          <w:rFonts w:ascii="Arial" w:hAnsi="Arial" w:cs="Arial"/>
          <w:color w:val="000000"/>
          <w:sz w:val="20"/>
          <w:szCs w:val="20"/>
        </w:rPr>
      </w:pPr>
      <w:r w:rsidRPr="001C7B7A">
        <w:rPr>
          <w:rFonts w:ascii="Arial" w:hAnsi="Arial" w:cs="Arial"/>
          <w:color w:val="000000"/>
          <w:sz w:val="20"/>
          <w:szCs w:val="20"/>
        </w:rPr>
        <w:t xml:space="preserve">The CSDs are not aware of the originating trading parties </w:t>
      </w:r>
      <w:r>
        <w:rPr>
          <w:rFonts w:ascii="Arial" w:hAnsi="Arial" w:cs="Arial"/>
          <w:color w:val="000000"/>
          <w:sz w:val="20"/>
          <w:szCs w:val="20"/>
        </w:rPr>
        <w:t>behind</w:t>
      </w:r>
      <w:r w:rsidRPr="001C7B7A">
        <w:rPr>
          <w:rFonts w:ascii="Arial" w:hAnsi="Arial" w:cs="Arial"/>
          <w:color w:val="000000"/>
          <w:sz w:val="20"/>
          <w:szCs w:val="20"/>
        </w:rPr>
        <w:t xml:space="preserve"> </w:t>
      </w:r>
      <w:r>
        <w:rPr>
          <w:rFonts w:ascii="Arial" w:hAnsi="Arial" w:cs="Arial"/>
          <w:color w:val="000000"/>
          <w:sz w:val="20"/>
          <w:szCs w:val="20"/>
        </w:rPr>
        <w:t>the transaction they settle on their books</w:t>
      </w:r>
      <w:r w:rsidRPr="001C7B7A">
        <w:rPr>
          <w:rFonts w:ascii="Arial" w:hAnsi="Arial" w:cs="Arial"/>
          <w:color w:val="000000"/>
          <w:sz w:val="20"/>
          <w:szCs w:val="20"/>
        </w:rPr>
        <w:t>. In addition, the AG would like to note that no CSD participant knows, or can know the whole tran</w:t>
      </w:r>
      <w:r w:rsidRPr="001C7B7A">
        <w:rPr>
          <w:rFonts w:ascii="Arial" w:hAnsi="Arial" w:cs="Arial"/>
          <w:color w:val="000000"/>
          <w:sz w:val="20"/>
          <w:szCs w:val="20"/>
        </w:rPr>
        <w:t>s</w:t>
      </w:r>
      <w:r w:rsidRPr="001C7B7A">
        <w:rPr>
          <w:rFonts w:ascii="Arial" w:hAnsi="Arial" w:cs="Arial"/>
          <w:color w:val="000000"/>
          <w:sz w:val="20"/>
          <w:szCs w:val="20"/>
        </w:rPr>
        <w:t xml:space="preserve">action chain, but the participants can only “in the middle” pass on the information down the transaction chain. </w:t>
      </w:r>
    </w:p>
    <w:p w:rsidR="00B10F6A" w:rsidRDefault="00B10F6A" w:rsidP="00961A6D">
      <w:pPr>
        <w:pStyle w:val="NoSpacing"/>
        <w:rPr>
          <w:rFonts w:ascii="Arial" w:hAnsi="Arial" w:cs="Arial"/>
          <w:color w:val="000000"/>
          <w:sz w:val="20"/>
          <w:szCs w:val="20"/>
        </w:rPr>
      </w:pPr>
      <w:r>
        <w:rPr>
          <w:rFonts w:ascii="Arial" w:hAnsi="Arial" w:cs="Arial"/>
          <w:color w:val="000000"/>
          <w:sz w:val="20"/>
          <w:szCs w:val="20"/>
        </w:rPr>
        <w:lastRenderedPageBreak/>
        <w:t>T</w:t>
      </w:r>
      <w:r w:rsidRPr="001C7B7A">
        <w:rPr>
          <w:rFonts w:ascii="Arial" w:hAnsi="Arial" w:cs="Arial"/>
          <w:color w:val="000000"/>
          <w:sz w:val="20"/>
          <w:szCs w:val="20"/>
        </w:rPr>
        <w:t>he AG is of the opinion that there should be an inverse flow process, i.e. the CSD first informs its partic</w:t>
      </w:r>
      <w:r w:rsidRPr="001C7B7A">
        <w:rPr>
          <w:rFonts w:ascii="Arial" w:hAnsi="Arial" w:cs="Arial"/>
          <w:color w:val="000000"/>
          <w:sz w:val="20"/>
          <w:szCs w:val="20"/>
        </w:rPr>
        <w:t>i</w:t>
      </w:r>
      <w:r w:rsidRPr="001C7B7A">
        <w:rPr>
          <w:rFonts w:ascii="Arial" w:hAnsi="Arial" w:cs="Arial"/>
          <w:color w:val="000000"/>
          <w:sz w:val="20"/>
          <w:szCs w:val="20"/>
        </w:rPr>
        <w:t>pants on the failed settlement transactions. As a next step in the process flow, the CSD participants inform their own clients responsible for the failed transaction.</w:t>
      </w:r>
      <w:r>
        <w:rPr>
          <w:rFonts w:ascii="Arial" w:hAnsi="Arial" w:cs="Arial"/>
          <w:color w:val="000000"/>
          <w:sz w:val="20"/>
          <w:szCs w:val="20"/>
        </w:rPr>
        <w:t xml:space="preserve"> On their part, trading parties shall inform the CSD of the status of the buy-in process, through</w:t>
      </w:r>
      <w:r w:rsidRPr="009C6EFD">
        <w:rPr>
          <w:rFonts w:ascii="Arial" w:hAnsi="Arial" w:cs="Arial"/>
          <w:color w:val="000000"/>
          <w:sz w:val="20"/>
          <w:szCs w:val="20"/>
        </w:rPr>
        <w:t xml:space="preserve"> </w:t>
      </w:r>
      <w:r>
        <w:rPr>
          <w:rFonts w:ascii="Arial" w:hAnsi="Arial" w:cs="Arial"/>
          <w:color w:val="000000"/>
          <w:sz w:val="20"/>
          <w:szCs w:val="20"/>
        </w:rPr>
        <w:t>the CSD participants (i.e. the settlement agents).</w:t>
      </w:r>
      <w:r w:rsidRPr="001C7B7A">
        <w:rPr>
          <w:rFonts w:ascii="Arial" w:hAnsi="Arial" w:cs="Arial"/>
          <w:color w:val="000000"/>
          <w:sz w:val="20"/>
          <w:szCs w:val="20"/>
        </w:rPr>
        <w:t xml:space="preserve"> </w:t>
      </w:r>
    </w:p>
    <w:p w:rsidR="00D12AFD" w:rsidRDefault="00B10F6A" w:rsidP="00D12AFD">
      <w:r w:rsidRPr="001C7B7A">
        <w:rPr>
          <w:rFonts w:cs="Arial"/>
          <w:color w:val="000000"/>
          <w:sz w:val="20"/>
          <w:szCs w:val="20"/>
        </w:rPr>
        <w:t>Therefore</w:t>
      </w:r>
      <w:r>
        <w:rPr>
          <w:rFonts w:cs="Arial"/>
          <w:color w:val="000000"/>
          <w:sz w:val="20"/>
          <w:szCs w:val="20"/>
        </w:rPr>
        <w:t>,</w:t>
      </w:r>
      <w:r w:rsidRPr="001C7B7A">
        <w:rPr>
          <w:rFonts w:cs="Arial"/>
          <w:color w:val="000000"/>
          <w:sz w:val="20"/>
          <w:szCs w:val="20"/>
        </w:rPr>
        <w:t xml:space="preserve"> the AG would like to advise ESMA to reconsider the proposed role of the CSD in the process described under </w:t>
      </w:r>
      <w:r>
        <w:rPr>
          <w:rFonts w:cs="Arial"/>
          <w:color w:val="000000"/>
          <w:sz w:val="20"/>
          <w:szCs w:val="20"/>
        </w:rPr>
        <w:t>RTS A</w:t>
      </w:r>
      <w:r w:rsidRPr="001C7B7A">
        <w:rPr>
          <w:rFonts w:cs="Arial"/>
          <w:color w:val="000000"/>
          <w:sz w:val="20"/>
          <w:szCs w:val="20"/>
        </w:rPr>
        <w:t>rt.</w:t>
      </w:r>
      <w:r>
        <w:rPr>
          <w:rFonts w:cs="Arial"/>
          <w:color w:val="000000"/>
          <w:sz w:val="20"/>
          <w:szCs w:val="20"/>
        </w:rPr>
        <w:t xml:space="preserve"> </w:t>
      </w:r>
      <w:r w:rsidRPr="001C7B7A">
        <w:rPr>
          <w:rFonts w:cs="Arial"/>
          <w:color w:val="000000"/>
          <w:sz w:val="20"/>
          <w:szCs w:val="20"/>
        </w:rPr>
        <w:t>11(10).</w:t>
      </w:r>
      <w:permEnd w:id="1007230515"/>
      <w:r w:rsidR="00D12AFD">
        <w:t>&lt;ESMA_QUESTION_TS_CSDR_7&gt;</w:t>
      </w:r>
    </w:p>
    <w:p w:rsidR="00D12AFD" w:rsidRPr="002C4F00" w:rsidRDefault="00D12AFD" w:rsidP="00965B03">
      <w:pPr>
        <w:pStyle w:val="Heading5"/>
        <w:ind w:left="567" w:hanging="567"/>
      </w:pPr>
      <w:r w:rsidRPr="002C4F00">
        <w:t>What are your views on the proposed draft RTS related to the buy-in timeframe and extension period?</w:t>
      </w:r>
    </w:p>
    <w:p w:rsidR="00D12AFD" w:rsidRDefault="00D12AFD" w:rsidP="00D12AFD"/>
    <w:p w:rsidR="00D12AFD" w:rsidRDefault="00D12AFD" w:rsidP="00D12AFD">
      <w:r>
        <w:t>&lt;ESMA_QUESTION_TS_CSDR_8&gt;</w:t>
      </w:r>
    </w:p>
    <w:p w:rsidR="00614E55" w:rsidRDefault="00614E55" w:rsidP="00D12AFD">
      <w:pPr>
        <w:rPr>
          <w:rFonts w:cs="Arial"/>
          <w:sz w:val="20"/>
          <w:szCs w:val="20"/>
        </w:rPr>
      </w:pPr>
      <w:permStart w:id="1446933410" w:edGrp="everyone"/>
      <w:r w:rsidRPr="00EE4E11">
        <w:rPr>
          <w:rFonts w:cs="Arial"/>
          <w:sz w:val="20"/>
          <w:szCs w:val="20"/>
        </w:rPr>
        <w:t>The T2S Advisory Group (AG) considers the scope of this question as not directly relevant for T2S.</w:t>
      </w:r>
    </w:p>
    <w:permEnd w:id="1446933410"/>
    <w:p w:rsidR="00D12AFD" w:rsidRDefault="00D12AFD" w:rsidP="00D12AFD">
      <w:r>
        <w:t>&lt;ESMA_QUESTION_TS_CSDR_8&gt;</w:t>
      </w:r>
    </w:p>
    <w:p w:rsidR="00D12AFD" w:rsidRPr="002C4F00" w:rsidRDefault="00D12AFD" w:rsidP="00965B03">
      <w:pPr>
        <w:pStyle w:val="Heading5"/>
        <w:ind w:left="567" w:hanging="567"/>
      </w:pPr>
      <w:r w:rsidRPr="002C4F00">
        <w:t>What are your views on the proposed draft RTS related to the type of operations and their timeframe that render buy-in ineffective?</w:t>
      </w:r>
    </w:p>
    <w:p w:rsidR="00D12AFD" w:rsidRDefault="00D12AFD" w:rsidP="00D12AFD"/>
    <w:p w:rsidR="00D12AFD" w:rsidRDefault="00D12AFD" w:rsidP="00D12AFD">
      <w:r>
        <w:t>&lt;ESMA_QUESTION_TS_CSDR_9&gt;</w:t>
      </w:r>
    </w:p>
    <w:p w:rsidR="00A161FC" w:rsidRPr="006839FA" w:rsidRDefault="00A161FC" w:rsidP="00961A6D">
      <w:pPr>
        <w:pStyle w:val="NoSpacing"/>
        <w:rPr>
          <w:rFonts w:ascii="Arial" w:hAnsi="Arial" w:cs="Arial"/>
          <w:b/>
          <w:bCs/>
          <w:color w:val="000000"/>
          <w:sz w:val="20"/>
          <w:szCs w:val="20"/>
          <w:u w:val="single"/>
        </w:rPr>
      </w:pPr>
      <w:permStart w:id="665346765" w:edGrp="everyone"/>
      <w:r w:rsidRPr="006839FA">
        <w:rPr>
          <w:rFonts w:ascii="Arial" w:hAnsi="Arial" w:cs="Arial"/>
          <w:b/>
          <w:sz w:val="20"/>
          <w:szCs w:val="20"/>
          <w:u w:val="single"/>
        </w:rPr>
        <w:t>AG response to</w:t>
      </w:r>
      <w:r w:rsidRPr="006839FA">
        <w:rPr>
          <w:rFonts w:ascii="Arial" w:hAnsi="Arial" w:cs="Arial"/>
          <w:b/>
          <w:bCs/>
          <w:color w:val="000000"/>
          <w:sz w:val="20"/>
          <w:szCs w:val="20"/>
          <w:u w:val="single"/>
        </w:rPr>
        <w:t xml:space="preserve"> Q9</w:t>
      </w:r>
    </w:p>
    <w:p w:rsidR="00A161FC" w:rsidRPr="00726AF0" w:rsidRDefault="00A161FC" w:rsidP="00961A6D">
      <w:pPr>
        <w:pStyle w:val="NoSpacing"/>
        <w:rPr>
          <w:rFonts w:ascii="Arial" w:hAnsi="Arial" w:cs="Arial"/>
          <w:b/>
          <w:bCs/>
          <w:color w:val="000000"/>
          <w:sz w:val="20"/>
          <w:szCs w:val="20"/>
        </w:rPr>
      </w:pPr>
      <w:r w:rsidRPr="00726AF0">
        <w:rPr>
          <w:rFonts w:ascii="Arial" w:hAnsi="Arial" w:cs="Arial"/>
          <w:b/>
          <w:sz w:val="20"/>
          <w:szCs w:val="20"/>
        </w:rPr>
        <w:t>RTS Art</w:t>
      </w:r>
      <w:r>
        <w:rPr>
          <w:rFonts w:ascii="Arial" w:hAnsi="Arial" w:cs="Arial"/>
          <w:b/>
          <w:sz w:val="20"/>
          <w:szCs w:val="20"/>
        </w:rPr>
        <w:t>.</w:t>
      </w:r>
      <w:r w:rsidRPr="00726AF0">
        <w:rPr>
          <w:rFonts w:ascii="Arial" w:hAnsi="Arial" w:cs="Arial"/>
          <w:b/>
          <w:bCs/>
          <w:color w:val="000000"/>
          <w:sz w:val="20"/>
          <w:szCs w:val="20"/>
        </w:rPr>
        <w:t xml:space="preserve"> 14 </w:t>
      </w:r>
      <w:r w:rsidR="008C054B">
        <w:rPr>
          <w:rFonts w:ascii="Arial" w:hAnsi="Arial" w:cs="Arial"/>
          <w:b/>
          <w:color w:val="000000"/>
          <w:sz w:val="20"/>
          <w:szCs w:val="20"/>
        </w:rPr>
        <w:t>Annex I</w:t>
      </w:r>
      <w:r w:rsidR="008C054B" w:rsidRPr="00C7030E">
        <w:rPr>
          <w:rFonts w:ascii="Arial" w:hAnsi="Arial" w:cs="Arial"/>
          <w:bCs/>
          <w:i/>
          <w:color w:val="000000"/>
          <w:sz w:val="20"/>
          <w:szCs w:val="20"/>
        </w:rPr>
        <w:t xml:space="preserve"> </w:t>
      </w:r>
      <w:r w:rsidRPr="00C7030E">
        <w:rPr>
          <w:rFonts w:ascii="Arial" w:hAnsi="Arial" w:cs="Arial"/>
          <w:bCs/>
          <w:i/>
          <w:color w:val="000000"/>
          <w:sz w:val="20"/>
          <w:szCs w:val="20"/>
        </w:rPr>
        <w:t>on specific transactions and their timeframes</w:t>
      </w:r>
      <w:r>
        <w:rPr>
          <w:rFonts w:ascii="Arial" w:hAnsi="Arial" w:cs="Arial"/>
          <w:bCs/>
          <w:i/>
          <w:color w:val="000000"/>
          <w:sz w:val="20"/>
          <w:szCs w:val="20"/>
        </w:rPr>
        <w:t>:</w:t>
      </w:r>
    </w:p>
    <w:p w:rsidR="00A161FC" w:rsidRDefault="00A161FC" w:rsidP="00D12AFD">
      <w:pPr>
        <w:rPr>
          <w:rFonts w:cs="Arial"/>
          <w:bCs/>
          <w:color w:val="000000"/>
          <w:sz w:val="20"/>
          <w:szCs w:val="20"/>
        </w:rPr>
      </w:pPr>
      <w:r w:rsidRPr="00023192">
        <w:rPr>
          <w:rFonts w:cs="Arial"/>
          <w:bCs/>
          <w:color w:val="000000"/>
          <w:sz w:val="20"/>
          <w:szCs w:val="20"/>
        </w:rPr>
        <w:t xml:space="preserve">The T2S AG would like to clarify that CSDs would have to identify, </w:t>
      </w:r>
      <w:r>
        <w:rPr>
          <w:rFonts w:cs="Arial"/>
          <w:bCs/>
          <w:color w:val="000000"/>
          <w:sz w:val="20"/>
          <w:szCs w:val="20"/>
        </w:rPr>
        <w:t>i</w:t>
      </w:r>
      <w:r w:rsidRPr="00023192">
        <w:rPr>
          <w:rFonts w:cs="Arial"/>
          <w:bCs/>
          <w:color w:val="000000"/>
          <w:sz w:val="20"/>
          <w:szCs w:val="20"/>
        </w:rPr>
        <w:t>n their own systems, operations co</w:t>
      </w:r>
      <w:r w:rsidRPr="00023192">
        <w:rPr>
          <w:rFonts w:cs="Arial"/>
          <w:bCs/>
          <w:color w:val="000000"/>
          <w:sz w:val="20"/>
          <w:szCs w:val="20"/>
        </w:rPr>
        <w:t>m</w:t>
      </w:r>
      <w:r w:rsidRPr="00023192">
        <w:rPr>
          <w:rFonts w:cs="Arial"/>
          <w:bCs/>
          <w:color w:val="000000"/>
          <w:sz w:val="20"/>
          <w:szCs w:val="20"/>
        </w:rPr>
        <w:t>posed of several transactions (as per Art. 14</w:t>
      </w:r>
      <w:r>
        <w:rPr>
          <w:rFonts w:cs="Arial"/>
          <w:bCs/>
          <w:color w:val="000000"/>
          <w:sz w:val="20"/>
          <w:szCs w:val="20"/>
        </w:rPr>
        <w:t>(</w:t>
      </w:r>
      <w:r w:rsidRPr="00023192">
        <w:rPr>
          <w:rFonts w:cs="Arial"/>
          <w:bCs/>
          <w:color w:val="000000"/>
          <w:sz w:val="20"/>
          <w:szCs w:val="20"/>
        </w:rPr>
        <w:t>1</w:t>
      </w:r>
      <w:r>
        <w:rPr>
          <w:rFonts w:cs="Arial"/>
          <w:bCs/>
          <w:color w:val="000000"/>
          <w:sz w:val="20"/>
          <w:szCs w:val="20"/>
        </w:rPr>
        <w:t>)</w:t>
      </w:r>
      <w:r w:rsidRPr="00023192">
        <w:rPr>
          <w:rFonts w:cs="Arial"/>
          <w:bCs/>
          <w:color w:val="000000"/>
          <w:sz w:val="20"/>
          <w:szCs w:val="20"/>
        </w:rPr>
        <w:t xml:space="preserve"> and </w:t>
      </w:r>
      <w:r>
        <w:rPr>
          <w:rFonts w:cs="Arial"/>
          <w:bCs/>
          <w:color w:val="000000"/>
          <w:sz w:val="20"/>
          <w:szCs w:val="20"/>
        </w:rPr>
        <w:t>(</w:t>
      </w:r>
      <w:r w:rsidRPr="00023192">
        <w:rPr>
          <w:rFonts w:cs="Arial"/>
          <w:bCs/>
          <w:color w:val="000000"/>
          <w:sz w:val="20"/>
          <w:szCs w:val="20"/>
        </w:rPr>
        <w:t>2</w:t>
      </w:r>
      <w:r>
        <w:rPr>
          <w:rFonts w:cs="Arial"/>
          <w:bCs/>
          <w:color w:val="000000"/>
          <w:sz w:val="20"/>
          <w:szCs w:val="20"/>
        </w:rPr>
        <w:t>)</w:t>
      </w:r>
      <w:r w:rsidRPr="00023192">
        <w:rPr>
          <w:rFonts w:cs="Arial"/>
          <w:bCs/>
          <w:color w:val="000000"/>
          <w:sz w:val="20"/>
          <w:szCs w:val="20"/>
        </w:rPr>
        <w:t>).</w:t>
      </w:r>
      <w:r>
        <w:rPr>
          <w:rFonts w:cs="Arial"/>
          <w:bCs/>
          <w:color w:val="000000"/>
          <w:sz w:val="20"/>
          <w:szCs w:val="20"/>
        </w:rPr>
        <w:t xml:space="preserve"> These may require for some CSDs the develo</w:t>
      </w:r>
      <w:r>
        <w:rPr>
          <w:rFonts w:cs="Arial"/>
          <w:bCs/>
          <w:color w:val="000000"/>
          <w:sz w:val="20"/>
          <w:szCs w:val="20"/>
        </w:rPr>
        <w:t>p</w:t>
      </w:r>
      <w:r>
        <w:rPr>
          <w:rFonts w:cs="Arial"/>
          <w:bCs/>
          <w:color w:val="000000"/>
          <w:sz w:val="20"/>
          <w:szCs w:val="20"/>
        </w:rPr>
        <w:t>ment of additional functionalities in their own systems, in case they do not have the information on the specific multiple transactions. In case transactions are linked, this information (i.e. elements of the repo transaction such as differentiation between first and second leg, terms of the repo) needs to come from the counterparties of the underlying trade and be populated in the settlement instructions by the respective CSD participants for CSDs to be able to identify such links.</w:t>
      </w:r>
    </w:p>
    <w:permEnd w:id="665346765"/>
    <w:p w:rsidR="00D12AFD" w:rsidRDefault="00D12AFD" w:rsidP="00D12AFD">
      <w:r>
        <w:t>&lt;ESMA_QUESTION_TS_CSDR_9&gt;</w:t>
      </w:r>
    </w:p>
    <w:p w:rsidR="00D12AFD" w:rsidRPr="002C4F00" w:rsidRDefault="00D12AFD" w:rsidP="00965B03">
      <w:pPr>
        <w:pStyle w:val="Heading5"/>
        <w:ind w:left="567" w:hanging="567"/>
      </w:pPr>
      <w:r w:rsidRPr="002C4F00">
        <w:t>What are your views on the proposed draft RTS related to the calculation of the cash compensation?</w:t>
      </w:r>
    </w:p>
    <w:p w:rsidR="00D12AFD" w:rsidRDefault="00D12AFD" w:rsidP="00D12AFD"/>
    <w:p w:rsidR="00D12AFD" w:rsidRDefault="00D12AFD" w:rsidP="00D12AFD">
      <w:r>
        <w:t>&lt;ESMA_QUESTION_TS_CSDR_10&gt;</w:t>
      </w:r>
    </w:p>
    <w:p w:rsidR="009C665F" w:rsidRPr="006839FA" w:rsidRDefault="009C665F" w:rsidP="00961A6D">
      <w:pPr>
        <w:pStyle w:val="NoSpacing"/>
        <w:rPr>
          <w:rFonts w:ascii="Arial" w:hAnsi="Arial" w:cs="Arial"/>
          <w:b/>
          <w:bCs/>
          <w:sz w:val="20"/>
          <w:szCs w:val="20"/>
          <w:u w:val="single"/>
        </w:rPr>
      </w:pPr>
      <w:permStart w:id="453445552" w:edGrp="everyone"/>
      <w:r w:rsidRPr="006839FA">
        <w:rPr>
          <w:rFonts w:ascii="Arial" w:hAnsi="Arial" w:cs="Arial"/>
          <w:b/>
          <w:sz w:val="20"/>
          <w:szCs w:val="20"/>
          <w:u w:val="single"/>
        </w:rPr>
        <w:t>AG response to</w:t>
      </w:r>
      <w:r w:rsidRPr="006839FA">
        <w:rPr>
          <w:rFonts w:ascii="Arial" w:hAnsi="Arial" w:cs="Arial"/>
          <w:b/>
          <w:bCs/>
          <w:sz w:val="20"/>
          <w:szCs w:val="20"/>
          <w:u w:val="single"/>
        </w:rPr>
        <w:t xml:space="preserve"> Q10</w:t>
      </w:r>
    </w:p>
    <w:p w:rsidR="009C665F" w:rsidRPr="006839FA" w:rsidRDefault="009C665F" w:rsidP="00961A6D">
      <w:pPr>
        <w:pStyle w:val="NoSpacing"/>
        <w:rPr>
          <w:rFonts w:ascii="Arial" w:hAnsi="Arial"/>
          <w:i/>
          <w:sz w:val="20"/>
          <w:szCs w:val="20"/>
        </w:rPr>
      </w:pPr>
      <w:r w:rsidRPr="006839FA">
        <w:rPr>
          <w:rFonts w:ascii="Arial" w:hAnsi="Arial"/>
          <w:b/>
          <w:sz w:val="20"/>
          <w:szCs w:val="20"/>
        </w:rPr>
        <w:t>RTS Art.15</w:t>
      </w:r>
      <w:r w:rsidR="008C054B">
        <w:rPr>
          <w:rFonts w:ascii="Arial" w:hAnsi="Arial"/>
          <w:b/>
          <w:sz w:val="20"/>
          <w:szCs w:val="20"/>
        </w:rPr>
        <w:t>,</w:t>
      </w:r>
      <w:r w:rsidRPr="006839FA">
        <w:rPr>
          <w:rFonts w:ascii="Arial" w:hAnsi="Arial"/>
          <w:b/>
          <w:sz w:val="20"/>
          <w:szCs w:val="20"/>
        </w:rPr>
        <w:t xml:space="preserve"> </w:t>
      </w:r>
      <w:r w:rsidR="008C054B">
        <w:rPr>
          <w:rFonts w:ascii="Arial" w:hAnsi="Arial" w:cs="Arial"/>
          <w:b/>
          <w:color w:val="000000"/>
          <w:sz w:val="20"/>
          <w:szCs w:val="20"/>
        </w:rPr>
        <w:t>Annex I</w:t>
      </w:r>
      <w:r w:rsidR="008C054B" w:rsidRPr="006839FA">
        <w:rPr>
          <w:rFonts w:ascii="Arial" w:hAnsi="Arial"/>
          <w:i/>
          <w:sz w:val="20"/>
          <w:szCs w:val="20"/>
        </w:rPr>
        <w:t xml:space="preserve"> </w:t>
      </w:r>
      <w:r w:rsidRPr="006839FA">
        <w:rPr>
          <w:rFonts w:ascii="Arial" w:hAnsi="Arial"/>
          <w:i/>
          <w:sz w:val="20"/>
          <w:szCs w:val="20"/>
        </w:rPr>
        <w:t>on calculation of cash compensation:</w:t>
      </w:r>
    </w:p>
    <w:p w:rsidR="00D12AFD" w:rsidRDefault="009C665F" w:rsidP="00D12AFD">
      <w:r w:rsidRPr="006839FA">
        <w:rPr>
          <w:sz w:val="20"/>
          <w:szCs w:val="20"/>
        </w:rPr>
        <w:t>The AG would like to make the comment that the methodology to arrive at the reference price is not fully clear from the wording of this article.</w:t>
      </w:r>
      <w:permEnd w:id="453445552"/>
      <w:r w:rsidR="00D12AFD">
        <w:t>&lt;ESMA_QUESTION_TS_CSDR_10&gt;</w:t>
      </w:r>
    </w:p>
    <w:p w:rsidR="00D12AFD" w:rsidRPr="002C4F00" w:rsidRDefault="00D12AFD" w:rsidP="00965B03">
      <w:pPr>
        <w:pStyle w:val="Heading5"/>
        <w:ind w:left="567" w:hanging="567"/>
      </w:pPr>
      <w:r w:rsidRPr="002C4F00">
        <w:t>What are your views on the proposed draft RTS related to the conditions for a pa</w:t>
      </w:r>
      <w:r w:rsidRPr="002C4F00">
        <w:t>r</w:t>
      </w:r>
      <w:r w:rsidRPr="002C4F00">
        <w:t>ticipant to consistently and systematically fail?</w:t>
      </w:r>
    </w:p>
    <w:p w:rsidR="00D12AFD" w:rsidRDefault="00D12AFD" w:rsidP="00D12AFD"/>
    <w:p w:rsidR="00D12AFD" w:rsidRDefault="00D12AFD" w:rsidP="00D12AFD">
      <w:r>
        <w:t>&lt;ESMA_QUESTION_TS_CSDR_11&gt;</w:t>
      </w:r>
    </w:p>
    <w:p w:rsidR="00EB2760" w:rsidRDefault="00EB2760" w:rsidP="00D12AFD">
      <w:pPr>
        <w:rPr>
          <w:rFonts w:cs="Arial"/>
          <w:sz w:val="20"/>
          <w:szCs w:val="20"/>
        </w:rPr>
      </w:pPr>
      <w:permStart w:id="31719873" w:edGrp="everyone"/>
      <w:r w:rsidRPr="00EE4E11">
        <w:rPr>
          <w:rFonts w:cs="Arial"/>
          <w:sz w:val="20"/>
          <w:szCs w:val="20"/>
        </w:rPr>
        <w:t>The T2S Advisory Group (AG) considers the scope of this question as not directly relevant for T2S.</w:t>
      </w:r>
    </w:p>
    <w:permEnd w:id="31719873"/>
    <w:p w:rsidR="00D12AFD" w:rsidRDefault="00D12AFD" w:rsidP="00D12AFD">
      <w:r>
        <w:t>&lt;ESMA_QUESTION_TS_CSDR_11&gt;</w:t>
      </w:r>
    </w:p>
    <w:p w:rsidR="00D12AFD" w:rsidRPr="002C4F00" w:rsidRDefault="00D12AFD" w:rsidP="00965B03">
      <w:pPr>
        <w:pStyle w:val="Heading5"/>
        <w:ind w:left="567" w:hanging="567"/>
      </w:pPr>
      <w:r w:rsidRPr="002C4F00">
        <w:t>What are your views on the proposed draft RTS related to the settlement information for CCPs and trading venues?</w:t>
      </w:r>
    </w:p>
    <w:p w:rsidR="00D12AFD" w:rsidRDefault="00D12AFD" w:rsidP="00D12AFD"/>
    <w:p w:rsidR="00D12AFD" w:rsidRDefault="00D12AFD" w:rsidP="00D12AFD">
      <w:r>
        <w:t>&lt;ESMA_QUESTION_TS_CSDR_12&gt;</w:t>
      </w:r>
    </w:p>
    <w:p w:rsidR="00F8491B" w:rsidRDefault="00F8491B" w:rsidP="00961A6D">
      <w:pPr>
        <w:pStyle w:val="NoSpacing"/>
        <w:rPr>
          <w:rFonts w:ascii="Arial" w:hAnsi="Arial" w:cs="Arial"/>
          <w:b/>
          <w:bCs/>
          <w:iCs/>
          <w:color w:val="000000"/>
          <w:sz w:val="20"/>
          <w:szCs w:val="20"/>
          <w:u w:val="single"/>
        </w:rPr>
      </w:pPr>
      <w:permStart w:id="1755850489" w:edGrp="everyone"/>
      <w:r w:rsidRPr="003337DD">
        <w:rPr>
          <w:rFonts w:ascii="Arial" w:hAnsi="Arial" w:cs="Arial"/>
          <w:b/>
          <w:sz w:val="20"/>
          <w:szCs w:val="20"/>
          <w:u w:val="single"/>
        </w:rPr>
        <w:t>AG response to</w:t>
      </w:r>
      <w:r w:rsidRPr="003337DD">
        <w:rPr>
          <w:rFonts w:ascii="Arial" w:hAnsi="Arial" w:cs="Arial"/>
          <w:b/>
          <w:bCs/>
          <w:color w:val="000000"/>
          <w:sz w:val="20"/>
          <w:szCs w:val="20"/>
          <w:u w:val="single"/>
        </w:rPr>
        <w:t xml:space="preserve"> </w:t>
      </w:r>
      <w:r w:rsidRPr="003337DD">
        <w:rPr>
          <w:rFonts w:ascii="Arial" w:hAnsi="Arial" w:cs="Arial"/>
          <w:b/>
          <w:bCs/>
          <w:iCs/>
          <w:color w:val="000000"/>
          <w:sz w:val="20"/>
          <w:szCs w:val="20"/>
          <w:u w:val="single"/>
        </w:rPr>
        <w:t>Q12</w:t>
      </w:r>
    </w:p>
    <w:p w:rsidR="00F8491B" w:rsidRDefault="00F8491B" w:rsidP="00961A6D">
      <w:pPr>
        <w:pStyle w:val="NoSpacing"/>
        <w:rPr>
          <w:rFonts w:ascii="Arial" w:hAnsi="Arial" w:cs="Arial"/>
          <w:bCs/>
          <w:i/>
          <w:iCs/>
          <w:color w:val="000000"/>
          <w:sz w:val="20"/>
          <w:szCs w:val="20"/>
        </w:rPr>
      </w:pPr>
      <w:r w:rsidRPr="00726AF0">
        <w:rPr>
          <w:rFonts w:ascii="Arial" w:hAnsi="Arial" w:cs="Arial"/>
          <w:b/>
          <w:sz w:val="20"/>
          <w:szCs w:val="20"/>
        </w:rPr>
        <w:t>R</w:t>
      </w:r>
      <w:r>
        <w:rPr>
          <w:rFonts w:ascii="Arial" w:hAnsi="Arial" w:cs="Arial"/>
          <w:b/>
          <w:sz w:val="20"/>
          <w:szCs w:val="20"/>
        </w:rPr>
        <w:t xml:space="preserve">TS </w:t>
      </w:r>
      <w:r w:rsidRPr="00726AF0">
        <w:rPr>
          <w:rFonts w:ascii="Arial" w:hAnsi="Arial" w:cs="Arial"/>
          <w:b/>
          <w:sz w:val="20"/>
          <w:szCs w:val="20"/>
        </w:rPr>
        <w:t>Art</w:t>
      </w:r>
      <w:r>
        <w:rPr>
          <w:rFonts w:ascii="Arial" w:hAnsi="Arial" w:cs="Arial"/>
          <w:b/>
          <w:sz w:val="20"/>
          <w:szCs w:val="20"/>
        </w:rPr>
        <w:t>.</w:t>
      </w:r>
      <w:r w:rsidRPr="00726AF0">
        <w:rPr>
          <w:rFonts w:ascii="Arial" w:hAnsi="Arial" w:cs="Arial"/>
          <w:b/>
          <w:bCs/>
          <w:iCs/>
          <w:color w:val="000000"/>
          <w:sz w:val="20"/>
          <w:szCs w:val="20"/>
        </w:rPr>
        <w:t xml:space="preserve"> 17(2)</w:t>
      </w:r>
      <w:r w:rsidR="008C054B">
        <w:rPr>
          <w:rFonts w:ascii="Arial" w:hAnsi="Arial" w:cs="Arial"/>
          <w:b/>
          <w:bCs/>
          <w:iCs/>
          <w:color w:val="000000"/>
          <w:sz w:val="20"/>
          <w:szCs w:val="20"/>
        </w:rPr>
        <w:t>,</w:t>
      </w:r>
      <w:r w:rsidRPr="00726AF0">
        <w:rPr>
          <w:rFonts w:ascii="Arial" w:hAnsi="Arial" w:cs="Arial"/>
          <w:b/>
          <w:bCs/>
          <w:iCs/>
          <w:color w:val="000000"/>
          <w:sz w:val="20"/>
          <w:szCs w:val="20"/>
        </w:rPr>
        <w:t xml:space="preserve"> </w:t>
      </w:r>
      <w:r w:rsidR="008C054B">
        <w:rPr>
          <w:rFonts w:ascii="Arial" w:hAnsi="Arial" w:cs="Arial"/>
          <w:b/>
          <w:color w:val="000000"/>
          <w:sz w:val="20"/>
          <w:szCs w:val="20"/>
        </w:rPr>
        <w:t>Annex I</w:t>
      </w:r>
      <w:r w:rsidR="008C054B" w:rsidRPr="00201833">
        <w:rPr>
          <w:rFonts w:ascii="Arial" w:hAnsi="Arial" w:cs="Arial"/>
          <w:bCs/>
          <w:i/>
          <w:iCs/>
          <w:color w:val="000000"/>
          <w:sz w:val="20"/>
          <w:szCs w:val="20"/>
        </w:rPr>
        <w:t xml:space="preserve"> </w:t>
      </w:r>
      <w:r w:rsidRPr="00201833">
        <w:rPr>
          <w:rFonts w:ascii="Arial" w:hAnsi="Arial" w:cs="Arial"/>
          <w:bCs/>
          <w:i/>
          <w:iCs/>
          <w:color w:val="000000"/>
          <w:sz w:val="20"/>
          <w:szCs w:val="20"/>
        </w:rPr>
        <w:t>on</w:t>
      </w:r>
      <w:r>
        <w:rPr>
          <w:rFonts w:ascii="Arial" w:hAnsi="Arial" w:cs="Arial"/>
          <w:b/>
          <w:bCs/>
          <w:i/>
          <w:iCs/>
          <w:color w:val="000000"/>
          <w:sz w:val="20"/>
          <w:szCs w:val="20"/>
        </w:rPr>
        <w:t xml:space="preserve"> </w:t>
      </w:r>
      <w:r w:rsidRPr="00726AF0">
        <w:rPr>
          <w:rFonts w:ascii="Arial" w:hAnsi="Arial" w:cs="Arial"/>
          <w:bCs/>
          <w:i/>
          <w:iCs/>
          <w:color w:val="000000"/>
          <w:sz w:val="20"/>
          <w:szCs w:val="20"/>
        </w:rPr>
        <w:t>reference to a trading venue</w:t>
      </w:r>
      <w:r>
        <w:rPr>
          <w:rFonts w:ascii="Arial" w:hAnsi="Arial" w:cs="Arial"/>
          <w:bCs/>
          <w:i/>
          <w:iCs/>
          <w:color w:val="000000"/>
          <w:sz w:val="20"/>
          <w:szCs w:val="20"/>
        </w:rPr>
        <w:t>:</w:t>
      </w:r>
    </w:p>
    <w:p w:rsidR="00F8491B" w:rsidRDefault="00F8491B" w:rsidP="00961A6D">
      <w:pPr>
        <w:pStyle w:val="NoSpacing"/>
        <w:rPr>
          <w:rFonts w:ascii="Arial" w:hAnsi="Arial" w:cs="Arial"/>
          <w:sz w:val="20"/>
          <w:szCs w:val="20"/>
        </w:rPr>
      </w:pPr>
      <w:r w:rsidRPr="007C151C">
        <w:rPr>
          <w:rFonts w:ascii="Arial" w:hAnsi="Arial" w:cs="Arial"/>
          <w:sz w:val="20"/>
          <w:szCs w:val="20"/>
        </w:rPr>
        <w:t>The AG supports ESMA’s view set out in paragraph 114</w:t>
      </w:r>
      <w:r>
        <w:rPr>
          <w:rFonts w:ascii="Arial" w:hAnsi="Arial" w:cs="Arial"/>
          <w:sz w:val="20"/>
          <w:szCs w:val="20"/>
        </w:rPr>
        <w:t xml:space="preserve"> of the Consultation and art. 17 of the RTS on settlement discipline </w:t>
      </w:r>
      <w:r w:rsidRPr="007C151C">
        <w:rPr>
          <w:rFonts w:ascii="Arial" w:hAnsi="Arial" w:cs="Arial"/>
          <w:sz w:val="20"/>
          <w:szCs w:val="20"/>
        </w:rPr>
        <w:t>that settlement information for CCPs and trading venues should be instru</w:t>
      </w:r>
      <w:r w:rsidRPr="007C151C">
        <w:rPr>
          <w:rFonts w:ascii="Arial" w:hAnsi="Arial" w:cs="Arial"/>
          <w:sz w:val="20"/>
          <w:szCs w:val="20"/>
        </w:rPr>
        <w:t>c</w:t>
      </w:r>
      <w:r w:rsidRPr="007C151C">
        <w:rPr>
          <w:rFonts w:ascii="Arial" w:hAnsi="Arial" w:cs="Arial"/>
          <w:sz w:val="20"/>
          <w:szCs w:val="20"/>
        </w:rPr>
        <w:t>tion/transaction-related.</w:t>
      </w:r>
      <w:r>
        <w:rPr>
          <w:rFonts w:ascii="Arial" w:hAnsi="Arial" w:cs="Arial"/>
          <w:sz w:val="20"/>
          <w:szCs w:val="20"/>
        </w:rPr>
        <w:t xml:space="preserve"> </w:t>
      </w:r>
    </w:p>
    <w:p w:rsidR="008E5682" w:rsidRDefault="00F8491B" w:rsidP="00961A6D">
      <w:pPr>
        <w:pStyle w:val="NoSpacing"/>
        <w:rPr>
          <w:rFonts w:ascii="Arial" w:hAnsi="Arial" w:cs="Arial"/>
          <w:sz w:val="20"/>
          <w:szCs w:val="20"/>
        </w:rPr>
      </w:pPr>
      <w:r>
        <w:rPr>
          <w:rFonts w:ascii="Arial" w:hAnsi="Arial" w:cs="Arial"/>
          <w:sz w:val="20"/>
          <w:szCs w:val="20"/>
        </w:rPr>
        <w:lastRenderedPageBreak/>
        <w:t xml:space="preserve">The T2S AG would like to highlight that the requirement for CSD participants </w:t>
      </w:r>
      <w:r w:rsidRPr="009418FF">
        <w:rPr>
          <w:rFonts w:ascii="Arial" w:hAnsi="Arial" w:cs="Arial"/>
          <w:i/>
          <w:sz w:val="20"/>
          <w:szCs w:val="20"/>
        </w:rPr>
        <w:t>to indicate the details and references of the trading venue</w:t>
      </w:r>
      <w:r>
        <w:rPr>
          <w:rFonts w:ascii="Arial" w:hAnsi="Arial" w:cs="Arial"/>
          <w:sz w:val="20"/>
          <w:szCs w:val="20"/>
        </w:rPr>
        <w:t xml:space="preserve"> reinforces the argument provided in response to Q5 on the identification of different transaction types (i.e. </w:t>
      </w:r>
      <w:r w:rsidRPr="00E76A6C">
        <w:rPr>
          <w:rFonts w:ascii="Arial" w:hAnsi="Arial" w:cs="Arial"/>
          <w:sz w:val="20"/>
          <w:szCs w:val="20"/>
        </w:rPr>
        <w:t xml:space="preserve">that the </w:t>
      </w:r>
      <w:r>
        <w:rPr>
          <w:rFonts w:ascii="Arial" w:hAnsi="Arial" w:cs="Arial"/>
          <w:sz w:val="20"/>
          <w:szCs w:val="20"/>
        </w:rPr>
        <w:t>currently agreed ISO field “transaction type” codes do not provide the information required by the proposed RTS). The AG therefore would propose that t</w:t>
      </w:r>
      <w:r w:rsidRPr="00315EAE">
        <w:rPr>
          <w:rFonts w:ascii="Arial" w:hAnsi="Arial" w:cs="Arial"/>
          <w:sz w:val="20"/>
          <w:szCs w:val="20"/>
        </w:rPr>
        <w:t xml:space="preserve">he </w:t>
      </w:r>
      <w:r>
        <w:rPr>
          <w:rFonts w:ascii="Arial" w:hAnsi="Arial" w:cs="Arial"/>
          <w:sz w:val="20"/>
          <w:szCs w:val="20"/>
        </w:rPr>
        <w:t xml:space="preserve">ISO </w:t>
      </w:r>
      <w:r w:rsidRPr="00315EAE">
        <w:rPr>
          <w:rFonts w:ascii="Arial" w:hAnsi="Arial" w:cs="Arial"/>
          <w:sz w:val="20"/>
          <w:szCs w:val="20"/>
        </w:rPr>
        <w:t>field ‘Place of Trade’</w:t>
      </w:r>
      <w:r>
        <w:rPr>
          <w:rFonts w:ascii="Arial" w:hAnsi="Arial" w:cs="Arial"/>
          <w:sz w:val="20"/>
          <w:szCs w:val="20"/>
        </w:rPr>
        <w:t xml:space="preserve"> </w:t>
      </w:r>
      <w:r w:rsidRPr="00315EAE">
        <w:rPr>
          <w:rFonts w:ascii="Arial" w:hAnsi="Arial" w:cs="Arial"/>
          <w:sz w:val="20"/>
          <w:szCs w:val="20"/>
        </w:rPr>
        <w:t>(</w:t>
      </w:r>
      <w:r>
        <w:rPr>
          <w:rFonts w:ascii="Arial" w:hAnsi="Arial" w:cs="Arial"/>
          <w:sz w:val="20"/>
          <w:szCs w:val="20"/>
        </w:rPr>
        <w:t xml:space="preserve">populated by the ISO </w:t>
      </w:r>
      <w:r w:rsidRPr="00315EAE">
        <w:rPr>
          <w:rFonts w:ascii="Arial" w:hAnsi="Arial" w:cs="Arial"/>
          <w:sz w:val="20"/>
          <w:szCs w:val="20"/>
        </w:rPr>
        <w:t>M</w:t>
      </w:r>
      <w:r>
        <w:rPr>
          <w:rFonts w:ascii="Arial" w:hAnsi="Arial" w:cs="Arial"/>
          <w:sz w:val="20"/>
          <w:szCs w:val="20"/>
        </w:rPr>
        <w:t xml:space="preserve">arket </w:t>
      </w:r>
      <w:r w:rsidRPr="00315EAE">
        <w:rPr>
          <w:rFonts w:ascii="Arial" w:hAnsi="Arial" w:cs="Arial"/>
          <w:sz w:val="20"/>
          <w:szCs w:val="20"/>
        </w:rPr>
        <w:t>I</w:t>
      </w:r>
      <w:r>
        <w:rPr>
          <w:rFonts w:ascii="Arial" w:hAnsi="Arial" w:cs="Arial"/>
          <w:sz w:val="20"/>
          <w:szCs w:val="20"/>
        </w:rPr>
        <w:t xml:space="preserve">dentifier  </w:t>
      </w:r>
      <w:r w:rsidRPr="00315EAE">
        <w:rPr>
          <w:rFonts w:ascii="Arial" w:hAnsi="Arial" w:cs="Arial"/>
          <w:sz w:val="20"/>
          <w:szCs w:val="20"/>
        </w:rPr>
        <w:t>C</w:t>
      </w:r>
      <w:r>
        <w:rPr>
          <w:rFonts w:ascii="Arial" w:hAnsi="Arial" w:cs="Arial"/>
          <w:sz w:val="20"/>
          <w:szCs w:val="20"/>
        </w:rPr>
        <w:t>ode – MIC code</w:t>
      </w:r>
      <w:r w:rsidRPr="00315EAE">
        <w:rPr>
          <w:rFonts w:ascii="Arial" w:hAnsi="Arial" w:cs="Arial"/>
          <w:sz w:val="20"/>
          <w:szCs w:val="20"/>
        </w:rPr>
        <w:t>)</w:t>
      </w:r>
      <w:r>
        <w:rPr>
          <w:rFonts w:ascii="Arial" w:hAnsi="Arial" w:cs="Arial"/>
          <w:sz w:val="20"/>
          <w:szCs w:val="20"/>
        </w:rPr>
        <w:t xml:space="preserve"> is used</w:t>
      </w:r>
      <w:r w:rsidRPr="00315EAE">
        <w:rPr>
          <w:rFonts w:ascii="Arial" w:hAnsi="Arial" w:cs="Arial"/>
          <w:sz w:val="20"/>
          <w:szCs w:val="20"/>
        </w:rPr>
        <w:t xml:space="preserve"> </w:t>
      </w:r>
      <w:r>
        <w:rPr>
          <w:rFonts w:ascii="Arial" w:hAnsi="Arial" w:cs="Arial"/>
          <w:sz w:val="20"/>
          <w:szCs w:val="20"/>
        </w:rPr>
        <w:t xml:space="preserve">by CSD participants </w:t>
      </w:r>
      <w:r w:rsidRPr="00315EAE">
        <w:rPr>
          <w:rFonts w:ascii="Arial" w:hAnsi="Arial" w:cs="Arial"/>
          <w:sz w:val="20"/>
          <w:szCs w:val="20"/>
        </w:rPr>
        <w:t>to ind</w:t>
      </w:r>
      <w:r w:rsidRPr="00315EAE">
        <w:rPr>
          <w:rFonts w:ascii="Arial" w:hAnsi="Arial" w:cs="Arial"/>
          <w:sz w:val="20"/>
          <w:szCs w:val="20"/>
        </w:rPr>
        <w:t>i</w:t>
      </w:r>
      <w:r w:rsidRPr="00315EAE">
        <w:rPr>
          <w:rFonts w:ascii="Arial" w:hAnsi="Arial" w:cs="Arial"/>
          <w:sz w:val="20"/>
          <w:szCs w:val="20"/>
        </w:rPr>
        <w:t>cate the trading venue</w:t>
      </w:r>
      <w:r>
        <w:rPr>
          <w:rFonts w:ascii="Arial" w:hAnsi="Arial" w:cs="Arial"/>
          <w:sz w:val="20"/>
          <w:szCs w:val="20"/>
        </w:rPr>
        <w:t>. See also comment in Question 23.</w:t>
      </w:r>
    </w:p>
    <w:p w:rsidR="00F8491B" w:rsidRDefault="00F8491B" w:rsidP="00961A6D">
      <w:pPr>
        <w:pStyle w:val="NoSpacing"/>
        <w:rPr>
          <w:rFonts w:ascii="Arial" w:hAnsi="Arial" w:cs="Arial"/>
          <w:b/>
          <w:sz w:val="20"/>
          <w:szCs w:val="20"/>
        </w:rPr>
      </w:pPr>
      <w:r w:rsidRPr="007C151C">
        <w:rPr>
          <w:rFonts w:ascii="Arial" w:hAnsi="Arial" w:cs="Arial"/>
          <w:b/>
          <w:sz w:val="20"/>
          <w:szCs w:val="20"/>
        </w:rPr>
        <w:t>Alternative drafting proposal:</w:t>
      </w:r>
    </w:p>
    <w:p w:rsidR="00F8491B" w:rsidRDefault="00F8491B" w:rsidP="00961A6D">
      <w:pPr>
        <w:pStyle w:val="NoSpacing"/>
        <w:rPr>
          <w:rFonts w:ascii="Arial" w:hAnsi="Arial" w:cs="Arial"/>
          <w:sz w:val="20"/>
          <w:szCs w:val="20"/>
          <w:lang w:val="en-US"/>
        </w:rPr>
      </w:pPr>
      <w:r w:rsidRPr="007C151C">
        <w:rPr>
          <w:rFonts w:ascii="Arial" w:hAnsi="Arial" w:cs="Arial"/>
          <w:sz w:val="20"/>
          <w:szCs w:val="20"/>
          <w:lang w:val="en-US"/>
        </w:rPr>
        <w:t>With respect to Article 17 of the draft technical standards, the AG has the following suggestions:</w:t>
      </w:r>
    </w:p>
    <w:p w:rsidR="00F8491B" w:rsidRDefault="00F8491B" w:rsidP="00961A6D">
      <w:pPr>
        <w:pStyle w:val="NoSpacing"/>
        <w:rPr>
          <w:rFonts w:ascii="Arial" w:hAnsi="Arial" w:cs="Arial"/>
          <w:sz w:val="20"/>
          <w:szCs w:val="20"/>
          <w:lang w:val="en-US"/>
        </w:rPr>
      </w:pPr>
      <w:r w:rsidRPr="007C151C">
        <w:rPr>
          <w:rFonts w:ascii="Arial" w:hAnsi="Arial" w:cs="Arial"/>
          <w:sz w:val="20"/>
          <w:szCs w:val="20"/>
          <w:lang w:val="en-US"/>
        </w:rPr>
        <w:t>1(c): Replace “participants” by “CSD participants”; the rationale is that the CSD can identify the receiving and delivering CSD participants in a securities settlement instruction/transaction, but may well not be aware of the participants in the trading venue and/or the CCP.</w:t>
      </w:r>
    </w:p>
    <w:p w:rsidR="00F8491B" w:rsidRDefault="00F8491B" w:rsidP="00961A6D">
      <w:pPr>
        <w:pStyle w:val="NoSpacing"/>
        <w:rPr>
          <w:rFonts w:ascii="Arial" w:hAnsi="Arial" w:cs="Arial"/>
          <w:sz w:val="20"/>
          <w:szCs w:val="20"/>
          <w:lang w:val="en-US"/>
        </w:rPr>
      </w:pPr>
      <w:r w:rsidRPr="007C151C">
        <w:rPr>
          <w:rFonts w:ascii="Arial" w:hAnsi="Arial" w:cs="Arial"/>
          <w:sz w:val="20"/>
          <w:szCs w:val="20"/>
          <w:lang w:val="en-US"/>
        </w:rPr>
        <w:t>1(d): Replace the current text by “The number and identification of the financial instruments for which settlement did not occur”; the rationale is that this is a concrete figure that CSDs can provide; a requir</w:t>
      </w:r>
      <w:r w:rsidRPr="007C151C">
        <w:rPr>
          <w:rFonts w:ascii="Arial" w:hAnsi="Arial" w:cs="Arial"/>
          <w:sz w:val="20"/>
          <w:szCs w:val="20"/>
          <w:lang w:val="en-US"/>
        </w:rPr>
        <w:t>e</w:t>
      </w:r>
      <w:r w:rsidRPr="007C151C">
        <w:rPr>
          <w:rFonts w:ascii="Arial" w:hAnsi="Arial" w:cs="Arial"/>
          <w:sz w:val="20"/>
          <w:szCs w:val="20"/>
          <w:lang w:val="en-US"/>
        </w:rPr>
        <w:t>ment to provide a figure relating to “missing” financial instruments would require CSDs to effect a jud</w:t>
      </w:r>
      <w:r w:rsidRPr="007C151C">
        <w:rPr>
          <w:rFonts w:ascii="Arial" w:hAnsi="Arial" w:cs="Arial"/>
          <w:sz w:val="20"/>
          <w:szCs w:val="20"/>
          <w:lang w:val="en-US"/>
        </w:rPr>
        <w:t>g</w:t>
      </w:r>
      <w:r w:rsidRPr="007C151C">
        <w:rPr>
          <w:rFonts w:ascii="Arial" w:hAnsi="Arial" w:cs="Arial"/>
          <w:sz w:val="20"/>
          <w:szCs w:val="20"/>
          <w:lang w:val="en-US"/>
        </w:rPr>
        <w:t>ment call, as CSDs do not necessarily have the full information to identify “missing” financial instruments</w:t>
      </w:r>
      <w:r>
        <w:rPr>
          <w:rFonts w:ascii="Arial" w:hAnsi="Arial" w:cs="Arial"/>
          <w:sz w:val="20"/>
          <w:szCs w:val="20"/>
          <w:lang w:val="en-US"/>
        </w:rPr>
        <w:t>.</w:t>
      </w:r>
    </w:p>
    <w:p w:rsidR="00F8491B" w:rsidRDefault="00F8491B" w:rsidP="00961A6D">
      <w:pPr>
        <w:pStyle w:val="NoSpacing"/>
        <w:rPr>
          <w:rFonts w:ascii="Arial" w:hAnsi="Arial" w:cs="Arial"/>
          <w:sz w:val="20"/>
          <w:szCs w:val="20"/>
          <w:lang w:val="en-US"/>
        </w:rPr>
      </w:pPr>
      <w:r w:rsidRPr="007C151C">
        <w:rPr>
          <w:rFonts w:ascii="Arial" w:hAnsi="Arial" w:cs="Arial"/>
          <w:sz w:val="20"/>
          <w:szCs w:val="20"/>
          <w:lang w:val="en-US"/>
        </w:rPr>
        <w:t>1(e): Replace the current text that identifies five points in time by a text that specifies that CCPs and trading venues should be able to receive updated information at least once per business day; this is a more demanding and a more generic requirement; the current text appears inappropriate as – as a ge</w:t>
      </w:r>
      <w:r w:rsidRPr="007C151C">
        <w:rPr>
          <w:rFonts w:ascii="Arial" w:hAnsi="Arial" w:cs="Arial"/>
          <w:sz w:val="20"/>
          <w:szCs w:val="20"/>
          <w:lang w:val="en-US"/>
        </w:rPr>
        <w:t>n</w:t>
      </w:r>
      <w:r w:rsidRPr="007C151C">
        <w:rPr>
          <w:rFonts w:ascii="Arial" w:hAnsi="Arial" w:cs="Arial"/>
          <w:sz w:val="20"/>
          <w:szCs w:val="20"/>
          <w:lang w:val="en-US"/>
        </w:rPr>
        <w:t>eral rule - CSDs will not have the relevant information allowing them to identify these points in time.</w:t>
      </w:r>
    </w:p>
    <w:p w:rsidR="00F8491B" w:rsidRPr="007C151C" w:rsidRDefault="00F8491B" w:rsidP="00961A6D">
      <w:pPr>
        <w:pStyle w:val="NoSpacing"/>
        <w:rPr>
          <w:rFonts w:ascii="Arial" w:hAnsi="Arial" w:cs="Arial"/>
          <w:sz w:val="20"/>
          <w:szCs w:val="20"/>
          <w:lang w:val="en-US"/>
        </w:rPr>
      </w:pPr>
      <w:r w:rsidRPr="007C151C">
        <w:rPr>
          <w:rFonts w:ascii="Arial" w:hAnsi="Arial" w:cs="Arial"/>
          <w:sz w:val="20"/>
          <w:szCs w:val="20"/>
          <w:lang w:val="en-US"/>
        </w:rPr>
        <w:t>1(f): This should be deleted as it duplicates item 1(d).</w:t>
      </w:r>
    </w:p>
    <w:p w:rsidR="00F8491B" w:rsidRDefault="00F8491B" w:rsidP="00D12AFD">
      <w:pPr>
        <w:rPr>
          <w:rFonts w:cs="Arial"/>
          <w:sz w:val="20"/>
          <w:szCs w:val="20"/>
          <w:lang w:val="en-US"/>
        </w:rPr>
      </w:pPr>
      <w:r w:rsidRPr="007C151C">
        <w:rPr>
          <w:rFonts w:cs="Arial"/>
          <w:sz w:val="20"/>
          <w:szCs w:val="20"/>
          <w:lang w:val="en-US"/>
        </w:rPr>
        <w:t>2: Add “any” to the current text so that the text runs as follows: “….shall indicate in its settlement instru</w:t>
      </w:r>
      <w:r w:rsidRPr="007C151C">
        <w:rPr>
          <w:rFonts w:cs="Arial"/>
          <w:sz w:val="20"/>
          <w:szCs w:val="20"/>
          <w:lang w:val="en-US"/>
        </w:rPr>
        <w:t>c</w:t>
      </w:r>
      <w:r w:rsidRPr="007C151C">
        <w:rPr>
          <w:rFonts w:cs="Arial"/>
          <w:sz w:val="20"/>
          <w:szCs w:val="20"/>
          <w:lang w:val="en-US"/>
        </w:rPr>
        <w:t>tion the details and any reference …..”; the rationale is that the trading parties may not have a reference from the trading venue that they can include in the settlement instruction.</w:t>
      </w:r>
    </w:p>
    <w:permEnd w:id="1755850489"/>
    <w:p w:rsidR="00D12AFD" w:rsidRDefault="00D12AFD" w:rsidP="00D12AFD">
      <w:r>
        <w:t>&lt;ESMA_QUESTION_TS_CSDR_12&gt;</w:t>
      </w:r>
    </w:p>
    <w:p w:rsidR="00D12AFD" w:rsidRPr="002C4F00" w:rsidRDefault="00D12AFD" w:rsidP="00965B03">
      <w:pPr>
        <w:pStyle w:val="Heading5"/>
        <w:ind w:left="567" w:hanging="567"/>
      </w:pPr>
      <w:r w:rsidRPr="002C4F00">
        <w:t>What are your views on the proposed draft RTS related to anti-avoidance rules for cash penalties and buy-in?</w:t>
      </w:r>
    </w:p>
    <w:p w:rsidR="00D12AFD" w:rsidRDefault="00D12AFD" w:rsidP="00D12AFD"/>
    <w:p w:rsidR="00D12AFD" w:rsidRDefault="00D12AFD" w:rsidP="00D12AFD">
      <w:r>
        <w:t>&lt;ESMA_QUESTION_TS_CSDR_13&gt;</w:t>
      </w:r>
    </w:p>
    <w:p w:rsidR="008E5682" w:rsidRPr="00BB3B60" w:rsidRDefault="008E5682" w:rsidP="00961A6D">
      <w:pPr>
        <w:pStyle w:val="NoSpacing"/>
        <w:rPr>
          <w:rFonts w:ascii="Arial" w:hAnsi="Arial" w:cs="Arial"/>
          <w:b/>
          <w:sz w:val="20"/>
          <w:szCs w:val="20"/>
          <w:u w:val="single"/>
        </w:rPr>
      </w:pPr>
      <w:permStart w:id="1005144363" w:edGrp="everyone"/>
      <w:r w:rsidRPr="00BB3B60">
        <w:rPr>
          <w:rFonts w:ascii="Arial" w:hAnsi="Arial" w:cs="Arial"/>
          <w:b/>
          <w:sz w:val="20"/>
          <w:szCs w:val="20"/>
          <w:u w:val="single"/>
        </w:rPr>
        <w:t>AG response to Q13</w:t>
      </w:r>
    </w:p>
    <w:p w:rsidR="008E5682" w:rsidRDefault="008E5682" w:rsidP="00961A6D">
      <w:pPr>
        <w:pStyle w:val="NoSpacing"/>
        <w:rPr>
          <w:rFonts w:ascii="Arial" w:hAnsi="Arial" w:cs="Arial"/>
          <w:sz w:val="20"/>
          <w:szCs w:val="20"/>
          <w:lang w:val="en-US"/>
        </w:rPr>
      </w:pPr>
      <w:r w:rsidRPr="00E54191">
        <w:rPr>
          <w:rFonts w:ascii="Arial" w:hAnsi="Arial" w:cs="Arial"/>
          <w:sz w:val="20"/>
          <w:szCs w:val="20"/>
          <w:lang w:val="en-US"/>
        </w:rPr>
        <w:t>The AG believes that Article 19 may generate legal risk for all parties involved in the trading, clearing and settlement process. Accordingly, the AG suggests that ESMA review the Article, and, if appropriate, delete it.</w:t>
      </w:r>
    </w:p>
    <w:p w:rsidR="008E5682" w:rsidRDefault="008E5682" w:rsidP="00961A6D">
      <w:pPr>
        <w:pStyle w:val="NoSpacing"/>
        <w:rPr>
          <w:rFonts w:ascii="Arial" w:hAnsi="Arial" w:cs="Arial"/>
          <w:sz w:val="20"/>
          <w:szCs w:val="20"/>
          <w:lang w:val="en-US"/>
        </w:rPr>
      </w:pPr>
      <w:r w:rsidRPr="00E54191">
        <w:rPr>
          <w:rFonts w:ascii="Arial" w:hAnsi="Arial" w:cs="Arial"/>
          <w:sz w:val="20"/>
          <w:szCs w:val="20"/>
          <w:lang w:val="en-US"/>
        </w:rPr>
        <w:t xml:space="preserve">The concern of the AG is that this Article </w:t>
      </w:r>
      <w:r>
        <w:rPr>
          <w:rFonts w:ascii="Arial" w:hAnsi="Arial" w:cs="Arial"/>
          <w:sz w:val="20"/>
          <w:szCs w:val="20"/>
          <w:lang w:val="en-US"/>
        </w:rPr>
        <w:t>may create</w:t>
      </w:r>
      <w:r w:rsidRPr="00E54191">
        <w:rPr>
          <w:rFonts w:ascii="Arial" w:hAnsi="Arial" w:cs="Arial"/>
          <w:sz w:val="20"/>
          <w:szCs w:val="20"/>
          <w:lang w:val="en-US"/>
        </w:rPr>
        <w:t xml:space="preserve"> the risk that a process or mechanism that is compl</w:t>
      </w:r>
      <w:r w:rsidRPr="00E54191">
        <w:rPr>
          <w:rFonts w:ascii="Arial" w:hAnsi="Arial" w:cs="Arial"/>
          <w:sz w:val="20"/>
          <w:szCs w:val="20"/>
          <w:lang w:val="en-US"/>
        </w:rPr>
        <w:t>i</w:t>
      </w:r>
      <w:r w:rsidRPr="00E54191">
        <w:rPr>
          <w:rFonts w:ascii="Arial" w:hAnsi="Arial" w:cs="Arial"/>
          <w:sz w:val="20"/>
          <w:szCs w:val="20"/>
          <w:lang w:val="en-US"/>
        </w:rPr>
        <w:t>ant with the final text of Section 2 or Section 3</w:t>
      </w:r>
      <w:r>
        <w:rPr>
          <w:rFonts w:ascii="Arial" w:hAnsi="Arial" w:cs="Arial"/>
          <w:sz w:val="20"/>
          <w:szCs w:val="20"/>
          <w:lang w:val="en-US"/>
        </w:rPr>
        <w:t xml:space="preserve"> of Chapter III of the regulation (including certain exceptions where relevant)</w:t>
      </w:r>
      <w:r w:rsidRPr="00E54191">
        <w:rPr>
          <w:rFonts w:ascii="Arial" w:hAnsi="Arial" w:cs="Arial"/>
          <w:sz w:val="20"/>
          <w:szCs w:val="20"/>
          <w:lang w:val="en-US"/>
        </w:rPr>
        <w:t xml:space="preserve"> </w:t>
      </w:r>
      <w:r>
        <w:rPr>
          <w:rFonts w:ascii="Arial" w:hAnsi="Arial" w:cs="Arial"/>
          <w:sz w:val="20"/>
          <w:szCs w:val="20"/>
          <w:lang w:val="en-US"/>
        </w:rPr>
        <w:t xml:space="preserve">may be assessed as </w:t>
      </w:r>
      <w:r w:rsidRPr="00E54191">
        <w:rPr>
          <w:rFonts w:ascii="Arial" w:hAnsi="Arial" w:cs="Arial"/>
          <w:sz w:val="20"/>
          <w:szCs w:val="20"/>
          <w:lang w:val="en-US"/>
        </w:rPr>
        <w:t xml:space="preserve">non-compliant </w:t>
      </w:r>
      <w:r>
        <w:rPr>
          <w:rFonts w:ascii="Arial" w:hAnsi="Arial" w:cs="Arial"/>
          <w:sz w:val="20"/>
          <w:szCs w:val="20"/>
          <w:lang w:val="en-US"/>
        </w:rPr>
        <w:t xml:space="preserve">with the RTS </w:t>
      </w:r>
      <w:r w:rsidRPr="00E54191">
        <w:rPr>
          <w:rFonts w:ascii="Arial" w:hAnsi="Arial" w:cs="Arial"/>
          <w:sz w:val="20"/>
          <w:szCs w:val="20"/>
          <w:lang w:val="en-US"/>
        </w:rPr>
        <w:t xml:space="preserve">because </w:t>
      </w:r>
      <w:r>
        <w:rPr>
          <w:rFonts w:ascii="Arial" w:hAnsi="Arial" w:cs="Arial"/>
          <w:sz w:val="20"/>
          <w:szCs w:val="20"/>
          <w:lang w:val="en-US"/>
        </w:rPr>
        <w:t>this</w:t>
      </w:r>
      <w:r w:rsidRPr="00E54191">
        <w:rPr>
          <w:rFonts w:ascii="Arial" w:hAnsi="Arial" w:cs="Arial"/>
          <w:sz w:val="20"/>
          <w:szCs w:val="20"/>
          <w:lang w:val="en-US"/>
        </w:rPr>
        <w:t xml:space="preserve"> process or mechanism does not meet the additional requirements that are set out in the current text of Article 19</w:t>
      </w:r>
      <w:r>
        <w:rPr>
          <w:rFonts w:ascii="Arial" w:hAnsi="Arial" w:cs="Arial"/>
          <w:sz w:val="20"/>
          <w:szCs w:val="20"/>
          <w:lang w:val="en-US"/>
        </w:rPr>
        <w:t xml:space="preserve"> (a) and (b)</w:t>
      </w:r>
      <w:r w:rsidRPr="00E54191">
        <w:rPr>
          <w:rFonts w:ascii="Arial" w:hAnsi="Arial" w:cs="Arial"/>
          <w:sz w:val="20"/>
          <w:szCs w:val="20"/>
          <w:lang w:val="en-US"/>
        </w:rPr>
        <w:t xml:space="preserve">. </w:t>
      </w:r>
    </w:p>
    <w:p w:rsidR="008E5682" w:rsidRDefault="008E5682" w:rsidP="00D12AFD">
      <w:pPr>
        <w:rPr>
          <w:rFonts w:cs="Arial"/>
          <w:sz w:val="20"/>
          <w:szCs w:val="20"/>
          <w:lang w:val="en-US"/>
        </w:rPr>
      </w:pPr>
      <w:r w:rsidRPr="00E54191">
        <w:rPr>
          <w:rFonts w:cs="Arial"/>
          <w:sz w:val="20"/>
          <w:szCs w:val="20"/>
          <w:lang w:val="en-US"/>
        </w:rPr>
        <w:t>In effect, the risk is that the very broadly drafted requirements of Article 19 would supersede many of the detailed, technical provisions of Sections 2 and 3</w:t>
      </w:r>
      <w:r>
        <w:rPr>
          <w:rFonts w:cs="Arial"/>
          <w:sz w:val="20"/>
          <w:szCs w:val="20"/>
          <w:lang w:val="en-US"/>
        </w:rPr>
        <w:t xml:space="preserve"> of Chapter III</w:t>
      </w:r>
      <w:r w:rsidRPr="00E54191">
        <w:rPr>
          <w:rFonts w:cs="Arial"/>
          <w:sz w:val="20"/>
          <w:szCs w:val="20"/>
          <w:lang w:val="en-US"/>
        </w:rPr>
        <w:t>.</w:t>
      </w:r>
    </w:p>
    <w:permEnd w:id="1005144363"/>
    <w:p w:rsidR="00D12AFD" w:rsidRDefault="00D12AFD" w:rsidP="00D12AFD">
      <w:r>
        <w:t>&lt;ESMA_QUESTION_TS_CSDR_13&gt;</w:t>
      </w:r>
    </w:p>
    <w:p w:rsidR="00D12AFD" w:rsidRPr="002C4F00" w:rsidRDefault="00D12AFD" w:rsidP="00965B03">
      <w:pPr>
        <w:pStyle w:val="Heading5"/>
        <w:ind w:left="567" w:hanging="567"/>
      </w:pPr>
      <w:r w:rsidRPr="002C4F00">
        <w:t>Do you agree that 1</w:t>
      </w:r>
      <w:r w:rsidR="00775F04">
        <w:t>8</w:t>
      </w:r>
      <w:r w:rsidRPr="002C4F00">
        <w:t xml:space="preserve"> months would be an appropriate timeframe for the implement</w:t>
      </w:r>
      <w:r w:rsidRPr="002C4F00">
        <w:t>a</w:t>
      </w:r>
      <w:r w:rsidRPr="002C4F00">
        <w:t>tion of the settlement discipline regime under CSDR? If not, what would be an a</w:t>
      </w:r>
      <w:r w:rsidRPr="002C4F00">
        <w:t>p</w:t>
      </w:r>
      <w:r w:rsidRPr="002C4F00">
        <w:t>propriate timeframe in your opinion? Please provide concrete data and evidence justifying a phase-in for the settlement discipline measures and supporting your proposals.</w:t>
      </w:r>
    </w:p>
    <w:p w:rsidR="00D12AFD" w:rsidRDefault="00D12AFD" w:rsidP="00D12AFD"/>
    <w:p w:rsidR="00D12AFD" w:rsidRDefault="00D12AFD" w:rsidP="00D12AFD">
      <w:r>
        <w:t>&lt;ESMA_QUESTION_TS_CSDR_14&gt;</w:t>
      </w:r>
    </w:p>
    <w:p w:rsidR="009141FD" w:rsidRDefault="009141FD" w:rsidP="009141FD">
      <w:pPr>
        <w:pStyle w:val="NoSpacing"/>
        <w:rPr>
          <w:rFonts w:ascii="Arial" w:hAnsi="Arial" w:cs="Arial"/>
          <w:b/>
          <w:sz w:val="20"/>
          <w:szCs w:val="20"/>
          <w:u w:val="single"/>
        </w:rPr>
      </w:pPr>
      <w:permStart w:id="1025387030" w:edGrp="everyone"/>
      <w:r w:rsidRPr="00E64979">
        <w:rPr>
          <w:rFonts w:ascii="Arial" w:hAnsi="Arial" w:cs="Arial"/>
          <w:b/>
          <w:sz w:val="20"/>
          <w:szCs w:val="20"/>
          <w:u w:val="single"/>
        </w:rPr>
        <w:t>AG response to Q14</w:t>
      </w:r>
    </w:p>
    <w:p w:rsidR="009141FD" w:rsidRDefault="009141FD" w:rsidP="009141FD">
      <w:pPr>
        <w:pStyle w:val="NoSpacing"/>
        <w:rPr>
          <w:rFonts w:ascii="Arial" w:hAnsi="Arial" w:cs="Arial"/>
          <w:i/>
          <w:sz w:val="20"/>
          <w:szCs w:val="20"/>
        </w:rPr>
      </w:pPr>
      <w:r w:rsidRPr="00E64979">
        <w:rPr>
          <w:rFonts w:ascii="Arial" w:hAnsi="Arial" w:cs="Arial"/>
          <w:b/>
          <w:sz w:val="20"/>
          <w:szCs w:val="20"/>
        </w:rPr>
        <w:t>RTS Art. 20</w:t>
      </w:r>
      <w:r w:rsidR="008C054B">
        <w:rPr>
          <w:rFonts w:ascii="Arial" w:hAnsi="Arial" w:cs="Arial"/>
          <w:b/>
          <w:sz w:val="20"/>
          <w:szCs w:val="20"/>
        </w:rPr>
        <w:t>,</w:t>
      </w:r>
      <w:r w:rsidRPr="00E64979">
        <w:rPr>
          <w:rFonts w:ascii="Arial" w:hAnsi="Arial" w:cs="Arial"/>
          <w:b/>
          <w:sz w:val="20"/>
          <w:szCs w:val="20"/>
        </w:rPr>
        <w:t xml:space="preserve"> </w:t>
      </w:r>
      <w:r w:rsidR="008C054B">
        <w:rPr>
          <w:rFonts w:ascii="Arial" w:hAnsi="Arial" w:cs="Arial"/>
          <w:b/>
          <w:color w:val="000000"/>
          <w:sz w:val="20"/>
          <w:szCs w:val="20"/>
        </w:rPr>
        <w:t>Annex I</w:t>
      </w:r>
      <w:r w:rsidR="008C054B" w:rsidRPr="00E64979">
        <w:rPr>
          <w:rFonts w:ascii="Arial" w:hAnsi="Arial" w:cs="Arial"/>
          <w:i/>
          <w:sz w:val="20"/>
          <w:szCs w:val="20"/>
        </w:rPr>
        <w:t xml:space="preserve"> </w:t>
      </w:r>
      <w:r w:rsidRPr="00E64979">
        <w:rPr>
          <w:rFonts w:ascii="Arial" w:hAnsi="Arial" w:cs="Arial"/>
          <w:i/>
          <w:sz w:val="20"/>
          <w:szCs w:val="20"/>
        </w:rPr>
        <w:t>on entry into force:</w:t>
      </w:r>
    </w:p>
    <w:p w:rsidR="009141FD" w:rsidRDefault="009141FD" w:rsidP="009141FD">
      <w:pPr>
        <w:pStyle w:val="NoSpacing"/>
        <w:rPr>
          <w:rFonts w:ascii="Arial" w:hAnsi="Arial" w:cs="Arial"/>
          <w:sz w:val="20"/>
          <w:szCs w:val="20"/>
        </w:rPr>
      </w:pPr>
      <w:r w:rsidRPr="00E64979">
        <w:rPr>
          <w:rFonts w:ascii="Arial" w:hAnsi="Arial" w:cs="Arial"/>
          <w:sz w:val="20"/>
          <w:szCs w:val="20"/>
        </w:rPr>
        <w:t xml:space="preserve">The Article is of particular relevance for the 21 EU markets covering 24 CSDs planning to migrate to T2S by Q1 2017. </w:t>
      </w:r>
    </w:p>
    <w:p w:rsidR="009141FD" w:rsidRDefault="009141FD" w:rsidP="009141FD">
      <w:pPr>
        <w:pStyle w:val="NoSpacing"/>
        <w:rPr>
          <w:rFonts w:ascii="Arial" w:hAnsi="Arial" w:cs="Arial"/>
          <w:sz w:val="20"/>
          <w:szCs w:val="20"/>
        </w:rPr>
      </w:pPr>
      <w:r w:rsidRPr="00E64979">
        <w:rPr>
          <w:rFonts w:ascii="Arial" w:hAnsi="Arial" w:cs="Arial"/>
          <w:sz w:val="20"/>
          <w:szCs w:val="20"/>
        </w:rPr>
        <w:t xml:space="preserve">The AG appreciates the need for RTS to: </w:t>
      </w:r>
    </w:p>
    <w:p w:rsidR="009141FD" w:rsidRDefault="009141FD" w:rsidP="009141FD">
      <w:pPr>
        <w:pStyle w:val="NoSpacing"/>
        <w:rPr>
          <w:rFonts w:ascii="Arial" w:hAnsi="Arial" w:cs="Arial"/>
          <w:sz w:val="20"/>
          <w:szCs w:val="20"/>
        </w:rPr>
      </w:pPr>
      <w:r w:rsidRPr="00E64979">
        <w:rPr>
          <w:rFonts w:ascii="Arial" w:hAnsi="Arial" w:cs="Arial"/>
          <w:sz w:val="20"/>
          <w:szCs w:val="20"/>
        </w:rPr>
        <w:t xml:space="preserve">(a) </w:t>
      </w:r>
      <w:r w:rsidRPr="00E64979">
        <w:rPr>
          <w:rFonts w:ascii="Arial" w:hAnsi="Arial" w:cs="Arial"/>
          <w:sz w:val="20"/>
          <w:szCs w:val="20"/>
        </w:rPr>
        <w:tab/>
        <w:t xml:space="preserve">Be well balanced in terms of risk and efficiency; </w:t>
      </w:r>
    </w:p>
    <w:p w:rsidR="009141FD" w:rsidRDefault="009141FD" w:rsidP="009141FD">
      <w:pPr>
        <w:pStyle w:val="NoSpacing"/>
        <w:rPr>
          <w:rFonts w:ascii="Arial" w:hAnsi="Arial" w:cs="Arial"/>
          <w:sz w:val="20"/>
          <w:szCs w:val="20"/>
        </w:rPr>
      </w:pPr>
      <w:r w:rsidRPr="00E64979">
        <w:rPr>
          <w:rFonts w:ascii="Arial" w:hAnsi="Arial" w:cs="Arial"/>
          <w:sz w:val="20"/>
          <w:szCs w:val="20"/>
        </w:rPr>
        <w:t xml:space="preserve">(b) </w:t>
      </w:r>
      <w:r w:rsidRPr="00E64979">
        <w:rPr>
          <w:rFonts w:ascii="Arial" w:hAnsi="Arial" w:cs="Arial"/>
          <w:sz w:val="20"/>
          <w:szCs w:val="20"/>
        </w:rPr>
        <w:tab/>
        <w:t xml:space="preserve">Be correctly understood by all relevant stakeholders; and </w:t>
      </w:r>
    </w:p>
    <w:p w:rsidR="009141FD" w:rsidRDefault="009141FD" w:rsidP="009141FD">
      <w:pPr>
        <w:pStyle w:val="NoSpacing"/>
        <w:rPr>
          <w:rFonts w:ascii="Arial" w:hAnsi="Arial" w:cs="Arial"/>
          <w:sz w:val="20"/>
          <w:szCs w:val="20"/>
        </w:rPr>
      </w:pPr>
      <w:r w:rsidRPr="00E64979">
        <w:rPr>
          <w:rFonts w:ascii="Arial" w:hAnsi="Arial" w:cs="Arial"/>
          <w:sz w:val="20"/>
          <w:szCs w:val="20"/>
        </w:rPr>
        <w:t xml:space="preserve">(c) </w:t>
      </w:r>
      <w:r w:rsidRPr="00E64979">
        <w:rPr>
          <w:rFonts w:ascii="Arial" w:hAnsi="Arial" w:cs="Arial"/>
          <w:sz w:val="20"/>
          <w:szCs w:val="20"/>
        </w:rPr>
        <w:tab/>
        <w:t>Give all relevant stakeholders sufficient time to implement the necessary changes.</w:t>
      </w:r>
    </w:p>
    <w:p w:rsidR="009141FD" w:rsidRDefault="009141FD" w:rsidP="009141FD">
      <w:pPr>
        <w:pStyle w:val="NoSpacing"/>
        <w:rPr>
          <w:rFonts w:ascii="Arial" w:hAnsi="Arial" w:cs="Arial"/>
          <w:sz w:val="20"/>
          <w:szCs w:val="20"/>
        </w:rPr>
      </w:pPr>
      <w:r w:rsidRPr="00E64979">
        <w:rPr>
          <w:rFonts w:ascii="Arial" w:hAnsi="Arial" w:cs="Arial"/>
          <w:sz w:val="20"/>
          <w:szCs w:val="20"/>
        </w:rPr>
        <w:lastRenderedPageBreak/>
        <w:t xml:space="preserve">Accordingly, the AG welcomes the extended entry into force period proposal beyond the usual 20 days but has its doubts, given the detailed RTS, on whether the 18 months proposed constitute an appropriate period. More specifically the AG wishes to caution that, for the reasons outlined in detail below, even an implementation period of 18 months might be insufficient for allowing CSDs, CSD participants, and all intermediaries in the custody chain,  and potentially the T2S platform itself (where relevant) to implement the adaptations required by the RTS. </w:t>
      </w:r>
    </w:p>
    <w:p w:rsidR="009141FD" w:rsidRDefault="009141FD" w:rsidP="009141FD">
      <w:pPr>
        <w:pStyle w:val="NoSpacing"/>
        <w:rPr>
          <w:rFonts w:ascii="Arial" w:hAnsi="Arial" w:cs="Arial"/>
          <w:sz w:val="20"/>
          <w:szCs w:val="20"/>
        </w:rPr>
      </w:pPr>
      <w:r w:rsidRPr="00E64979">
        <w:rPr>
          <w:rFonts w:ascii="Arial" w:hAnsi="Arial" w:cs="Arial"/>
          <w:sz w:val="20"/>
          <w:szCs w:val="20"/>
        </w:rPr>
        <w:t>Given the detailed new requirements proposed by ESMA throughout this consultation paper, the AG invites ESMA to consider the trade-off between the urgency for the creation of a harmonised EU regulat</w:t>
      </w:r>
      <w:r w:rsidRPr="00E64979">
        <w:rPr>
          <w:rFonts w:ascii="Arial" w:hAnsi="Arial" w:cs="Arial"/>
          <w:sz w:val="20"/>
          <w:szCs w:val="20"/>
        </w:rPr>
        <w:t>o</w:t>
      </w:r>
      <w:r w:rsidRPr="00E64979">
        <w:rPr>
          <w:rFonts w:ascii="Arial" w:hAnsi="Arial" w:cs="Arial"/>
          <w:sz w:val="20"/>
          <w:szCs w:val="20"/>
        </w:rPr>
        <w:t>ry environment for a settlement discipline regime and the reality of system developments required by the EU CSDs in the next 24 months. Asking for the implementation of a substantially new and detailed settl</w:t>
      </w:r>
      <w:r w:rsidRPr="00E64979">
        <w:rPr>
          <w:rFonts w:ascii="Arial" w:hAnsi="Arial" w:cs="Arial"/>
          <w:sz w:val="20"/>
          <w:szCs w:val="20"/>
        </w:rPr>
        <w:t>e</w:t>
      </w:r>
      <w:r w:rsidRPr="00E64979">
        <w:rPr>
          <w:rFonts w:ascii="Arial" w:hAnsi="Arial" w:cs="Arial"/>
          <w:sz w:val="20"/>
          <w:szCs w:val="20"/>
        </w:rPr>
        <w:t>ment discipline regime in a period when systemically important market infrastructures already have to go through massive IT and rule changes could create systemic risks. These risks could undermine the huge efforts which these systemically important market infrastructures and their participants are undertaking in completing their successful preparations for and migration to T2S, and might thus adversely impact the ultimate objective of the RTS to help making Europe a better place to invest.</w:t>
      </w:r>
    </w:p>
    <w:p w:rsidR="009141FD" w:rsidRDefault="009141FD" w:rsidP="009141FD">
      <w:pPr>
        <w:pStyle w:val="NoSpacing"/>
        <w:rPr>
          <w:rFonts w:ascii="Arial" w:hAnsi="Arial" w:cs="Arial"/>
          <w:sz w:val="20"/>
          <w:szCs w:val="20"/>
        </w:rPr>
      </w:pPr>
      <w:r w:rsidRPr="00E64979">
        <w:rPr>
          <w:rFonts w:ascii="Arial" w:hAnsi="Arial" w:cs="Arial"/>
          <w:sz w:val="20"/>
          <w:szCs w:val="20"/>
        </w:rPr>
        <w:t>Concretely, the AG has identified the following elements regarding the impact of the RTS on the different T2S stakeholders (CSDs, CSD participants, and all intermediaries in the custody chain, and potentially the T2S platform itself) supporting the need for an extended implementation period, possibly beyond the 18 months:</w:t>
      </w:r>
    </w:p>
    <w:p w:rsidR="009141FD" w:rsidRDefault="009141FD" w:rsidP="009141FD">
      <w:pPr>
        <w:pStyle w:val="NoSpacing"/>
        <w:rPr>
          <w:rFonts w:ascii="Arial" w:hAnsi="Arial" w:cs="Arial"/>
          <w:b/>
          <w:sz w:val="20"/>
          <w:szCs w:val="20"/>
        </w:rPr>
      </w:pPr>
    </w:p>
    <w:p w:rsidR="009141FD" w:rsidRDefault="009141FD" w:rsidP="009141FD">
      <w:pPr>
        <w:pStyle w:val="NoSpacing"/>
        <w:rPr>
          <w:rFonts w:ascii="Arial" w:hAnsi="Arial" w:cs="Arial"/>
          <w:sz w:val="20"/>
          <w:szCs w:val="20"/>
        </w:rPr>
      </w:pPr>
      <w:r w:rsidRPr="00E64979">
        <w:rPr>
          <w:rFonts w:ascii="Arial" w:hAnsi="Arial" w:cs="Arial"/>
          <w:b/>
          <w:sz w:val="20"/>
          <w:szCs w:val="20"/>
        </w:rPr>
        <w:t>Impact of RTS on T2S CSDs</w:t>
      </w:r>
      <w:r w:rsidRPr="00E64979">
        <w:rPr>
          <w:rFonts w:ascii="Arial" w:hAnsi="Arial" w:cs="Arial"/>
          <w:sz w:val="20"/>
          <w:szCs w:val="20"/>
        </w:rPr>
        <w:t>.</w:t>
      </w:r>
    </w:p>
    <w:p w:rsidR="009141FD" w:rsidRDefault="009141FD" w:rsidP="00927D5F">
      <w:pPr>
        <w:pStyle w:val="NoSpacing"/>
        <w:numPr>
          <w:ilvl w:val="0"/>
          <w:numId w:val="40"/>
        </w:numPr>
        <w:rPr>
          <w:rFonts w:ascii="Arial" w:hAnsi="Arial" w:cs="Arial"/>
          <w:sz w:val="20"/>
          <w:szCs w:val="20"/>
        </w:rPr>
      </w:pPr>
      <w:r w:rsidRPr="00E64979">
        <w:rPr>
          <w:rFonts w:ascii="Arial" w:hAnsi="Arial" w:cs="Arial"/>
          <w:sz w:val="20"/>
          <w:szCs w:val="20"/>
        </w:rPr>
        <w:t xml:space="preserve">Transaction type, new fields for status type, account type, transaction type, buy-in related fields, asset class) (See AG comment </w:t>
      </w:r>
      <w:r>
        <w:rPr>
          <w:rFonts w:ascii="Arial" w:hAnsi="Arial" w:cs="Arial"/>
          <w:sz w:val="20"/>
          <w:szCs w:val="20"/>
        </w:rPr>
        <w:t>on Q5).</w:t>
      </w:r>
    </w:p>
    <w:p w:rsidR="009141FD" w:rsidRDefault="009141FD" w:rsidP="00927D5F">
      <w:pPr>
        <w:pStyle w:val="NoSpacing"/>
        <w:numPr>
          <w:ilvl w:val="0"/>
          <w:numId w:val="40"/>
        </w:numPr>
        <w:rPr>
          <w:rFonts w:ascii="Arial" w:hAnsi="Arial" w:cs="Arial"/>
          <w:sz w:val="20"/>
          <w:szCs w:val="20"/>
        </w:rPr>
      </w:pPr>
      <w:r w:rsidRPr="00E64979">
        <w:rPr>
          <w:rFonts w:ascii="Arial" w:hAnsi="Arial" w:cs="Arial"/>
          <w:sz w:val="20"/>
          <w:szCs w:val="20"/>
        </w:rPr>
        <w:t xml:space="preserve">Buy-in functionality and related information flows. </w:t>
      </w:r>
      <w:r>
        <w:rPr>
          <w:rFonts w:ascii="Arial" w:hAnsi="Arial" w:cs="Arial"/>
          <w:sz w:val="20"/>
          <w:szCs w:val="20"/>
        </w:rPr>
        <w:t>(See AG comment on  Q7).</w:t>
      </w:r>
    </w:p>
    <w:p w:rsidR="009141FD" w:rsidRDefault="009141FD" w:rsidP="00927D5F">
      <w:pPr>
        <w:pStyle w:val="NoSpacing"/>
        <w:numPr>
          <w:ilvl w:val="0"/>
          <w:numId w:val="40"/>
        </w:numPr>
        <w:rPr>
          <w:rFonts w:ascii="Arial" w:hAnsi="Arial" w:cs="Arial"/>
          <w:sz w:val="20"/>
          <w:szCs w:val="20"/>
        </w:rPr>
      </w:pPr>
      <w:r w:rsidRPr="00E64979">
        <w:rPr>
          <w:rFonts w:ascii="Arial" w:hAnsi="Arial" w:cs="Arial"/>
          <w:sz w:val="20"/>
          <w:szCs w:val="20"/>
        </w:rPr>
        <w:t>Implementation to process information flows (ISO) on penalty calculations, and proces</w:t>
      </w:r>
      <w:r w:rsidRPr="00E64979">
        <w:rPr>
          <w:rFonts w:ascii="Arial" w:hAnsi="Arial" w:cs="Arial"/>
          <w:sz w:val="20"/>
          <w:szCs w:val="20"/>
        </w:rPr>
        <w:t>s</w:t>
      </w:r>
      <w:r w:rsidRPr="00E64979">
        <w:rPr>
          <w:rFonts w:ascii="Arial" w:hAnsi="Arial" w:cs="Arial"/>
          <w:sz w:val="20"/>
          <w:szCs w:val="20"/>
        </w:rPr>
        <w:t>es/implementation for charging the cash penalties to their clients (See AG comment on</w:t>
      </w:r>
      <w:r>
        <w:rPr>
          <w:rFonts w:ascii="Arial" w:hAnsi="Arial" w:cs="Arial"/>
          <w:sz w:val="20"/>
          <w:szCs w:val="20"/>
        </w:rPr>
        <w:t xml:space="preserve"> Q6).</w:t>
      </w:r>
    </w:p>
    <w:p w:rsidR="009141FD" w:rsidRDefault="009141FD" w:rsidP="00927D5F">
      <w:pPr>
        <w:pStyle w:val="NoSpacing"/>
        <w:numPr>
          <w:ilvl w:val="0"/>
          <w:numId w:val="40"/>
        </w:numPr>
        <w:rPr>
          <w:rFonts w:ascii="Arial" w:hAnsi="Arial" w:cs="Arial"/>
          <w:sz w:val="20"/>
          <w:szCs w:val="20"/>
        </w:rPr>
      </w:pPr>
      <w:r w:rsidRPr="00E64979">
        <w:rPr>
          <w:rFonts w:ascii="Arial" w:hAnsi="Arial" w:cs="Arial"/>
          <w:sz w:val="20"/>
          <w:szCs w:val="20"/>
        </w:rPr>
        <w:t>The AG clarifies that certain record-keeping requirements (on records on flow and records on stock) as they are currently proposed in the RTS may involve changes in ISO standards. Changes in ISO standards involve substantial timelines and governance processes (see AG comment on Q4 and Q5 as well as under</w:t>
      </w:r>
      <w:r w:rsidRPr="00E64979">
        <w:rPr>
          <w:rFonts w:ascii="Arial" w:hAnsi="Arial" w:cs="Arial"/>
          <w:i/>
          <w:sz w:val="20"/>
          <w:szCs w:val="20"/>
        </w:rPr>
        <w:t xml:space="preserve"> Impact of RTS on T2S platform </w:t>
      </w:r>
      <w:r w:rsidRPr="00E64979">
        <w:rPr>
          <w:rFonts w:ascii="Arial" w:hAnsi="Arial" w:cs="Arial"/>
          <w:sz w:val="20"/>
          <w:szCs w:val="20"/>
        </w:rPr>
        <w:t>below). In parallel, or subsequently, there is a need for further harmonisation effort on the usage of the ISO standard (for example the transaction type) across the EU markets.</w:t>
      </w:r>
    </w:p>
    <w:p w:rsidR="00AF2E38" w:rsidRPr="00AF2E38" w:rsidRDefault="00AF2E38" w:rsidP="00AF2E38">
      <w:pPr>
        <w:pStyle w:val="NoSpacing"/>
        <w:rPr>
          <w:rFonts w:ascii="Arial" w:hAnsi="Arial" w:cs="Arial"/>
          <w:sz w:val="20"/>
          <w:szCs w:val="20"/>
        </w:rPr>
      </w:pPr>
      <w:r>
        <w:rPr>
          <w:rFonts w:ascii="Arial" w:hAnsi="Arial" w:cs="Arial"/>
          <w:iCs/>
          <w:sz w:val="20"/>
          <w:szCs w:val="20"/>
        </w:rPr>
        <w:t>T</w:t>
      </w:r>
      <w:r w:rsidRPr="00AF2E38">
        <w:rPr>
          <w:rFonts w:ascii="Arial" w:hAnsi="Arial" w:cs="Arial"/>
          <w:iCs/>
          <w:sz w:val="20"/>
          <w:szCs w:val="20"/>
        </w:rPr>
        <w:t>he AG takes note that ECSDA has prepared a survey among its members aiming at presenting a quant</w:t>
      </w:r>
      <w:r w:rsidRPr="00AF2E38">
        <w:rPr>
          <w:rFonts w:ascii="Arial" w:hAnsi="Arial" w:cs="Arial"/>
          <w:iCs/>
          <w:sz w:val="20"/>
          <w:szCs w:val="20"/>
        </w:rPr>
        <w:t>i</w:t>
      </w:r>
      <w:r w:rsidRPr="00AF2E38">
        <w:rPr>
          <w:rFonts w:ascii="Arial" w:hAnsi="Arial" w:cs="Arial"/>
          <w:iCs/>
          <w:sz w:val="20"/>
          <w:szCs w:val="20"/>
        </w:rPr>
        <w:t>tative estimation of the impact of the proposed RTS on CSDs</w:t>
      </w:r>
      <w:r w:rsidR="00D0099A">
        <w:rPr>
          <w:rFonts w:ascii="Arial" w:hAnsi="Arial" w:cs="Arial"/>
          <w:iCs/>
          <w:sz w:val="20"/>
          <w:szCs w:val="20"/>
        </w:rPr>
        <w:t>.</w:t>
      </w:r>
    </w:p>
    <w:p w:rsidR="009141FD" w:rsidRDefault="009141FD" w:rsidP="009141FD">
      <w:pPr>
        <w:pStyle w:val="NoSpacing"/>
        <w:rPr>
          <w:rFonts w:ascii="Arial" w:hAnsi="Arial" w:cs="Arial"/>
          <w:sz w:val="20"/>
          <w:szCs w:val="20"/>
        </w:rPr>
      </w:pPr>
    </w:p>
    <w:p w:rsidR="009141FD" w:rsidRDefault="009141FD" w:rsidP="009141FD">
      <w:pPr>
        <w:pStyle w:val="NoSpacing"/>
        <w:rPr>
          <w:rFonts w:ascii="Arial" w:hAnsi="Arial" w:cs="Arial"/>
          <w:b/>
          <w:sz w:val="20"/>
          <w:szCs w:val="20"/>
        </w:rPr>
      </w:pPr>
      <w:r w:rsidRPr="00E64979">
        <w:rPr>
          <w:rFonts w:ascii="Arial" w:hAnsi="Arial" w:cs="Arial"/>
          <w:b/>
          <w:sz w:val="20"/>
          <w:szCs w:val="20"/>
        </w:rPr>
        <w:t>Impact of RTS on CSD participants</w:t>
      </w:r>
    </w:p>
    <w:p w:rsidR="009141FD" w:rsidRDefault="009141FD" w:rsidP="00927D5F">
      <w:pPr>
        <w:pStyle w:val="NoSpacing"/>
        <w:numPr>
          <w:ilvl w:val="0"/>
          <w:numId w:val="42"/>
        </w:numPr>
        <w:ind w:left="426" w:hanging="426"/>
        <w:rPr>
          <w:rFonts w:ascii="Arial" w:hAnsi="Arial" w:cs="Arial"/>
          <w:sz w:val="20"/>
          <w:szCs w:val="20"/>
        </w:rPr>
      </w:pPr>
      <w:r w:rsidRPr="00E64979">
        <w:rPr>
          <w:rFonts w:ascii="Arial" w:hAnsi="Arial" w:cs="Arial"/>
          <w:sz w:val="20"/>
          <w:szCs w:val="20"/>
        </w:rPr>
        <w:t>CCPs have to process penalty information (flow between CSD and CCP and CCP to find the member to whom penalty applies)</w:t>
      </w:r>
      <w:r>
        <w:rPr>
          <w:rFonts w:ascii="Arial" w:hAnsi="Arial" w:cs="Arial"/>
          <w:sz w:val="20"/>
          <w:szCs w:val="20"/>
        </w:rPr>
        <w:t>;</w:t>
      </w:r>
    </w:p>
    <w:p w:rsidR="009141FD" w:rsidRDefault="009141FD" w:rsidP="00927D5F">
      <w:pPr>
        <w:pStyle w:val="NoSpacing"/>
        <w:numPr>
          <w:ilvl w:val="0"/>
          <w:numId w:val="41"/>
        </w:numPr>
        <w:ind w:left="426" w:hanging="426"/>
        <w:rPr>
          <w:rFonts w:ascii="Arial" w:hAnsi="Arial" w:cs="Arial"/>
          <w:sz w:val="20"/>
          <w:szCs w:val="20"/>
        </w:rPr>
      </w:pPr>
      <w:r w:rsidRPr="00E64979">
        <w:rPr>
          <w:rFonts w:ascii="Arial" w:hAnsi="Arial" w:cs="Arial"/>
          <w:sz w:val="20"/>
          <w:szCs w:val="20"/>
        </w:rPr>
        <w:t>(transaction type, new fields for status type, account type, transaction type, buy-in related fields, asset class) (See AG comment on Q5).</w:t>
      </w:r>
    </w:p>
    <w:p w:rsidR="009141FD" w:rsidRDefault="009141FD" w:rsidP="009141FD">
      <w:pPr>
        <w:pStyle w:val="NoSpacing"/>
        <w:rPr>
          <w:rFonts w:ascii="Arial" w:hAnsi="Arial" w:cs="Arial"/>
          <w:sz w:val="20"/>
          <w:szCs w:val="20"/>
        </w:rPr>
      </w:pPr>
      <w:r w:rsidRPr="00E64979">
        <w:rPr>
          <w:rFonts w:ascii="Arial" w:hAnsi="Arial" w:cs="Arial"/>
          <w:sz w:val="20"/>
          <w:szCs w:val="20"/>
        </w:rPr>
        <w:t>The buy-in requirements will have far-reaching impacts on all CSD participants, and in particular on CSD participants that act as settlement agents. The requirements can be divided up into three parts: new information flows, new activities and new processes to manage new types of risk.</w:t>
      </w:r>
    </w:p>
    <w:p w:rsidR="009141FD" w:rsidRDefault="009141FD" w:rsidP="00927D5F">
      <w:pPr>
        <w:pStyle w:val="NoSpacing"/>
        <w:numPr>
          <w:ilvl w:val="0"/>
          <w:numId w:val="41"/>
        </w:numPr>
        <w:ind w:left="426" w:hanging="426"/>
        <w:rPr>
          <w:rFonts w:ascii="Arial" w:hAnsi="Arial" w:cs="Arial"/>
          <w:sz w:val="20"/>
          <w:szCs w:val="20"/>
        </w:rPr>
      </w:pPr>
      <w:r w:rsidRPr="00E64979">
        <w:rPr>
          <w:rFonts w:ascii="Arial" w:hAnsi="Arial" w:cs="Arial"/>
          <w:sz w:val="20"/>
          <w:szCs w:val="20"/>
        </w:rPr>
        <w:t>New information flows: these will include the following items</w:t>
      </w:r>
      <w:r>
        <w:rPr>
          <w:rFonts w:ascii="Arial" w:hAnsi="Arial" w:cs="Arial"/>
          <w:sz w:val="20"/>
          <w:szCs w:val="20"/>
        </w:rPr>
        <w:t>:</w:t>
      </w:r>
    </w:p>
    <w:p w:rsidR="009141FD" w:rsidRDefault="009141FD" w:rsidP="00927D5F">
      <w:pPr>
        <w:pStyle w:val="NoSpacing"/>
        <w:numPr>
          <w:ilvl w:val="1"/>
          <w:numId w:val="40"/>
        </w:numPr>
        <w:rPr>
          <w:rFonts w:ascii="Arial" w:hAnsi="Arial" w:cs="Arial"/>
          <w:sz w:val="20"/>
          <w:szCs w:val="20"/>
        </w:rPr>
      </w:pPr>
      <w:r w:rsidRPr="00E64979">
        <w:rPr>
          <w:rFonts w:ascii="Arial" w:hAnsi="Arial" w:cs="Arial"/>
          <w:sz w:val="20"/>
          <w:szCs w:val="20"/>
        </w:rPr>
        <w:t>information to the CSD as to details of settlement instructions in the same financial instr</w:t>
      </w:r>
      <w:r w:rsidRPr="00E64979">
        <w:rPr>
          <w:rFonts w:ascii="Arial" w:hAnsi="Arial" w:cs="Arial"/>
          <w:sz w:val="20"/>
          <w:szCs w:val="20"/>
        </w:rPr>
        <w:t>u</w:t>
      </w:r>
      <w:r w:rsidRPr="00E64979">
        <w:rPr>
          <w:rFonts w:ascii="Arial" w:hAnsi="Arial" w:cs="Arial"/>
          <w:sz w:val="20"/>
          <w:szCs w:val="20"/>
        </w:rPr>
        <w:t>ments ( Article 11, paragraph 10)</w:t>
      </w:r>
      <w:r>
        <w:rPr>
          <w:rFonts w:ascii="Arial" w:hAnsi="Arial" w:cs="Arial"/>
          <w:sz w:val="20"/>
          <w:szCs w:val="20"/>
        </w:rPr>
        <w:t>;</w:t>
      </w:r>
    </w:p>
    <w:p w:rsidR="009141FD" w:rsidRDefault="009141FD" w:rsidP="00927D5F">
      <w:pPr>
        <w:pStyle w:val="NoSpacing"/>
        <w:numPr>
          <w:ilvl w:val="1"/>
          <w:numId w:val="40"/>
        </w:numPr>
        <w:rPr>
          <w:rFonts w:ascii="Arial" w:hAnsi="Arial" w:cs="Arial"/>
          <w:sz w:val="20"/>
          <w:szCs w:val="20"/>
        </w:rPr>
      </w:pPr>
      <w:r w:rsidRPr="00E64979">
        <w:rPr>
          <w:rFonts w:ascii="Arial" w:hAnsi="Arial" w:cs="Arial"/>
          <w:sz w:val="20"/>
          <w:szCs w:val="20"/>
        </w:rPr>
        <w:t>information on the amount of unsettled securities that are available in the account of the deli</w:t>
      </w:r>
      <w:r w:rsidRPr="00E64979">
        <w:rPr>
          <w:rFonts w:ascii="Arial" w:hAnsi="Arial" w:cs="Arial"/>
          <w:sz w:val="20"/>
          <w:szCs w:val="20"/>
        </w:rPr>
        <w:t>v</w:t>
      </w:r>
      <w:r w:rsidRPr="00E64979">
        <w:rPr>
          <w:rFonts w:ascii="Arial" w:hAnsi="Arial" w:cs="Arial"/>
          <w:sz w:val="20"/>
          <w:szCs w:val="20"/>
        </w:rPr>
        <w:t>ering participant (Article 11, paragraph 5)</w:t>
      </w:r>
      <w:r>
        <w:rPr>
          <w:rFonts w:ascii="Arial" w:hAnsi="Arial" w:cs="Arial"/>
          <w:sz w:val="20"/>
          <w:szCs w:val="20"/>
        </w:rPr>
        <w:t>;</w:t>
      </w:r>
    </w:p>
    <w:p w:rsidR="009141FD" w:rsidRDefault="009141FD" w:rsidP="00927D5F">
      <w:pPr>
        <w:pStyle w:val="NoSpacing"/>
        <w:numPr>
          <w:ilvl w:val="1"/>
          <w:numId w:val="40"/>
        </w:numPr>
        <w:rPr>
          <w:rFonts w:ascii="Arial" w:hAnsi="Arial" w:cs="Arial"/>
          <w:sz w:val="20"/>
          <w:szCs w:val="20"/>
        </w:rPr>
      </w:pPr>
      <w:r w:rsidRPr="00E64979">
        <w:rPr>
          <w:rFonts w:ascii="Arial" w:hAnsi="Arial" w:cs="Arial"/>
          <w:sz w:val="20"/>
          <w:szCs w:val="20"/>
        </w:rPr>
        <w:t>information on the applicable buy-in timetable for that transaction</w:t>
      </w:r>
      <w:r>
        <w:rPr>
          <w:rFonts w:ascii="Arial" w:hAnsi="Arial" w:cs="Arial"/>
          <w:sz w:val="20"/>
          <w:szCs w:val="20"/>
        </w:rPr>
        <w:t>;</w:t>
      </w:r>
    </w:p>
    <w:p w:rsidR="009141FD" w:rsidRDefault="009141FD" w:rsidP="00927D5F">
      <w:pPr>
        <w:pStyle w:val="NoSpacing"/>
        <w:numPr>
          <w:ilvl w:val="1"/>
          <w:numId w:val="40"/>
        </w:numPr>
        <w:rPr>
          <w:rFonts w:ascii="Arial" w:hAnsi="Arial" w:cs="Arial"/>
          <w:sz w:val="20"/>
          <w:szCs w:val="20"/>
        </w:rPr>
      </w:pPr>
      <w:r w:rsidRPr="00E64979">
        <w:rPr>
          <w:rFonts w:ascii="Arial" w:hAnsi="Arial" w:cs="Arial"/>
          <w:sz w:val="20"/>
          <w:szCs w:val="20"/>
        </w:rPr>
        <w:t>information from end investor (in the event the buy-in fails) as to choice between cash co</w:t>
      </w:r>
      <w:r w:rsidRPr="00E64979">
        <w:rPr>
          <w:rFonts w:ascii="Arial" w:hAnsi="Arial" w:cs="Arial"/>
          <w:sz w:val="20"/>
          <w:szCs w:val="20"/>
        </w:rPr>
        <w:t>m</w:t>
      </w:r>
      <w:r w:rsidRPr="00E64979">
        <w:rPr>
          <w:rFonts w:ascii="Arial" w:hAnsi="Arial" w:cs="Arial"/>
          <w:sz w:val="20"/>
          <w:szCs w:val="20"/>
        </w:rPr>
        <w:t>pensation and deferral (Article 11, paragraph 8)</w:t>
      </w:r>
      <w:r>
        <w:rPr>
          <w:rFonts w:ascii="Arial" w:hAnsi="Arial" w:cs="Arial"/>
          <w:sz w:val="20"/>
          <w:szCs w:val="20"/>
        </w:rPr>
        <w:t>.</w:t>
      </w:r>
    </w:p>
    <w:p w:rsidR="009141FD" w:rsidRDefault="009141FD" w:rsidP="00927D5F">
      <w:pPr>
        <w:pStyle w:val="NoSpacing"/>
        <w:numPr>
          <w:ilvl w:val="0"/>
          <w:numId w:val="41"/>
        </w:numPr>
        <w:ind w:left="426" w:hanging="426"/>
        <w:rPr>
          <w:rFonts w:ascii="Arial" w:hAnsi="Arial" w:cs="Arial"/>
          <w:sz w:val="20"/>
          <w:szCs w:val="20"/>
        </w:rPr>
      </w:pPr>
      <w:r w:rsidRPr="00E64979">
        <w:rPr>
          <w:rFonts w:ascii="Arial" w:hAnsi="Arial" w:cs="Arial"/>
          <w:sz w:val="20"/>
          <w:szCs w:val="20"/>
        </w:rPr>
        <w:t>New activities</w:t>
      </w:r>
      <w:r>
        <w:rPr>
          <w:rFonts w:ascii="Arial" w:hAnsi="Arial" w:cs="Arial"/>
          <w:sz w:val="20"/>
          <w:szCs w:val="20"/>
        </w:rPr>
        <w:t>:</w:t>
      </w:r>
    </w:p>
    <w:p w:rsidR="009141FD" w:rsidRDefault="009141FD" w:rsidP="00927D5F">
      <w:pPr>
        <w:pStyle w:val="NoSpacing"/>
        <w:numPr>
          <w:ilvl w:val="0"/>
          <w:numId w:val="43"/>
        </w:numPr>
        <w:rPr>
          <w:rFonts w:ascii="Arial" w:hAnsi="Arial" w:cs="Arial"/>
          <w:sz w:val="20"/>
          <w:szCs w:val="20"/>
        </w:rPr>
      </w:pPr>
      <w:r w:rsidRPr="00E64979">
        <w:rPr>
          <w:rFonts w:ascii="Arial" w:hAnsi="Arial" w:cs="Arial"/>
          <w:sz w:val="20"/>
          <w:szCs w:val="20"/>
        </w:rPr>
        <w:t>Receiving CSD participant (and other intermediaries in custody chain): buy-in process</w:t>
      </w:r>
      <w:r>
        <w:rPr>
          <w:rFonts w:ascii="Arial" w:hAnsi="Arial" w:cs="Arial"/>
          <w:sz w:val="20"/>
          <w:szCs w:val="20"/>
        </w:rPr>
        <w:t>;</w:t>
      </w:r>
    </w:p>
    <w:p w:rsidR="009141FD" w:rsidRDefault="009141FD" w:rsidP="00927D5F">
      <w:pPr>
        <w:pStyle w:val="NoSpacing"/>
        <w:numPr>
          <w:ilvl w:val="0"/>
          <w:numId w:val="43"/>
        </w:numPr>
        <w:rPr>
          <w:rFonts w:ascii="Arial" w:hAnsi="Arial" w:cs="Arial"/>
          <w:sz w:val="20"/>
          <w:szCs w:val="20"/>
        </w:rPr>
      </w:pPr>
      <w:r w:rsidRPr="00E64979">
        <w:rPr>
          <w:rFonts w:ascii="Arial" w:hAnsi="Arial" w:cs="Arial"/>
          <w:sz w:val="20"/>
          <w:szCs w:val="20"/>
        </w:rPr>
        <w:t>Delivering CSD participant (and other intermediaries in custody chain): payment of buy-in cost (in excess of original purchase cost), and payment of cash compensation</w:t>
      </w:r>
      <w:r>
        <w:rPr>
          <w:rFonts w:ascii="Arial" w:hAnsi="Arial" w:cs="Arial"/>
          <w:sz w:val="20"/>
          <w:szCs w:val="20"/>
        </w:rPr>
        <w:t>.</w:t>
      </w:r>
    </w:p>
    <w:p w:rsidR="009141FD" w:rsidRDefault="009141FD" w:rsidP="00927D5F">
      <w:pPr>
        <w:pStyle w:val="NoSpacing"/>
        <w:numPr>
          <w:ilvl w:val="0"/>
          <w:numId w:val="41"/>
        </w:numPr>
        <w:ind w:left="426" w:hanging="426"/>
        <w:rPr>
          <w:rFonts w:ascii="Arial" w:hAnsi="Arial" w:cs="Arial"/>
          <w:sz w:val="20"/>
          <w:szCs w:val="20"/>
        </w:rPr>
      </w:pPr>
      <w:r w:rsidRPr="00E64979">
        <w:rPr>
          <w:rFonts w:ascii="Arial" w:hAnsi="Arial" w:cs="Arial"/>
          <w:sz w:val="20"/>
          <w:szCs w:val="20"/>
        </w:rPr>
        <w:t>New processes to manage risk</w:t>
      </w:r>
      <w:r>
        <w:rPr>
          <w:rFonts w:ascii="Arial" w:hAnsi="Arial" w:cs="Arial"/>
          <w:sz w:val="20"/>
          <w:szCs w:val="20"/>
        </w:rPr>
        <w:t>:</w:t>
      </w:r>
    </w:p>
    <w:p w:rsidR="009141FD" w:rsidRDefault="009141FD" w:rsidP="00927D5F">
      <w:pPr>
        <w:pStyle w:val="NoSpacing"/>
        <w:numPr>
          <w:ilvl w:val="0"/>
          <w:numId w:val="44"/>
        </w:numPr>
        <w:rPr>
          <w:rFonts w:ascii="Arial" w:hAnsi="Arial" w:cs="Arial"/>
          <w:sz w:val="20"/>
          <w:szCs w:val="20"/>
        </w:rPr>
      </w:pPr>
      <w:r w:rsidRPr="00E64979">
        <w:rPr>
          <w:rFonts w:ascii="Arial" w:hAnsi="Arial" w:cs="Arial"/>
          <w:sz w:val="20"/>
          <w:szCs w:val="20"/>
        </w:rPr>
        <w:lastRenderedPageBreak/>
        <w:t>From point of transmission of a settlement instruction to a CSD a settlement agent will be subject to increased risk (compared to the situation today). A delivering party may potentially be subject to the obligation to pay the cost of a buy-in or to pay cash compensation; a receiving party may p</w:t>
      </w:r>
      <w:r w:rsidRPr="00E64979">
        <w:rPr>
          <w:rFonts w:ascii="Arial" w:hAnsi="Arial" w:cs="Arial"/>
          <w:sz w:val="20"/>
          <w:szCs w:val="20"/>
        </w:rPr>
        <w:t>o</w:t>
      </w:r>
      <w:r w:rsidRPr="00E64979">
        <w:rPr>
          <w:rFonts w:ascii="Arial" w:hAnsi="Arial" w:cs="Arial"/>
          <w:sz w:val="20"/>
          <w:szCs w:val="20"/>
        </w:rPr>
        <w:t>tentially obliged to have a buy-in executed on its behalf. Settlement agents will need to put in place new processes to manage these risks.</w:t>
      </w:r>
    </w:p>
    <w:p w:rsidR="009141FD" w:rsidRDefault="009141FD" w:rsidP="009141FD">
      <w:pPr>
        <w:pStyle w:val="NoSpacing"/>
        <w:rPr>
          <w:rFonts w:ascii="Arial" w:hAnsi="Arial" w:cs="Arial"/>
          <w:sz w:val="20"/>
          <w:szCs w:val="20"/>
        </w:rPr>
      </w:pPr>
    </w:p>
    <w:p w:rsidR="009141FD" w:rsidRDefault="009141FD" w:rsidP="009141FD">
      <w:pPr>
        <w:pStyle w:val="NoSpacing"/>
        <w:rPr>
          <w:rFonts w:ascii="Arial" w:hAnsi="Arial" w:cs="Arial"/>
          <w:b/>
          <w:sz w:val="20"/>
          <w:szCs w:val="20"/>
        </w:rPr>
      </w:pPr>
      <w:r w:rsidRPr="00E64979">
        <w:rPr>
          <w:rFonts w:ascii="Arial" w:hAnsi="Arial" w:cs="Arial"/>
          <w:b/>
          <w:sz w:val="20"/>
          <w:szCs w:val="20"/>
        </w:rPr>
        <w:t>Impact of RTS on T2S platform</w:t>
      </w:r>
    </w:p>
    <w:p w:rsidR="009141FD" w:rsidRDefault="009141FD" w:rsidP="009141FD">
      <w:pPr>
        <w:pStyle w:val="NoSpacing"/>
        <w:rPr>
          <w:rFonts w:ascii="Arial" w:hAnsi="Arial" w:cs="Arial"/>
          <w:sz w:val="20"/>
          <w:szCs w:val="20"/>
        </w:rPr>
      </w:pPr>
      <w:r w:rsidRPr="00E64979">
        <w:rPr>
          <w:rFonts w:ascii="Arial" w:hAnsi="Arial" w:cs="Arial"/>
          <w:sz w:val="20"/>
          <w:szCs w:val="20"/>
        </w:rPr>
        <w:t>Implementation of the RTS requirements for CSDs implies certain changes on the T2S platform in order to accommodate the new information which needs to be managed through the settlement process:</w:t>
      </w:r>
    </w:p>
    <w:p w:rsidR="009141FD" w:rsidRDefault="009141FD" w:rsidP="00927D5F">
      <w:pPr>
        <w:pStyle w:val="NoSpacing"/>
        <w:numPr>
          <w:ilvl w:val="0"/>
          <w:numId w:val="41"/>
        </w:numPr>
        <w:ind w:left="426" w:hanging="426"/>
        <w:rPr>
          <w:rFonts w:ascii="Arial" w:hAnsi="Arial" w:cs="Arial"/>
          <w:sz w:val="20"/>
          <w:szCs w:val="20"/>
        </w:rPr>
      </w:pPr>
      <w:r w:rsidRPr="00E64979">
        <w:rPr>
          <w:rFonts w:ascii="Arial" w:hAnsi="Arial" w:cs="Arial"/>
          <w:sz w:val="20"/>
          <w:szCs w:val="20"/>
        </w:rPr>
        <w:t>Making Transaction type a mandatory matching field (only possible after harmonized rules are esta</w:t>
      </w:r>
      <w:r w:rsidRPr="00E64979">
        <w:rPr>
          <w:rFonts w:ascii="Arial" w:hAnsi="Arial" w:cs="Arial"/>
          <w:sz w:val="20"/>
          <w:szCs w:val="20"/>
        </w:rPr>
        <w:t>b</w:t>
      </w:r>
      <w:r w:rsidRPr="00E64979">
        <w:rPr>
          <w:rFonts w:ascii="Arial" w:hAnsi="Arial" w:cs="Arial"/>
          <w:sz w:val="20"/>
          <w:szCs w:val="20"/>
        </w:rPr>
        <w:t xml:space="preserve">lished in the EU). </w:t>
      </w:r>
    </w:p>
    <w:p w:rsidR="009141FD" w:rsidRDefault="009141FD" w:rsidP="00927D5F">
      <w:pPr>
        <w:pStyle w:val="NoSpacing"/>
        <w:numPr>
          <w:ilvl w:val="0"/>
          <w:numId w:val="41"/>
        </w:numPr>
        <w:ind w:left="426" w:hanging="426"/>
        <w:rPr>
          <w:rFonts w:ascii="Arial" w:hAnsi="Arial" w:cs="Arial"/>
          <w:sz w:val="20"/>
          <w:szCs w:val="20"/>
        </w:rPr>
      </w:pPr>
      <w:r w:rsidRPr="00E64979">
        <w:rPr>
          <w:rFonts w:ascii="Arial" w:hAnsi="Arial" w:cs="Arial"/>
          <w:sz w:val="20"/>
          <w:szCs w:val="20"/>
        </w:rPr>
        <w:t xml:space="preserve">Implementing different content of status type, transaction type, account type fields, asset class (where different from the ISO CFI) and any related T2S support functionality on those fields (after ISO implementation). </w:t>
      </w:r>
    </w:p>
    <w:p w:rsidR="009141FD" w:rsidRDefault="009141FD" w:rsidP="00927D5F">
      <w:pPr>
        <w:pStyle w:val="NoSpacing"/>
        <w:numPr>
          <w:ilvl w:val="0"/>
          <w:numId w:val="41"/>
        </w:numPr>
        <w:ind w:left="426" w:hanging="426"/>
        <w:rPr>
          <w:rFonts w:ascii="Arial" w:hAnsi="Arial" w:cs="Arial"/>
          <w:sz w:val="20"/>
          <w:szCs w:val="20"/>
        </w:rPr>
      </w:pPr>
      <w:r w:rsidRPr="00E64979">
        <w:rPr>
          <w:rFonts w:ascii="Arial" w:hAnsi="Arial" w:cs="Arial"/>
          <w:sz w:val="20"/>
          <w:szCs w:val="20"/>
        </w:rPr>
        <w:t>T2S message changes (independently of the ISO impact), where certain fields (where relevant), would be needed to be included in the existing T2S reports and query messages.</w:t>
      </w:r>
    </w:p>
    <w:p w:rsidR="009141FD" w:rsidRDefault="009141FD" w:rsidP="00927D5F">
      <w:pPr>
        <w:pStyle w:val="NoSpacing"/>
        <w:numPr>
          <w:ilvl w:val="0"/>
          <w:numId w:val="41"/>
        </w:numPr>
        <w:ind w:left="426" w:hanging="426"/>
        <w:rPr>
          <w:rFonts w:ascii="Arial" w:hAnsi="Arial" w:cs="Arial"/>
          <w:sz w:val="20"/>
          <w:szCs w:val="20"/>
        </w:rPr>
      </w:pPr>
      <w:r w:rsidRPr="00E64979">
        <w:rPr>
          <w:rFonts w:ascii="Arial" w:hAnsi="Arial" w:cs="Arial"/>
          <w:sz w:val="20"/>
          <w:szCs w:val="20"/>
          <w:lang w:val="en-US"/>
        </w:rPr>
        <w:t xml:space="preserve">ISO standards changes: </w:t>
      </w:r>
      <w:r w:rsidRPr="00E64979">
        <w:rPr>
          <w:rFonts w:ascii="Arial" w:hAnsi="Arial" w:cs="Arial"/>
          <w:sz w:val="20"/>
          <w:szCs w:val="20"/>
        </w:rPr>
        <w:t>existing ISO 20022 messages are usually updated on a yearly basis (in May) following a maintenance process involving the timely submission (prior to the 1st of June of the preceding year) of the change requests to the Registration Authority (i.e. SWIFT in case of ISO 20022 messages) and the assessment and validation of the requested changes by the relevant Standards Evaluation Group (composed of industry experts in the concerned business domain). The maintenance of ISO 20022 messages can be exceptionally requested outside of the yearly cycle.</w:t>
      </w:r>
    </w:p>
    <w:p w:rsidR="009141FD" w:rsidRDefault="009141FD" w:rsidP="009141FD">
      <w:pPr>
        <w:pStyle w:val="NoSpacing"/>
        <w:ind w:left="426"/>
        <w:rPr>
          <w:rFonts w:ascii="Arial" w:hAnsi="Arial" w:cs="Arial"/>
          <w:sz w:val="20"/>
          <w:szCs w:val="20"/>
        </w:rPr>
      </w:pPr>
      <w:r w:rsidRPr="00E64979">
        <w:rPr>
          <w:rFonts w:ascii="Arial" w:hAnsi="Arial" w:cs="Arial"/>
          <w:sz w:val="20"/>
          <w:szCs w:val="20"/>
        </w:rPr>
        <w:t>Depending on the adoption time (foreseen by end 2015) of the CSDR RTS/ITS (unless change r</w:t>
      </w:r>
      <w:r w:rsidRPr="00E64979">
        <w:rPr>
          <w:rFonts w:ascii="Arial" w:hAnsi="Arial" w:cs="Arial"/>
          <w:sz w:val="20"/>
          <w:szCs w:val="20"/>
        </w:rPr>
        <w:t>e</w:t>
      </w:r>
      <w:r w:rsidRPr="00E64979">
        <w:rPr>
          <w:rFonts w:ascii="Arial" w:hAnsi="Arial" w:cs="Arial"/>
          <w:sz w:val="20"/>
          <w:szCs w:val="20"/>
        </w:rPr>
        <w:t xml:space="preserve">quests can be based on a stable draft version made available earlier), changes introduced by ESMA would be introduced in the updated ISO 20022 messages at the latest by May 2017 (or possibly one year earlier if an exceptional maintenance process is agreed by ISO these change requests). Once the new version of ISO 20022 messages is available, the communities of users (e.g. T2S) can decide on the actual implementation or migration conditions ('big bang' or migration preceded by a period of coexistence). </w:t>
      </w:r>
    </w:p>
    <w:p w:rsidR="009141FD" w:rsidRDefault="009141FD" w:rsidP="00927D5F">
      <w:pPr>
        <w:pStyle w:val="NoSpacing"/>
        <w:numPr>
          <w:ilvl w:val="0"/>
          <w:numId w:val="45"/>
        </w:numPr>
        <w:ind w:left="426" w:hanging="426"/>
        <w:rPr>
          <w:rFonts w:ascii="Arial" w:hAnsi="Arial" w:cs="Arial"/>
          <w:sz w:val="20"/>
          <w:szCs w:val="20"/>
        </w:rPr>
      </w:pPr>
      <w:r w:rsidRPr="00E64979">
        <w:rPr>
          <w:rFonts w:ascii="Arial" w:hAnsi="Arial" w:cs="Arial"/>
          <w:sz w:val="20"/>
          <w:szCs w:val="20"/>
        </w:rPr>
        <w:t>After changes to these ISO messages have been endorsed by the ISO governance structure, new developments are required in T2S in order to utilise these fields (the procedure is the same for all i</w:t>
      </w:r>
      <w:r w:rsidRPr="00E64979">
        <w:rPr>
          <w:rFonts w:ascii="Arial" w:hAnsi="Arial" w:cs="Arial"/>
          <w:sz w:val="20"/>
          <w:szCs w:val="20"/>
        </w:rPr>
        <w:t>n</w:t>
      </w:r>
      <w:r w:rsidRPr="00E64979">
        <w:rPr>
          <w:rFonts w:ascii="Arial" w:hAnsi="Arial" w:cs="Arial"/>
          <w:sz w:val="20"/>
          <w:szCs w:val="20"/>
        </w:rPr>
        <w:t xml:space="preserve">frastructures, not only T2S). </w:t>
      </w:r>
    </w:p>
    <w:p w:rsidR="009141FD" w:rsidRDefault="009141FD" w:rsidP="009141FD">
      <w:pPr>
        <w:pStyle w:val="NoSpacing"/>
        <w:rPr>
          <w:rFonts w:ascii="Arial" w:hAnsi="Arial" w:cs="Arial"/>
          <w:sz w:val="20"/>
          <w:szCs w:val="20"/>
        </w:rPr>
      </w:pPr>
      <w:r w:rsidRPr="00E64979">
        <w:rPr>
          <w:rFonts w:ascii="Arial" w:hAnsi="Arial" w:cs="Arial"/>
          <w:sz w:val="20"/>
          <w:szCs w:val="20"/>
        </w:rPr>
        <w:t>In addition, if T2S CSDs ask T2S to develop and provide the penalty calculations to support a jointly managed cash penalty system (see AG response to Q6) the following system developments have to be considered by the T2S stakeholders:</w:t>
      </w:r>
    </w:p>
    <w:p w:rsidR="009141FD" w:rsidRDefault="009141FD" w:rsidP="00927D5F">
      <w:pPr>
        <w:pStyle w:val="NoSpacing"/>
        <w:numPr>
          <w:ilvl w:val="0"/>
          <w:numId w:val="45"/>
        </w:numPr>
        <w:ind w:left="426" w:hanging="426"/>
        <w:rPr>
          <w:rFonts w:ascii="Arial" w:hAnsi="Arial" w:cs="Arial"/>
          <w:sz w:val="20"/>
          <w:szCs w:val="20"/>
        </w:rPr>
      </w:pPr>
      <w:r w:rsidRPr="00E64979">
        <w:rPr>
          <w:rFonts w:ascii="Arial" w:hAnsi="Arial" w:cs="Arial"/>
          <w:sz w:val="20"/>
          <w:szCs w:val="20"/>
        </w:rPr>
        <w:t>Calculation of penalties, including back-dated (assuming this is possible). Implementing the info</w:t>
      </w:r>
      <w:r w:rsidRPr="00E64979">
        <w:rPr>
          <w:rFonts w:ascii="Arial" w:hAnsi="Arial" w:cs="Arial"/>
          <w:sz w:val="20"/>
          <w:szCs w:val="20"/>
        </w:rPr>
        <w:t>r</w:t>
      </w:r>
      <w:r w:rsidRPr="00E64979">
        <w:rPr>
          <w:rFonts w:ascii="Arial" w:hAnsi="Arial" w:cs="Arial"/>
          <w:sz w:val="20"/>
          <w:szCs w:val="20"/>
        </w:rPr>
        <w:t>mation flows to CSDs on calculating cash penalties; provide additional penalty reports etc. which r</w:t>
      </w:r>
      <w:r w:rsidRPr="00E64979">
        <w:rPr>
          <w:rFonts w:ascii="Arial" w:hAnsi="Arial" w:cs="Arial"/>
          <w:sz w:val="20"/>
          <w:szCs w:val="20"/>
        </w:rPr>
        <w:t>e</w:t>
      </w:r>
      <w:r w:rsidRPr="00E64979">
        <w:rPr>
          <w:rFonts w:ascii="Arial" w:hAnsi="Arial" w:cs="Arial"/>
          <w:sz w:val="20"/>
          <w:szCs w:val="20"/>
        </w:rPr>
        <w:t>quires potentially new ISO messages in T2S.</w:t>
      </w:r>
    </w:p>
    <w:p w:rsidR="009141FD" w:rsidRDefault="009141FD" w:rsidP="00927D5F">
      <w:pPr>
        <w:pStyle w:val="NoSpacing"/>
        <w:numPr>
          <w:ilvl w:val="0"/>
          <w:numId w:val="45"/>
        </w:numPr>
        <w:ind w:left="426" w:hanging="426"/>
        <w:rPr>
          <w:rFonts w:ascii="Arial" w:hAnsi="Arial" w:cs="Arial"/>
          <w:sz w:val="20"/>
          <w:szCs w:val="20"/>
        </w:rPr>
      </w:pPr>
      <w:r w:rsidRPr="00E64979">
        <w:rPr>
          <w:rFonts w:ascii="Arial" w:hAnsi="Arial" w:cs="Arial"/>
          <w:sz w:val="20"/>
          <w:szCs w:val="20"/>
        </w:rPr>
        <w:t>Building and maintaining a reference price list for cash penalties process, provided that the param</w:t>
      </w:r>
      <w:r w:rsidRPr="00E64979">
        <w:rPr>
          <w:rFonts w:ascii="Arial" w:hAnsi="Arial" w:cs="Arial"/>
          <w:sz w:val="20"/>
          <w:szCs w:val="20"/>
        </w:rPr>
        <w:t>e</w:t>
      </w:r>
      <w:r w:rsidRPr="00E64979">
        <w:rPr>
          <w:rFonts w:ascii="Arial" w:hAnsi="Arial" w:cs="Arial"/>
          <w:sz w:val="20"/>
          <w:szCs w:val="20"/>
        </w:rPr>
        <w:t>ters of such service is agreed among CSDs and their regulators, including the choice of the reference price data provider.</w:t>
      </w:r>
    </w:p>
    <w:p w:rsidR="009141FD" w:rsidRDefault="009141FD" w:rsidP="009141FD">
      <w:pPr>
        <w:pStyle w:val="NoSpacing"/>
        <w:rPr>
          <w:rFonts w:ascii="Arial" w:hAnsi="Arial" w:cs="Arial"/>
          <w:sz w:val="20"/>
          <w:szCs w:val="20"/>
        </w:rPr>
      </w:pPr>
    </w:p>
    <w:p w:rsidR="009141FD" w:rsidRDefault="009141FD" w:rsidP="009141FD">
      <w:pPr>
        <w:pStyle w:val="NoSpacing"/>
        <w:rPr>
          <w:rFonts w:ascii="Arial" w:hAnsi="Arial" w:cs="Arial"/>
          <w:b/>
          <w:i/>
          <w:sz w:val="20"/>
          <w:szCs w:val="20"/>
        </w:rPr>
      </w:pPr>
      <w:r w:rsidRPr="00E64979">
        <w:rPr>
          <w:rFonts w:ascii="Arial" w:hAnsi="Arial" w:cs="Arial"/>
          <w:b/>
          <w:i/>
          <w:sz w:val="20"/>
          <w:szCs w:val="20"/>
        </w:rPr>
        <w:t>Overall Impact on T2S CSD migration phase</w:t>
      </w:r>
    </w:p>
    <w:p w:rsidR="009141FD" w:rsidRDefault="009141FD" w:rsidP="009141FD">
      <w:pPr>
        <w:pStyle w:val="NoSpacing"/>
        <w:rPr>
          <w:rFonts w:ascii="Arial" w:hAnsi="Arial" w:cs="Arial"/>
          <w:sz w:val="20"/>
          <w:szCs w:val="20"/>
        </w:rPr>
      </w:pPr>
      <w:r w:rsidRPr="00E64979">
        <w:rPr>
          <w:rFonts w:ascii="Arial" w:hAnsi="Arial" w:cs="Arial"/>
          <w:sz w:val="20"/>
          <w:szCs w:val="20"/>
        </w:rPr>
        <w:t>In addition the AG would like to note the following regarding the overall impact of the settlement discipline regime RTS on the T2S CSDs and potentially on the T2S platform:</w:t>
      </w:r>
    </w:p>
    <w:p w:rsidR="009141FD" w:rsidRDefault="009141FD" w:rsidP="009141FD">
      <w:pPr>
        <w:pStyle w:val="NoSpacing"/>
        <w:rPr>
          <w:rFonts w:ascii="Arial" w:hAnsi="Arial" w:cs="Arial"/>
          <w:sz w:val="20"/>
          <w:szCs w:val="20"/>
        </w:rPr>
      </w:pPr>
      <w:r w:rsidRPr="00E64979">
        <w:rPr>
          <w:rFonts w:ascii="Arial" w:hAnsi="Arial" w:cs="Arial"/>
          <w:sz w:val="20"/>
          <w:szCs w:val="20"/>
        </w:rPr>
        <w:t>T2S is the most important and highly complex initiative in the area of securities settlement in the EU. Migrating to T2S and related testing is very complex and demanding, in particular for CSDs and their participants. The migration to T2S takes place in four waves, with the first wave CSDs testing for almost 12 months before their actual migration will take place. It had therefore been agreed, by all T2S stak</w:t>
      </w:r>
      <w:r w:rsidRPr="00E64979">
        <w:rPr>
          <w:rFonts w:ascii="Arial" w:hAnsi="Arial" w:cs="Arial"/>
          <w:sz w:val="20"/>
          <w:szCs w:val="20"/>
        </w:rPr>
        <w:t>e</w:t>
      </w:r>
      <w:r w:rsidRPr="00E64979">
        <w:rPr>
          <w:rFonts w:ascii="Arial" w:hAnsi="Arial" w:cs="Arial"/>
          <w:sz w:val="20"/>
          <w:szCs w:val="20"/>
        </w:rPr>
        <w:t>holders, that no new functions will be implemented during the testing and migration phases. Only the processing of bug fixes is allowed.</w:t>
      </w:r>
    </w:p>
    <w:p w:rsidR="009141FD" w:rsidRDefault="009141FD" w:rsidP="009141FD">
      <w:pPr>
        <w:pStyle w:val="NoSpacing"/>
        <w:rPr>
          <w:rFonts w:ascii="Arial" w:hAnsi="Arial" w:cs="Arial"/>
          <w:sz w:val="20"/>
          <w:szCs w:val="20"/>
        </w:rPr>
      </w:pPr>
      <w:r w:rsidRPr="00E64979">
        <w:rPr>
          <w:rFonts w:ascii="Arial" w:hAnsi="Arial" w:cs="Arial"/>
          <w:sz w:val="20"/>
          <w:szCs w:val="20"/>
        </w:rPr>
        <w:t xml:space="preserve">An application of settlement discipline measures that could imply several technical changes to the T2S platform in Q2 2017 (i.e. approximately 18 months delayed application) would endanger the success of the migration of T2S as a whole due to the technical complexity of introducing changes to a system that is being tested or migrated. Furthermore, for the “last-wave” CSDs this would mean that they would have to </w:t>
      </w:r>
      <w:r w:rsidRPr="00E64979">
        <w:rPr>
          <w:rFonts w:ascii="Arial" w:hAnsi="Arial" w:cs="Arial"/>
          <w:sz w:val="20"/>
          <w:szCs w:val="20"/>
        </w:rPr>
        <w:lastRenderedPageBreak/>
        <w:t xml:space="preserve">implement changes to their (legacy) systems around February 2017 while they are in the middle of their migration to T2S. </w:t>
      </w:r>
    </w:p>
    <w:p w:rsidR="009141FD" w:rsidRDefault="009141FD" w:rsidP="009141FD">
      <w:pPr>
        <w:pStyle w:val="NoSpacing"/>
        <w:rPr>
          <w:rFonts w:ascii="Arial" w:hAnsi="Arial" w:cs="Arial"/>
          <w:b/>
          <w:sz w:val="20"/>
          <w:szCs w:val="20"/>
        </w:rPr>
      </w:pPr>
      <w:r w:rsidRPr="00E64979">
        <w:rPr>
          <w:rFonts w:ascii="Arial" w:hAnsi="Arial" w:cs="Arial"/>
          <w:sz w:val="20"/>
          <w:szCs w:val="20"/>
        </w:rPr>
        <w:t>Thus, since two thirds of EU CSDs will be very busy testing for on-boarding CSDs during the next two years in the different migration waves (i.e. all CSDs will test, even those that are already migrated – tes</w:t>
      </w:r>
      <w:r w:rsidRPr="00E64979">
        <w:rPr>
          <w:rFonts w:ascii="Arial" w:hAnsi="Arial" w:cs="Arial"/>
          <w:sz w:val="20"/>
          <w:szCs w:val="20"/>
        </w:rPr>
        <w:t>t</w:t>
      </w:r>
      <w:r w:rsidRPr="00E64979">
        <w:rPr>
          <w:rFonts w:ascii="Arial" w:hAnsi="Arial" w:cs="Arial"/>
          <w:sz w:val="20"/>
          <w:szCs w:val="20"/>
        </w:rPr>
        <w:t>ing with those that are about to migrate), the AG expresses its serious concern from an settlement eff</w:t>
      </w:r>
      <w:r w:rsidRPr="00E64979">
        <w:rPr>
          <w:rFonts w:ascii="Arial" w:hAnsi="Arial" w:cs="Arial"/>
          <w:sz w:val="20"/>
          <w:szCs w:val="20"/>
        </w:rPr>
        <w:t>i</w:t>
      </w:r>
      <w:r w:rsidRPr="00E64979">
        <w:rPr>
          <w:rFonts w:ascii="Arial" w:hAnsi="Arial" w:cs="Arial"/>
          <w:sz w:val="20"/>
          <w:szCs w:val="20"/>
        </w:rPr>
        <w:t>ciency and financial stability perspective. Introducing new tests for implementing the technical standards may jeopardise the stability of a wide part of the European securities settlement infrastructure. The AG is concerned that implementation of changes during the T2S migration period or immediately thereafter would induce undue risk for an already very complex project.</w:t>
      </w:r>
      <w:r w:rsidRPr="00E64979">
        <w:rPr>
          <w:rFonts w:ascii="Arial" w:hAnsi="Arial" w:cs="Arial"/>
          <w:b/>
          <w:sz w:val="20"/>
          <w:szCs w:val="20"/>
        </w:rPr>
        <w:t xml:space="preserve"> </w:t>
      </w:r>
    </w:p>
    <w:p w:rsidR="009141FD" w:rsidRDefault="009141FD" w:rsidP="009141FD">
      <w:pPr>
        <w:pStyle w:val="NoSpacing"/>
        <w:rPr>
          <w:rFonts w:ascii="Arial" w:hAnsi="Arial" w:cs="Arial"/>
          <w:sz w:val="20"/>
          <w:szCs w:val="20"/>
        </w:rPr>
      </w:pPr>
      <w:r w:rsidRPr="00E64979">
        <w:rPr>
          <w:rFonts w:ascii="Arial" w:hAnsi="Arial" w:cs="Arial"/>
          <w:sz w:val="20"/>
          <w:szCs w:val="20"/>
        </w:rPr>
        <w:t>In the case of a delayed application of the technical measures by 18 months, it is true that entry into force would be after the migration has been completed, provided of course that no contingency migration wave will be utilised in T2S. However, T2S foresees that for a minimum of three to four months, T2S system performance and functional resilience will need to be monitored before any new changes can be impl</w:t>
      </w:r>
      <w:r w:rsidRPr="00E64979">
        <w:rPr>
          <w:rFonts w:ascii="Arial" w:hAnsi="Arial" w:cs="Arial"/>
          <w:sz w:val="20"/>
          <w:szCs w:val="20"/>
        </w:rPr>
        <w:t>e</w:t>
      </w:r>
      <w:r w:rsidRPr="00E64979">
        <w:rPr>
          <w:rFonts w:ascii="Arial" w:hAnsi="Arial" w:cs="Arial"/>
          <w:sz w:val="20"/>
          <w:szCs w:val="20"/>
        </w:rPr>
        <w:t xml:space="preserve">mented. This is necessary to ensure that the system runs smoothly and stable before any new changes are introduced. Any go-live of a new release in T2S is preceded by a 4-6 months user testing phase by all participants of the T2S platform (CSDs). The user testing phase encompassing testing by all T2S CSDs, their participants and the Eurosystem can thus – in the </w:t>
      </w:r>
      <w:r w:rsidRPr="00E64979">
        <w:rPr>
          <w:rFonts w:ascii="Arial" w:hAnsi="Arial" w:cs="Arial"/>
          <w:b/>
          <w:i/>
          <w:sz w:val="20"/>
          <w:szCs w:val="20"/>
        </w:rPr>
        <w:t>best case</w:t>
      </w:r>
      <w:r w:rsidRPr="00E64979">
        <w:rPr>
          <w:rFonts w:ascii="Arial" w:hAnsi="Arial" w:cs="Arial"/>
          <w:sz w:val="20"/>
          <w:szCs w:val="20"/>
        </w:rPr>
        <w:t xml:space="preserve"> – commence no earlier than mid-2017 and would last until end 2017 (i.e. six months). It is worth pointing out that this “best case” scenario is over optimistic as it assumes that the eight CSDs of the last migration wave, who would have gone live with T2S in February or May 2017 have also already implemented all changes to be ready for the next release of T2S. A more realistic and risk adverse scenario would be an approach that would allow the user testing phase - which would include the regulatory changes of CSD-R Level II – to be conducted in the first half of 2018 and the go-live of such major release no earlier than mid-2018.    </w:t>
      </w:r>
    </w:p>
    <w:p w:rsidR="009141FD" w:rsidRDefault="009141FD" w:rsidP="009141FD">
      <w:pPr>
        <w:pStyle w:val="NoSpacing"/>
        <w:rPr>
          <w:rFonts w:ascii="Arial" w:hAnsi="Arial" w:cs="Arial"/>
          <w:sz w:val="20"/>
          <w:szCs w:val="20"/>
        </w:rPr>
      </w:pPr>
      <w:r w:rsidRPr="00E64979">
        <w:rPr>
          <w:rFonts w:ascii="Arial" w:hAnsi="Arial" w:cs="Arial"/>
          <w:sz w:val="20"/>
          <w:szCs w:val="20"/>
        </w:rPr>
        <w:t>In addition, concerning the required harmonisation and establishment of common rules among the T2S CSDs, the AG would like to note that certain agreements on the harmonisation standards took the T2S community a couple of years to define, endorse, monitor and implement.</w:t>
      </w:r>
    </w:p>
    <w:p w:rsidR="009141FD" w:rsidRDefault="009141FD" w:rsidP="009141FD">
      <w:pPr>
        <w:pStyle w:val="NoSpacing"/>
        <w:rPr>
          <w:rFonts w:ascii="Arial" w:hAnsi="Arial" w:cs="Arial"/>
          <w:sz w:val="20"/>
          <w:szCs w:val="20"/>
        </w:rPr>
      </w:pPr>
    </w:p>
    <w:p w:rsidR="009141FD" w:rsidRDefault="009141FD" w:rsidP="009141FD">
      <w:pPr>
        <w:pStyle w:val="NoSpacing"/>
        <w:rPr>
          <w:rFonts w:ascii="Arial" w:hAnsi="Arial" w:cs="Arial"/>
          <w:b/>
          <w:sz w:val="20"/>
          <w:szCs w:val="20"/>
        </w:rPr>
      </w:pPr>
      <w:r w:rsidRPr="00E64979">
        <w:rPr>
          <w:rFonts w:ascii="Arial" w:hAnsi="Arial" w:cs="Arial"/>
          <w:b/>
          <w:sz w:val="20"/>
          <w:szCs w:val="20"/>
        </w:rPr>
        <w:t>Alternative proposal to ESMA</w:t>
      </w:r>
    </w:p>
    <w:p w:rsidR="009141FD" w:rsidRPr="00F27DB0" w:rsidRDefault="009141FD" w:rsidP="009141FD">
      <w:pPr>
        <w:pStyle w:val="NoSpacing"/>
        <w:rPr>
          <w:rFonts w:ascii="Arial" w:hAnsi="Arial" w:cs="Arial"/>
          <w:b/>
          <w:i/>
          <w:sz w:val="20"/>
          <w:szCs w:val="20"/>
        </w:rPr>
      </w:pPr>
      <w:r w:rsidRPr="00F27DB0">
        <w:rPr>
          <w:rFonts w:ascii="Arial" w:hAnsi="Arial" w:cs="Arial"/>
          <w:b/>
          <w:i/>
          <w:sz w:val="20"/>
          <w:szCs w:val="20"/>
        </w:rPr>
        <w:t>The AG therefore would like to stress the view that the settlement discipline measures, including certain elements of the related requirements on record-keeping and reporting to competent a</w:t>
      </w:r>
      <w:r w:rsidRPr="00F27DB0">
        <w:rPr>
          <w:rFonts w:ascii="Arial" w:hAnsi="Arial" w:cs="Arial"/>
          <w:b/>
          <w:i/>
          <w:sz w:val="20"/>
          <w:szCs w:val="20"/>
        </w:rPr>
        <w:t>u</w:t>
      </w:r>
      <w:r w:rsidRPr="00F27DB0">
        <w:rPr>
          <w:rFonts w:ascii="Arial" w:hAnsi="Arial" w:cs="Arial"/>
          <w:b/>
          <w:i/>
          <w:sz w:val="20"/>
          <w:szCs w:val="20"/>
        </w:rPr>
        <w:t>thorities, should be phased-in with a delay of minimum 24 months.</w:t>
      </w:r>
    </w:p>
    <w:permEnd w:id="1025387030"/>
    <w:p w:rsidR="00D12AFD" w:rsidRDefault="00D12AFD" w:rsidP="00D12AFD">
      <w:r>
        <w:t>&lt;ESMA_QUESTION_TS_CSDR_14&gt;</w:t>
      </w:r>
    </w:p>
    <w:p w:rsidR="00D12AFD" w:rsidRPr="002C4F00" w:rsidRDefault="00D12AFD" w:rsidP="00965B03">
      <w:pPr>
        <w:pStyle w:val="Heading5"/>
        <w:ind w:left="567" w:hanging="567"/>
      </w:pPr>
      <w:r w:rsidRPr="002C4F00">
        <w:t>What are your views on the proposed draft RTS</w:t>
      </w:r>
      <w:r>
        <w:t xml:space="preserve"> on CSD authorisation</w:t>
      </w:r>
      <w:r w:rsidRPr="002C4F00">
        <w:t xml:space="preserve"> (Chapter II of Annex II) and draft ITS </w:t>
      </w:r>
      <w:r>
        <w:t xml:space="preserve">on CSD authorisation </w:t>
      </w:r>
      <w:r w:rsidRPr="002C4F00">
        <w:t>(Chapter I of Annex VI)?</w:t>
      </w:r>
    </w:p>
    <w:p w:rsidR="00D12AFD" w:rsidRDefault="00D12AFD" w:rsidP="00D12AFD"/>
    <w:p w:rsidR="00D12AFD" w:rsidRDefault="00D12AFD" w:rsidP="00D12AFD">
      <w:r>
        <w:t>&lt;ESMA_QUESTION_TS_CSDR_15&gt;</w:t>
      </w:r>
    </w:p>
    <w:p w:rsidR="00EB2760" w:rsidRDefault="00EB2760" w:rsidP="00D12AFD">
      <w:pPr>
        <w:rPr>
          <w:rFonts w:cs="Arial"/>
          <w:sz w:val="20"/>
          <w:szCs w:val="20"/>
        </w:rPr>
      </w:pPr>
      <w:permStart w:id="392980133" w:edGrp="everyone"/>
      <w:r w:rsidRPr="00EE4E11">
        <w:rPr>
          <w:rFonts w:cs="Arial"/>
          <w:sz w:val="20"/>
          <w:szCs w:val="20"/>
        </w:rPr>
        <w:t>The T2S Advisory Group (AG) considers the scope of this question as not directly relevant for T2S.</w:t>
      </w:r>
    </w:p>
    <w:permEnd w:id="392980133"/>
    <w:p w:rsidR="00D12AFD" w:rsidRDefault="00D12AFD" w:rsidP="00D12AFD">
      <w:r>
        <w:t>&lt;ESMA_QUESTION_TS_CSDR_15&gt;</w:t>
      </w:r>
    </w:p>
    <w:p w:rsidR="00D12AFD" w:rsidRPr="002C4F00" w:rsidRDefault="00D12AFD" w:rsidP="00965B03">
      <w:pPr>
        <w:pStyle w:val="Heading5"/>
        <w:ind w:left="567" w:hanging="567"/>
      </w:pPr>
      <w:r w:rsidRPr="00C8467F">
        <w:t>What are your views on the proposed draft RTS on CSD review and evaluation (Chapter III of Annex II) and draft ITS (Chapter II of Annex VI)?</w:t>
      </w:r>
    </w:p>
    <w:p w:rsidR="00D12AFD" w:rsidRDefault="00D12AFD" w:rsidP="00D12AFD"/>
    <w:p w:rsidR="00D12AFD" w:rsidRDefault="00D12AFD" w:rsidP="00D12AFD">
      <w:r>
        <w:t>&lt;ESMA_QUESTION_TS_CSDR_16&gt;</w:t>
      </w:r>
    </w:p>
    <w:p w:rsidR="00EB2760" w:rsidRDefault="00EB2760" w:rsidP="00D12AFD">
      <w:pPr>
        <w:rPr>
          <w:rFonts w:cs="Arial"/>
          <w:sz w:val="20"/>
          <w:szCs w:val="20"/>
        </w:rPr>
      </w:pPr>
      <w:permStart w:id="823937797" w:edGrp="everyone"/>
      <w:r w:rsidRPr="00EE4E11">
        <w:rPr>
          <w:rFonts w:cs="Arial"/>
          <w:sz w:val="20"/>
          <w:szCs w:val="20"/>
        </w:rPr>
        <w:t>The T2S Advisory Group (AG) considers the scope of this question as not directly relevant for T2S.</w:t>
      </w:r>
    </w:p>
    <w:permEnd w:id="823937797"/>
    <w:p w:rsidR="00D12AFD" w:rsidRDefault="00D12AFD" w:rsidP="00D12AFD">
      <w:r>
        <w:t>&lt;ESMA_QUESTION_TS_CSDR_16&gt;</w:t>
      </w:r>
    </w:p>
    <w:p w:rsidR="00D12AFD" w:rsidRPr="002C4F00" w:rsidRDefault="00D12AFD" w:rsidP="00965B03">
      <w:pPr>
        <w:pStyle w:val="Heading5"/>
        <w:ind w:left="567" w:hanging="567"/>
      </w:pPr>
      <w:r w:rsidRPr="002C4F00">
        <w:t xml:space="preserve">What are your views on the proposed draft ITS </w:t>
      </w:r>
      <w:r>
        <w:t xml:space="preserve">on cooperation arrangements </w:t>
      </w:r>
      <w:r w:rsidRPr="002C4F00">
        <w:t>as in</w:t>
      </w:r>
      <w:r>
        <w:t xml:space="preserve">cluded in Chapter III of Annex </w:t>
      </w:r>
      <w:r w:rsidRPr="002C4F00">
        <w:t>VI?</w:t>
      </w:r>
    </w:p>
    <w:p w:rsidR="00D12AFD" w:rsidRDefault="00D12AFD" w:rsidP="00D12AFD"/>
    <w:p w:rsidR="00D12AFD" w:rsidRDefault="00D12AFD" w:rsidP="00D12AFD">
      <w:r>
        <w:t>&lt;ESMA_QUESTION_TS_CSDR_17&gt;</w:t>
      </w:r>
    </w:p>
    <w:p w:rsidR="00EB2760" w:rsidRDefault="00EB2760" w:rsidP="00D12AFD">
      <w:pPr>
        <w:rPr>
          <w:rFonts w:cs="Arial"/>
          <w:sz w:val="20"/>
          <w:szCs w:val="20"/>
        </w:rPr>
      </w:pPr>
      <w:permStart w:id="214844300" w:edGrp="everyone"/>
      <w:r w:rsidRPr="00EE4E11">
        <w:rPr>
          <w:rFonts w:cs="Arial"/>
          <w:sz w:val="20"/>
          <w:szCs w:val="20"/>
        </w:rPr>
        <w:t>The T2S Advisory Group (AG) considers the scope of this question as not directly relevant for T2S.</w:t>
      </w:r>
    </w:p>
    <w:permEnd w:id="214844300"/>
    <w:p w:rsidR="00D12AFD" w:rsidRDefault="00D12AFD" w:rsidP="00D12AFD">
      <w:r>
        <w:t>&lt;ESMA_QUESTION_TS_CSDR_17&gt;</w:t>
      </w:r>
    </w:p>
    <w:p w:rsidR="00D12AFD" w:rsidRPr="002C4F00" w:rsidRDefault="00D12AFD" w:rsidP="00965B03">
      <w:pPr>
        <w:pStyle w:val="Heading5"/>
        <w:ind w:left="567" w:hanging="567"/>
      </w:pPr>
      <w:r w:rsidRPr="002C4F00">
        <w:lastRenderedPageBreak/>
        <w:t>What are your views on the proposed draft RTS</w:t>
      </w:r>
      <w:r>
        <w:t xml:space="preserve"> on CSD recognition (Chapter IV of Annex II)</w:t>
      </w:r>
      <w:r w:rsidRPr="002C4F00">
        <w:t>?</w:t>
      </w:r>
    </w:p>
    <w:p w:rsidR="00D12AFD" w:rsidRDefault="00D12AFD" w:rsidP="00D12AFD"/>
    <w:p w:rsidR="00D12AFD" w:rsidRDefault="00D12AFD" w:rsidP="00D12AFD">
      <w:r>
        <w:t>&lt;ESMA_QUESTION_TS_CSDR_18&gt;</w:t>
      </w:r>
    </w:p>
    <w:p w:rsidR="00D12AFD" w:rsidRDefault="00D12AFD" w:rsidP="00D12AFD">
      <w:r>
        <w:t>TYPE YOUR TEXT HERE</w:t>
      </w:r>
    </w:p>
    <w:p w:rsidR="00D12AFD" w:rsidRDefault="00D12AFD" w:rsidP="00D12AFD">
      <w:r>
        <w:t>&lt;ESMA_QUESTION_TS_CSDR_18&gt;</w:t>
      </w:r>
    </w:p>
    <w:p w:rsidR="00D12AFD" w:rsidRPr="002C4F00" w:rsidRDefault="00D12AFD" w:rsidP="00965B03">
      <w:pPr>
        <w:pStyle w:val="Heading5"/>
        <w:ind w:left="567" w:hanging="567"/>
      </w:pPr>
      <w:r w:rsidRPr="002C4F00">
        <w:t>What are your views on the proposed approach regarding the determination of the most relevant currencies?</w:t>
      </w:r>
    </w:p>
    <w:p w:rsidR="00D12AFD" w:rsidRDefault="00D12AFD" w:rsidP="00D12AFD"/>
    <w:p w:rsidR="00D12AFD" w:rsidRDefault="00D12AFD" w:rsidP="00D12AFD">
      <w:r>
        <w:t>&lt;ESMA_QUESTION_TS_CSDR_19&gt;</w:t>
      </w:r>
    </w:p>
    <w:p w:rsidR="00EB2760" w:rsidRDefault="00EB2760" w:rsidP="00D12AFD">
      <w:pPr>
        <w:rPr>
          <w:rFonts w:cs="Arial"/>
          <w:sz w:val="20"/>
          <w:szCs w:val="20"/>
        </w:rPr>
      </w:pPr>
      <w:permStart w:id="609443690" w:edGrp="everyone"/>
      <w:r w:rsidRPr="00EE4E11">
        <w:rPr>
          <w:rFonts w:cs="Arial"/>
          <w:sz w:val="20"/>
          <w:szCs w:val="20"/>
        </w:rPr>
        <w:t>The T2S Advisory Group (AG) considers the scope of this question as not directly relevant for T2S.</w:t>
      </w:r>
    </w:p>
    <w:permEnd w:id="609443690"/>
    <w:p w:rsidR="00D12AFD" w:rsidRDefault="00D12AFD" w:rsidP="00D12AFD">
      <w:r>
        <w:t>&lt;ESMA_QUESTION_TS_CSDR_19&gt;</w:t>
      </w:r>
    </w:p>
    <w:p w:rsidR="00D12AFD" w:rsidRPr="002C4F00" w:rsidRDefault="00D12AFD" w:rsidP="00965B03">
      <w:pPr>
        <w:pStyle w:val="Heading5"/>
        <w:ind w:left="567" w:hanging="567"/>
      </w:pPr>
      <w:r w:rsidRPr="002C4F00">
        <w:t xml:space="preserve">What are your views on the proposed draft RTS </w:t>
      </w:r>
      <w:r>
        <w:t>on banking type of ancillary se</w:t>
      </w:r>
      <w:r>
        <w:t>r</w:t>
      </w:r>
      <w:r>
        <w:t xml:space="preserve">vices </w:t>
      </w:r>
      <w:r w:rsidRPr="002C4F00">
        <w:t xml:space="preserve">(Chapter VI of Annex II) and draft ITS </w:t>
      </w:r>
      <w:r>
        <w:t xml:space="preserve">on banking type of ancillary services </w:t>
      </w:r>
      <w:r w:rsidRPr="002C4F00">
        <w:t>(Chapter IV of Annex VI)?</w:t>
      </w:r>
    </w:p>
    <w:p w:rsidR="00D12AFD" w:rsidRDefault="00D12AFD" w:rsidP="00D12AFD"/>
    <w:p w:rsidR="00D12AFD" w:rsidRDefault="00D12AFD" w:rsidP="00D12AFD">
      <w:r>
        <w:t>&lt;ESMA_QUESTION_TS_CSDR_20&gt;</w:t>
      </w:r>
    </w:p>
    <w:p w:rsidR="00EB2760" w:rsidRDefault="00EB2760" w:rsidP="00D12AFD">
      <w:pPr>
        <w:rPr>
          <w:rFonts w:cs="Arial"/>
          <w:sz w:val="20"/>
          <w:szCs w:val="20"/>
        </w:rPr>
      </w:pPr>
      <w:permStart w:id="1274752908" w:edGrp="everyone"/>
      <w:r w:rsidRPr="00EE4E11">
        <w:rPr>
          <w:rFonts w:cs="Arial"/>
          <w:sz w:val="20"/>
          <w:szCs w:val="20"/>
        </w:rPr>
        <w:t>The T2S Advisory Group (AG) considers the scope of this question as not directly relevant for T2S.</w:t>
      </w:r>
    </w:p>
    <w:permEnd w:id="1274752908"/>
    <w:p w:rsidR="00D12AFD" w:rsidRDefault="00D12AFD" w:rsidP="00D12AFD">
      <w:r>
        <w:t>&lt;ESMA_QUESTION_TS_CSDR_20&gt;</w:t>
      </w:r>
    </w:p>
    <w:p w:rsidR="00D12AFD" w:rsidRPr="002C4F00" w:rsidRDefault="00D12AFD" w:rsidP="00965B03">
      <w:pPr>
        <w:pStyle w:val="Heading5"/>
        <w:ind w:left="567" w:hanging="567"/>
      </w:pPr>
      <w:r w:rsidRPr="002C4F00">
        <w:t>What are your views on the proposed draft RTS</w:t>
      </w:r>
      <w:r>
        <w:t xml:space="preserve"> on CSD participations</w:t>
      </w:r>
      <w:r w:rsidRPr="002C4F00">
        <w:t xml:space="preserve"> (Chapter II of Annex III)?</w:t>
      </w:r>
    </w:p>
    <w:p w:rsidR="00D12AFD" w:rsidRDefault="00D12AFD" w:rsidP="00D12AFD"/>
    <w:p w:rsidR="00D12AFD" w:rsidRDefault="00D12AFD" w:rsidP="00D12AFD">
      <w:r>
        <w:t>&lt;ESMA_QUESTION_TS_CSDR_21&gt;</w:t>
      </w:r>
    </w:p>
    <w:p w:rsidR="00D12AFD" w:rsidRDefault="00EB2760" w:rsidP="00D12AFD">
      <w:permStart w:id="1838295768" w:edGrp="everyone"/>
      <w:r w:rsidRPr="00EE4E11">
        <w:rPr>
          <w:rFonts w:cs="Arial"/>
          <w:sz w:val="20"/>
          <w:szCs w:val="20"/>
        </w:rPr>
        <w:t>The T2S Advisory Group (AG) considers the scope of this question as not directly relevant for T2S.</w:t>
      </w:r>
      <w:permEnd w:id="1838295768"/>
      <w:r w:rsidR="00D12AFD">
        <w:t>&lt;ESMA_QUESTION_TS_CSDR_21&gt;</w:t>
      </w:r>
    </w:p>
    <w:p w:rsidR="00D12AFD" w:rsidRDefault="00D12AFD" w:rsidP="00965B03">
      <w:pPr>
        <w:pStyle w:val="Heading5"/>
        <w:ind w:left="567" w:hanging="567"/>
      </w:pPr>
      <w:r w:rsidRPr="00C8467F">
        <w:t>What are your views on the proposed draft RTS on CSD risk monitoring tools (Cha</w:t>
      </w:r>
      <w:r w:rsidRPr="00C8467F">
        <w:t>p</w:t>
      </w:r>
      <w:r w:rsidRPr="00C8467F">
        <w:t>ter III of Annex III)?</w:t>
      </w:r>
    </w:p>
    <w:p w:rsidR="00D12AFD" w:rsidRDefault="00D12AFD" w:rsidP="00D12AFD"/>
    <w:p w:rsidR="00D12AFD" w:rsidRDefault="00D12AFD" w:rsidP="00D12AFD">
      <w:r>
        <w:t>&lt;ESMA_QUESTION_TS_CSDR_22&gt;</w:t>
      </w:r>
    </w:p>
    <w:p w:rsidR="00D12AFD" w:rsidRDefault="00D12AFD" w:rsidP="00D12AFD">
      <w:r>
        <w:t>TYPE YOUR TEXT HERE</w:t>
      </w:r>
    </w:p>
    <w:p w:rsidR="00D12AFD" w:rsidRDefault="00D12AFD" w:rsidP="00D12AFD">
      <w:r>
        <w:t>&lt;ESMA_QUESTION_TS_CSDR_22&gt;</w:t>
      </w:r>
    </w:p>
    <w:p w:rsidR="00D12AFD" w:rsidRDefault="00D12AFD" w:rsidP="00965B03">
      <w:pPr>
        <w:pStyle w:val="Heading5"/>
        <w:ind w:left="567" w:hanging="567"/>
      </w:pPr>
      <w:r w:rsidRPr="00C8467F">
        <w:t>What are your views on the proposed draft RTS on CSD record keeping (Chapter IV of Annex III) and draft ITS on CSD record keeping (Annex VII)?</w:t>
      </w:r>
    </w:p>
    <w:p w:rsidR="00D12AFD" w:rsidRDefault="00D12AFD" w:rsidP="00D12AFD"/>
    <w:p w:rsidR="00D12AFD" w:rsidRDefault="00D12AFD" w:rsidP="00D12AFD">
      <w:r>
        <w:t>&lt;ESMA_QUESTION_TS_CSDR_23&gt;</w:t>
      </w:r>
    </w:p>
    <w:p w:rsidR="007371CA" w:rsidRDefault="007371CA" w:rsidP="00961A6D">
      <w:pPr>
        <w:pStyle w:val="NoSpacing"/>
        <w:rPr>
          <w:rFonts w:ascii="Arial" w:hAnsi="Arial" w:cs="Arial"/>
          <w:b/>
          <w:sz w:val="20"/>
          <w:szCs w:val="20"/>
          <w:u w:val="single"/>
        </w:rPr>
      </w:pPr>
      <w:permStart w:id="923746472" w:edGrp="everyone"/>
      <w:r>
        <w:rPr>
          <w:rFonts w:ascii="Arial" w:hAnsi="Arial" w:cs="Arial"/>
          <w:b/>
          <w:sz w:val="20"/>
          <w:szCs w:val="20"/>
          <w:u w:val="single"/>
        </w:rPr>
        <w:t>AG</w:t>
      </w:r>
      <w:r w:rsidRPr="00601EFC">
        <w:rPr>
          <w:rFonts w:ascii="Arial" w:hAnsi="Arial" w:cs="Arial"/>
          <w:b/>
          <w:sz w:val="20"/>
          <w:szCs w:val="20"/>
          <w:u w:val="single"/>
        </w:rPr>
        <w:t xml:space="preserve"> response to Q23:</w:t>
      </w:r>
    </w:p>
    <w:p w:rsidR="007371CA" w:rsidRDefault="007371CA" w:rsidP="00961A6D">
      <w:pPr>
        <w:pStyle w:val="NoSpacing"/>
        <w:rPr>
          <w:rFonts w:ascii="Arial" w:hAnsi="Arial" w:cs="Arial"/>
          <w:sz w:val="20"/>
          <w:szCs w:val="20"/>
        </w:rPr>
      </w:pPr>
      <w:r w:rsidRPr="00601EFC">
        <w:rPr>
          <w:rFonts w:ascii="Arial" w:hAnsi="Arial" w:cs="Arial"/>
          <w:sz w:val="20"/>
          <w:szCs w:val="20"/>
        </w:rPr>
        <w:t xml:space="preserve">The AG agrees in principle with the harmonised approach as proposed in the draft RTS of Annex III and ITS of Annex VII. </w:t>
      </w:r>
    </w:p>
    <w:p w:rsidR="007371CA" w:rsidRDefault="007371CA" w:rsidP="00961A6D">
      <w:pPr>
        <w:pStyle w:val="NoSpacing"/>
        <w:rPr>
          <w:rFonts w:ascii="Arial" w:hAnsi="Arial" w:cs="Arial"/>
          <w:sz w:val="20"/>
          <w:szCs w:val="20"/>
        </w:rPr>
      </w:pPr>
      <w:r w:rsidRPr="00601EFC">
        <w:rPr>
          <w:rFonts w:ascii="Arial" w:hAnsi="Arial" w:cs="Arial"/>
          <w:sz w:val="20"/>
          <w:szCs w:val="20"/>
        </w:rPr>
        <w:t>However, there are some record keeping and reporting requirements (see below) that are not fully in line with the current ISO standards for instructing settlement messages and for reporting. The reason why the record keeping and reporting requirements should be in line with the ISO settlement messages and r</w:t>
      </w:r>
      <w:r w:rsidRPr="00601EFC">
        <w:rPr>
          <w:rFonts w:ascii="Arial" w:hAnsi="Arial" w:cs="Arial"/>
          <w:sz w:val="20"/>
          <w:szCs w:val="20"/>
        </w:rPr>
        <w:t>e</w:t>
      </w:r>
      <w:r w:rsidRPr="00601EFC">
        <w:rPr>
          <w:rFonts w:ascii="Arial" w:hAnsi="Arial" w:cs="Arial"/>
          <w:sz w:val="20"/>
          <w:szCs w:val="20"/>
        </w:rPr>
        <w:t>ports is that the information required from the CSDs can only be retrieved in the first place from the se</w:t>
      </w:r>
      <w:r w:rsidRPr="00601EFC">
        <w:rPr>
          <w:rFonts w:ascii="Arial" w:hAnsi="Arial" w:cs="Arial"/>
          <w:sz w:val="20"/>
          <w:szCs w:val="20"/>
        </w:rPr>
        <w:t>t</w:t>
      </w:r>
      <w:r w:rsidRPr="00601EFC">
        <w:rPr>
          <w:rFonts w:ascii="Arial" w:hAnsi="Arial" w:cs="Arial"/>
          <w:sz w:val="20"/>
          <w:szCs w:val="20"/>
        </w:rPr>
        <w:t>tlement related messages (i.e. settlement instructions)</w:t>
      </w:r>
    </w:p>
    <w:p w:rsidR="007371CA" w:rsidRDefault="007371CA" w:rsidP="00961A6D">
      <w:pPr>
        <w:pStyle w:val="NoSpacing"/>
        <w:rPr>
          <w:rFonts w:ascii="Arial" w:hAnsi="Arial" w:cs="Arial"/>
          <w:sz w:val="20"/>
          <w:szCs w:val="20"/>
        </w:rPr>
      </w:pPr>
      <w:r w:rsidRPr="00601EFC">
        <w:rPr>
          <w:rFonts w:ascii="Arial" w:hAnsi="Arial" w:cs="Arial"/>
          <w:sz w:val="20"/>
          <w:szCs w:val="20"/>
        </w:rPr>
        <w:t>In order for T2S CSDs to comply with these new regulatory requirements, the relevant ISO changes (fields, new messages, etc.) have to be agreed by the ISO international community. This process lasts between 1 and 2 years depending on the date of the submission of changes.  Submission of proposals for messages does not necessary mean approval by the ISO standards governance process. A question therefore arises, how CSDs would be able to fulfil their new CSDR regulatory requirements in the case where the ISO standards for messages and reports are not updated in line with these EU requirements.</w:t>
      </w:r>
    </w:p>
    <w:p w:rsidR="007371CA" w:rsidRDefault="007371CA" w:rsidP="00961A6D">
      <w:pPr>
        <w:pStyle w:val="NoSpacing"/>
        <w:rPr>
          <w:rFonts w:ascii="Arial" w:hAnsi="Arial" w:cs="Arial"/>
          <w:sz w:val="20"/>
          <w:szCs w:val="20"/>
        </w:rPr>
      </w:pPr>
      <w:r w:rsidRPr="00601EFC">
        <w:rPr>
          <w:rFonts w:ascii="Arial" w:hAnsi="Arial" w:cs="Arial"/>
          <w:sz w:val="20"/>
          <w:szCs w:val="20"/>
        </w:rPr>
        <w:lastRenderedPageBreak/>
        <w:t>In addition, assuming that the ISO standards are updated, the filling in of these fields in these new me</w:t>
      </w:r>
      <w:r w:rsidRPr="00601EFC">
        <w:rPr>
          <w:rFonts w:ascii="Arial" w:hAnsi="Arial" w:cs="Arial"/>
          <w:sz w:val="20"/>
          <w:szCs w:val="20"/>
        </w:rPr>
        <w:t>s</w:t>
      </w:r>
      <w:r w:rsidRPr="00601EFC">
        <w:rPr>
          <w:rFonts w:ascii="Arial" w:hAnsi="Arial" w:cs="Arial"/>
          <w:sz w:val="20"/>
          <w:szCs w:val="20"/>
        </w:rPr>
        <w:t xml:space="preserve">sages, has to be harmonised at EU level. This is also a process requiring some time. </w:t>
      </w:r>
    </w:p>
    <w:p w:rsidR="007371CA" w:rsidRDefault="007371CA" w:rsidP="00961A6D">
      <w:pPr>
        <w:pStyle w:val="NoSpacing"/>
        <w:rPr>
          <w:rFonts w:ascii="Arial" w:hAnsi="Arial" w:cs="Arial"/>
          <w:sz w:val="20"/>
          <w:szCs w:val="20"/>
        </w:rPr>
      </w:pPr>
      <w:r w:rsidRPr="00601EFC">
        <w:rPr>
          <w:rFonts w:ascii="Arial" w:hAnsi="Arial" w:cs="Arial"/>
          <w:sz w:val="20"/>
          <w:szCs w:val="20"/>
        </w:rPr>
        <w:t xml:space="preserve">Who are the stakeholders/governance in this process?  </w:t>
      </w:r>
    </w:p>
    <w:p w:rsidR="007371CA" w:rsidRDefault="007371CA" w:rsidP="00961A6D">
      <w:pPr>
        <w:pStyle w:val="NoSpacing"/>
        <w:rPr>
          <w:rFonts w:ascii="Arial" w:hAnsi="Arial" w:cs="Arial"/>
          <w:sz w:val="20"/>
          <w:szCs w:val="20"/>
        </w:rPr>
      </w:pPr>
      <w:r w:rsidRPr="00601EFC">
        <w:rPr>
          <w:rFonts w:ascii="Arial" w:hAnsi="Arial" w:cs="Arial"/>
          <w:sz w:val="20"/>
          <w:szCs w:val="20"/>
        </w:rPr>
        <w:t>In particular, the AG would like to provide some comments on specific articles of Annex III</w:t>
      </w:r>
      <w:r>
        <w:rPr>
          <w:rFonts w:ascii="Arial" w:hAnsi="Arial" w:cs="Arial"/>
          <w:sz w:val="20"/>
          <w:szCs w:val="20"/>
        </w:rPr>
        <w:t>.</w:t>
      </w:r>
    </w:p>
    <w:p w:rsidR="007371CA" w:rsidRDefault="007371CA" w:rsidP="00961A6D">
      <w:pPr>
        <w:pStyle w:val="NoSpacing"/>
        <w:rPr>
          <w:rFonts w:ascii="Arial" w:hAnsi="Arial" w:cs="Arial"/>
          <w:sz w:val="20"/>
          <w:szCs w:val="20"/>
        </w:rPr>
      </w:pPr>
    </w:p>
    <w:p w:rsidR="007371CA" w:rsidRDefault="007371CA" w:rsidP="00961A6D">
      <w:pPr>
        <w:pStyle w:val="NoSpacing"/>
        <w:rPr>
          <w:rFonts w:ascii="Arial" w:hAnsi="Arial" w:cs="Arial"/>
          <w:i/>
          <w:sz w:val="20"/>
          <w:szCs w:val="20"/>
        </w:rPr>
      </w:pPr>
      <w:r w:rsidRPr="008E5ED2">
        <w:rPr>
          <w:rFonts w:ascii="Arial" w:hAnsi="Arial" w:cs="Arial"/>
          <w:b/>
          <w:sz w:val="20"/>
          <w:szCs w:val="20"/>
        </w:rPr>
        <w:t>RTS Article 9 (2) c) in Annex III and ITS in Annex VII Table 1</w:t>
      </w:r>
      <w:r w:rsidRPr="00601EFC">
        <w:rPr>
          <w:rFonts w:ascii="Arial" w:hAnsi="Arial" w:cs="Arial"/>
          <w:i/>
          <w:sz w:val="20"/>
          <w:szCs w:val="20"/>
        </w:rPr>
        <w:t xml:space="preserve"> (TRANSACTION/SETTLEMENT I</w:t>
      </w:r>
      <w:r w:rsidRPr="00601EFC">
        <w:rPr>
          <w:rFonts w:ascii="Arial" w:hAnsi="Arial" w:cs="Arial"/>
          <w:i/>
          <w:sz w:val="20"/>
          <w:szCs w:val="20"/>
        </w:rPr>
        <w:t>N</w:t>
      </w:r>
      <w:r w:rsidRPr="00601EFC">
        <w:rPr>
          <w:rFonts w:ascii="Arial" w:hAnsi="Arial" w:cs="Arial"/>
          <w:i/>
          <w:sz w:val="20"/>
          <w:szCs w:val="20"/>
        </w:rPr>
        <w:t>STRUCTION (FLOW) RECORDS) row 2 (Transaction type (covering at least the instruction types spec</w:t>
      </w:r>
      <w:r w:rsidRPr="00601EFC">
        <w:rPr>
          <w:rFonts w:ascii="Arial" w:hAnsi="Arial" w:cs="Arial"/>
          <w:i/>
          <w:sz w:val="20"/>
          <w:szCs w:val="20"/>
        </w:rPr>
        <w:t>i</w:t>
      </w:r>
      <w:r w:rsidRPr="00601EFC">
        <w:rPr>
          <w:rFonts w:ascii="Arial" w:hAnsi="Arial" w:cs="Arial"/>
          <w:i/>
          <w:sz w:val="20"/>
          <w:szCs w:val="20"/>
        </w:rPr>
        <w:t>fied under Regulation (EU) No…  [RTS on monitoring of settlement fails under Article 7 of Regulation (EU) No 909/2014]):</w:t>
      </w:r>
    </w:p>
    <w:p w:rsidR="007371CA" w:rsidRDefault="007371CA" w:rsidP="00961A6D">
      <w:pPr>
        <w:pStyle w:val="NoSpacing"/>
        <w:rPr>
          <w:rFonts w:ascii="Arial" w:hAnsi="Arial" w:cs="Arial"/>
          <w:i/>
          <w:sz w:val="20"/>
          <w:szCs w:val="20"/>
        </w:rPr>
      </w:pPr>
    </w:p>
    <w:p w:rsidR="007371CA" w:rsidRPr="00601EFC" w:rsidRDefault="007371CA" w:rsidP="00961A6D">
      <w:pPr>
        <w:pStyle w:val="NoSpacing"/>
        <w:rPr>
          <w:rFonts w:ascii="Arial" w:hAnsi="Arial" w:cs="Arial"/>
          <w:sz w:val="20"/>
          <w:szCs w:val="20"/>
        </w:rPr>
      </w:pPr>
      <w:r w:rsidRPr="00601EFC">
        <w:rPr>
          <w:rFonts w:ascii="Arial" w:hAnsi="Arial" w:cs="Arial"/>
          <w:sz w:val="20"/>
          <w:szCs w:val="20"/>
        </w:rPr>
        <w:t>See also reply to Question 5 above:</w:t>
      </w:r>
    </w:p>
    <w:p w:rsidR="007371CA" w:rsidRPr="00601EFC" w:rsidRDefault="007371CA" w:rsidP="00961A6D">
      <w:pPr>
        <w:pStyle w:val="NoSpacing"/>
        <w:rPr>
          <w:rFonts w:ascii="Arial" w:hAnsi="Arial" w:cs="Arial"/>
          <w:sz w:val="20"/>
          <w:szCs w:val="20"/>
        </w:rPr>
      </w:pPr>
      <w:r w:rsidRPr="00601EFC">
        <w:rPr>
          <w:rFonts w:ascii="Arial" w:hAnsi="Arial" w:cs="Arial"/>
          <w:sz w:val="20"/>
          <w:szCs w:val="20"/>
        </w:rPr>
        <w:t>The T2S AG would like to suggest that ESMA considers the use of the standard ISO codes for the field “transaction type” to differentiate between the different transaction types. Otherwise, there is the difficulty that more than one of the codes which ESMA is proposing may describe more than one types of transa</w:t>
      </w:r>
      <w:r w:rsidRPr="00601EFC">
        <w:rPr>
          <w:rFonts w:ascii="Arial" w:hAnsi="Arial" w:cs="Arial"/>
          <w:sz w:val="20"/>
          <w:szCs w:val="20"/>
        </w:rPr>
        <w:t>c</w:t>
      </w:r>
      <w:r w:rsidRPr="00601EFC">
        <w:rPr>
          <w:rFonts w:ascii="Arial" w:hAnsi="Arial" w:cs="Arial"/>
          <w:sz w:val="20"/>
          <w:szCs w:val="20"/>
        </w:rPr>
        <w:t xml:space="preserve">tions. For example, there can be transactions concluded on a trading venue for collateral management purposes (e.g. repos) which are cleared by a CCP. In this case two codes may be applicable to that transaction: TRAD and COLL. </w:t>
      </w:r>
    </w:p>
    <w:p w:rsidR="007371CA" w:rsidRPr="00222599" w:rsidRDefault="007371CA" w:rsidP="00961A6D">
      <w:pPr>
        <w:pStyle w:val="NoSpacing"/>
        <w:rPr>
          <w:rFonts w:ascii="Arial" w:hAnsi="Arial" w:cs="Arial"/>
          <w:sz w:val="20"/>
          <w:szCs w:val="20"/>
        </w:rPr>
      </w:pPr>
      <w:r w:rsidRPr="00601EFC">
        <w:rPr>
          <w:rFonts w:ascii="Arial" w:hAnsi="Arial" w:cs="Arial"/>
          <w:sz w:val="20"/>
          <w:szCs w:val="20"/>
        </w:rPr>
        <w:t xml:space="preserve">The AG would invite ESMA to consider the usage of other standard ISO fields in order to receive from CSDs the information on whether a transaction is concluded on a trading venue or not. This field could be the “Place of trade”. Similarly, and regarding the information on whether an instruction is </w:t>
      </w:r>
      <w:r w:rsidRPr="00222599">
        <w:rPr>
          <w:rFonts w:ascii="Arial" w:hAnsi="Arial" w:cs="Arial"/>
          <w:sz w:val="20"/>
          <w:szCs w:val="20"/>
        </w:rPr>
        <w:t xml:space="preserve">cleared by a CCP or not, the field “place of clearing” could be used. </w:t>
      </w:r>
    </w:p>
    <w:p w:rsidR="007371CA" w:rsidRPr="00222599" w:rsidRDefault="007371CA" w:rsidP="00961A6D">
      <w:pPr>
        <w:pStyle w:val="NoSpacing"/>
        <w:rPr>
          <w:rFonts w:ascii="Arial" w:hAnsi="Arial" w:cs="Arial"/>
          <w:sz w:val="20"/>
          <w:szCs w:val="20"/>
        </w:rPr>
      </w:pPr>
      <w:r w:rsidRPr="00222599">
        <w:rPr>
          <w:rFonts w:ascii="Arial" w:hAnsi="Arial" w:cs="Arial"/>
          <w:sz w:val="20"/>
          <w:szCs w:val="20"/>
        </w:rPr>
        <w:t xml:space="preserve">The information in these fields can be provided in addition to the information regarding the transaction type. </w:t>
      </w:r>
    </w:p>
    <w:p w:rsidR="007371CA" w:rsidRDefault="007371CA" w:rsidP="00961A6D">
      <w:pPr>
        <w:pStyle w:val="NoSpacing"/>
        <w:rPr>
          <w:rFonts w:ascii="Arial" w:hAnsi="Arial" w:cs="Arial"/>
          <w:b/>
          <w:i/>
          <w:sz w:val="20"/>
          <w:szCs w:val="20"/>
          <w:u w:val="single"/>
        </w:rPr>
      </w:pPr>
      <w:r w:rsidRPr="00601EFC">
        <w:rPr>
          <w:rFonts w:ascii="Arial" w:hAnsi="Arial" w:cs="Arial"/>
          <w:b/>
          <w:i/>
          <w:sz w:val="20"/>
          <w:szCs w:val="20"/>
          <w:u w:val="single"/>
        </w:rPr>
        <w:t>Alternative drafting proposal:</w:t>
      </w:r>
    </w:p>
    <w:p w:rsidR="007371CA" w:rsidRPr="00222599" w:rsidRDefault="007371CA" w:rsidP="00961A6D">
      <w:pPr>
        <w:pStyle w:val="NoSpacing"/>
        <w:rPr>
          <w:rFonts w:ascii="Arial" w:hAnsi="Arial" w:cs="Arial"/>
          <w:sz w:val="20"/>
          <w:szCs w:val="20"/>
        </w:rPr>
      </w:pPr>
      <w:r w:rsidRPr="00222599">
        <w:rPr>
          <w:rFonts w:ascii="Arial" w:hAnsi="Arial" w:cs="Arial"/>
          <w:sz w:val="20"/>
          <w:szCs w:val="20"/>
        </w:rPr>
        <w:t>In line with its proposal in question 5 above, the AG proposes to fill in this row:</w:t>
      </w:r>
    </w:p>
    <w:p w:rsidR="007371CA" w:rsidRDefault="007371CA" w:rsidP="00961A6D">
      <w:pPr>
        <w:pStyle w:val="NoSpacing"/>
        <w:rPr>
          <w:rFonts w:ascii="Arial" w:hAnsi="Arial" w:cs="Arial"/>
          <w:i/>
          <w:sz w:val="20"/>
          <w:szCs w:val="20"/>
        </w:rPr>
      </w:pPr>
      <w:r w:rsidRPr="00601EFC">
        <w:rPr>
          <w:rFonts w:ascii="Arial" w:hAnsi="Arial" w:cs="Arial"/>
          <w:b/>
          <w:i/>
          <w:sz w:val="20"/>
          <w:szCs w:val="20"/>
        </w:rPr>
        <w:t>Transaction Type</w:t>
      </w:r>
      <w:r w:rsidRPr="00601EFC">
        <w:rPr>
          <w:rFonts w:ascii="Arial" w:hAnsi="Arial" w:cs="Arial"/>
          <w:i/>
          <w:sz w:val="20"/>
          <w:szCs w:val="20"/>
        </w:rPr>
        <w:t xml:space="preserve"> Standard ISO transaction type codes;</w:t>
      </w:r>
    </w:p>
    <w:p w:rsidR="007371CA" w:rsidRDefault="007371CA" w:rsidP="00961A6D">
      <w:pPr>
        <w:pStyle w:val="NoSpacing"/>
        <w:rPr>
          <w:rFonts w:ascii="Arial" w:hAnsi="Arial" w:cs="Arial"/>
          <w:i/>
          <w:sz w:val="20"/>
          <w:szCs w:val="20"/>
        </w:rPr>
      </w:pPr>
      <w:r w:rsidRPr="00601EFC">
        <w:rPr>
          <w:rFonts w:ascii="Arial" w:hAnsi="Arial" w:cs="Arial"/>
          <w:i/>
          <w:sz w:val="20"/>
          <w:szCs w:val="20"/>
        </w:rPr>
        <w:t>For reference the current standard ISO transaction type codes are:</w:t>
      </w:r>
    </w:p>
    <w:p w:rsidR="007371CA" w:rsidRDefault="007371CA" w:rsidP="00961A6D">
      <w:pPr>
        <w:pStyle w:val="NoSpacing"/>
        <w:rPr>
          <w:rFonts w:ascii="Arial" w:hAnsi="Arial" w:cs="Arial"/>
          <w:b/>
          <w:i/>
          <w:sz w:val="20"/>
          <w:szCs w:val="20"/>
        </w:rPr>
      </w:pPr>
      <w:r w:rsidRPr="00601EFC">
        <w:rPr>
          <w:rFonts w:ascii="Arial" w:hAnsi="Arial" w:cs="Arial"/>
          <w:b/>
          <w:i/>
          <w:sz w:val="20"/>
          <w:szCs w:val="20"/>
        </w:rPr>
        <w:t>CODE NAME</w:t>
      </w:r>
    </w:p>
    <w:p w:rsidR="007371CA" w:rsidRDefault="007371CA" w:rsidP="00961A6D">
      <w:pPr>
        <w:pStyle w:val="NoSpacing"/>
        <w:rPr>
          <w:rFonts w:ascii="Arial" w:hAnsi="Arial" w:cs="Arial"/>
          <w:i/>
          <w:sz w:val="20"/>
          <w:szCs w:val="20"/>
        </w:rPr>
      </w:pPr>
      <w:r w:rsidRPr="00601EFC">
        <w:rPr>
          <w:rFonts w:ascii="Arial" w:hAnsi="Arial" w:cs="Arial"/>
          <w:i/>
          <w:sz w:val="20"/>
          <w:szCs w:val="20"/>
        </w:rPr>
        <w:t>AUTO AutoCollateralisation</w:t>
      </w:r>
    </w:p>
    <w:p w:rsidR="007371CA" w:rsidRDefault="007371CA" w:rsidP="00961A6D">
      <w:pPr>
        <w:pStyle w:val="NoSpacing"/>
        <w:rPr>
          <w:rFonts w:ascii="Arial" w:hAnsi="Arial" w:cs="Arial"/>
          <w:i/>
          <w:sz w:val="20"/>
          <w:szCs w:val="20"/>
        </w:rPr>
      </w:pPr>
      <w:r w:rsidRPr="00601EFC">
        <w:rPr>
          <w:rFonts w:ascii="Arial" w:hAnsi="Arial" w:cs="Arial"/>
          <w:i/>
          <w:sz w:val="20"/>
          <w:szCs w:val="20"/>
        </w:rPr>
        <w:t>BSBK BuySellBack</w:t>
      </w:r>
    </w:p>
    <w:p w:rsidR="007371CA" w:rsidRDefault="007371CA" w:rsidP="00961A6D">
      <w:pPr>
        <w:pStyle w:val="NoSpacing"/>
        <w:rPr>
          <w:rFonts w:ascii="Arial" w:hAnsi="Arial" w:cs="Arial"/>
          <w:i/>
          <w:sz w:val="20"/>
          <w:szCs w:val="20"/>
        </w:rPr>
      </w:pPr>
      <w:r w:rsidRPr="00601EFC">
        <w:rPr>
          <w:rFonts w:ascii="Arial" w:hAnsi="Arial" w:cs="Arial"/>
          <w:i/>
          <w:sz w:val="20"/>
          <w:szCs w:val="20"/>
        </w:rPr>
        <w:t>CLAI MarketClaim</w:t>
      </w:r>
    </w:p>
    <w:p w:rsidR="007371CA" w:rsidRDefault="007371CA" w:rsidP="00961A6D">
      <w:pPr>
        <w:pStyle w:val="NoSpacing"/>
        <w:rPr>
          <w:rFonts w:ascii="Arial" w:hAnsi="Arial" w:cs="Arial"/>
          <w:i/>
          <w:sz w:val="20"/>
          <w:szCs w:val="20"/>
        </w:rPr>
      </w:pPr>
      <w:r w:rsidRPr="00601EFC">
        <w:rPr>
          <w:rFonts w:ascii="Arial" w:hAnsi="Arial" w:cs="Arial"/>
          <w:i/>
          <w:sz w:val="20"/>
          <w:szCs w:val="20"/>
        </w:rPr>
        <w:t>CNCB CentralBankCollateralOperation</w:t>
      </w:r>
    </w:p>
    <w:p w:rsidR="007371CA" w:rsidRDefault="007371CA" w:rsidP="00961A6D">
      <w:pPr>
        <w:pStyle w:val="NoSpacing"/>
        <w:rPr>
          <w:rFonts w:ascii="Arial" w:hAnsi="Arial" w:cs="Arial"/>
          <w:i/>
          <w:sz w:val="20"/>
          <w:szCs w:val="20"/>
        </w:rPr>
      </w:pPr>
      <w:r w:rsidRPr="00601EFC">
        <w:rPr>
          <w:rFonts w:ascii="Arial" w:hAnsi="Arial" w:cs="Arial"/>
          <w:i/>
          <w:sz w:val="20"/>
          <w:szCs w:val="20"/>
        </w:rPr>
        <w:t>COLI CollateralIn</w:t>
      </w:r>
    </w:p>
    <w:p w:rsidR="007371CA" w:rsidRDefault="007371CA" w:rsidP="00961A6D">
      <w:pPr>
        <w:pStyle w:val="NoSpacing"/>
        <w:rPr>
          <w:rFonts w:ascii="Arial" w:hAnsi="Arial" w:cs="Arial"/>
          <w:i/>
          <w:sz w:val="20"/>
          <w:szCs w:val="20"/>
        </w:rPr>
      </w:pPr>
      <w:r w:rsidRPr="00601EFC">
        <w:rPr>
          <w:rFonts w:ascii="Arial" w:hAnsi="Arial" w:cs="Arial"/>
          <w:i/>
          <w:sz w:val="20"/>
          <w:szCs w:val="20"/>
        </w:rPr>
        <w:t>COLO CollateralOut</w:t>
      </w:r>
    </w:p>
    <w:p w:rsidR="007371CA" w:rsidRDefault="007371CA" w:rsidP="00961A6D">
      <w:pPr>
        <w:pStyle w:val="NoSpacing"/>
        <w:rPr>
          <w:rFonts w:ascii="Arial" w:hAnsi="Arial" w:cs="Arial"/>
          <w:i/>
          <w:sz w:val="20"/>
          <w:szCs w:val="20"/>
        </w:rPr>
      </w:pPr>
      <w:r w:rsidRPr="00601EFC">
        <w:rPr>
          <w:rFonts w:ascii="Arial" w:hAnsi="Arial" w:cs="Arial"/>
          <w:i/>
          <w:sz w:val="20"/>
          <w:szCs w:val="20"/>
        </w:rPr>
        <w:t>CONV DepositoryReceiptConversion</w:t>
      </w:r>
    </w:p>
    <w:p w:rsidR="007371CA" w:rsidRDefault="007371CA" w:rsidP="00961A6D">
      <w:pPr>
        <w:pStyle w:val="NoSpacing"/>
        <w:rPr>
          <w:rFonts w:ascii="Arial" w:hAnsi="Arial" w:cs="Arial"/>
          <w:i/>
          <w:sz w:val="20"/>
          <w:szCs w:val="20"/>
        </w:rPr>
      </w:pPr>
      <w:r w:rsidRPr="00601EFC">
        <w:rPr>
          <w:rFonts w:ascii="Arial" w:hAnsi="Arial" w:cs="Arial"/>
          <w:i/>
          <w:sz w:val="20"/>
          <w:szCs w:val="20"/>
        </w:rPr>
        <w:t>CORP CorporateAction</w:t>
      </w:r>
    </w:p>
    <w:p w:rsidR="007371CA" w:rsidRDefault="007371CA" w:rsidP="00961A6D">
      <w:pPr>
        <w:pStyle w:val="NoSpacing"/>
        <w:rPr>
          <w:rFonts w:ascii="Arial" w:hAnsi="Arial" w:cs="Arial"/>
          <w:i/>
          <w:sz w:val="20"/>
          <w:szCs w:val="20"/>
        </w:rPr>
      </w:pPr>
      <w:r w:rsidRPr="00601EFC">
        <w:rPr>
          <w:rFonts w:ascii="Arial" w:hAnsi="Arial" w:cs="Arial"/>
          <w:i/>
          <w:sz w:val="20"/>
          <w:szCs w:val="20"/>
        </w:rPr>
        <w:t>ETFT ExchangeTradedFunds</w:t>
      </w:r>
    </w:p>
    <w:p w:rsidR="007371CA" w:rsidRDefault="007371CA" w:rsidP="00961A6D">
      <w:pPr>
        <w:pStyle w:val="NoSpacing"/>
        <w:rPr>
          <w:rFonts w:ascii="Arial" w:hAnsi="Arial" w:cs="Arial"/>
          <w:i/>
          <w:sz w:val="20"/>
          <w:szCs w:val="20"/>
        </w:rPr>
      </w:pPr>
      <w:r w:rsidRPr="00601EFC">
        <w:rPr>
          <w:rFonts w:ascii="Arial" w:hAnsi="Arial" w:cs="Arial"/>
          <w:i/>
          <w:sz w:val="20"/>
          <w:szCs w:val="20"/>
        </w:rPr>
        <w:t>FCTA FactorUpdate</w:t>
      </w:r>
    </w:p>
    <w:p w:rsidR="007371CA" w:rsidRDefault="007371CA" w:rsidP="00961A6D">
      <w:pPr>
        <w:pStyle w:val="NoSpacing"/>
        <w:rPr>
          <w:rFonts w:ascii="Arial" w:hAnsi="Arial" w:cs="Arial"/>
          <w:i/>
          <w:sz w:val="20"/>
          <w:szCs w:val="20"/>
        </w:rPr>
      </w:pPr>
      <w:r w:rsidRPr="00601EFC">
        <w:rPr>
          <w:rFonts w:ascii="Arial" w:hAnsi="Arial" w:cs="Arial"/>
          <w:i/>
          <w:sz w:val="20"/>
          <w:szCs w:val="20"/>
        </w:rPr>
        <w:t>INSP MoveOfStock</w:t>
      </w:r>
    </w:p>
    <w:p w:rsidR="007371CA" w:rsidRDefault="007371CA" w:rsidP="00961A6D">
      <w:pPr>
        <w:pStyle w:val="NoSpacing"/>
        <w:rPr>
          <w:rFonts w:ascii="Arial" w:hAnsi="Arial" w:cs="Arial"/>
          <w:i/>
          <w:sz w:val="20"/>
          <w:szCs w:val="20"/>
        </w:rPr>
      </w:pPr>
      <w:r w:rsidRPr="00601EFC">
        <w:rPr>
          <w:rFonts w:ascii="Arial" w:hAnsi="Arial" w:cs="Arial"/>
          <w:i/>
          <w:sz w:val="20"/>
          <w:szCs w:val="20"/>
        </w:rPr>
        <w:t>ISSU Issuance</w:t>
      </w:r>
    </w:p>
    <w:p w:rsidR="007371CA" w:rsidRDefault="007371CA" w:rsidP="00961A6D">
      <w:pPr>
        <w:pStyle w:val="NoSpacing"/>
        <w:rPr>
          <w:rFonts w:ascii="Arial" w:hAnsi="Arial" w:cs="Arial"/>
          <w:i/>
          <w:sz w:val="20"/>
          <w:szCs w:val="20"/>
        </w:rPr>
      </w:pPr>
      <w:r w:rsidRPr="00601EFC">
        <w:rPr>
          <w:rFonts w:ascii="Arial" w:hAnsi="Arial" w:cs="Arial"/>
          <w:i/>
          <w:sz w:val="20"/>
          <w:szCs w:val="20"/>
        </w:rPr>
        <w:t>MKDW MarkDown</w:t>
      </w:r>
    </w:p>
    <w:p w:rsidR="007371CA" w:rsidRDefault="007371CA" w:rsidP="00961A6D">
      <w:pPr>
        <w:pStyle w:val="NoSpacing"/>
        <w:rPr>
          <w:rFonts w:ascii="Arial" w:hAnsi="Arial" w:cs="Arial"/>
          <w:i/>
          <w:sz w:val="20"/>
          <w:szCs w:val="20"/>
        </w:rPr>
      </w:pPr>
      <w:r w:rsidRPr="00601EFC">
        <w:rPr>
          <w:rFonts w:ascii="Arial" w:hAnsi="Arial" w:cs="Arial"/>
          <w:i/>
          <w:sz w:val="20"/>
          <w:szCs w:val="20"/>
        </w:rPr>
        <w:t>MKUP MarkUp</w:t>
      </w:r>
    </w:p>
    <w:p w:rsidR="007371CA" w:rsidRDefault="007371CA" w:rsidP="00961A6D">
      <w:pPr>
        <w:pStyle w:val="NoSpacing"/>
        <w:rPr>
          <w:rFonts w:ascii="Arial" w:hAnsi="Arial" w:cs="Arial"/>
          <w:i/>
          <w:sz w:val="20"/>
          <w:szCs w:val="20"/>
        </w:rPr>
      </w:pPr>
      <w:r w:rsidRPr="00601EFC">
        <w:rPr>
          <w:rFonts w:ascii="Arial" w:hAnsi="Arial" w:cs="Arial"/>
          <w:i/>
          <w:sz w:val="20"/>
          <w:szCs w:val="20"/>
        </w:rPr>
        <w:t>NETT Netting</w:t>
      </w:r>
    </w:p>
    <w:p w:rsidR="007371CA" w:rsidRDefault="007371CA" w:rsidP="00961A6D">
      <w:pPr>
        <w:pStyle w:val="NoSpacing"/>
        <w:rPr>
          <w:rFonts w:ascii="Arial" w:hAnsi="Arial" w:cs="Arial"/>
          <w:i/>
          <w:sz w:val="20"/>
          <w:szCs w:val="20"/>
        </w:rPr>
      </w:pPr>
      <w:r w:rsidRPr="00601EFC">
        <w:rPr>
          <w:rFonts w:ascii="Arial" w:hAnsi="Arial" w:cs="Arial"/>
          <w:i/>
          <w:sz w:val="20"/>
          <w:szCs w:val="20"/>
        </w:rPr>
        <w:t>NSYN NonSyndicated</w:t>
      </w:r>
    </w:p>
    <w:p w:rsidR="007371CA" w:rsidRDefault="007371CA" w:rsidP="00961A6D">
      <w:pPr>
        <w:pStyle w:val="NoSpacing"/>
        <w:rPr>
          <w:rFonts w:ascii="Arial" w:hAnsi="Arial" w:cs="Arial"/>
          <w:i/>
          <w:sz w:val="20"/>
          <w:szCs w:val="20"/>
        </w:rPr>
      </w:pPr>
      <w:r w:rsidRPr="00601EFC">
        <w:rPr>
          <w:rFonts w:ascii="Arial" w:hAnsi="Arial" w:cs="Arial"/>
          <w:i/>
          <w:sz w:val="20"/>
          <w:szCs w:val="20"/>
        </w:rPr>
        <w:t>OWNE ExternalAccountTransfer</w:t>
      </w:r>
    </w:p>
    <w:p w:rsidR="007371CA" w:rsidRDefault="007371CA" w:rsidP="00961A6D">
      <w:pPr>
        <w:pStyle w:val="NoSpacing"/>
        <w:rPr>
          <w:rFonts w:ascii="Arial" w:hAnsi="Arial" w:cs="Arial"/>
          <w:i/>
          <w:sz w:val="20"/>
          <w:szCs w:val="20"/>
        </w:rPr>
      </w:pPr>
      <w:r w:rsidRPr="00601EFC">
        <w:rPr>
          <w:rFonts w:ascii="Arial" w:hAnsi="Arial" w:cs="Arial"/>
          <w:i/>
          <w:sz w:val="20"/>
          <w:szCs w:val="20"/>
        </w:rPr>
        <w:t>OWNI InternalAccountTransfer</w:t>
      </w:r>
    </w:p>
    <w:p w:rsidR="007371CA" w:rsidRDefault="007371CA" w:rsidP="00961A6D">
      <w:pPr>
        <w:pStyle w:val="NoSpacing"/>
        <w:rPr>
          <w:rFonts w:ascii="Arial" w:hAnsi="Arial" w:cs="Arial"/>
          <w:i/>
          <w:sz w:val="20"/>
          <w:szCs w:val="20"/>
        </w:rPr>
      </w:pPr>
      <w:r w:rsidRPr="00601EFC">
        <w:rPr>
          <w:rFonts w:ascii="Arial" w:hAnsi="Arial" w:cs="Arial"/>
          <w:i/>
          <w:sz w:val="20"/>
          <w:szCs w:val="20"/>
        </w:rPr>
        <w:t>PAIR PairOff</w:t>
      </w:r>
    </w:p>
    <w:p w:rsidR="007371CA" w:rsidRDefault="007371CA" w:rsidP="00961A6D">
      <w:pPr>
        <w:pStyle w:val="NoSpacing"/>
        <w:rPr>
          <w:rFonts w:ascii="Arial" w:hAnsi="Arial" w:cs="Arial"/>
          <w:i/>
          <w:sz w:val="20"/>
          <w:szCs w:val="20"/>
        </w:rPr>
      </w:pPr>
      <w:r w:rsidRPr="00601EFC">
        <w:rPr>
          <w:rFonts w:ascii="Arial" w:hAnsi="Arial" w:cs="Arial"/>
          <w:i/>
          <w:sz w:val="20"/>
          <w:szCs w:val="20"/>
        </w:rPr>
        <w:t>PLAC Placement</w:t>
      </w:r>
    </w:p>
    <w:p w:rsidR="007371CA" w:rsidRDefault="007371CA" w:rsidP="00961A6D">
      <w:pPr>
        <w:pStyle w:val="NoSpacing"/>
        <w:rPr>
          <w:rFonts w:ascii="Arial" w:hAnsi="Arial" w:cs="Arial"/>
          <w:i/>
          <w:sz w:val="20"/>
          <w:szCs w:val="20"/>
        </w:rPr>
      </w:pPr>
      <w:r w:rsidRPr="00601EFC">
        <w:rPr>
          <w:rFonts w:ascii="Arial" w:hAnsi="Arial" w:cs="Arial"/>
          <w:i/>
          <w:sz w:val="20"/>
          <w:szCs w:val="20"/>
        </w:rPr>
        <w:t>PORT PortfolioMove</w:t>
      </w:r>
    </w:p>
    <w:p w:rsidR="007371CA" w:rsidRDefault="007371CA" w:rsidP="00961A6D">
      <w:pPr>
        <w:pStyle w:val="NoSpacing"/>
        <w:rPr>
          <w:rFonts w:ascii="Arial" w:hAnsi="Arial" w:cs="Arial"/>
          <w:i/>
          <w:sz w:val="20"/>
          <w:szCs w:val="20"/>
        </w:rPr>
      </w:pPr>
      <w:r w:rsidRPr="00601EFC">
        <w:rPr>
          <w:rFonts w:ascii="Arial" w:hAnsi="Arial" w:cs="Arial"/>
          <w:i/>
          <w:sz w:val="20"/>
          <w:szCs w:val="20"/>
        </w:rPr>
        <w:t>REAL Realignment</w:t>
      </w:r>
    </w:p>
    <w:p w:rsidR="007371CA" w:rsidRDefault="007371CA" w:rsidP="00961A6D">
      <w:pPr>
        <w:pStyle w:val="NoSpacing"/>
        <w:rPr>
          <w:rFonts w:ascii="Arial" w:hAnsi="Arial" w:cs="Arial"/>
          <w:i/>
          <w:sz w:val="20"/>
          <w:szCs w:val="20"/>
        </w:rPr>
      </w:pPr>
      <w:r w:rsidRPr="00601EFC">
        <w:rPr>
          <w:rFonts w:ascii="Arial" w:hAnsi="Arial" w:cs="Arial"/>
          <w:i/>
          <w:sz w:val="20"/>
          <w:szCs w:val="20"/>
        </w:rPr>
        <w:t>REDI Withdrawal</w:t>
      </w:r>
    </w:p>
    <w:p w:rsidR="007371CA" w:rsidRDefault="007371CA" w:rsidP="00961A6D">
      <w:pPr>
        <w:pStyle w:val="NoSpacing"/>
        <w:rPr>
          <w:rFonts w:ascii="Arial" w:hAnsi="Arial" w:cs="Arial"/>
          <w:i/>
          <w:sz w:val="20"/>
          <w:szCs w:val="20"/>
        </w:rPr>
      </w:pPr>
      <w:r w:rsidRPr="00601EFC">
        <w:rPr>
          <w:rFonts w:ascii="Arial" w:hAnsi="Arial" w:cs="Arial"/>
          <w:i/>
          <w:sz w:val="20"/>
          <w:szCs w:val="20"/>
        </w:rPr>
        <w:t>REDM Redemption</w:t>
      </w:r>
    </w:p>
    <w:p w:rsidR="007371CA" w:rsidRDefault="007371CA" w:rsidP="00961A6D">
      <w:pPr>
        <w:pStyle w:val="NoSpacing"/>
        <w:rPr>
          <w:rFonts w:ascii="Arial" w:hAnsi="Arial" w:cs="Arial"/>
          <w:i/>
          <w:sz w:val="20"/>
          <w:szCs w:val="20"/>
        </w:rPr>
      </w:pPr>
      <w:r w:rsidRPr="00601EFC">
        <w:rPr>
          <w:rFonts w:ascii="Arial" w:hAnsi="Arial" w:cs="Arial"/>
          <w:i/>
          <w:sz w:val="20"/>
          <w:szCs w:val="20"/>
        </w:rPr>
        <w:t>RELE DepositoryReceiptReleaseCancellation</w:t>
      </w:r>
    </w:p>
    <w:p w:rsidR="007371CA" w:rsidRDefault="007371CA" w:rsidP="00961A6D">
      <w:pPr>
        <w:pStyle w:val="NoSpacing"/>
        <w:rPr>
          <w:rFonts w:ascii="Arial" w:hAnsi="Arial" w:cs="Arial"/>
          <w:i/>
          <w:sz w:val="20"/>
          <w:szCs w:val="20"/>
        </w:rPr>
      </w:pPr>
      <w:r w:rsidRPr="00601EFC">
        <w:rPr>
          <w:rFonts w:ascii="Arial" w:hAnsi="Arial" w:cs="Arial"/>
          <w:i/>
          <w:sz w:val="20"/>
          <w:szCs w:val="20"/>
        </w:rPr>
        <w:t>REPU Repo</w:t>
      </w:r>
    </w:p>
    <w:p w:rsidR="007371CA" w:rsidRDefault="007371CA" w:rsidP="00961A6D">
      <w:pPr>
        <w:pStyle w:val="NoSpacing"/>
        <w:rPr>
          <w:rFonts w:ascii="Arial" w:hAnsi="Arial" w:cs="Arial"/>
          <w:i/>
          <w:sz w:val="20"/>
          <w:szCs w:val="20"/>
        </w:rPr>
      </w:pPr>
      <w:r w:rsidRPr="00601EFC">
        <w:rPr>
          <w:rFonts w:ascii="Arial" w:hAnsi="Arial" w:cs="Arial"/>
          <w:i/>
          <w:sz w:val="20"/>
          <w:szCs w:val="20"/>
        </w:rPr>
        <w:t>RODE ReturnDeliveryWithoutMatching</w:t>
      </w:r>
    </w:p>
    <w:p w:rsidR="007371CA" w:rsidRDefault="007371CA" w:rsidP="00961A6D">
      <w:pPr>
        <w:pStyle w:val="NoSpacing"/>
        <w:rPr>
          <w:rFonts w:ascii="Arial" w:hAnsi="Arial" w:cs="Arial"/>
          <w:i/>
          <w:sz w:val="20"/>
          <w:szCs w:val="20"/>
        </w:rPr>
      </w:pPr>
      <w:r w:rsidRPr="00601EFC">
        <w:rPr>
          <w:rFonts w:ascii="Arial" w:hAnsi="Arial" w:cs="Arial"/>
          <w:i/>
          <w:sz w:val="20"/>
          <w:szCs w:val="20"/>
        </w:rPr>
        <w:t>RVPO ReverseRepo</w:t>
      </w:r>
    </w:p>
    <w:p w:rsidR="007371CA" w:rsidRDefault="007371CA" w:rsidP="00961A6D">
      <w:pPr>
        <w:pStyle w:val="NoSpacing"/>
        <w:rPr>
          <w:rFonts w:ascii="Arial" w:hAnsi="Arial" w:cs="Arial"/>
          <w:i/>
          <w:sz w:val="20"/>
          <w:szCs w:val="20"/>
        </w:rPr>
      </w:pPr>
      <w:r w:rsidRPr="00601EFC">
        <w:rPr>
          <w:rFonts w:ascii="Arial" w:hAnsi="Arial" w:cs="Arial"/>
          <w:i/>
          <w:sz w:val="20"/>
          <w:szCs w:val="20"/>
        </w:rPr>
        <w:t>SBBK SellBuyBack</w:t>
      </w:r>
    </w:p>
    <w:p w:rsidR="007371CA" w:rsidRDefault="007371CA" w:rsidP="00961A6D">
      <w:pPr>
        <w:pStyle w:val="NoSpacing"/>
        <w:rPr>
          <w:rFonts w:ascii="Arial" w:hAnsi="Arial" w:cs="Arial"/>
          <w:i/>
          <w:sz w:val="20"/>
          <w:szCs w:val="20"/>
        </w:rPr>
      </w:pPr>
      <w:r w:rsidRPr="00601EFC">
        <w:rPr>
          <w:rFonts w:ascii="Arial" w:hAnsi="Arial" w:cs="Arial"/>
          <w:i/>
          <w:sz w:val="20"/>
          <w:szCs w:val="20"/>
        </w:rPr>
        <w:lastRenderedPageBreak/>
        <w:t>SBRE BorrowingReallocation</w:t>
      </w:r>
    </w:p>
    <w:p w:rsidR="007371CA" w:rsidRDefault="007371CA" w:rsidP="00961A6D">
      <w:pPr>
        <w:pStyle w:val="NoSpacing"/>
        <w:rPr>
          <w:rFonts w:ascii="Arial" w:hAnsi="Arial" w:cs="Arial"/>
          <w:i/>
          <w:sz w:val="20"/>
          <w:szCs w:val="20"/>
        </w:rPr>
      </w:pPr>
      <w:r w:rsidRPr="00601EFC">
        <w:rPr>
          <w:rFonts w:ascii="Arial" w:hAnsi="Arial" w:cs="Arial"/>
          <w:i/>
          <w:sz w:val="20"/>
          <w:szCs w:val="20"/>
        </w:rPr>
        <w:t>SECB SecuritiesBorrowing</w:t>
      </w:r>
    </w:p>
    <w:p w:rsidR="007371CA" w:rsidRDefault="007371CA" w:rsidP="00961A6D">
      <w:pPr>
        <w:pStyle w:val="NoSpacing"/>
        <w:rPr>
          <w:rFonts w:ascii="Arial" w:hAnsi="Arial" w:cs="Arial"/>
          <w:i/>
          <w:sz w:val="20"/>
          <w:szCs w:val="20"/>
        </w:rPr>
      </w:pPr>
      <w:r w:rsidRPr="00601EFC">
        <w:rPr>
          <w:rFonts w:ascii="Arial" w:hAnsi="Arial" w:cs="Arial"/>
          <w:i/>
          <w:sz w:val="20"/>
          <w:szCs w:val="20"/>
        </w:rPr>
        <w:t>SECL SecuritiesLending</w:t>
      </w:r>
    </w:p>
    <w:p w:rsidR="007371CA" w:rsidRDefault="007371CA" w:rsidP="00961A6D">
      <w:pPr>
        <w:pStyle w:val="NoSpacing"/>
        <w:rPr>
          <w:rFonts w:ascii="Arial" w:hAnsi="Arial" w:cs="Arial"/>
          <w:i/>
          <w:sz w:val="20"/>
          <w:szCs w:val="20"/>
        </w:rPr>
      </w:pPr>
      <w:r w:rsidRPr="00601EFC">
        <w:rPr>
          <w:rFonts w:ascii="Arial" w:hAnsi="Arial" w:cs="Arial"/>
          <w:i/>
          <w:sz w:val="20"/>
          <w:szCs w:val="20"/>
        </w:rPr>
        <w:t>SLRE LendingReallocation</w:t>
      </w:r>
    </w:p>
    <w:p w:rsidR="007371CA" w:rsidRDefault="007371CA" w:rsidP="00961A6D">
      <w:pPr>
        <w:pStyle w:val="NoSpacing"/>
        <w:rPr>
          <w:rFonts w:ascii="Arial" w:hAnsi="Arial" w:cs="Arial"/>
          <w:i/>
          <w:sz w:val="20"/>
          <w:szCs w:val="20"/>
        </w:rPr>
      </w:pPr>
      <w:r w:rsidRPr="00601EFC">
        <w:rPr>
          <w:rFonts w:ascii="Arial" w:hAnsi="Arial" w:cs="Arial"/>
          <w:i/>
          <w:sz w:val="20"/>
          <w:szCs w:val="20"/>
        </w:rPr>
        <w:t>SUBS Subscription</w:t>
      </w:r>
    </w:p>
    <w:p w:rsidR="007371CA" w:rsidRDefault="007371CA" w:rsidP="00961A6D">
      <w:pPr>
        <w:pStyle w:val="NoSpacing"/>
        <w:rPr>
          <w:rFonts w:ascii="Arial" w:hAnsi="Arial" w:cs="Arial"/>
          <w:i/>
          <w:sz w:val="20"/>
          <w:szCs w:val="20"/>
        </w:rPr>
      </w:pPr>
      <w:r w:rsidRPr="00601EFC">
        <w:rPr>
          <w:rFonts w:ascii="Arial" w:hAnsi="Arial" w:cs="Arial"/>
          <w:i/>
          <w:sz w:val="20"/>
          <w:szCs w:val="20"/>
        </w:rPr>
        <w:t>SYND SyndicateUnderwriters</w:t>
      </w:r>
    </w:p>
    <w:p w:rsidR="007371CA" w:rsidRDefault="007371CA" w:rsidP="00961A6D">
      <w:pPr>
        <w:pStyle w:val="NoSpacing"/>
        <w:rPr>
          <w:rFonts w:ascii="Arial" w:hAnsi="Arial" w:cs="Arial"/>
          <w:i/>
          <w:sz w:val="20"/>
          <w:szCs w:val="20"/>
        </w:rPr>
      </w:pPr>
      <w:r w:rsidRPr="00601EFC">
        <w:rPr>
          <w:rFonts w:ascii="Arial" w:hAnsi="Arial" w:cs="Arial"/>
          <w:i/>
          <w:sz w:val="20"/>
          <w:szCs w:val="20"/>
        </w:rPr>
        <w:t>TBAC TBAClosing</w:t>
      </w:r>
    </w:p>
    <w:p w:rsidR="007371CA" w:rsidRDefault="007371CA" w:rsidP="00961A6D">
      <w:pPr>
        <w:pStyle w:val="NoSpacing"/>
        <w:rPr>
          <w:rFonts w:ascii="Arial" w:hAnsi="Arial" w:cs="Arial"/>
          <w:i/>
          <w:sz w:val="20"/>
          <w:szCs w:val="20"/>
        </w:rPr>
      </w:pPr>
      <w:r w:rsidRPr="00601EFC">
        <w:rPr>
          <w:rFonts w:ascii="Arial" w:hAnsi="Arial" w:cs="Arial"/>
          <w:i/>
          <w:sz w:val="20"/>
          <w:szCs w:val="20"/>
        </w:rPr>
        <w:t>TRAD Trade</w:t>
      </w:r>
    </w:p>
    <w:p w:rsidR="007371CA" w:rsidRDefault="007371CA" w:rsidP="00961A6D">
      <w:pPr>
        <w:pStyle w:val="NoSpacing"/>
        <w:rPr>
          <w:rFonts w:ascii="Arial" w:hAnsi="Arial" w:cs="Arial"/>
          <w:i/>
          <w:sz w:val="20"/>
          <w:szCs w:val="20"/>
        </w:rPr>
      </w:pPr>
      <w:r w:rsidRPr="00601EFC">
        <w:rPr>
          <w:rFonts w:ascii="Arial" w:hAnsi="Arial" w:cs="Arial"/>
          <w:i/>
          <w:sz w:val="20"/>
          <w:szCs w:val="20"/>
        </w:rPr>
        <w:t>TRPO TripartyRepo</w:t>
      </w:r>
    </w:p>
    <w:p w:rsidR="007371CA" w:rsidRDefault="007371CA" w:rsidP="00961A6D">
      <w:pPr>
        <w:pStyle w:val="NoSpacing"/>
        <w:rPr>
          <w:rFonts w:ascii="Arial" w:hAnsi="Arial" w:cs="Arial"/>
          <w:i/>
          <w:sz w:val="20"/>
          <w:szCs w:val="20"/>
        </w:rPr>
      </w:pPr>
      <w:r w:rsidRPr="00601EFC">
        <w:rPr>
          <w:rFonts w:ascii="Arial" w:hAnsi="Arial" w:cs="Arial"/>
          <w:i/>
          <w:sz w:val="20"/>
          <w:szCs w:val="20"/>
        </w:rPr>
        <w:t>TRVO TripartyReverseRepo</w:t>
      </w:r>
    </w:p>
    <w:p w:rsidR="007371CA" w:rsidRDefault="007371CA" w:rsidP="00961A6D">
      <w:pPr>
        <w:pStyle w:val="NoSpacing"/>
        <w:rPr>
          <w:rFonts w:ascii="Arial" w:hAnsi="Arial" w:cs="Arial"/>
          <w:i/>
          <w:sz w:val="20"/>
          <w:szCs w:val="20"/>
        </w:rPr>
      </w:pPr>
      <w:r w:rsidRPr="00601EFC">
        <w:rPr>
          <w:rFonts w:ascii="Arial" w:hAnsi="Arial" w:cs="Arial"/>
          <w:i/>
          <w:sz w:val="20"/>
          <w:szCs w:val="20"/>
        </w:rPr>
        <w:t>TURN Turnaround</w:t>
      </w:r>
    </w:p>
    <w:p w:rsidR="007371CA" w:rsidRDefault="007371CA" w:rsidP="00961A6D">
      <w:pPr>
        <w:pStyle w:val="NoSpacing"/>
        <w:rPr>
          <w:rFonts w:ascii="Arial" w:hAnsi="Arial" w:cs="Arial"/>
          <w:i/>
          <w:sz w:val="20"/>
          <w:szCs w:val="20"/>
        </w:rPr>
      </w:pPr>
    </w:p>
    <w:p w:rsidR="007371CA" w:rsidRDefault="007371CA" w:rsidP="00961A6D">
      <w:pPr>
        <w:pStyle w:val="NoSpacing"/>
        <w:rPr>
          <w:rFonts w:ascii="Arial" w:hAnsi="Arial" w:cs="Arial"/>
          <w:sz w:val="20"/>
          <w:szCs w:val="20"/>
        </w:rPr>
      </w:pPr>
      <w:r w:rsidRPr="00601EFC">
        <w:rPr>
          <w:rFonts w:ascii="Arial" w:hAnsi="Arial" w:cs="Arial"/>
          <w:sz w:val="20"/>
          <w:szCs w:val="20"/>
        </w:rPr>
        <w:t>Related to the proposal above and the proposal under Q5, the AG proposes to introduce two new rows to be filled in by CSDs in table 1 in the Annex of the relevant ITS in case information is provided in the se</w:t>
      </w:r>
      <w:r w:rsidRPr="00601EFC">
        <w:rPr>
          <w:rFonts w:ascii="Arial" w:hAnsi="Arial" w:cs="Arial"/>
          <w:sz w:val="20"/>
          <w:szCs w:val="20"/>
        </w:rPr>
        <w:t>t</w:t>
      </w:r>
      <w:r w:rsidRPr="00601EFC">
        <w:rPr>
          <w:rFonts w:ascii="Arial" w:hAnsi="Arial" w:cs="Arial"/>
          <w:sz w:val="20"/>
          <w:szCs w:val="20"/>
        </w:rPr>
        <w:t>tlement instruction:</w:t>
      </w:r>
    </w:p>
    <w:p w:rsidR="007371CA" w:rsidRDefault="007371CA" w:rsidP="00927D5F">
      <w:pPr>
        <w:pStyle w:val="NoSpacing"/>
        <w:numPr>
          <w:ilvl w:val="0"/>
          <w:numId w:val="34"/>
        </w:numPr>
        <w:rPr>
          <w:rFonts w:ascii="Arial" w:hAnsi="Arial" w:cs="Arial"/>
          <w:i/>
          <w:sz w:val="20"/>
          <w:szCs w:val="20"/>
        </w:rPr>
      </w:pPr>
      <w:r w:rsidRPr="00601EFC">
        <w:rPr>
          <w:rFonts w:ascii="Arial" w:hAnsi="Arial" w:cs="Arial"/>
          <w:b/>
          <w:i/>
          <w:sz w:val="20"/>
          <w:szCs w:val="20"/>
        </w:rPr>
        <w:t>‘Place of trading</w:t>
      </w:r>
      <w:r w:rsidRPr="00601EFC">
        <w:rPr>
          <w:rFonts w:ascii="Arial" w:hAnsi="Arial" w:cs="Arial"/>
          <w:sz w:val="20"/>
          <w:szCs w:val="20"/>
        </w:rPr>
        <w:tab/>
      </w:r>
      <w:r w:rsidRPr="00601EFC">
        <w:rPr>
          <w:rFonts w:ascii="Arial" w:hAnsi="Arial" w:cs="Arial"/>
          <w:i/>
          <w:sz w:val="20"/>
          <w:szCs w:val="20"/>
        </w:rPr>
        <w:t>Populated by the MIC (ISO Market Identification Code) (ISO 10383) if the instru</w:t>
      </w:r>
      <w:r w:rsidRPr="00601EFC">
        <w:rPr>
          <w:rFonts w:ascii="Arial" w:hAnsi="Arial" w:cs="Arial"/>
          <w:i/>
          <w:sz w:val="20"/>
          <w:szCs w:val="20"/>
        </w:rPr>
        <w:t>c</w:t>
      </w:r>
      <w:r w:rsidRPr="00601EFC">
        <w:rPr>
          <w:rFonts w:ascii="Arial" w:hAnsi="Arial" w:cs="Arial"/>
          <w:i/>
          <w:sz w:val="20"/>
          <w:szCs w:val="20"/>
        </w:rPr>
        <w:t>tion is resulting from a trade concluded on a trading venue or blank if the field in the settlement i</w:t>
      </w:r>
      <w:r w:rsidRPr="00601EFC">
        <w:rPr>
          <w:rFonts w:ascii="Arial" w:hAnsi="Arial" w:cs="Arial"/>
          <w:i/>
          <w:sz w:val="20"/>
          <w:szCs w:val="20"/>
        </w:rPr>
        <w:t>n</w:t>
      </w:r>
      <w:r w:rsidRPr="00601EFC">
        <w:rPr>
          <w:rFonts w:ascii="Arial" w:hAnsi="Arial" w:cs="Arial"/>
          <w:i/>
          <w:sz w:val="20"/>
          <w:szCs w:val="20"/>
        </w:rPr>
        <w:t>struction does not contain a MIC or is not filled in;’</w:t>
      </w:r>
    </w:p>
    <w:p w:rsidR="007371CA" w:rsidRDefault="007371CA" w:rsidP="00927D5F">
      <w:pPr>
        <w:pStyle w:val="NoSpacing"/>
        <w:numPr>
          <w:ilvl w:val="0"/>
          <w:numId w:val="34"/>
        </w:numPr>
        <w:rPr>
          <w:rFonts w:ascii="Arial" w:hAnsi="Arial" w:cs="Arial"/>
          <w:i/>
          <w:sz w:val="20"/>
          <w:szCs w:val="20"/>
        </w:rPr>
      </w:pPr>
      <w:r w:rsidRPr="00601EFC">
        <w:rPr>
          <w:rFonts w:ascii="Arial" w:hAnsi="Arial" w:cs="Arial"/>
          <w:i/>
          <w:sz w:val="20"/>
          <w:szCs w:val="20"/>
        </w:rPr>
        <w:t>‘</w:t>
      </w:r>
      <w:r w:rsidRPr="00601EFC">
        <w:rPr>
          <w:rFonts w:ascii="Arial" w:hAnsi="Arial" w:cs="Arial"/>
          <w:b/>
          <w:i/>
          <w:sz w:val="20"/>
          <w:szCs w:val="20"/>
        </w:rPr>
        <w:t>Place of clearing</w:t>
      </w:r>
      <w:r w:rsidRPr="00601EFC">
        <w:rPr>
          <w:rFonts w:ascii="Arial" w:hAnsi="Arial" w:cs="Arial"/>
          <w:i/>
          <w:sz w:val="20"/>
          <w:szCs w:val="20"/>
        </w:rPr>
        <w:t xml:space="preserve"> </w:t>
      </w:r>
      <w:r w:rsidRPr="00601EFC">
        <w:rPr>
          <w:rFonts w:ascii="Arial" w:hAnsi="Arial" w:cs="Arial"/>
          <w:i/>
          <w:sz w:val="20"/>
          <w:szCs w:val="20"/>
        </w:rPr>
        <w:tab/>
        <w:t>BIC (or converted LEI) of CCP if transaction is cleared  by a CCP or blank if the field does not contain a valid BIC or is not filled in’</w:t>
      </w:r>
    </w:p>
    <w:p w:rsidR="007371CA" w:rsidRDefault="007371CA" w:rsidP="00961A6D">
      <w:pPr>
        <w:pStyle w:val="NoSpacing"/>
        <w:rPr>
          <w:rFonts w:ascii="Arial" w:hAnsi="Arial" w:cs="Arial"/>
          <w:i/>
          <w:sz w:val="20"/>
          <w:szCs w:val="20"/>
        </w:rPr>
      </w:pPr>
    </w:p>
    <w:p w:rsidR="007371CA" w:rsidRDefault="007371CA" w:rsidP="00961A6D">
      <w:pPr>
        <w:pStyle w:val="NoSpacing"/>
        <w:rPr>
          <w:rFonts w:ascii="Arial" w:hAnsi="Arial" w:cs="Arial"/>
          <w:b/>
          <w:i/>
          <w:sz w:val="20"/>
          <w:szCs w:val="20"/>
          <w:u w:val="single"/>
        </w:rPr>
      </w:pPr>
      <w:r w:rsidRPr="008E5ED2">
        <w:rPr>
          <w:rFonts w:ascii="Arial" w:hAnsi="Arial" w:cs="Arial"/>
          <w:b/>
          <w:sz w:val="20"/>
          <w:szCs w:val="20"/>
          <w:u w:val="single"/>
        </w:rPr>
        <w:t xml:space="preserve">RTS Article 9 (2) l) in Annex III and ITS in Annex VII Table 1 </w:t>
      </w:r>
      <w:r w:rsidRPr="00601EFC">
        <w:rPr>
          <w:rFonts w:ascii="Arial" w:hAnsi="Arial" w:cs="Arial"/>
          <w:b/>
          <w:i/>
          <w:sz w:val="20"/>
          <w:szCs w:val="20"/>
          <w:u w:val="single"/>
        </w:rPr>
        <w:t>(</w:t>
      </w:r>
      <w:r w:rsidRPr="004C106A">
        <w:rPr>
          <w:rFonts w:ascii="Arial" w:hAnsi="Arial" w:cs="Arial"/>
          <w:i/>
          <w:sz w:val="20"/>
          <w:szCs w:val="20"/>
          <w:u w:val="single"/>
        </w:rPr>
        <w:t>TRANSACTION/SETTLEMENT I</w:t>
      </w:r>
      <w:r w:rsidRPr="004C106A">
        <w:rPr>
          <w:rFonts w:ascii="Arial" w:hAnsi="Arial" w:cs="Arial"/>
          <w:i/>
          <w:sz w:val="20"/>
          <w:szCs w:val="20"/>
          <w:u w:val="single"/>
        </w:rPr>
        <w:t>N</w:t>
      </w:r>
      <w:r w:rsidRPr="004C106A">
        <w:rPr>
          <w:rFonts w:ascii="Arial" w:hAnsi="Arial" w:cs="Arial"/>
          <w:i/>
          <w:sz w:val="20"/>
          <w:szCs w:val="20"/>
          <w:u w:val="single"/>
        </w:rPr>
        <w:t>STRUCTION (FLOW) RECORDS) row 11 (Cash Account Identifier)</w:t>
      </w:r>
    </w:p>
    <w:p w:rsidR="007371CA" w:rsidRDefault="007371CA" w:rsidP="00961A6D">
      <w:pPr>
        <w:pStyle w:val="NoSpacing"/>
        <w:rPr>
          <w:rFonts w:ascii="Arial" w:hAnsi="Arial" w:cs="Arial"/>
          <w:sz w:val="20"/>
          <w:szCs w:val="20"/>
        </w:rPr>
      </w:pPr>
      <w:r w:rsidRPr="00601EFC">
        <w:rPr>
          <w:rFonts w:ascii="Arial" w:hAnsi="Arial" w:cs="Arial"/>
          <w:sz w:val="20"/>
          <w:szCs w:val="20"/>
        </w:rPr>
        <w:t>The proposed regulatory standard regarding the CSDs reporting to the competent authorities on the IBAN of the cash accounts used for settlement is only relevant and applicable for transactions other than those involving settlement in Euro central bank money in the Eurosystem NCBs accounts (i.e. TARGET2). The reason is that as per REGULATION (EU) No 260/2012 (14 March 2012), NCBs are exempt from the IBAN standard [i.e. payments executed in large value payment systems (e.g. T2, but also T2S cash accounts would clearly fall under this) are out of scope and hence the requirements do not apply to these. (If, ho</w:t>
      </w:r>
      <w:r w:rsidRPr="00601EFC">
        <w:rPr>
          <w:rFonts w:ascii="Arial" w:hAnsi="Arial" w:cs="Arial"/>
          <w:sz w:val="20"/>
          <w:szCs w:val="20"/>
        </w:rPr>
        <w:t>w</w:t>
      </w:r>
      <w:r w:rsidRPr="00601EFC">
        <w:rPr>
          <w:rFonts w:ascii="Arial" w:hAnsi="Arial" w:cs="Arial"/>
          <w:sz w:val="20"/>
          <w:szCs w:val="20"/>
        </w:rPr>
        <w:t>ever, an NCB provides a retail payment service on its own accounts that service and those accounts fall into the scope].</w:t>
      </w:r>
    </w:p>
    <w:p w:rsidR="007371CA" w:rsidRDefault="007371CA" w:rsidP="00961A6D">
      <w:pPr>
        <w:pStyle w:val="NoSpacing"/>
        <w:rPr>
          <w:rFonts w:ascii="Arial" w:hAnsi="Arial" w:cs="Arial"/>
          <w:b/>
          <w:i/>
          <w:sz w:val="20"/>
          <w:szCs w:val="20"/>
          <w:u w:val="single"/>
        </w:rPr>
      </w:pPr>
      <w:r w:rsidRPr="00601EFC">
        <w:rPr>
          <w:rFonts w:ascii="Arial" w:hAnsi="Arial" w:cs="Arial"/>
          <w:b/>
          <w:i/>
          <w:sz w:val="20"/>
          <w:szCs w:val="20"/>
          <w:u w:val="single"/>
        </w:rPr>
        <w:t>Alternative drafting proposal:</w:t>
      </w:r>
    </w:p>
    <w:p w:rsidR="007371CA" w:rsidRDefault="007371CA" w:rsidP="00961A6D">
      <w:pPr>
        <w:pStyle w:val="NoSpacing"/>
        <w:rPr>
          <w:rFonts w:ascii="Arial" w:hAnsi="Arial" w:cs="Arial"/>
          <w:sz w:val="20"/>
          <w:szCs w:val="20"/>
        </w:rPr>
      </w:pPr>
      <w:r w:rsidRPr="00601EFC">
        <w:rPr>
          <w:rFonts w:ascii="Arial" w:hAnsi="Arial" w:cs="Arial"/>
          <w:sz w:val="20"/>
          <w:szCs w:val="20"/>
        </w:rPr>
        <w:t>The AG proposes that when NCB cash accounts are used for settlement, the reporting on the cash a</w:t>
      </w:r>
      <w:r w:rsidRPr="00601EFC">
        <w:rPr>
          <w:rFonts w:ascii="Arial" w:hAnsi="Arial" w:cs="Arial"/>
          <w:sz w:val="20"/>
          <w:szCs w:val="20"/>
        </w:rPr>
        <w:t>c</w:t>
      </w:r>
      <w:r w:rsidRPr="00601EFC">
        <w:rPr>
          <w:rFonts w:ascii="Arial" w:hAnsi="Arial" w:cs="Arial"/>
          <w:sz w:val="20"/>
          <w:szCs w:val="20"/>
        </w:rPr>
        <w:t>counts may not follow the IBAN standard but the cash account number is provided according to the stan</w:t>
      </w:r>
      <w:r w:rsidRPr="00601EFC">
        <w:rPr>
          <w:rFonts w:ascii="Arial" w:hAnsi="Arial" w:cs="Arial"/>
          <w:sz w:val="20"/>
          <w:szCs w:val="20"/>
        </w:rPr>
        <w:t>d</w:t>
      </w:r>
      <w:r w:rsidRPr="00601EFC">
        <w:rPr>
          <w:rFonts w:ascii="Arial" w:hAnsi="Arial" w:cs="Arial"/>
          <w:sz w:val="20"/>
          <w:szCs w:val="20"/>
        </w:rPr>
        <w:t>ard of the relevant NCB. In particular, in Table 1 of ITS in Annex 1, row 11, column “Format”:</w:t>
      </w:r>
    </w:p>
    <w:p w:rsidR="007371CA" w:rsidRDefault="007371CA" w:rsidP="00961A6D">
      <w:pPr>
        <w:pStyle w:val="NoSpacing"/>
        <w:rPr>
          <w:rFonts w:ascii="Arial" w:hAnsi="Arial" w:cs="Arial"/>
          <w:sz w:val="20"/>
          <w:szCs w:val="20"/>
        </w:rPr>
      </w:pPr>
      <w:r w:rsidRPr="00601EFC">
        <w:rPr>
          <w:rFonts w:ascii="Arial" w:hAnsi="Arial" w:cs="Arial"/>
          <w:sz w:val="20"/>
          <w:szCs w:val="20"/>
        </w:rPr>
        <w:t>“International Bank Account Number (IBAN)</w:t>
      </w:r>
      <w:r w:rsidRPr="00601EFC">
        <w:rPr>
          <w:rFonts w:ascii="Arial" w:hAnsi="Arial" w:cs="Arial"/>
          <w:sz w:val="20"/>
          <w:szCs w:val="20"/>
          <w:u w:val="single"/>
        </w:rPr>
        <w:t xml:space="preserve"> or, where relevant, an NCB cash account number</w:t>
      </w:r>
      <w:r w:rsidRPr="00601EFC">
        <w:rPr>
          <w:rFonts w:ascii="Arial" w:hAnsi="Arial" w:cs="Arial"/>
          <w:sz w:val="20"/>
          <w:szCs w:val="20"/>
        </w:rPr>
        <w:t>”</w:t>
      </w:r>
    </w:p>
    <w:p w:rsidR="007371CA" w:rsidRDefault="007371CA" w:rsidP="00961A6D">
      <w:pPr>
        <w:pStyle w:val="NoSpacing"/>
        <w:rPr>
          <w:rFonts w:ascii="Arial" w:hAnsi="Arial" w:cs="Arial"/>
          <w:sz w:val="20"/>
          <w:szCs w:val="20"/>
        </w:rPr>
      </w:pPr>
    </w:p>
    <w:p w:rsidR="007371CA" w:rsidRDefault="007371CA" w:rsidP="00961A6D">
      <w:pPr>
        <w:pStyle w:val="NoSpacing"/>
        <w:rPr>
          <w:rFonts w:ascii="Arial" w:hAnsi="Arial" w:cs="Arial"/>
          <w:i/>
          <w:sz w:val="20"/>
          <w:szCs w:val="20"/>
        </w:rPr>
      </w:pPr>
      <w:r w:rsidRPr="00601EFC">
        <w:rPr>
          <w:rFonts w:ascii="Arial" w:hAnsi="Arial" w:cs="Arial"/>
          <w:b/>
          <w:i/>
          <w:sz w:val="20"/>
          <w:szCs w:val="20"/>
          <w:u w:val="single"/>
        </w:rPr>
        <w:t xml:space="preserve">RTS Article 9 (2) v) in Annex III and ITS in Annex VII Table 1 </w:t>
      </w:r>
      <w:r w:rsidRPr="00601EFC">
        <w:rPr>
          <w:rFonts w:ascii="Arial" w:hAnsi="Arial" w:cs="Arial"/>
          <w:i/>
          <w:sz w:val="20"/>
          <w:szCs w:val="20"/>
          <w:u w:val="single"/>
        </w:rPr>
        <w:t>(TRANSACTION/SETTLEMENT I</w:t>
      </w:r>
      <w:r w:rsidRPr="00601EFC">
        <w:rPr>
          <w:rFonts w:ascii="Arial" w:hAnsi="Arial" w:cs="Arial"/>
          <w:i/>
          <w:sz w:val="20"/>
          <w:szCs w:val="20"/>
          <w:u w:val="single"/>
        </w:rPr>
        <w:t>N</w:t>
      </w:r>
      <w:r w:rsidRPr="00601EFC">
        <w:rPr>
          <w:rFonts w:ascii="Arial" w:hAnsi="Arial" w:cs="Arial"/>
          <w:i/>
          <w:sz w:val="20"/>
          <w:szCs w:val="20"/>
          <w:u w:val="single"/>
        </w:rPr>
        <w:t>STRUCTION (FLOW) RECORDS)</w:t>
      </w:r>
      <w:r w:rsidRPr="00601EFC">
        <w:rPr>
          <w:rFonts w:ascii="Arial" w:hAnsi="Arial" w:cs="Arial"/>
          <w:b/>
          <w:i/>
          <w:sz w:val="20"/>
          <w:szCs w:val="20"/>
          <w:u w:val="single"/>
        </w:rPr>
        <w:t xml:space="preserve"> row 21</w:t>
      </w:r>
      <w:r w:rsidRPr="00601EFC">
        <w:rPr>
          <w:rFonts w:ascii="Arial" w:hAnsi="Arial" w:cs="Arial"/>
          <w:i/>
          <w:sz w:val="20"/>
          <w:szCs w:val="20"/>
        </w:rPr>
        <w:t xml:space="preserve"> (</w:t>
      </w:r>
      <w:r w:rsidRPr="00601EFC">
        <w:rPr>
          <w:rFonts w:ascii="Arial" w:hAnsi="Arial" w:cs="Arial"/>
          <w:b/>
          <w:i/>
          <w:sz w:val="20"/>
          <w:szCs w:val="20"/>
        </w:rPr>
        <w:t>Status type</w:t>
      </w:r>
      <w:r w:rsidRPr="00601EFC">
        <w:rPr>
          <w:rFonts w:ascii="Arial" w:hAnsi="Arial" w:cs="Arial"/>
          <w:i/>
          <w:sz w:val="20"/>
          <w:szCs w:val="20"/>
        </w:rPr>
        <w:t xml:space="preserve"> (in accordance with the RTS on monitoring of settlement fails under Article 7 of Regulation (EU) No 909/2014):</w:t>
      </w:r>
    </w:p>
    <w:p w:rsidR="007371CA" w:rsidRDefault="007371CA" w:rsidP="00961A6D">
      <w:pPr>
        <w:pStyle w:val="NoSpacing"/>
        <w:rPr>
          <w:rFonts w:ascii="Arial" w:hAnsi="Arial" w:cs="Arial"/>
          <w:i/>
          <w:sz w:val="20"/>
          <w:szCs w:val="20"/>
        </w:rPr>
      </w:pPr>
    </w:p>
    <w:p w:rsidR="007371CA" w:rsidRDefault="007371CA" w:rsidP="00961A6D">
      <w:pPr>
        <w:pStyle w:val="NoSpacing"/>
        <w:rPr>
          <w:rFonts w:ascii="Arial" w:hAnsi="Arial" w:cs="Arial"/>
          <w:sz w:val="20"/>
          <w:szCs w:val="20"/>
        </w:rPr>
      </w:pPr>
      <w:r w:rsidRPr="00601EFC">
        <w:rPr>
          <w:rFonts w:ascii="Arial" w:hAnsi="Arial" w:cs="Arial"/>
          <w:sz w:val="20"/>
          <w:szCs w:val="20"/>
        </w:rPr>
        <w:t>See AG reply to question 5 above</w:t>
      </w:r>
    </w:p>
    <w:p w:rsidR="007371CA" w:rsidRDefault="007371CA" w:rsidP="00961A6D">
      <w:pPr>
        <w:pStyle w:val="NoSpacing"/>
        <w:rPr>
          <w:rFonts w:ascii="Arial" w:hAnsi="Arial" w:cs="Arial"/>
          <w:sz w:val="20"/>
          <w:szCs w:val="20"/>
        </w:rPr>
      </w:pPr>
      <w:r w:rsidRPr="00601EFC">
        <w:rPr>
          <w:rFonts w:ascii="Arial" w:hAnsi="Arial" w:cs="Arial"/>
          <w:sz w:val="20"/>
          <w:szCs w:val="20"/>
        </w:rPr>
        <w:t>In order for CSDs to identify the different statuses of settlement instructions, taking into account that a settlement instruction has a number of different statuses communicated in standard reports and queries. This approach would allow CSDs and EU market participants to operate in line with EU and global stan</w:t>
      </w:r>
      <w:r w:rsidRPr="00601EFC">
        <w:rPr>
          <w:rFonts w:ascii="Arial" w:hAnsi="Arial" w:cs="Arial"/>
          <w:sz w:val="20"/>
          <w:szCs w:val="20"/>
        </w:rPr>
        <w:t>d</w:t>
      </w:r>
      <w:r w:rsidRPr="00601EFC">
        <w:rPr>
          <w:rFonts w:ascii="Arial" w:hAnsi="Arial" w:cs="Arial"/>
          <w:sz w:val="20"/>
          <w:szCs w:val="20"/>
        </w:rPr>
        <w:t>ards.</w:t>
      </w:r>
    </w:p>
    <w:p w:rsidR="007371CA" w:rsidRDefault="007371CA" w:rsidP="00961A6D">
      <w:pPr>
        <w:pStyle w:val="NoSpacing"/>
        <w:rPr>
          <w:rFonts w:ascii="Arial" w:hAnsi="Arial" w:cs="Arial"/>
          <w:b/>
          <w:i/>
          <w:sz w:val="20"/>
          <w:szCs w:val="20"/>
          <w:u w:val="single"/>
        </w:rPr>
      </w:pPr>
      <w:r w:rsidRPr="00601EFC">
        <w:rPr>
          <w:rFonts w:ascii="Arial" w:hAnsi="Arial" w:cs="Arial"/>
          <w:b/>
          <w:i/>
          <w:sz w:val="20"/>
          <w:szCs w:val="20"/>
          <w:u w:val="single"/>
        </w:rPr>
        <w:t>Alternative drafting proposal:</w:t>
      </w:r>
    </w:p>
    <w:p w:rsidR="007371CA" w:rsidRDefault="007371CA" w:rsidP="00961A6D">
      <w:pPr>
        <w:pStyle w:val="NoSpacing"/>
        <w:rPr>
          <w:rFonts w:ascii="Arial" w:hAnsi="Arial" w:cs="Arial"/>
          <w:sz w:val="20"/>
          <w:szCs w:val="20"/>
        </w:rPr>
      </w:pPr>
      <w:r w:rsidRPr="00601EFC">
        <w:rPr>
          <w:rFonts w:ascii="Arial" w:hAnsi="Arial" w:cs="Arial"/>
          <w:sz w:val="20"/>
          <w:szCs w:val="20"/>
        </w:rPr>
        <w:t>Following the proposal of the AG under reply to question 5, the following rows are suggested to substitute row 21 in the table 1 in the Annex of the relevant ITS:</w:t>
      </w:r>
    </w:p>
    <w:p w:rsidR="007371CA" w:rsidRDefault="007371CA" w:rsidP="00961A6D">
      <w:pPr>
        <w:pStyle w:val="NoSpacing"/>
        <w:rPr>
          <w:rFonts w:ascii="Arial" w:hAnsi="Arial" w:cs="Arial"/>
          <w:b/>
          <w:i/>
          <w:sz w:val="20"/>
          <w:szCs w:val="20"/>
        </w:rPr>
      </w:pPr>
      <w:r w:rsidRPr="00601EFC">
        <w:rPr>
          <w:rFonts w:ascii="Arial" w:hAnsi="Arial" w:cs="Arial"/>
          <w:b/>
          <w:sz w:val="20"/>
          <w:szCs w:val="20"/>
        </w:rPr>
        <w:t>“21a</w:t>
      </w:r>
      <w:r w:rsidRPr="00601EFC">
        <w:rPr>
          <w:rFonts w:ascii="Arial" w:hAnsi="Arial" w:cs="Arial"/>
          <w:b/>
          <w:sz w:val="20"/>
          <w:szCs w:val="20"/>
        </w:rPr>
        <w:tab/>
        <w:t xml:space="preserve">Status of the instruction </w:t>
      </w:r>
      <w:r w:rsidRPr="00601EFC">
        <w:rPr>
          <w:rFonts w:ascii="Arial" w:hAnsi="Arial" w:cs="Arial"/>
          <w:b/>
          <w:i/>
          <w:sz w:val="20"/>
          <w:szCs w:val="20"/>
        </w:rPr>
        <w:t>(in accordance with Article 4(1) of Regulation (EU) No… [RTS on settlement discipline])</w:t>
      </w:r>
    </w:p>
    <w:p w:rsidR="007371CA" w:rsidRDefault="007371CA" w:rsidP="00961A6D">
      <w:pPr>
        <w:pStyle w:val="NoSpacing"/>
        <w:rPr>
          <w:rFonts w:ascii="Arial" w:hAnsi="Arial" w:cs="Arial"/>
          <w:sz w:val="20"/>
          <w:szCs w:val="20"/>
        </w:rPr>
      </w:pPr>
      <w:r w:rsidRPr="00601EFC">
        <w:rPr>
          <w:rFonts w:ascii="Arial" w:hAnsi="Arial" w:cs="Arial"/>
          <w:sz w:val="20"/>
          <w:szCs w:val="20"/>
        </w:rPr>
        <w:t xml:space="preserve">Possible values: </w:t>
      </w:r>
    </w:p>
    <w:p w:rsidR="007371CA" w:rsidRDefault="007371CA" w:rsidP="00961A6D">
      <w:pPr>
        <w:pStyle w:val="NoSpacing"/>
        <w:rPr>
          <w:rFonts w:ascii="Arial" w:hAnsi="Arial" w:cs="Arial"/>
          <w:sz w:val="20"/>
          <w:szCs w:val="20"/>
        </w:rPr>
      </w:pPr>
      <w:r w:rsidRPr="00601EFC">
        <w:rPr>
          <w:rFonts w:ascii="Arial" w:hAnsi="Arial" w:cs="Arial"/>
          <w:sz w:val="20"/>
          <w:szCs w:val="20"/>
        </w:rPr>
        <w:t>PEND – Pending instruction (settlement at the ISD is still possible)</w:t>
      </w:r>
    </w:p>
    <w:p w:rsidR="007371CA" w:rsidRDefault="007371CA" w:rsidP="00961A6D">
      <w:pPr>
        <w:pStyle w:val="NoSpacing"/>
        <w:rPr>
          <w:rFonts w:ascii="Arial" w:hAnsi="Arial" w:cs="Arial"/>
          <w:sz w:val="20"/>
          <w:szCs w:val="20"/>
        </w:rPr>
      </w:pPr>
      <w:r w:rsidRPr="00601EFC">
        <w:rPr>
          <w:rFonts w:ascii="Arial" w:hAnsi="Arial" w:cs="Arial"/>
          <w:sz w:val="20"/>
          <w:szCs w:val="20"/>
        </w:rPr>
        <w:t>PENF – Failing instruction (settlement at the ISD is no longer possible)</w:t>
      </w:r>
    </w:p>
    <w:p w:rsidR="007371CA" w:rsidRDefault="007371CA" w:rsidP="00961A6D">
      <w:pPr>
        <w:pStyle w:val="NoSpacing"/>
        <w:rPr>
          <w:rFonts w:ascii="Arial" w:hAnsi="Arial" w:cs="Arial"/>
          <w:sz w:val="20"/>
          <w:szCs w:val="20"/>
        </w:rPr>
      </w:pPr>
      <w:r w:rsidRPr="00601EFC">
        <w:rPr>
          <w:rFonts w:ascii="Arial" w:hAnsi="Arial" w:cs="Arial"/>
          <w:sz w:val="20"/>
          <w:szCs w:val="20"/>
        </w:rPr>
        <w:t>SETT – Full settlement</w:t>
      </w:r>
    </w:p>
    <w:p w:rsidR="007371CA" w:rsidRDefault="007371CA" w:rsidP="00961A6D">
      <w:pPr>
        <w:pStyle w:val="NoSpacing"/>
        <w:rPr>
          <w:rFonts w:ascii="Arial" w:hAnsi="Arial" w:cs="Arial"/>
          <w:sz w:val="20"/>
          <w:szCs w:val="20"/>
        </w:rPr>
      </w:pPr>
      <w:r w:rsidRPr="00601EFC">
        <w:rPr>
          <w:rFonts w:ascii="Arial" w:hAnsi="Arial" w:cs="Arial"/>
          <w:sz w:val="20"/>
          <w:szCs w:val="20"/>
        </w:rPr>
        <w:t>PAIN</w:t>
      </w:r>
      <w:r>
        <w:rPr>
          <w:rFonts w:ascii="Arial" w:hAnsi="Arial" w:cs="Arial"/>
          <w:sz w:val="20"/>
          <w:szCs w:val="20"/>
        </w:rPr>
        <w:t xml:space="preserve"> –</w:t>
      </w:r>
      <w:r w:rsidRPr="00601EFC">
        <w:rPr>
          <w:rFonts w:ascii="Arial" w:hAnsi="Arial" w:cs="Arial"/>
          <w:sz w:val="20"/>
          <w:szCs w:val="20"/>
        </w:rPr>
        <w:t xml:space="preserve"> Partially settled </w:t>
      </w:r>
    </w:p>
    <w:p w:rsidR="007371CA" w:rsidRDefault="007371CA" w:rsidP="00961A6D">
      <w:pPr>
        <w:pStyle w:val="NoSpacing"/>
        <w:rPr>
          <w:rFonts w:ascii="Arial" w:hAnsi="Arial" w:cs="Arial"/>
          <w:sz w:val="20"/>
          <w:szCs w:val="20"/>
        </w:rPr>
      </w:pPr>
      <w:r w:rsidRPr="00601EFC">
        <w:rPr>
          <w:rFonts w:ascii="Arial" w:hAnsi="Arial" w:cs="Arial"/>
          <w:sz w:val="20"/>
          <w:szCs w:val="20"/>
        </w:rPr>
        <w:t>CANS – Instruction cancelled by the system</w:t>
      </w:r>
    </w:p>
    <w:p w:rsidR="007371CA" w:rsidRDefault="007371CA" w:rsidP="00961A6D">
      <w:pPr>
        <w:pStyle w:val="NoSpacing"/>
        <w:rPr>
          <w:rFonts w:ascii="Arial" w:hAnsi="Arial" w:cs="Arial"/>
          <w:sz w:val="20"/>
          <w:szCs w:val="20"/>
        </w:rPr>
      </w:pPr>
      <w:r w:rsidRPr="00601EFC">
        <w:rPr>
          <w:rFonts w:ascii="Arial" w:hAnsi="Arial" w:cs="Arial"/>
          <w:sz w:val="20"/>
          <w:szCs w:val="20"/>
        </w:rPr>
        <w:lastRenderedPageBreak/>
        <w:t>CANI – Instruction cancelled by the participant</w:t>
      </w:r>
    </w:p>
    <w:p w:rsidR="007371CA" w:rsidRDefault="007371CA" w:rsidP="00961A6D">
      <w:pPr>
        <w:pStyle w:val="NoSpacing"/>
        <w:rPr>
          <w:rFonts w:ascii="Arial" w:hAnsi="Arial" w:cs="Arial"/>
          <w:sz w:val="20"/>
          <w:szCs w:val="20"/>
        </w:rPr>
      </w:pPr>
      <w:r w:rsidRPr="00601EFC">
        <w:rPr>
          <w:rFonts w:ascii="Arial" w:hAnsi="Arial" w:cs="Arial"/>
          <w:b/>
          <w:sz w:val="20"/>
          <w:szCs w:val="20"/>
        </w:rPr>
        <w:t>21b</w:t>
      </w:r>
      <w:r w:rsidRPr="00601EFC">
        <w:rPr>
          <w:rFonts w:ascii="Arial" w:hAnsi="Arial" w:cs="Arial"/>
          <w:b/>
          <w:sz w:val="20"/>
          <w:szCs w:val="20"/>
        </w:rPr>
        <w:tab/>
        <w:t xml:space="preserve">Remaining part of securities to be settled </w:t>
      </w:r>
      <w:r w:rsidRPr="00601EFC">
        <w:rPr>
          <w:rFonts w:ascii="Arial" w:hAnsi="Arial" w:cs="Arial"/>
          <w:b/>
          <w:i/>
          <w:sz w:val="20"/>
          <w:szCs w:val="20"/>
        </w:rPr>
        <w:t>(if Status of the instruction is PAIN)</w:t>
      </w:r>
    </w:p>
    <w:p w:rsidR="007371CA" w:rsidRDefault="007371CA" w:rsidP="00961A6D">
      <w:pPr>
        <w:pStyle w:val="NoSpacing"/>
        <w:rPr>
          <w:rFonts w:ascii="Arial" w:hAnsi="Arial" w:cs="Arial"/>
          <w:sz w:val="20"/>
          <w:szCs w:val="20"/>
        </w:rPr>
      </w:pPr>
      <w:r w:rsidRPr="00601EFC">
        <w:rPr>
          <w:rFonts w:ascii="Arial" w:hAnsi="Arial" w:cs="Arial"/>
          <w:sz w:val="20"/>
          <w:szCs w:val="20"/>
        </w:rPr>
        <w:t>Information on the remaining XXX amount of securities against YYY cash to be delivered</w:t>
      </w:r>
    </w:p>
    <w:p w:rsidR="007371CA" w:rsidRDefault="007371CA" w:rsidP="00961A6D">
      <w:pPr>
        <w:pStyle w:val="NoSpacing"/>
        <w:rPr>
          <w:rFonts w:ascii="Arial" w:hAnsi="Arial" w:cs="Arial"/>
          <w:b/>
          <w:sz w:val="20"/>
          <w:szCs w:val="20"/>
        </w:rPr>
      </w:pPr>
      <w:r w:rsidRPr="00601EFC">
        <w:rPr>
          <w:rFonts w:ascii="Arial" w:hAnsi="Arial" w:cs="Arial"/>
          <w:b/>
          <w:sz w:val="20"/>
          <w:szCs w:val="20"/>
        </w:rPr>
        <w:t>21c</w:t>
      </w:r>
      <w:r w:rsidRPr="00601EFC">
        <w:rPr>
          <w:rFonts w:ascii="Arial" w:hAnsi="Arial" w:cs="Arial"/>
          <w:b/>
          <w:sz w:val="20"/>
          <w:szCs w:val="20"/>
        </w:rPr>
        <w:tab/>
        <w:t>Matching status</w:t>
      </w:r>
    </w:p>
    <w:p w:rsidR="007371CA" w:rsidRDefault="007371CA" w:rsidP="00961A6D">
      <w:pPr>
        <w:pStyle w:val="NoSpacing"/>
        <w:rPr>
          <w:rFonts w:ascii="Arial" w:hAnsi="Arial" w:cs="Arial"/>
          <w:sz w:val="20"/>
          <w:szCs w:val="20"/>
        </w:rPr>
      </w:pPr>
      <w:r w:rsidRPr="00601EFC">
        <w:rPr>
          <w:rFonts w:ascii="Arial" w:hAnsi="Arial" w:cs="Arial"/>
          <w:sz w:val="20"/>
          <w:szCs w:val="20"/>
        </w:rPr>
        <w:t xml:space="preserve">MACH if matched or </w:t>
      </w:r>
    </w:p>
    <w:p w:rsidR="007371CA" w:rsidRDefault="007371CA" w:rsidP="00961A6D">
      <w:pPr>
        <w:pStyle w:val="NoSpacing"/>
        <w:rPr>
          <w:rFonts w:ascii="Arial" w:hAnsi="Arial" w:cs="Arial"/>
          <w:sz w:val="20"/>
          <w:szCs w:val="20"/>
        </w:rPr>
      </w:pPr>
      <w:r w:rsidRPr="00601EFC">
        <w:rPr>
          <w:rFonts w:ascii="Arial" w:hAnsi="Arial" w:cs="Arial"/>
          <w:sz w:val="20"/>
          <w:szCs w:val="20"/>
        </w:rPr>
        <w:t>NMAT if the instruction is not matched</w:t>
      </w:r>
    </w:p>
    <w:p w:rsidR="007371CA" w:rsidRDefault="007371CA" w:rsidP="00961A6D">
      <w:pPr>
        <w:pStyle w:val="NoSpacing"/>
        <w:rPr>
          <w:rFonts w:ascii="Arial" w:hAnsi="Arial" w:cs="Arial"/>
          <w:b/>
          <w:sz w:val="20"/>
          <w:szCs w:val="20"/>
        </w:rPr>
      </w:pPr>
      <w:r w:rsidRPr="00601EFC">
        <w:rPr>
          <w:rFonts w:ascii="Arial" w:hAnsi="Arial" w:cs="Arial"/>
          <w:b/>
          <w:sz w:val="20"/>
          <w:szCs w:val="20"/>
        </w:rPr>
        <w:t>21d</w:t>
      </w:r>
      <w:r w:rsidRPr="00601EFC">
        <w:rPr>
          <w:rFonts w:ascii="Arial" w:hAnsi="Arial" w:cs="Arial"/>
          <w:b/>
          <w:sz w:val="20"/>
          <w:szCs w:val="20"/>
        </w:rPr>
        <w:tab/>
        <w:t>Hold status of the instruction</w:t>
      </w:r>
    </w:p>
    <w:p w:rsidR="007371CA" w:rsidRDefault="007371CA" w:rsidP="00961A6D">
      <w:pPr>
        <w:pStyle w:val="NoSpacing"/>
        <w:rPr>
          <w:rFonts w:ascii="Arial" w:hAnsi="Arial" w:cs="Arial"/>
          <w:sz w:val="20"/>
          <w:szCs w:val="20"/>
        </w:rPr>
      </w:pPr>
      <w:r w:rsidRPr="00601EFC">
        <w:rPr>
          <w:rFonts w:ascii="Arial" w:hAnsi="Arial" w:cs="Arial"/>
          <w:sz w:val="20"/>
          <w:szCs w:val="20"/>
        </w:rPr>
        <w:t>Possible values:</w:t>
      </w:r>
      <w:r w:rsidRPr="00601EFC">
        <w:rPr>
          <w:rFonts w:ascii="Arial" w:hAnsi="Arial" w:cs="Arial"/>
          <w:sz w:val="20"/>
          <w:szCs w:val="20"/>
        </w:rPr>
        <w:tab/>
      </w:r>
    </w:p>
    <w:p w:rsidR="007371CA" w:rsidRDefault="007371CA" w:rsidP="00961A6D">
      <w:pPr>
        <w:pStyle w:val="NoSpacing"/>
        <w:rPr>
          <w:rFonts w:ascii="Arial" w:hAnsi="Arial" w:cs="Arial"/>
          <w:sz w:val="20"/>
          <w:szCs w:val="20"/>
        </w:rPr>
      </w:pPr>
      <w:r w:rsidRPr="00601EFC">
        <w:rPr>
          <w:rFonts w:ascii="Arial" w:hAnsi="Arial" w:cs="Arial"/>
          <w:sz w:val="20"/>
          <w:szCs w:val="20"/>
        </w:rPr>
        <w:t>PREA [Your InstructionOnHold]</w:t>
      </w:r>
    </w:p>
    <w:p w:rsidR="007371CA" w:rsidRDefault="007371CA" w:rsidP="00961A6D">
      <w:pPr>
        <w:pStyle w:val="NoSpacing"/>
        <w:rPr>
          <w:rFonts w:ascii="Arial" w:hAnsi="Arial" w:cs="Arial"/>
          <w:sz w:val="20"/>
          <w:szCs w:val="20"/>
        </w:rPr>
      </w:pPr>
      <w:r w:rsidRPr="00601EFC">
        <w:rPr>
          <w:rFonts w:ascii="Arial" w:hAnsi="Arial" w:cs="Arial"/>
          <w:sz w:val="20"/>
          <w:szCs w:val="20"/>
        </w:rPr>
        <w:t xml:space="preserve">CSDH [CSD Hold] </w:t>
      </w:r>
    </w:p>
    <w:p w:rsidR="007371CA" w:rsidRDefault="007371CA" w:rsidP="00961A6D">
      <w:pPr>
        <w:pStyle w:val="NoSpacing"/>
        <w:rPr>
          <w:rFonts w:ascii="Arial" w:hAnsi="Arial" w:cs="Arial"/>
          <w:sz w:val="20"/>
          <w:szCs w:val="20"/>
        </w:rPr>
      </w:pPr>
      <w:r w:rsidRPr="00601EFC">
        <w:rPr>
          <w:rFonts w:ascii="Arial" w:hAnsi="Arial" w:cs="Arial"/>
          <w:sz w:val="20"/>
          <w:szCs w:val="20"/>
        </w:rPr>
        <w:t>CVAL [CSDValidation]</w:t>
      </w:r>
    </w:p>
    <w:p w:rsidR="007371CA" w:rsidRDefault="007371CA" w:rsidP="00961A6D">
      <w:pPr>
        <w:pStyle w:val="NoSpacing"/>
        <w:rPr>
          <w:rFonts w:ascii="Arial" w:hAnsi="Arial" w:cs="Arial"/>
          <w:sz w:val="20"/>
          <w:szCs w:val="20"/>
        </w:rPr>
      </w:pPr>
      <w:r w:rsidRPr="00601EFC">
        <w:rPr>
          <w:rFonts w:ascii="Arial" w:hAnsi="Arial" w:cs="Arial"/>
          <w:sz w:val="20"/>
          <w:szCs w:val="20"/>
        </w:rPr>
        <w:t>CDLR [ConditionalDeliveryAwaitingRelease]</w:t>
      </w:r>
    </w:p>
    <w:p w:rsidR="007371CA" w:rsidRDefault="007371CA" w:rsidP="00961A6D">
      <w:pPr>
        <w:pStyle w:val="NoSpacing"/>
        <w:rPr>
          <w:rFonts w:ascii="Arial" w:hAnsi="Arial" w:cs="Arial"/>
          <w:sz w:val="20"/>
          <w:szCs w:val="20"/>
        </w:rPr>
      </w:pPr>
      <w:r w:rsidRPr="00601EFC">
        <w:rPr>
          <w:rFonts w:ascii="Arial" w:hAnsi="Arial" w:cs="Arial"/>
          <w:sz w:val="20"/>
          <w:szCs w:val="20"/>
        </w:rPr>
        <w:t>BLANK if not on hold</w:t>
      </w:r>
    </w:p>
    <w:p w:rsidR="007371CA" w:rsidRDefault="007371CA" w:rsidP="00961A6D">
      <w:pPr>
        <w:pStyle w:val="NoSpacing"/>
        <w:rPr>
          <w:rFonts w:ascii="Arial" w:hAnsi="Arial" w:cs="Arial"/>
          <w:b/>
          <w:sz w:val="20"/>
          <w:szCs w:val="20"/>
        </w:rPr>
      </w:pPr>
      <w:r w:rsidRPr="00601EFC">
        <w:rPr>
          <w:rFonts w:ascii="Arial" w:hAnsi="Arial" w:cs="Arial"/>
          <w:b/>
          <w:sz w:val="20"/>
          <w:szCs w:val="20"/>
        </w:rPr>
        <w:t>21e</w:t>
      </w:r>
      <w:r w:rsidRPr="00601EFC">
        <w:rPr>
          <w:rFonts w:ascii="Arial" w:hAnsi="Arial" w:cs="Arial"/>
          <w:b/>
          <w:sz w:val="20"/>
          <w:szCs w:val="20"/>
        </w:rPr>
        <w:tab/>
        <w:t xml:space="preserve">Opt-out of partial settlement </w:t>
      </w:r>
    </w:p>
    <w:p w:rsidR="007371CA" w:rsidRDefault="007371CA" w:rsidP="00961A6D">
      <w:pPr>
        <w:pStyle w:val="NoSpacing"/>
        <w:rPr>
          <w:rFonts w:ascii="Arial" w:hAnsi="Arial" w:cs="Arial"/>
          <w:sz w:val="20"/>
          <w:szCs w:val="20"/>
        </w:rPr>
      </w:pPr>
      <w:r w:rsidRPr="00601EFC">
        <w:rPr>
          <w:rFonts w:ascii="Arial" w:hAnsi="Arial" w:cs="Arial"/>
          <w:sz w:val="20"/>
          <w:szCs w:val="20"/>
        </w:rPr>
        <w:t>Possible values:</w:t>
      </w:r>
      <w:r w:rsidRPr="00601EFC">
        <w:rPr>
          <w:rFonts w:ascii="Arial" w:hAnsi="Arial" w:cs="Arial"/>
          <w:sz w:val="20"/>
          <w:szCs w:val="20"/>
        </w:rPr>
        <w:tab/>
      </w:r>
    </w:p>
    <w:p w:rsidR="007371CA" w:rsidRDefault="007371CA" w:rsidP="00961A6D">
      <w:pPr>
        <w:pStyle w:val="NoSpacing"/>
        <w:rPr>
          <w:rFonts w:ascii="Arial" w:hAnsi="Arial" w:cs="Arial"/>
          <w:sz w:val="20"/>
          <w:szCs w:val="20"/>
        </w:rPr>
      </w:pPr>
      <w:r w:rsidRPr="00601EFC">
        <w:rPr>
          <w:rFonts w:ascii="Arial" w:hAnsi="Arial" w:cs="Arial"/>
          <w:sz w:val="20"/>
          <w:szCs w:val="20"/>
        </w:rPr>
        <w:t>NPAR if opt-out of partial settlement is activated</w:t>
      </w:r>
    </w:p>
    <w:p w:rsidR="007371CA" w:rsidRDefault="007371CA" w:rsidP="00961A6D">
      <w:pPr>
        <w:pStyle w:val="NoSpacing"/>
        <w:rPr>
          <w:rFonts w:ascii="Arial" w:hAnsi="Arial" w:cs="Arial"/>
          <w:sz w:val="20"/>
          <w:szCs w:val="20"/>
        </w:rPr>
      </w:pPr>
      <w:r w:rsidRPr="00601EFC">
        <w:rPr>
          <w:rFonts w:ascii="Arial" w:hAnsi="Arial" w:cs="Arial"/>
          <w:sz w:val="20"/>
          <w:szCs w:val="20"/>
        </w:rPr>
        <w:t>BLANK if partial settlement is allowed</w:t>
      </w:r>
    </w:p>
    <w:p w:rsidR="007371CA" w:rsidRDefault="007371CA" w:rsidP="00961A6D">
      <w:pPr>
        <w:pStyle w:val="NoSpacing"/>
        <w:rPr>
          <w:rFonts w:ascii="Arial" w:hAnsi="Arial" w:cs="Arial"/>
          <w:b/>
          <w:i/>
          <w:sz w:val="20"/>
          <w:szCs w:val="20"/>
        </w:rPr>
      </w:pPr>
      <w:r w:rsidRPr="00601EFC">
        <w:rPr>
          <w:rFonts w:ascii="Arial" w:hAnsi="Arial" w:cs="Arial"/>
          <w:b/>
          <w:sz w:val="20"/>
          <w:szCs w:val="20"/>
        </w:rPr>
        <w:t>21f</w:t>
      </w:r>
      <w:r w:rsidRPr="00601EFC">
        <w:rPr>
          <w:rFonts w:ascii="Arial" w:hAnsi="Arial" w:cs="Arial"/>
          <w:b/>
          <w:sz w:val="20"/>
          <w:szCs w:val="20"/>
        </w:rPr>
        <w:tab/>
        <w:t xml:space="preserve">Reason codes for not settled instructions </w:t>
      </w:r>
      <w:r w:rsidRPr="00601EFC">
        <w:rPr>
          <w:rFonts w:ascii="Arial" w:hAnsi="Arial" w:cs="Arial"/>
          <w:b/>
          <w:i/>
          <w:sz w:val="20"/>
          <w:szCs w:val="20"/>
        </w:rPr>
        <w:t>(if Status of the instruction is PEND or PENF)</w:t>
      </w:r>
    </w:p>
    <w:p w:rsidR="007371CA" w:rsidRDefault="007371CA" w:rsidP="00961A6D">
      <w:pPr>
        <w:pStyle w:val="NoSpacing"/>
        <w:rPr>
          <w:rFonts w:ascii="Arial" w:hAnsi="Arial" w:cs="Arial"/>
          <w:sz w:val="20"/>
          <w:szCs w:val="20"/>
        </w:rPr>
      </w:pPr>
      <w:r w:rsidRPr="00601EFC">
        <w:rPr>
          <w:rFonts w:ascii="Arial" w:hAnsi="Arial" w:cs="Arial"/>
          <w:sz w:val="20"/>
          <w:szCs w:val="20"/>
        </w:rPr>
        <w:t>Possible values:</w:t>
      </w:r>
    </w:p>
    <w:p w:rsidR="007371CA" w:rsidRDefault="007371CA" w:rsidP="00961A6D">
      <w:pPr>
        <w:pStyle w:val="NoSpacing"/>
        <w:rPr>
          <w:rFonts w:ascii="Arial" w:hAnsi="Arial" w:cs="Arial"/>
          <w:sz w:val="20"/>
          <w:szCs w:val="20"/>
        </w:rPr>
      </w:pPr>
      <w:r w:rsidRPr="00601EFC">
        <w:rPr>
          <w:rFonts w:ascii="Arial" w:hAnsi="Arial" w:cs="Arial"/>
          <w:sz w:val="20"/>
          <w:szCs w:val="20"/>
        </w:rPr>
        <w:t>BLOC AccountBlocked</w:t>
      </w:r>
    </w:p>
    <w:p w:rsidR="007371CA" w:rsidRDefault="007371CA" w:rsidP="00961A6D">
      <w:pPr>
        <w:pStyle w:val="NoSpacing"/>
        <w:rPr>
          <w:rFonts w:ascii="Arial" w:hAnsi="Arial" w:cs="Arial"/>
          <w:sz w:val="20"/>
          <w:szCs w:val="20"/>
        </w:rPr>
      </w:pPr>
      <w:r w:rsidRPr="00601EFC">
        <w:rPr>
          <w:rFonts w:ascii="Arial" w:hAnsi="Arial" w:cs="Arial"/>
          <w:sz w:val="20"/>
          <w:szCs w:val="20"/>
        </w:rPr>
        <w:t>CDLR ConditionalDeliveryAwaitingRelease</w:t>
      </w:r>
    </w:p>
    <w:p w:rsidR="007371CA" w:rsidRDefault="007371CA" w:rsidP="00961A6D">
      <w:pPr>
        <w:pStyle w:val="NoSpacing"/>
        <w:rPr>
          <w:rFonts w:ascii="Arial" w:hAnsi="Arial" w:cs="Arial"/>
          <w:sz w:val="20"/>
          <w:szCs w:val="20"/>
        </w:rPr>
      </w:pPr>
      <w:r w:rsidRPr="00601EFC">
        <w:rPr>
          <w:rFonts w:ascii="Arial" w:hAnsi="Arial" w:cs="Arial"/>
          <w:sz w:val="20"/>
          <w:szCs w:val="20"/>
        </w:rPr>
        <w:t>CLAC CounterpartyInsufficientSecurities</w:t>
      </w:r>
    </w:p>
    <w:p w:rsidR="007371CA" w:rsidRDefault="007371CA" w:rsidP="00961A6D">
      <w:pPr>
        <w:pStyle w:val="NoSpacing"/>
        <w:rPr>
          <w:rFonts w:ascii="Arial" w:hAnsi="Arial" w:cs="Arial"/>
          <w:sz w:val="20"/>
          <w:szCs w:val="20"/>
        </w:rPr>
      </w:pPr>
      <w:r w:rsidRPr="00601EFC">
        <w:rPr>
          <w:rFonts w:ascii="Arial" w:hAnsi="Arial" w:cs="Arial"/>
          <w:sz w:val="20"/>
          <w:szCs w:val="20"/>
        </w:rPr>
        <w:t>CMON CounterpartyInsufficientMoney</w:t>
      </w:r>
    </w:p>
    <w:p w:rsidR="007371CA" w:rsidRDefault="007371CA" w:rsidP="00961A6D">
      <w:pPr>
        <w:pStyle w:val="NoSpacing"/>
        <w:rPr>
          <w:rFonts w:ascii="Arial" w:hAnsi="Arial" w:cs="Arial"/>
          <w:sz w:val="20"/>
          <w:szCs w:val="20"/>
        </w:rPr>
      </w:pPr>
      <w:r w:rsidRPr="00601EFC">
        <w:rPr>
          <w:rFonts w:ascii="Arial" w:hAnsi="Arial" w:cs="Arial"/>
          <w:sz w:val="20"/>
          <w:szCs w:val="20"/>
        </w:rPr>
        <w:t>CSDH CSDHold</w:t>
      </w:r>
    </w:p>
    <w:p w:rsidR="007371CA" w:rsidRDefault="007371CA" w:rsidP="00961A6D">
      <w:pPr>
        <w:pStyle w:val="NoSpacing"/>
        <w:rPr>
          <w:rFonts w:ascii="Arial" w:hAnsi="Arial" w:cs="Arial"/>
          <w:sz w:val="20"/>
          <w:szCs w:val="20"/>
        </w:rPr>
      </w:pPr>
      <w:r w:rsidRPr="00601EFC">
        <w:rPr>
          <w:rFonts w:ascii="Arial" w:hAnsi="Arial" w:cs="Arial"/>
          <w:sz w:val="20"/>
          <w:szCs w:val="20"/>
        </w:rPr>
        <w:t>CVAL CSDValidation</w:t>
      </w:r>
    </w:p>
    <w:p w:rsidR="007371CA" w:rsidRDefault="007371CA" w:rsidP="00961A6D">
      <w:pPr>
        <w:pStyle w:val="NoSpacing"/>
        <w:rPr>
          <w:rFonts w:ascii="Arial" w:hAnsi="Arial" w:cs="Arial"/>
          <w:sz w:val="20"/>
          <w:szCs w:val="20"/>
        </w:rPr>
      </w:pPr>
      <w:r w:rsidRPr="00601EFC">
        <w:rPr>
          <w:rFonts w:ascii="Arial" w:hAnsi="Arial" w:cs="Arial"/>
          <w:sz w:val="20"/>
          <w:szCs w:val="20"/>
        </w:rPr>
        <w:t>FUTU AwaitingSettlementDate</w:t>
      </w:r>
    </w:p>
    <w:p w:rsidR="007371CA" w:rsidRDefault="007371CA" w:rsidP="00961A6D">
      <w:pPr>
        <w:pStyle w:val="NoSpacing"/>
        <w:rPr>
          <w:rFonts w:ascii="Arial" w:hAnsi="Arial" w:cs="Arial"/>
          <w:sz w:val="20"/>
          <w:szCs w:val="20"/>
        </w:rPr>
      </w:pPr>
      <w:r w:rsidRPr="00601EFC">
        <w:rPr>
          <w:rFonts w:ascii="Arial" w:hAnsi="Arial" w:cs="Arial"/>
          <w:sz w:val="20"/>
          <w:szCs w:val="20"/>
        </w:rPr>
        <w:t>INBC IncompleteNumberCount</w:t>
      </w:r>
    </w:p>
    <w:p w:rsidR="007371CA" w:rsidRDefault="007371CA" w:rsidP="00961A6D">
      <w:pPr>
        <w:pStyle w:val="NoSpacing"/>
        <w:rPr>
          <w:rFonts w:ascii="Arial" w:hAnsi="Arial" w:cs="Arial"/>
          <w:sz w:val="20"/>
          <w:szCs w:val="20"/>
        </w:rPr>
      </w:pPr>
      <w:r w:rsidRPr="00601EFC">
        <w:rPr>
          <w:rFonts w:ascii="Arial" w:hAnsi="Arial" w:cs="Arial"/>
          <w:sz w:val="20"/>
          <w:szCs w:val="20"/>
        </w:rPr>
        <w:t>LACK LackOfSecurities</w:t>
      </w:r>
    </w:p>
    <w:p w:rsidR="007371CA" w:rsidRDefault="007371CA" w:rsidP="00961A6D">
      <w:pPr>
        <w:pStyle w:val="NoSpacing"/>
        <w:rPr>
          <w:rFonts w:ascii="Arial" w:hAnsi="Arial" w:cs="Arial"/>
          <w:sz w:val="20"/>
          <w:szCs w:val="20"/>
        </w:rPr>
      </w:pPr>
      <w:r w:rsidRPr="00601EFC">
        <w:rPr>
          <w:rFonts w:ascii="Arial" w:hAnsi="Arial" w:cs="Arial"/>
          <w:sz w:val="20"/>
          <w:szCs w:val="20"/>
        </w:rPr>
        <w:t>LATE MarketDeadlineMissed</w:t>
      </w:r>
    </w:p>
    <w:p w:rsidR="007371CA" w:rsidRDefault="007371CA" w:rsidP="00961A6D">
      <w:pPr>
        <w:pStyle w:val="NoSpacing"/>
        <w:rPr>
          <w:rFonts w:ascii="Arial" w:hAnsi="Arial" w:cs="Arial"/>
          <w:sz w:val="20"/>
          <w:szCs w:val="20"/>
        </w:rPr>
      </w:pPr>
      <w:r w:rsidRPr="00601EFC">
        <w:rPr>
          <w:rFonts w:ascii="Arial" w:hAnsi="Arial" w:cs="Arial"/>
          <w:sz w:val="20"/>
          <w:szCs w:val="20"/>
        </w:rPr>
        <w:t>LINK PendingLinkedInstruction</w:t>
      </w:r>
    </w:p>
    <w:p w:rsidR="007371CA" w:rsidRDefault="007371CA" w:rsidP="00961A6D">
      <w:pPr>
        <w:pStyle w:val="NoSpacing"/>
        <w:rPr>
          <w:rFonts w:ascii="Arial" w:hAnsi="Arial" w:cs="Arial"/>
          <w:sz w:val="20"/>
          <w:szCs w:val="20"/>
        </w:rPr>
      </w:pPr>
      <w:r w:rsidRPr="00601EFC">
        <w:rPr>
          <w:rFonts w:ascii="Arial" w:hAnsi="Arial" w:cs="Arial"/>
          <w:sz w:val="20"/>
          <w:szCs w:val="20"/>
        </w:rPr>
        <w:t>MONY InsufficientMoney</w:t>
      </w:r>
    </w:p>
    <w:p w:rsidR="007371CA" w:rsidRDefault="007371CA" w:rsidP="00961A6D">
      <w:pPr>
        <w:pStyle w:val="NoSpacing"/>
        <w:rPr>
          <w:rFonts w:ascii="Arial" w:hAnsi="Arial" w:cs="Arial"/>
          <w:sz w:val="20"/>
          <w:szCs w:val="20"/>
        </w:rPr>
      </w:pPr>
      <w:r w:rsidRPr="00601EFC">
        <w:rPr>
          <w:rFonts w:ascii="Arial" w:hAnsi="Arial" w:cs="Arial"/>
          <w:sz w:val="20"/>
          <w:szCs w:val="20"/>
        </w:rPr>
        <w:t>OTHR Other</w:t>
      </w:r>
    </w:p>
    <w:p w:rsidR="007371CA" w:rsidRDefault="007371CA" w:rsidP="00961A6D">
      <w:pPr>
        <w:pStyle w:val="NoSpacing"/>
        <w:rPr>
          <w:rFonts w:ascii="Arial" w:hAnsi="Arial" w:cs="Arial"/>
          <w:sz w:val="20"/>
          <w:szCs w:val="20"/>
        </w:rPr>
      </w:pPr>
      <w:r w:rsidRPr="00601EFC">
        <w:rPr>
          <w:rFonts w:ascii="Arial" w:hAnsi="Arial" w:cs="Arial"/>
          <w:sz w:val="20"/>
          <w:szCs w:val="20"/>
        </w:rPr>
        <w:t>PART TradeSettlesInPartials</w:t>
      </w:r>
    </w:p>
    <w:p w:rsidR="007371CA" w:rsidRDefault="007371CA" w:rsidP="00961A6D">
      <w:pPr>
        <w:pStyle w:val="NoSpacing"/>
        <w:rPr>
          <w:rFonts w:ascii="Arial" w:hAnsi="Arial" w:cs="Arial"/>
          <w:sz w:val="20"/>
          <w:szCs w:val="20"/>
        </w:rPr>
      </w:pPr>
      <w:r w:rsidRPr="00601EFC">
        <w:rPr>
          <w:rFonts w:ascii="Arial" w:hAnsi="Arial" w:cs="Arial"/>
          <w:sz w:val="20"/>
          <w:szCs w:val="20"/>
        </w:rPr>
        <w:t>PRCY CounterpartyInstructionOnHold</w:t>
      </w:r>
    </w:p>
    <w:p w:rsidR="007371CA" w:rsidRDefault="007371CA" w:rsidP="00961A6D">
      <w:pPr>
        <w:pStyle w:val="NoSpacing"/>
        <w:rPr>
          <w:rFonts w:ascii="Arial" w:hAnsi="Arial" w:cs="Arial"/>
          <w:sz w:val="20"/>
          <w:szCs w:val="20"/>
        </w:rPr>
      </w:pPr>
      <w:r w:rsidRPr="00601EFC">
        <w:rPr>
          <w:rFonts w:ascii="Arial" w:hAnsi="Arial" w:cs="Arial"/>
          <w:sz w:val="20"/>
          <w:szCs w:val="20"/>
        </w:rPr>
        <w:t>PREA YourInstructionOnHold</w:t>
      </w:r>
    </w:p>
    <w:p w:rsidR="007371CA" w:rsidRDefault="007371CA" w:rsidP="00961A6D">
      <w:pPr>
        <w:pStyle w:val="NoSpacing"/>
        <w:rPr>
          <w:rFonts w:ascii="Arial" w:hAnsi="Arial" w:cs="Arial"/>
          <w:sz w:val="20"/>
          <w:szCs w:val="20"/>
        </w:rPr>
      </w:pPr>
      <w:r w:rsidRPr="00601EFC">
        <w:rPr>
          <w:rFonts w:ascii="Arial" w:hAnsi="Arial" w:cs="Arial"/>
          <w:sz w:val="20"/>
          <w:szCs w:val="20"/>
        </w:rPr>
        <w:t>SBLO SecuritiesBlocked</w:t>
      </w:r>
    </w:p>
    <w:p w:rsidR="007371CA" w:rsidRDefault="007371CA" w:rsidP="00961A6D">
      <w:pPr>
        <w:pStyle w:val="NoSpacing"/>
        <w:rPr>
          <w:rFonts w:ascii="Arial" w:hAnsi="Arial" w:cs="Arial"/>
          <w:sz w:val="20"/>
          <w:szCs w:val="20"/>
        </w:rPr>
      </w:pPr>
      <w:r w:rsidRPr="00601EFC">
        <w:rPr>
          <w:rFonts w:ascii="Arial" w:hAnsi="Arial" w:cs="Arial"/>
          <w:sz w:val="20"/>
          <w:szCs w:val="20"/>
        </w:rPr>
        <w:t>CONF AwaitingConfirmation</w:t>
      </w:r>
    </w:p>
    <w:p w:rsidR="007371CA" w:rsidRDefault="007371CA" w:rsidP="00961A6D">
      <w:pPr>
        <w:pStyle w:val="NoSpacing"/>
        <w:rPr>
          <w:rFonts w:ascii="Arial" w:hAnsi="Arial" w:cs="Arial"/>
          <w:sz w:val="20"/>
          <w:szCs w:val="20"/>
        </w:rPr>
      </w:pPr>
      <w:r w:rsidRPr="00601EFC">
        <w:rPr>
          <w:rFonts w:ascii="Arial" w:hAnsi="Arial" w:cs="Arial"/>
          <w:sz w:val="20"/>
          <w:szCs w:val="20"/>
        </w:rPr>
        <w:t>CDAC ConditionalDeliveryAwaitingCancellation</w:t>
      </w:r>
    </w:p>
    <w:p w:rsidR="007371CA" w:rsidRDefault="007371CA" w:rsidP="00D12AFD">
      <w:pPr>
        <w:rPr>
          <w:rFonts w:cs="Arial"/>
          <w:sz w:val="20"/>
          <w:szCs w:val="20"/>
        </w:rPr>
      </w:pPr>
      <w:r w:rsidRPr="00601EFC">
        <w:rPr>
          <w:rFonts w:cs="Arial"/>
          <w:sz w:val="20"/>
          <w:szCs w:val="20"/>
        </w:rPr>
        <w:t>As mentioned under Q5, the AG considers that the code for recycled transactions is redundant and e</w:t>
      </w:r>
      <w:r w:rsidRPr="00601EFC">
        <w:rPr>
          <w:rFonts w:cs="Arial"/>
          <w:sz w:val="20"/>
          <w:szCs w:val="20"/>
        </w:rPr>
        <w:t>x</w:t>
      </w:r>
      <w:r w:rsidRPr="00601EFC">
        <w:rPr>
          <w:rFonts w:cs="Arial"/>
          <w:sz w:val="20"/>
          <w:szCs w:val="20"/>
        </w:rPr>
        <w:t>presses the view that it should not be requested from CSDs.</w:t>
      </w:r>
    </w:p>
    <w:permEnd w:id="923746472"/>
    <w:p w:rsidR="00D12AFD" w:rsidRDefault="00D12AFD" w:rsidP="00D12AFD">
      <w:r>
        <w:t>&lt;ESMA_QUESTION_TS_CSDR_23&gt;</w:t>
      </w:r>
    </w:p>
    <w:p w:rsidR="00D12AFD" w:rsidRPr="002C4F00" w:rsidRDefault="00D12AFD" w:rsidP="00965B03">
      <w:pPr>
        <w:pStyle w:val="Heading5"/>
        <w:ind w:left="567" w:hanging="567"/>
      </w:pPr>
      <w:r w:rsidRPr="002C4F00">
        <w:t>What are your views on the types of records to be retained by CSDs in relation to ancillary services as included in the Annex to the draft RTS on CSD Requirements (Annex III)? Please provide examples regarding the formats of the records to be r</w:t>
      </w:r>
      <w:r w:rsidRPr="002C4F00">
        <w:t>e</w:t>
      </w:r>
      <w:r w:rsidRPr="002C4F00">
        <w:t>tained by CSDs in relation to ancillary services.</w:t>
      </w:r>
    </w:p>
    <w:p w:rsidR="00D12AFD" w:rsidRDefault="00D12AFD" w:rsidP="00D12AFD"/>
    <w:p w:rsidR="00D12AFD" w:rsidRDefault="00D12AFD" w:rsidP="00D12AFD">
      <w:r>
        <w:t>&lt;ESMA_QUESTION_TS_CSDR_25&gt;</w:t>
      </w:r>
    </w:p>
    <w:p w:rsidR="00EB2760" w:rsidRDefault="00EB2760" w:rsidP="00D12AFD">
      <w:pPr>
        <w:rPr>
          <w:rFonts w:cs="Arial"/>
          <w:sz w:val="20"/>
          <w:szCs w:val="20"/>
        </w:rPr>
      </w:pPr>
      <w:permStart w:id="1697871371" w:edGrp="everyone"/>
      <w:r w:rsidRPr="00EE4E11">
        <w:rPr>
          <w:rFonts w:cs="Arial"/>
          <w:sz w:val="20"/>
          <w:szCs w:val="20"/>
        </w:rPr>
        <w:t>The T2S Advisory Group (AG) considers the scope of this question as not directly relevant for T2S.</w:t>
      </w:r>
    </w:p>
    <w:permEnd w:id="1697871371"/>
    <w:p w:rsidR="00D12AFD" w:rsidRDefault="00D12AFD" w:rsidP="00D12AFD">
      <w:r>
        <w:t>&lt;ESMA_QUESTION_TS_CSDR_25&gt;</w:t>
      </w:r>
    </w:p>
    <w:p w:rsidR="00D12AFD" w:rsidRPr="002C4F00" w:rsidRDefault="00D12AFD" w:rsidP="00965B03">
      <w:pPr>
        <w:pStyle w:val="Heading5"/>
        <w:ind w:left="567" w:hanging="567"/>
      </w:pPr>
      <w:r w:rsidRPr="002C4F00">
        <w:t>What are your views on the proposed draft RTS</w:t>
      </w:r>
      <w:r>
        <w:t xml:space="preserve"> on reconciliation measures</w:t>
      </w:r>
      <w:r w:rsidRPr="002C4F00">
        <w:t xml:space="preserve"> included in Chapter V of Annex III?</w:t>
      </w:r>
    </w:p>
    <w:p w:rsidR="00D12AFD" w:rsidRDefault="00D12AFD" w:rsidP="00D12AFD"/>
    <w:p w:rsidR="00D12AFD" w:rsidRDefault="00D12AFD" w:rsidP="00D12AFD">
      <w:r>
        <w:t>&lt;ESMA_QUESTION_TS_CSDR_25&gt;</w:t>
      </w:r>
    </w:p>
    <w:p w:rsidR="00EB2760" w:rsidRDefault="00EB2760" w:rsidP="00D12AFD">
      <w:pPr>
        <w:rPr>
          <w:rFonts w:cs="Arial"/>
          <w:sz w:val="20"/>
          <w:szCs w:val="20"/>
        </w:rPr>
      </w:pPr>
      <w:permStart w:id="158802689" w:edGrp="everyone"/>
      <w:r w:rsidRPr="00EE4E11">
        <w:rPr>
          <w:rFonts w:cs="Arial"/>
          <w:sz w:val="20"/>
          <w:szCs w:val="20"/>
        </w:rPr>
        <w:t>The T2S Advisory Group (AG) considers the scope of this question as not directly relevant for T2S.</w:t>
      </w:r>
    </w:p>
    <w:permEnd w:id="158802689"/>
    <w:p w:rsidR="00D12AFD" w:rsidRDefault="00D12AFD" w:rsidP="00D12AFD">
      <w:r>
        <w:lastRenderedPageBreak/>
        <w:t>&lt;ESMA_QUESTION_TS_CSDR_25&gt;</w:t>
      </w:r>
    </w:p>
    <w:p w:rsidR="00D12AFD" w:rsidRPr="002C4F00" w:rsidRDefault="00D12AFD" w:rsidP="00965B03">
      <w:pPr>
        <w:pStyle w:val="Heading5"/>
        <w:ind w:left="567" w:hanging="567"/>
      </w:pPr>
      <w:r w:rsidRPr="002C4F00">
        <w:t>Do you believe that the proposed reconciliation measures where other entities are involved in the reconciliation process for a certain securities issue within the mea</w:t>
      </w:r>
      <w:r w:rsidRPr="002C4F00">
        <w:t>n</w:t>
      </w:r>
      <w:r w:rsidRPr="002C4F00">
        <w:t>ing of Article 37(2) of CSDR are adequate? Please explain if you think that any of the proposed measures would not be applicable in the case of a specific entity. Please provide examples of any additional measures that would be relevant in the case of specific entities.</w:t>
      </w:r>
    </w:p>
    <w:p w:rsidR="00D12AFD" w:rsidRDefault="00D12AFD" w:rsidP="00D12AFD"/>
    <w:p w:rsidR="00D12AFD" w:rsidRDefault="00D12AFD" w:rsidP="00D12AFD">
      <w:r>
        <w:t>&lt;ESMA_QUESTION_TS_CSDR_26&gt;</w:t>
      </w:r>
    </w:p>
    <w:p w:rsidR="00EB2760" w:rsidRDefault="00EB2760" w:rsidP="00D12AFD">
      <w:pPr>
        <w:rPr>
          <w:rFonts w:cs="Arial"/>
          <w:sz w:val="20"/>
          <w:szCs w:val="20"/>
        </w:rPr>
      </w:pPr>
      <w:permStart w:id="1708675323" w:edGrp="everyone"/>
      <w:r w:rsidRPr="00EE4E11">
        <w:rPr>
          <w:rFonts w:cs="Arial"/>
          <w:sz w:val="20"/>
          <w:szCs w:val="20"/>
        </w:rPr>
        <w:t>The T2S Advisory Group (AG) considers the scope of this question as not directly relevant for T2S.</w:t>
      </w:r>
    </w:p>
    <w:permEnd w:id="1708675323"/>
    <w:p w:rsidR="00D12AFD" w:rsidRDefault="00D12AFD" w:rsidP="00D12AFD">
      <w:r>
        <w:t>&lt;ESMA_QUESTION_TS_CSDR_26&gt;</w:t>
      </w:r>
    </w:p>
    <w:p w:rsidR="00F1314C" w:rsidRDefault="00F1314C" w:rsidP="00F1314C">
      <w:pPr>
        <w:pStyle w:val="Heading5"/>
      </w:pPr>
      <w:r w:rsidRPr="00F1314C">
        <w:t>What are your views on the proposed reconciliation measures for corporate a</w:t>
      </w:r>
      <w:r w:rsidRPr="00F1314C">
        <w:t>c</w:t>
      </w:r>
      <w:r w:rsidRPr="00F1314C">
        <w:t>tions under Article 15 of the draft RTS included in Chapter V of Annex III?</w:t>
      </w:r>
    </w:p>
    <w:p w:rsidR="00F1314C" w:rsidRDefault="00F1314C" w:rsidP="00F1314C"/>
    <w:p w:rsidR="00252063" w:rsidRDefault="00252063" w:rsidP="00252063">
      <w:r>
        <w:t>&lt;ESMA_QUESTION_TS_CSDR_27&gt;</w:t>
      </w:r>
    </w:p>
    <w:p w:rsidR="00CB3810" w:rsidRDefault="00CB3810" w:rsidP="00CB3810">
      <w:pPr>
        <w:pStyle w:val="NoSpacing"/>
        <w:rPr>
          <w:rFonts w:ascii="Arial" w:hAnsi="Arial" w:cs="Arial"/>
          <w:b/>
          <w:sz w:val="20"/>
          <w:szCs w:val="20"/>
          <w:u w:val="single"/>
        </w:rPr>
      </w:pPr>
      <w:permStart w:id="1649700239" w:edGrp="everyone"/>
      <w:r w:rsidRPr="00E64979">
        <w:rPr>
          <w:rFonts w:ascii="Arial" w:hAnsi="Arial" w:cs="Arial"/>
          <w:b/>
          <w:sz w:val="20"/>
          <w:szCs w:val="20"/>
          <w:u w:val="single"/>
        </w:rPr>
        <w:t>AG response to Q</w:t>
      </w:r>
      <w:r>
        <w:rPr>
          <w:rFonts w:ascii="Arial" w:hAnsi="Arial" w:cs="Arial"/>
          <w:b/>
          <w:sz w:val="20"/>
          <w:szCs w:val="20"/>
          <w:u w:val="single"/>
        </w:rPr>
        <w:t>27</w:t>
      </w:r>
    </w:p>
    <w:p w:rsidR="00CB3810" w:rsidRDefault="00CB3810" w:rsidP="00CB3810">
      <w:pPr>
        <w:pStyle w:val="NoSpacing"/>
        <w:rPr>
          <w:rFonts w:ascii="Arial" w:hAnsi="Arial" w:cs="Arial"/>
          <w:sz w:val="20"/>
          <w:szCs w:val="20"/>
          <w:lang w:val="en-US"/>
        </w:rPr>
      </w:pPr>
      <w:r w:rsidRPr="00E121CC">
        <w:rPr>
          <w:rFonts w:ascii="Arial" w:hAnsi="Arial" w:cs="Arial"/>
          <w:sz w:val="20"/>
          <w:szCs w:val="20"/>
          <w:lang w:val="en-US"/>
        </w:rPr>
        <w:t>The AG invites ESMA to review the text of Article 15 (on reconciliation measures for corporate actions).</w:t>
      </w:r>
    </w:p>
    <w:p w:rsidR="00CB3810" w:rsidRDefault="00CB3810" w:rsidP="00CB3810">
      <w:pPr>
        <w:pStyle w:val="NoSpacing"/>
        <w:rPr>
          <w:rFonts w:ascii="Arial" w:hAnsi="Arial" w:cs="Arial"/>
          <w:sz w:val="20"/>
          <w:szCs w:val="20"/>
          <w:lang w:val="en-US"/>
        </w:rPr>
      </w:pPr>
      <w:r w:rsidRPr="00E121CC">
        <w:rPr>
          <w:rFonts w:ascii="Arial" w:hAnsi="Arial" w:cs="Arial"/>
          <w:sz w:val="20"/>
          <w:szCs w:val="20"/>
          <w:lang w:val="en-US"/>
        </w:rPr>
        <w:t xml:space="preserve">The concern of the AG is to ensure that the Article is in line with the provisions of the Market Standards </w:t>
      </w:r>
      <w:r>
        <w:rPr>
          <w:rFonts w:ascii="Arial" w:hAnsi="Arial" w:cs="Arial"/>
          <w:sz w:val="20"/>
          <w:szCs w:val="20"/>
          <w:lang w:val="en-US"/>
        </w:rPr>
        <w:t>for</w:t>
      </w:r>
      <w:r w:rsidRPr="00E121CC">
        <w:rPr>
          <w:rFonts w:ascii="Arial" w:hAnsi="Arial" w:cs="Arial"/>
          <w:sz w:val="20"/>
          <w:szCs w:val="20"/>
          <w:lang w:val="en-US"/>
        </w:rPr>
        <w:t xml:space="preserve"> Corporate Action Processing and the provisions of the T2S Corporate Actions Standards, and is also compatible with the target of optimizing settlement efficiency on T2S.</w:t>
      </w:r>
    </w:p>
    <w:p w:rsidR="00CB3810" w:rsidRDefault="00CB3810" w:rsidP="00CB3810">
      <w:pPr>
        <w:pStyle w:val="NoSpacing"/>
        <w:rPr>
          <w:rFonts w:ascii="Arial" w:hAnsi="Arial" w:cs="Arial"/>
          <w:sz w:val="20"/>
          <w:szCs w:val="20"/>
          <w:lang w:val="en-US"/>
        </w:rPr>
      </w:pPr>
      <w:r w:rsidRPr="00E121CC">
        <w:rPr>
          <w:rFonts w:ascii="Arial" w:hAnsi="Arial" w:cs="Arial"/>
          <w:sz w:val="20"/>
          <w:szCs w:val="20"/>
          <w:lang w:val="en-US"/>
        </w:rPr>
        <w:t>The specific concerns of the AG are: (i) that Article 15, paragraph 1, could be interpreted as requiring that corporate actions bookings be effected only at the end of a T2S settlement day, thereby prohibiting boo</w:t>
      </w:r>
      <w:r w:rsidRPr="00E121CC">
        <w:rPr>
          <w:rFonts w:ascii="Arial" w:hAnsi="Arial" w:cs="Arial"/>
          <w:sz w:val="20"/>
          <w:szCs w:val="20"/>
          <w:lang w:val="en-US"/>
        </w:rPr>
        <w:t>k</w:t>
      </w:r>
      <w:r w:rsidRPr="00E121CC">
        <w:rPr>
          <w:rFonts w:ascii="Arial" w:hAnsi="Arial" w:cs="Arial"/>
          <w:sz w:val="20"/>
          <w:szCs w:val="20"/>
          <w:lang w:val="en-US"/>
        </w:rPr>
        <w:t>ing at the start of a settlement day; and (ii) that Article 15, paragraph 2, may have the effect of delaying the start of settlement in a security that is subject to a corporate action.</w:t>
      </w:r>
    </w:p>
    <w:p w:rsidR="00CB3810" w:rsidRDefault="00CB3810" w:rsidP="00CB3810">
      <w:pPr>
        <w:pStyle w:val="NoSpacing"/>
        <w:rPr>
          <w:rFonts w:ascii="Arial" w:hAnsi="Arial" w:cs="Arial"/>
          <w:b/>
          <w:sz w:val="20"/>
          <w:szCs w:val="20"/>
          <w:lang w:val="en-US"/>
        </w:rPr>
      </w:pPr>
      <w:r w:rsidRPr="00F27DB0">
        <w:rPr>
          <w:rFonts w:ascii="Arial" w:hAnsi="Arial" w:cs="Arial"/>
          <w:b/>
          <w:sz w:val="20"/>
          <w:szCs w:val="20"/>
          <w:lang w:val="en-US"/>
        </w:rPr>
        <w:t>Explanation relating to points (i) and (ii):</w:t>
      </w:r>
    </w:p>
    <w:p w:rsidR="00CB3810" w:rsidRDefault="00CB3810" w:rsidP="00CB3810">
      <w:pPr>
        <w:pStyle w:val="NoSpacing"/>
        <w:rPr>
          <w:rFonts w:ascii="Arial" w:hAnsi="Arial" w:cs="Arial"/>
          <w:sz w:val="20"/>
          <w:szCs w:val="20"/>
          <w:lang w:val="en-US"/>
        </w:rPr>
      </w:pPr>
      <w:r w:rsidRPr="00E121CC">
        <w:rPr>
          <w:rFonts w:ascii="Arial" w:hAnsi="Arial" w:cs="Arial"/>
          <w:sz w:val="20"/>
          <w:szCs w:val="20"/>
          <w:lang w:val="en-US"/>
        </w:rPr>
        <w:t>The Corporate Actions Standards documents mandate that corporate actions bookings (relating to “corp</w:t>
      </w:r>
      <w:r w:rsidRPr="00E121CC">
        <w:rPr>
          <w:rFonts w:ascii="Arial" w:hAnsi="Arial" w:cs="Arial"/>
          <w:sz w:val="20"/>
          <w:szCs w:val="20"/>
          <w:lang w:val="en-US"/>
        </w:rPr>
        <w:t>o</w:t>
      </w:r>
      <w:r w:rsidRPr="00E121CC">
        <w:rPr>
          <w:rFonts w:ascii="Arial" w:hAnsi="Arial" w:cs="Arial"/>
          <w:sz w:val="20"/>
          <w:szCs w:val="20"/>
          <w:lang w:val="en-US"/>
        </w:rPr>
        <w:t>rate actions on stocks”) take place at the start of the settlement day of a CSD. The rationale is as follows: bookings for “corporate actions on stocks” are based on holdings as “record date” (and “record date” is defined as being an end-of-day date); the Market Standards documents provide for the actual bookings to take place as soon as after the “record date” i.e. at the opening of the settlement system on the following day.</w:t>
      </w:r>
    </w:p>
    <w:p w:rsidR="00CB3810" w:rsidRDefault="00CB3810" w:rsidP="00CB3810">
      <w:pPr>
        <w:pStyle w:val="NoSpacing"/>
        <w:rPr>
          <w:rFonts w:ascii="Arial" w:hAnsi="Arial" w:cs="Arial"/>
          <w:sz w:val="20"/>
          <w:szCs w:val="20"/>
          <w:lang w:val="en-US"/>
        </w:rPr>
      </w:pPr>
      <w:r w:rsidRPr="00E121CC">
        <w:rPr>
          <w:rFonts w:ascii="Arial" w:hAnsi="Arial" w:cs="Arial"/>
          <w:sz w:val="20"/>
          <w:szCs w:val="20"/>
          <w:lang w:val="en-US"/>
        </w:rPr>
        <w:t>Bookings on “corporate actions on stocks” follow the cascade principle. Bookings are effected at the account provider level; once the account provider has confirmed the bookings to its account holder, then the account holder in turn effects the bookings on the securities accounts that it provides; if an account provider has “blocked” standard settlement in a particular security in its books, then it will release the security for standard settlement, once it has effected the necessary corporate actions bookings.</w:t>
      </w:r>
    </w:p>
    <w:p w:rsidR="00CB3810" w:rsidRDefault="00CB3810" w:rsidP="00CB3810">
      <w:pPr>
        <w:pStyle w:val="NoSpacing"/>
        <w:rPr>
          <w:rFonts w:ascii="Arial" w:hAnsi="Arial" w:cs="Arial"/>
          <w:sz w:val="20"/>
          <w:szCs w:val="20"/>
          <w:lang w:val="en-US"/>
        </w:rPr>
      </w:pPr>
      <w:r w:rsidRPr="00E121CC">
        <w:rPr>
          <w:rFonts w:ascii="Arial" w:hAnsi="Arial" w:cs="Arial"/>
          <w:sz w:val="20"/>
          <w:szCs w:val="20"/>
          <w:lang w:val="en-US"/>
        </w:rPr>
        <w:t xml:space="preserve">Article 15, paragraph 2, could be interpreted to suggest that a CSD – before releasing a security for standard settlement – should </w:t>
      </w:r>
      <w:r>
        <w:rPr>
          <w:rFonts w:ascii="Arial" w:hAnsi="Arial" w:cs="Arial"/>
          <w:sz w:val="20"/>
          <w:szCs w:val="20"/>
          <w:lang w:val="en-US"/>
        </w:rPr>
        <w:t>perform</w:t>
      </w:r>
      <w:r w:rsidRPr="00E121CC">
        <w:rPr>
          <w:rFonts w:ascii="Arial" w:hAnsi="Arial" w:cs="Arial"/>
          <w:sz w:val="20"/>
          <w:szCs w:val="20"/>
          <w:lang w:val="en-US"/>
        </w:rPr>
        <w:t xml:space="preserve"> an additional reconciliation process. It is unclear what this additional reconciliation process would involve.</w:t>
      </w:r>
    </w:p>
    <w:p w:rsidR="00CB3810" w:rsidRDefault="00CB3810" w:rsidP="00CB3810">
      <w:pPr>
        <w:pStyle w:val="NoSpacing"/>
        <w:rPr>
          <w:rFonts w:ascii="Arial" w:hAnsi="Arial" w:cs="Arial"/>
          <w:b/>
          <w:sz w:val="20"/>
          <w:szCs w:val="20"/>
          <w:lang w:val="en-US"/>
        </w:rPr>
      </w:pPr>
      <w:r w:rsidRPr="00F27DB0">
        <w:rPr>
          <w:rFonts w:ascii="Arial" w:hAnsi="Arial" w:cs="Arial"/>
          <w:b/>
          <w:sz w:val="20"/>
          <w:szCs w:val="20"/>
          <w:lang w:val="en-US"/>
        </w:rPr>
        <w:t>Alternative drafting proposal:</w:t>
      </w:r>
    </w:p>
    <w:p w:rsidR="00CB3810" w:rsidRDefault="00CB3810" w:rsidP="00CB3810">
      <w:pPr>
        <w:pStyle w:val="NoSpacing"/>
        <w:rPr>
          <w:rFonts w:ascii="Arial" w:hAnsi="Arial" w:cs="Arial"/>
          <w:sz w:val="20"/>
          <w:szCs w:val="20"/>
          <w:lang w:val="en-US"/>
        </w:rPr>
      </w:pPr>
      <w:r w:rsidRPr="00E121CC">
        <w:rPr>
          <w:rFonts w:ascii="Arial" w:hAnsi="Arial" w:cs="Arial"/>
          <w:sz w:val="20"/>
          <w:szCs w:val="20"/>
          <w:lang w:val="en-US"/>
        </w:rPr>
        <w:t>The AG offers the following drafting suggestions for Article 15:</w:t>
      </w:r>
    </w:p>
    <w:p w:rsidR="00CB3810" w:rsidRPr="00E121CC" w:rsidRDefault="00CB3810" w:rsidP="00CB3810">
      <w:pPr>
        <w:pStyle w:val="NoSpacing"/>
        <w:rPr>
          <w:rFonts w:ascii="Arial" w:hAnsi="Arial" w:cs="Arial"/>
          <w:i/>
          <w:sz w:val="20"/>
          <w:szCs w:val="20"/>
          <w:lang w:val="en-US"/>
        </w:rPr>
      </w:pPr>
      <w:r>
        <w:rPr>
          <w:rFonts w:ascii="Arial" w:hAnsi="Arial" w:cs="Arial"/>
          <w:sz w:val="20"/>
          <w:szCs w:val="20"/>
          <w:lang w:val="en-US"/>
        </w:rPr>
        <w:t>“</w:t>
      </w:r>
      <w:r w:rsidRPr="00E121CC">
        <w:rPr>
          <w:rFonts w:ascii="Arial" w:hAnsi="Arial" w:cs="Arial"/>
          <w:i/>
          <w:sz w:val="20"/>
          <w:szCs w:val="20"/>
          <w:lang w:val="en-US"/>
        </w:rPr>
        <w:t>1. A CSD shall not initiate the processing of a corporate action that would change the balance of secur</w:t>
      </w:r>
      <w:r w:rsidRPr="00E121CC">
        <w:rPr>
          <w:rFonts w:ascii="Arial" w:hAnsi="Arial" w:cs="Arial"/>
          <w:i/>
          <w:sz w:val="20"/>
          <w:szCs w:val="20"/>
          <w:lang w:val="en-US"/>
        </w:rPr>
        <w:t>i</w:t>
      </w:r>
      <w:r w:rsidRPr="00E121CC">
        <w:rPr>
          <w:rFonts w:ascii="Arial" w:hAnsi="Arial" w:cs="Arial"/>
          <w:i/>
          <w:sz w:val="20"/>
          <w:szCs w:val="20"/>
          <w:lang w:val="en-US"/>
        </w:rPr>
        <w:t xml:space="preserve">ties accounts </w:t>
      </w:r>
      <w:r w:rsidRPr="00E121CC">
        <w:rPr>
          <w:rFonts w:ascii="Arial" w:hAnsi="Arial" w:cs="Arial"/>
          <w:i/>
          <w:sz w:val="20"/>
          <w:szCs w:val="20"/>
          <w:u w:val="single"/>
          <w:lang w:val="en-US"/>
        </w:rPr>
        <w:t>provided</w:t>
      </w:r>
      <w:r w:rsidRPr="00E121CC">
        <w:rPr>
          <w:rFonts w:ascii="Arial" w:hAnsi="Arial" w:cs="Arial"/>
          <w:i/>
          <w:sz w:val="20"/>
          <w:szCs w:val="20"/>
          <w:lang w:val="en-US"/>
        </w:rPr>
        <w:t xml:space="preserve"> </w:t>
      </w:r>
      <w:r w:rsidRPr="00E121CC">
        <w:rPr>
          <w:rFonts w:ascii="Arial" w:hAnsi="Arial" w:cs="Arial"/>
          <w:i/>
          <w:strike/>
          <w:sz w:val="20"/>
          <w:szCs w:val="20"/>
          <w:lang w:val="en-US"/>
        </w:rPr>
        <w:t>maintained</w:t>
      </w:r>
      <w:r w:rsidRPr="00E121CC">
        <w:rPr>
          <w:rFonts w:ascii="Arial" w:hAnsi="Arial" w:cs="Arial"/>
          <w:i/>
          <w:sz w:val="20"/>
          <w:szCs w:val="20"/>
          <w:lang w:val="en-US"/>
        </w:rPr>
        <w:t xml:space="preserve"> by the CSD until the reconciliation measures specified under Article 14 and, where applicable, under points a) and b) of Article 16(1) are completed.</w:t>
      </w:r>
      <w:r w:rsidRPr="00E121CC">
        <w:rPr>
          <w:rFonts w:ascii="Arial" w:hAnsi="Arial" w:cs="Arial"/>
          <w:i/>
          <w:strike/>
          <w:sz w:val="20"/>
          <w:szCs w:val="20"/>
          <w:lang w:val="en-US"/>
        </w:rPr>
        <w:t xml:space="preserve"> at the end of settlement on the respective business day.</w:t>
      </w:r>
    </w:p>
    <w:p w:rsidR="00CB3810" w:rsidRPr="00F27DB0" w:rsidRDefault="00CB3810" w:rsidP="00CB3810">
      <w:pPr>
        <w:pStyle w:val="NoSpacing"/>
        <w:rPr>
          <w:rFonts w:ascii="Arial" w:hAnsi="Arial" w:cs="Arial"/>
          <w:b/>
          <w:i/>
          <w:sz w:val="20"/>
          <w:szCs w:val="20"/>
        </w:rPr>
      </w:pPr>
      <w:r w:rsidRPr="00E121CC">
        <w:rPr>
          <w:rFonts w:ascii="Arial" w:hAnsi="Arial" w:cs="Arial"/>
          <w:i/>
          <w:sz w:val="20"/>
          <w:szCs w:val="20"/>
          <w:lang w:val="en-US"/>
        </w:rPr>
        <w:t xml:space="preserve">2. When a corporate action has been processed, a CSD shall </w:t>
      </w:r>
      <w:r w:rsidRPr="00E121CC">
        <w:rPr>
          <w:rFonts w:ascii="Arial" w:hAnsi="Arial" w:cs="Arial"/>
          <w:i/>
          <w:strike/>
          <w:sz w:val="20"/>
          <w:szCs w:val="20"/>
          <w:lang w:val="en-US"/>
        </w:rPr>
        <w:t>perform an additional reconciliation ensuring</w:t>
      </w:r>
      <w:r w:rsidRPr="00E121CC">
        <w:rPr>
          <w:rFonts w:ascii="Arial" w:hAnsi="Arial" w:cs="Arial"/>
          <w:i/>
          <w:sz w:val="20"/>
          <w:szCs w:val="20"/>
          <w:lang w:val="en-US"/>
        </w:rPr>
        <w:t xml:space="preserve"> </w:t>
      </w:r>
      <w:r w:rsidRPr="00E121CC">
        <w:rPr>
          <w:rFonts w:ascii="Arial" w:hAnsi="Arial" w:cs="Arial"/>
          <w:i/>
          <w:sz w:val="20"/>
          <w:szCs w:val="20"/>
          <w:u w:val="single"/>
          <w:lang w:val="en-US"/>
        </w:rPr>
        <w:t>ensure</w:t>
      </w:r>
      <w:r w:rsidRPr="00E121CC">
        <w:rPr>
          <w:rFonts w:ascii="Arial" w:hAnsi="Arial" w:cs="Arial"/>
          <w:i/>
          <w:sz w:val="20"/>
          <w:szCs w:val="20"/>
          <w:lang w:val="en-US"/>
        </w:rPr>
        <w:t xml:space="preserve"> that all securities accounts </w:t>
      </w:r>
      <w:r w:rsidRPr="00E121CC">
        <w:rPr>
          <w:rFonts w:ascii="Arial" w:hAnsi="Arial" w:cs="Arial"/>
          <w:i/>
          <w:sz w:val="20"/>
          <w:szCs w:val="20"/>
          <w:u w:val="single"/>
          <w:lang w:val="en-US"/>
        </w:rPr>
        <w:t xml:space="preserve">provided </w:t>
      </w:r>
      <w:r w:rsidRPr="00E121CC">
        <w:rPr>
          <w:rFonts w:ascii="Arial" w:hAnsi="Arial" w:cs="Arial"/>
          <w:i/>
          <w:strike/>
          <w:sz w:val="20"/>
          <w:szCs w:val="20"/>
          <w:lang w:val="en-US"/>
        </w:rPr>
        <w:t>maintained</w:t>
      </w:r>
      <w:r w:rsidRPr="00E121CC">
        <w:rPr>
          <w:rFonts w:ascii="Arial" w:hAnsi="Arial" w:cs="Arial"/>
          <w:i/>
          <w:sz w:val="20"/>
          <w:szCs w:val="20"/>
          <w:lang w:val="en-US"/>
        </w:rPr>
        <w:t xml:space="preserve"> by the CSD are updated correctly.</w:t>
      </w:r>
      <w:r>
        <w:rPr>
          <w:rFonts w:ascii="Arial" w:hAnsi="Arial" w:cs="Arial"/>
          <w:i/>
          <w:sz w:val="20"/>
          <w:szCs w:val="20"/>
          <w:lang w:val="en-US"/>
        </w:rPr>
        <w:t>”</w:t>
      </w:r>
    </w:p>
    <w:permEnd w:id="1649700239"/>
    <w:p w:rsidR="00252063" w:rsidRDefault="00252063" w:rsidP="00252063">
      <w:r>
        <w:t>&lt;ESMA_QUESTION_TS_CSDR_27&gt;</w:t>
      </w:r>
    </w:p>
    <w:p w:rsidR="00F1314C" w:rsidRPr="00F1314C" w:rsidRDefault="00F1314C" w:rsidP="00F1314C"/>
    <w:p w:rsidR="00D12AFD" w:rsidRPr="002C4F00" w:rsidRDefault="00D12AFD" w:rsidP="00965B03">
      <w:pPr>
        <w:pStyle w:val="Heading5"/>
        <w:ind w:left="567" w:hanging="567"/>
      </w:pPr>
      <w:r w:rsidRPr="00C8467F">
        <w:t>What are your views on the proposed draft RTS on CSD operational risks included in Chapter VI of Annex III?</w:t>
      </w:r>
    </w:p>
    <w:p w:rsidR="00D12AFD" w:rsidRDefault="00D12AFD" w:rsidP="00D12AFD"/>
    <w:p w:rsidR="00D12AFD" w:rsidRDefault="00D12AFD" w:rsidP="00D12AFD">
      <w:r>
        <w:lastRenderedPageBreak/>
        <w:t>&lt;ESMA_QUESTION_TS_CSDR_2</w:t>
      </w:r>
      <w:r w:rsidR="00252063">
        <w:t>8</w:t>
      </w:r>
      <w:r>
        <w:t>&gt;</w:t>
      </w:r>
    </w:p>
    <w:p w:rsidR="00EB2760" w:rsidRDefault="00EB2760" w:rsidP="00D12AFD">
      <w:pPr>
        <w:rPr>
          <w:rFonts w:cs="Arial"/>
          <w:sz w:val="20"/>
          <w:szCs w:val="20"/>
        </w:rPr>
      </w:pPr>
      <w:permStart w:id="1093010096" w:edGrp="everyone"/>
      <w:r w:rsidRPr="00EE4E11">
        <w:rPr>
          <w:rFonts w:cs="Arial"/>
          <w:sz w:val="20"/>
          <w:szCs w:val="20"/>
        </w:rPr>
        <w:t>The T2S Advisory Group (AG) considers the scope of this question as not directly relevant for T2S.</w:t>
      </w:r>
    </w:p>
    <w:permEnd w:id="1093010096"/>
    <w:p w:rsidR="00D12AFD" w:rsidRDefault="00D12AFD" w:rsidP="00D12AFD">
      <w:r>
        <w:t>&lt;ESMA_QUESTION_TS_CSDR_2</w:t>
      </w:r>
      <w:r w:rsidR="00252063">
        <w:t>8</w:t>
      </w:r>
      <w:r>
        <w:t>&gt;</w:t>
      </w:r>
    </w:p>
    <w:p w:rsidR="00D12AFD" w:rsidRPr="002C4F00" w:rsidRDefault="00D12AFD" w:rsidP="00965B03">
      <w:pPr>
        <w:pStyle w:val="Heading5"/>
        <w:ind w:left="567" w:hanging="567"/>
      </w:pPr>
      <w:r w:rsidRPr="00C8467F">
        <w:t>What are your views on the proposed draft RTS on CSD investment policy (Chapter VII of Annex III)?</w:t>
      </w:r>
    </w:p>
    <w:p w:rsidR="00D12AFD" w:rsidRDefault="00D12AFD" w:rsidP="00D12AFD"/>
    <w:p w:rsidR="00D12AFD" w:rsidRDefault="00D12AFD" w:rsidP="00D12AFD">
      <w:r>
        <w:t>&lt;ESMA_QUESTION_TS_CSDR_2</w:t>
      </w:r>
      <w:r w:rsidR="00252063">
        <w:t>9</w:t>
      </w:r>
      <w:r>
        <w:t>&gt;</w:t>
      </w:r>
    </w:p>
    <w:p w:rsidR="00EB2760" w:rsidRDefault="00EB2760" w:rsidP="00D12AFD">
      <w:pPr>
        <w:rPr>
          <w:rFonts w:cs="Arial"/>
          <w:sz w:val="20"/>
          <w:szCs w:val="20"/>
        </w:rPr>
      </w:pPr>
      <w:permStart w:id="1463713482" w:edGrp="everyone"/>
      <w:r w:rsidRPr="00EE4E11">
        <w:rPr>
          <w:rFonts w:cs="Arial"/>
          <w:sz w:val="20"/>
          <w:szCs w:val="20"/>
        </w:rPr>
        <w:t>The T2S Advisory Group (AG) considers the scope of this question as not directly relevant for T2S.</w:t>
      </w:r>
    </w:p>
    <w:permEnd w:id="1463713482"/>
    <w:p w:rsidR="00D12AFD" w:rsidRDefault="00D12AFD" w:rsidP="00D12AFD">
      <w:r>
        <w:t>&lt;ESMA_QUESTION_TS_CSDR_2</w:t>
      </w:r>
      <w:r w:rsidR="00252063">
        <w:t>9</w:t>
      </w:r>
      <w:r>
        <w:t>&gt;</w:t>
      </w:r>
    </w:p>
    <w:p w:rsidR="00D12AFD" w:rsidRPr="002C4F00" w:rsidRDefault="00D12AFD" w:rsidP="00965B03">
      <w:pPr>
        <w:pStyle w:val="Heading5"/>
        <w:ind w:left="567" w:hanging="567"/>
      </w:pPr>
      <w:r w:rsidRPr="002C4F00">
        <w:t>What are your views on the proposed draft RTS on access (Chapters I-III of Annex IV) and draft ITS on access (Annex VIII)?</w:t>
      </w:r>
    </w:p>
    <w:p w:rsidR="00D12AFD" w:rsidRDefault="00D12AFD" w:rsidP="00D12AFD"/>
    <w:p w:rsidR="00D12AFD" w:rsidRDefault="00D12AFD" w:rsidP="00D12AFD">
      <w:r>
        <w:t>&lt;ESMA_QUESTION_TS_CSDR_</w:t>
      </w:r>
      <w:r w:rsidR="00252063">
        <w:t>30</w:t>
      </w:r>
      <w:r>
        <w:t>&gt;</w:t>
      </w:r>
    </w:p>
    <w:p w:rsidR="00EB2760" w:rsidRDefault="00EB2760" w:rsidP="00D12AFD">
      <w:pPr>
        <w:rPr>
          <w:rFonts w:cs="Arial"/>
          <w:sz w:val="20"/>
          <w:szCs w:val="20"/>
        </w:rPr>
      </w:pPr>
      <w:permStart w:id="138756039" w:edGrp="everyone"/>
      <w:r w:rsidRPr="00EE4E11">
        <w:rPr>
          <w:rFonts w:cs="Arial"/>
          <w:sz w:val="20"/>
          <w:szCs w:val="20"/>
        </w:rPr>
        <w:t>The T2S Advisory Group (AG) considers the scope of this question as not directly relevant for T2S.</w:t>
      </w:r>
    </w:p>
    <w:permEnd w:id="138756039"/>
    <w:p w:rsidR="00D12AFD" w:rsidRDefault="00D12AFD" w:rsidP="00D12AFD">
      <w:r>
        <w:t>&lt;ESMA_QUESTION_TS_CSDR_</w:t>
      </w:r>
      <w:r w:rsidR="00252063">
        <w:t>30</w:t>
      </w:r>
      <w:r>
        <w:t>&gt;</w:t>
      </w:r>
    </w:p>
    <w:p w:rsidR="00D12AFD" w:rsidRPr="002C4F00" w:rsidRDefault="00D12AFD" w:rsidP="00965B03">
      <w:pPr>
        <w:pStyle w:val="Heading5"/>
        <w:ind w:left="567" w:hanging="567"/>
      </w:pPr>
      <w:r w:rsidRPr="002C4F00">
        <w:t>What are your views on the proposed draft RTS on CSD links as included in Chapter IV of Annex IV?</w:t>
      </w:r>
    </w:p>
    <w:p w:rsidR="00D12AFD" w:rsidRDefault="00D12AFD" w:rsidP="00D12AFD"/>
    <w:p w:rsidR="00D12AFD" w:rsidRDefault="00D12AFD" w:rsidP="00D12AFD">
      <w:r>
        <w:t>&lt;ESMA_QUESTION_TS_CSDR_3</w:t>
      </w:r>
      <w:r w:rsidR="00252063">
        <w:t>1</w:t>
      </w:r>
      <w:r>
        <w:t>&gt;</w:t>
      </w:r>
    </w:p>
    <w:p w:rsidR="00312EC9" w:rsidRDefault="00312EC9" w:rsidP="00312EC9">
      <w:pPr>
        <w:pStyle w:val="NoSpacing"/>
        <w:rPr>
          <w:rFonts w:ascii="Arial" w:hAnsi="Arial" w:cs="Arial"/>
          <w:b/>
          <w:sz w:val="20"/>
          <w:szCs w:val="20"/>
          <w:u w:val="single"/>
        </w:rPr>
      </w:pPr>
      <w:permStart w:id="1251082287" w:edGrp="everyone"/>
      <w:r w:rsidRPr="00125F74">
        <w:rPr>
          <w:rFonts w:ascii="Arial" w:hAnsi="Arial" w:cs="Arial"/>
          <w:b/>
          <w:sz w:val="20"/>
          <w:szCs w:val="20"/>
          <w:u w:val="single"/>
        </w:rPr>
        <w:t>AG response to Q31</w:t>
      </w:r>
    </w:p>
    <w:p w:rsidR="00312EC9" w:rsidRDefault="00312EC9" w:rsidP="00312EC9">
      <w:pPr>
        <w:pStyle w:val="NoSpacing"/>
        <w:rPr>
          <w:rFonts w:ascii="Arial" w:hAnsi="Arial" w:cs="Arial"/>
          <w:b/>
          <w:i/>
          <w:sz w:val="20"/>
          <w:szCs w:val="20"/>
        </w:rPr>
      </w:pPr>
      <w:r w:rsidRPr="00125F74">
        <w:rPr>
          <w:rFonts w:ascii="Arial" w:hAnsi="Arial" w:cs="Arial"/>
          <w:b/>
          <w:i/>
          <w:sz w:val="20"/>
          <w:szCs w:val="20"/>
        </w:rPr>
        <w:t>RTS Art. 6(4), Annex IV</w:t>
      </w:r>
    </w:p>
    <w:p w:rsidR="00312EC9" w:rsidRDefault="00312EC9" w:rsidP="00312EC9">
      <w:pPr>
        <w:pStyle w:val="NoSpacing"/>
        <w:rPr>
          <w:rFonts w:ascii="Arial" w:hAnsi="Arial" w:cs="Arial"/>
          <w:sz w:val="20"/>
          <w:szCs w:val="20"/>
        </w:rPr>
      </w:pPr>
      <w:r w:rsidRPr="00125F74">
        <w:rPr>
          <w:rFonts w:ascii="Arial" w:hAnsi="Arial" w:cs="Arial"/>
          <w:sz w:val="20"/>
          <w:szCs w:val="20"/>
        </w:rPr>
        <w:t>The AG invites ESMA to review the text of Article 6, paragraph 4. The AG believes that the current text needs revision or additional clarity with respect to the following matters:</w:t>
      </w:r>
    </w:p>
    <w:p w:rsidR="00312EC9" w:rsidRDefault="00312EC9" w:rsidP="00927D5F">
      <w:pPr>
        <w:pStyle w:val="NoSpacing"/>
        <w:numPr>
          <w:ilvl w:val="0"/>
          <w:numId w:val="46"/>
        </w:numPr>
        <w:rPr>
          <w:rFonts w:ascii="Arial" w:hAnsi="Arial" w:cs="Arial"/>
          <w:sz w:val="20"/>
          <w:szCs w:val="20"/>
        </w:rPr>
      </w:pPr>
      <w:r w:rsidRPr="00125F74">
        <w:rPr>
          <w:rFonts w:ascii="Arial" w:hAnsi="Arial" w:cs="Arial"/>
          <w:sz w:val="20"/>
          <w:szCs w:val="20"/>
        </w:rPr>
        <w:t xml:space="preserve">the text does not suitably distinguish between corporate actions on stocks (settled balances) and corporate actions on flows (pending transactions); the implied requirement for blocking settlement (i.e. </w:t>
      </w:r>
      <w:r w:rsidRPr="00125F74">
        <w:rPr>
          <w:rFonts w:ascii="Arial" w:hAnsi="Arial" w:cs="Arial"/>
          <w:i/>
          <w:sz w:val="20"/>
          <w:szCs w:val="20"/>
        </w:rPr>
        <w:t>s</w:t>
      </w:r>
      <w:r w:rsidRPr="00125F74">
        <w:rPr>
          <w:rFonts w:ascii="Arial" w:hAnsi="Arial" w:cs="Arial"/>
          <w:i/>
          <w:spacing w:val="-1"/>
          <w:sz w:val="20"/>
          <w:szCs w:val="20"/>
        </w:rPr>
        <w:t>e</w:t>
      </w:r>
      <w:r w:rsidRPr="00125F74">
        <w:rPr>
          <w:rFonts w:ascii="Arial" w:hAnsi="Arial" w:cs="Arial"/>
          <w:i/>
          <w:sz w:val="20"/>
          <w:szCs w:val="20"/>
        </w:rPr>
        <w:t>t</w:t>
      </w:r>
      <w:r w:rsidRPr="00125F74">
        <w:rPr>
          <w:rFonts w:ascii="Arial" w:hAnsi="Arial" w:cs="Arial"/>
          <w:i/>
          <w:spacing w:val="1"/>
          <w:sz w:val="20"/>
          <w:szCs w:val="20"/>
        </w:rPr>
        <w:t>t</w:t>
      </w:r>
      <w:r w:rsidRPr="00125F74">
        <w:rPr>
          <w:rFonts w:ascii="Arial" w:hAnsi="Arial" w:cs="Arial"/>
          <w:i/>
          <w:sz w:val="20"/>
          <w:szCs w:val="20"/>
        </w:rPr>
        <w:t>lem</w:t>
      </w:r>
      <w:r w:rsidRPr="00125F74">
        <w:rPr>
          <w:rFonts w:ascii="Arial" w:hAnsi="Arial" w:cs="Arial"/>
          <w:i/>
          <w:spacing w:val="-1"/>
          <w:sz w:val="20"/>
          <w:szCs w:val="20"/>
        </w:rPr>
        <w:t>e</w:t>
      </w:r>
      <w:r w:rsidRPr="00125F74">
        <w:rPr>
          <w:rFonts w:ascii="Arial" w:hAnsi="Arial" w:cs="Arial"/>
          <w:i/>
          <w:sz w:val="20"/>
          <w:szCs w:val="20"/>
        </w:rPr>
        <w:t>nt</w:t>
      </w:r>
      <w:r w:rsidRPr="00125F74">
        <w:rPr>
          <w:rFonts w:ascii="Arial" w:hAnsi="Arial" w:cs="Arial"/>
          <w:i/>
          <w:spacing w:val="8"/>
          <w:sz w:val="20"/>
          <w:szCs w:val="20"/>
        </w:rPr>
        <w:t xml:space="preserve"> </w:t>
      </w:r>
      <w:r w:rsidRPr="00125F74">
        <w:rPr>
          <w:rFonts w:ascii="Arial" w:hAnsi="Arial" w:cs="Arial"/>
          <w:i/>
          <w:spacing w:val="2"/>
          <w:sz w:val="20"/>
          <w:szCs w:val="20"/>
        </w:rPr>
        <w:t>b</w:t>
      </w:r>
      <w:r w:rsidRPr="00125F74">
        <w:rPr>
          <w:rFonts w:ascii="Arial" w:hAnsi="Arial" w:cs="Arial"/>
          <w:i/>
          <w:sz w:val="20"/>
          <w:szCs w:val="20"/>
        </w:rPr>
        <w:t>y the</w:t>
      </w:r>
      <w:r w:rsidRPr="00125F74">
        <w:rPr>
          <w:rFonts w:ascii="Arial" w:hAnsi="Arial" w:cs="Arial"/>
          <w:i/>
          <w:spacing w:val="7"/>
          <w:sz w:val="20"/>
          <w:szCs w:val="20"/>
        </w:rPr>
        <w:t xml:space="preserve"> </w:t>
      </w:r>
      <w:r w:rsidRPr="00125F74">
        <w:rPr>
          <w:rFonts w:ascii="Arial" w:hAnsi="Arial" w:cs="Arial"/>
          <w:i/>
          <w:spacing w:val="1"/>
          <w:sz w:val="20"/>
          <w:szCs w:val="20"/>
        </w:rPr>
        <w:t>f</w:t>
      </w:r>
      <w:r w:rsidRPr="00125F74">
        <w:rPr>
          <w:rFonts w:ascii="Arial" w:hAnsi="Arial" w:cs="Arial"/>
          <w:i/>
          <w:sz w:val="20"/>
          <w:szCs w:val="20"/>
        </w:rPr>
        <w:t>o</w:t>
      </w:r>
      <w:r w:rsidRPr="00125F74">
        <w:rPr>
          <w:rFonts w:ascii="Arial" w:hAnsi="Arial" w:cs="Arial"/>
          <w:i/>
          <w:spacing w:val="-1"/>
          <w:sz w:val="20"/>
          <w:szCs w:val="20"/>
        </w:rPr>
        <w:t>r</w:t>
      </w:r>
      <w:r w:rsidRPr="00125F74">
        <w:rPr>
          <w:rFonts w:ascii="Arial" w:hAnsi="Arial" w:cs="Arial"/>
          <w:i/>
          <w:sz w:val="20"/>
          <w:szCs w:val="20"/>
        </w:rPr>
        <w:t>mer</w:t>
      </w:r>
      <w:r w:rsidRPr="00125F74">
        <w:rPr>
          <w:rFonts w:ascii="Arial" w:hAnsi="Arial" w:cs="Arial"/>
          <w:i/>
          <w:spacing w:val="6"/>
          <w:sz w:val="20"/>
          <w:szCs w:val="20"/>
        </w:rPr>
        <w:t xml:space="preserve"> </w:t>
      </w:r>
      <w:r w:rsidRPr="00125F74">
        <w:rPr>
          <w:rFonts w:ascii="Arial" w:hAnsi="Arial" w:cs="Arial"/>
          <w:i/>
          <w:sz w:val="20"/>
          <w:szCs w:val="20"/>
        </w:rPr>
        <w:t>C</w:t>
      </w:r>
      <w:r w:rsidRPr="00125F74">
        <w:rPr>
          <w:rFonts w:ascii="Arial" w:hAnsi="Arial" w:cs="Arial"/>
          <w:i/>
          <w:spacing w:val="1"/>
          <w:sz w:val="20"/>
          <w:szCs w:val="20"/>
        </w:rPr>
        <w:t>S</w:t>
      </w:r>
      <w:r w:rsidRPr="00125F74">
        <w:rPr>
          <w:rFonts w:ascii="Arial" w:hAnsi="Arial" w:cs="Arial"/>
          <w:i/>
          <w:sz w:val="20"/>
          <w:szCs w:val="20"/>
        </w:rPr>
        <w:t>D</w:t>
      </w:r>
      <w:r w:rsidRPr="00125F74">
        <w:rPr>
          <w:rFonts w:ascii="Arial" w:hAnsi="Arial" w:cs="Arial"/>
          <w:i/>
          <w:spacing w:val="7"/>
          <w:sz w:val="20"/>
          <w:szCs w:val="20"/>
        </w:rPr>
        <w:t xml:space="preserve"> </w:t>
      </w:r>
      <w:r w:rsidRPr="00125F74">
        <w:rPr>
          <w:rFonts w:ascii="Arial" w:hAnsi="Arial" w:cs="Arial"/>
          <w:i/>
          <w:sz w:val="20"/>
          <w:szCs w:val="20"/>
        </w:rPr>
        <w:t>in</w:t>
      </w:r>
      <w:r w:rsidRPr="00125F74">
        <w:rPr>
          <w:rFonts w:ascii="Arial" w:hAnsi="Arial" w:cs="Arial"/>
          <w:i/>
          <w:spacing w:val="8"/>
          <w:sz w:val="20"/>
          <w:szCs w:val="20"/>
        </w:rPr>
        <w:t xml:space="preserve"> </w:t>
      </w:r>
      <w:r w:rsidRPr="00125F74">
        <w:rPr>
          <w:rFonts w:ascii="Arial" w:hAnsi="Arial" w:cs="Arial"/>
          <w:i/>
          <w:sz w:val="20"/>
          <w:szCs w:val="20"/>
        </w:rPr>
        <w:t>the</w:t>
      </w:r>
      <w:r w:rsidRPr="00125F74">
        <w:rPr>
          <w:rFonts w:ascii="Arial" w:hAnsi="Arial" w:cs="Arial"/>
          <w:i/>
          <w:spacing w:val="7"/>
          <w:sz w:val="20"/>
          <w:szCs w:val="20"/>
        </w:rPr>
        <w:t xml:space="preserve"> </w:t>
      </w:r>
      <w:r w:rsidRPr="00125F74">
        <w:rPr>
          <w:rFonts w:ascii="Arial" w:hAnsi="Arial" w:cs="Arial"/>
          <w:i/>
          <w:sz w:val="20"/>
          <w:szCs w:val="20"/>
        </w:rPr>
        <w:t>r</w:t>
      </w:r>
      <w:r w:rsidRPr="00125F74">
        <w:rPr>
          <w:rFonts w:ascii="Arial" w:hAnsi="Arial" w:cs="Arial"/>
          <w:i/>
          <w:spacing w:val="-2"/>
          <w:sz w:val="20"/>
          <w:szCs w:val="20"/>
        </w:rPr>
        <w:t>e</w:t>
      </w:r>
      <w:r w:rsidRPr="00125F74">
        <w:rPr>
          <w:rFonts w:ascii="Arial" w:hAnsi="Arial" w:cs="Arial"/>
          <w:i/>
          <w:sz w:val="20"/>
          <w:szCs w:val="20"/>
        </w:rPr>
        <w:t>lev</w:t>
      </w:r>
      <w:r w:rsidRPr="00125F74">
        <w:rPr>
          <w:rFonts w:ascii="Arial" w:hAnsi="Arial" w:cs="Arial"/>
          <w:i/>
          <w:spacing w:val="1"/>
          <w:sz w:val="20"/>
          <w:szCs w:val="20"/>
        </w:rPr>
        <w:t>a</w:t>
      </w:r>
      <w:r w:rsidRPr="00125F74">
        <w:rPr>
          <w:rFonts w:ascii="Arial" w:hAnsi="Arial" w:cs="Arial"/>
          <w:i/>
          <w:sz w:val="20"/>
          <w:szCs w:val="20"/>
        </w:rPr>
        <w:t>nt</w:t>
      </w:r>
      <w:r w:rsidRPr="00125F74">
        <w:rPr>
          <w:rFonts w:ascii="Arial" w:hAnsi="Arial" w:cs="Arial"/>
          <w:i/>
          <w:spacing w:val="8"/>
          <w:sz w:val="20"/>
          <w:szCs w:val="20"/>
        </w:rPr>
        <w:t xml:space="preserve"> </w:t>
      </w:r>
      <w:r w:rsidRPr="00125F74">
        <w:rPr>
          <w:rFonts w:ascii="Arial" w:hAnsi="Arial" w:cs="Arial"/>
          <w:i/>
          <w:sz w:val="20"/>
          <w:szCs w:val="20"/>
        </w:rPr>
        <w:t>s</w:t>
      </w:r>
      <w:r w:rsidRPr="00125F74">
        <w:rPr>
          <w:rFonts w:ascii="Arial" w:hAnsi="Arial" w:cs="Arial"/>
          <w:i/>
          <w:spacing w:val="-1"/>
          <w:sz w:val="20"/>
          <w:szCs w:val="20"/>
        </w:rPr>
        <w:t>ec</w:t>
      </w:r>
      <w:r w:rsidRPr="00125F74">
        <w:rPr>
          <w:rFonts w:ascii="Arial" w:hAnsi="Arial" w:cs="Arial"/>
          <w:i/>
          <w:sz w:val="20"/>
          <w:szCs w:val="20"/>
        </w:rPr>
        <w:t>u</w:t>
      </w:r>
      <w:r w:rsidRPr="00125F74">
        <w:rPr>
          <w:rFonts w:ascii="Arial" w:hAnsi="Arial" w:cs="Arial"/>
          <w:i/>
          <w:spacing w:val="-1"/>
          <w:sz w:val="20"/>
          <w:szCs w:val="20"/>
        </w:rPr>
        <w:t>r</w:t>
      </w:r>
      <w:r w:rsidRPr="00125F74">
        <w:rPr>
          <w:rFonts w:ascii="Arial" w:hAnsi="Arial" w:cs="Arial"/>
          <w:i/>
          <w:sz w:val="20"/>
          <w:szCs w:val="20"/>
        </w:rPr>
        <w:t>i</w:t>
      </w:r>
      <w:r w:rsidRPr="00125F74">
        <w:rPr>
          <w:rFonts w:ascii="Arial" w:hAnsi="Arial" w:cs="Arial"/>
          <w:i/>
          <w:spacing w:val="1"/>
          <w:sz w:val="20"/>
          <w:szCs w:val="20"/>
        </w:rPr>
        <w:t>t</w:t>
      </w:r>
      <w:r w:rsidRPr="00125F74">
        <w:rPr>
          <w:rFonts w:ascii="Arial" w:hAnsi="Arial" w:cs="Arial"/>
          <w:i/>
          <w:sz w:val="20"/>
          <w:szCs w:val="20"/>
        </w:rPr>
        <w:t>ies</w:t>
      </w:r>
      <w:r w:rsidRPr="00125F74">
        <w:rPr>
          <w:rFonts w:ascii="Arial" w:hAnsi="Arial" w:cs="Arial"/>
          <w:i/>
          <w:spacing w:val="7"/>
          <w:sz w:val="20"/>
          <w:szCs w:val="20"/>
        </w:rPr>
        <w:t xml:space="preserve"> </w:t>
      </w:r>
      <w:r w:rsidRPr="00125F74">
        <w:rPr>
          <w:rFonts w:ascii="Arial" w:hAnsi="Arial" w:cs="Arial"/>
          <w:i/>
          <w:sz w:val="20"/>
          <w:szCs w:val="20"/>
        </w:rPr>
        <w:t>is</w:t>
      </w:r>
      <w:r w:rsidRPr="00125F74">
        <w:rPr>
          <w:rFonts w:ascii="Arial" w:hAnsi="Arial" w:cs="Arial"/>
          <w:i/>
          <w:spacing w:val="1"/>
          <w:sz w:val="20"/>
          <w:szCs w:val="20"/>
        </w:rPr>
        <w:t>s</w:t>
      </w:r>
      <w:r w:rsidRPr="00125F74">
        <w:rPr>
          <w:rFonts w:ascii="Arial" w:hAnsi="Arial" w:cs="Arial"/>
          <w:i/>
          <w:sz w:val="20"/>
          <w:szCs w:val="20"/>
        </w:rPr>
        <w:t>u</w:t>
      </w:r>
      <w:r w:rsidRPr="00125F74">
        <w:rPr>
          <w:rFonts w:ascii="Arial" w:hAnsi="Arial" w:cs="Arial"/>
          <w:i/>
          <w:spacing w:val="-1"/>
          <w:sz w:val="20"/>
          <w:szCs w:val="20"/>
        </w:rPr>
        <w:t>e</w:t>
      </w:r>
      <w:r w:rsidRPr="00125F74">
        <w:rPr>
          <w:rFonts w:ascii="Arial" w:hAnsi="Arial" w:cs="Arial"/>
          <w:i/>
          <w:sz w:val="20"/>
          <w:szCs w:val="20"/>
        </w:rPr>
        <w:t xml:space="preserve">s </w:t>
      </w:r>
      <w:r w:rsidRPr="00125F74">
        <w:rPr>
          <w:rFonts w:ascii="Arial" w:hAnsi="Arial" w:cs="Arial"/>
          <w:i/>
          <w:sz w:val="20"/>
          <w:szCs w:val="20"/>
          <w:u w:val="single"/>
        </w:rPr>
        <w:t xml:space="preserve">shall not </w:t>
      </w:r>
      <w:r w:rsidRPr="00125F74">
        <w:rPr>
          <w:rFonts w:ascii="Arial" w:hAnsi="Arial" w:cs="Arial"/>
          <w:i/>
          <w:spacing w:val="-1"/>
          <w:sz w:val="20"/>
          <w:szCs w:val="20"/>
          <w:u w:val="single"/>
        </w:rPr>
        <w:t>c</w:t>
      </w:r>
      <w:r w:rsidRPr="00125F74">
        <w:rPr>
          <w:rFonts w:ascii="Arial" w:hAnsi="Arial" w:cs="Arial"/>
          <w:i/>
          <w:sz w:val="20"/>
          <w:szCs w:val="20"/>
          <w:u w:val="single"/>
        </w:rPr>
        <w:t>om</w:t>
      </w:r>
      <w:r w:rsidRPr="00125F74">
        <w:rPr>
          <w:rFonts w:ascii="Arial" w:hAnsi="Arial" w:cs="Arial"/>
          <w:i/>
          <w:spacing w:val="1"/>
          <w:sz w:val="20"/>
          <w:szCs w:val="20"/>
          <w:u w:val="single"/>
        </w:rPr>
        <w:t>m</w:t>
      </w:r>
      <w:r w:rsidRPr="00125F74">
        <w:rPr>
          <w:rFonts w:ascii="Arial" w:hAnsi="Arial" w:cs="Arial"/>
          <w:i/>
          <w:spacing w:val="-1"/>
          <w:sz w:val="20"/>
          <w:szCs w:val="20"/>
          <w:u w:val="single"/>
        </w:rPr>
        <w:t>e</w:t>
      </w:r>
      <w:r w:rsidRPr="00125F74">
        <w:rPr>
          <w:rFonts w:ascii="Arial" w:hAnsi="Arial" w:cs="Arial"/>
          <w:i/>
          <w:sz w:val="20"/>
          <w:szCs w:val="20"/>
          <w:u w:val="single"/>
        </w:rPr>
        <w:t>n</w:t>
      </w:r>
      <w:r w:rsidRPr="00125F74">
        <w:rPr>
          <w:rFonts w:ascii="Arial" w:hAnsi="Arial" w:cs="Arial"/>
          <w:i/>
          <w:spacing w:val="-1"/>
          <w:sz w:val="20"/>
          <w:szCs w:val="20"/>
          <w:u w:val="single"/>
        </w:rPr>
        <w:t>c</w:t>
      </w:r>
      <w:r w:rsidRPr="00125F74">
        <w:rPr>
          <w:rFonts w:ascii="Arial" w:hAnsi="Arial" w:cs="Arial"/>
          <w:i/>
          <w:sz w:val="20"/>
          <w:szCs w:val="20"/>
          <w:u w:val="single"/>
        </w:rPr>
        <w:t>e</w:t>
      </w:r>
      <w:r w:rsidRPr="00125F74">
        <w:rPr>
          <w:rFonts w:ascii="Arial" w:hAnsi="Arial" w:cs="Arial"/>
          <w:i/>
          <w:spacing w:val="-1"/>
          <w:sz w:val="20"/>
          <w:szCs w:val="20"/>
        </w:rPr>
        <w:t xml:space="preserve"> </w:t>
      </w:r>
      <w:r w:rsidRPr="00125F74">
        <w:rPr>
          <w:rFonts w:ascii="Arial" w:hAnsi="Arial" w:cs="Arial"/>
          <w:i/>
          <w:sz w:val="20"/>
          <w:szCs w:val="20"/>
        </w:rPr>
        <w:t>unt</w:t>
      </w:r>
      <w:r w:rsidRPr="00125F74">
        <w:rPr>
          <w:rFonts w:ascii="Arial" w:hAnsi="Arial" w:cs="Arial"/>
          <w:i/>
          <w:spacing w:val="1"/>
          <w:sz w:val="20"/>
          <w:szCs w:val="20"/>
        </w:rPr>
        <w:t>i</w:t>
      </w:r>
      <w:r w:rsidRPr="00125F74">
        <w:rPr>
          <w:rFonts w:ascii="Arial" w:hAnsi="Arial" w:cs="Arial"/>
          <w:i/>
          <w:sz w:val="20"/>
          <w:szCs w:val="20"/>
        </w:rPr>
        <w:t xml:space="preserve">l </w:t>
      </w:r>
      <w:r w:rsidRPr="00125F74">
        <w:rPr>
          <w:rFonts w:ascii="Arial" w:hAnsi="Arial" w:cs="Arial"/>
          <w:i/>
          <w:spacing w:val="1"/>
          <w:sz w:val="20"/>
          <w:szCs w:val="20"/>
        </w:rPr>
        <w:t>t</w:t>
      </w:r>
      <w:r w:rsidRPr="00125F74">
        <w:rPr>
          <w:rFonts w:ascii="Arial" w:hAnsi="Arial" w:cs="Arial"/>
          <w:i/>
          <w:sz w:val="20"/>
          <w:szCs w:val="20"/>
        </w:rPr>
        <w:t>he</w:t>
      </w:r>
      <w:r w:rsidRPr="00125F74">
        <w:rPr>
          <w:rFonts w:ascii="Arial" w:hAnsi="Arial" w:cs="Arial"/>
          <w:i/>
          <w:spacing w:val="-1"/>
          <w:sz w:val="20"/>
          <w:szCs w:val="20"/>
        </w:rPr>
        <w:t xml:space="preserve"> c</w:t>
      </w:r>
      <w:r w:rsidRPr="00125F74">
        <w:rPr>
          <w:rFonts w:ascii="Arial" w:hAnsi="Arial" w:cs="Arial"/>
          <w:i/>
          <w:sz w:val="20"/>
          <w:szCs w:val="20"/>
        </w:rPr>
        <w:t>o</w:t>
      </w:r>
      <w:r w:rsidRPr="00125F74">
        <w:rPr>
          <w:rFonts w:ascii="Arial" w:hAnsi="Arial" w:cs="Arial"/>
          <w:i/>
          <w:spacing w:val="-1"/>
          <w:sz w:val="20"/>
          <w:szCs w:val="20"/>
        </w:rPr>
        <w:t>r</w:t>
      </w:r>
      <w:r w:rsidRPr="00125F74">
        <w:rPr>
          <w:rFonts w:ascii="Arial" w:hAnsi="Arial" w:cs="Arial"/>
          <w:i/>
          <w:sz w:val="20"/>
          <w:szCs w:val="20"/>
        </w:rPr>
        <w:t>po</w:t>
      </w:r>
      <w:r w:rsidRPr="00125F74">
        <w:rPr>
          <w:rFonts w:ascii="Arial" w:hAnsi="Arial" w:cs="Arial"/>
          <w:i/>
          <w:spacing w:val="1"/>
          <w:sz w:val="20"/>
          <w:szCs w:val="20"/>
        </w:rPr>
        <w:t>r</w:t>
      </w:r>
      <w:r w:rsidRPr="00125F74">
        <w:rPr>
          <w:rFonts w:ascii="Arial" w:hAnsi="Arial" w:cs="Arial"/>
          <w:i/>
          <w:spacing w:val="-1"/>
          <w:sz w:val="20"/>
          <w:szCs w:val="20"/>
        </w:rPr>
        <w:t>a</w:t>
      </w:r>
      <w:r w:rsidRPr="00125F74">
        <w:rPr>
          <w:rFonts w:ascii="Arial" w:hAnsi="Arial" w:cs="Arial"/>
          <w:i/>
          <w:sz w:val="20"/>
          <w:szCs w:val="20"/>
        </w:rPr>
        <w:t xml:space="preserve">te </w:t>
      </w:r>
      <w:r w:rsidRPr="00125F74">
        <w:rPr>
          <w:rFonts w:ascii="Arial" w:hAnsi="Arial" w:cs="Arial"/>
          <w:i/>
          <w:spacing w:val="1"/>
          <w:sz w:val="20"/>
          <w:szCs w:val="20"/>
        </w:rPr>
        <w:t>a</w:t>
      </w:r>
      <w:r w:rsidRPr="00125F74">
        <w:rPr>
          <w:rFonts w:ascii="Arial" w:hAnsi="Arial" w:cs="Arial"/>
          <w:i/>
          <w:spacing w:val="-1"/>
          <w:sz w:val="20"/>
          <w:szCs w:val="20"/>
        </w:rPr>
        <w:t>c</w:t>
      </w:r>
      <w:r w:rsidRPr="00125F74">
        <w:rPr>
          <w:rFonts w:ascii="Arial" w:hAnsi="Arial" w:cs="Arial"/>
          <w:i/>
          <w:sz w:val="20"/>
          <w:szCs w:val="20"/>
        </w:rPr>
        <w:t>t</w:t>
      </w:r>
      <w:r w:rsidRPr="00125F74">
        <w:rPr>
          <w:rFonts w:ascii="Arial" w:hAnsi="Arial" w:cs="Arial"/>
          <w:i/>
          <w:spacing w:val="1"/>
          <w:sz w:val="20"/>
          <w:szCs w:val="20"/>
        </w:rPr>
        <w:t>i</w:t>
      </w:r>
      <w:r w:rsidRPr="00125F74">
        <w:rPr>
          <w:rFonts w:ascii="Arial" w:hAnsi="Arial" w:cs="Arial"/>
          <w:i/>
          <w:sz w:val="20"/>
          <w:szCs w:val="20"/>
        </w:rPr>
        <w:t>on h</w:t>
      </w:r>
      <w:r w:rsidRPr="00125F74">
        <w:rPr>
          <w:rFonts w:ascii="Arial" w:hAnsi="Arial" w:cs="Arial"/>
          <w:i/>
          <w:spacing w:val="-1"/>
          <w:sz w:val="20"/>
          <w:szCs w:val="20"/>
        </w:rPr>
        <w:t>a</w:t>
      </w:r>
      <w:r w:rsidRPr="00125F74">
        <w:rPr>
          <w:rFonts w:ascii="Arial" w:hAnsi="Arial" w:cs="Arial"/>
          <w:i/>
          <w:sz w:val="20"/>
          <w:szCs w:val="20"/>
        </w:rPr>
        <w:t>s be</w:t>
      </w:r>
      <w:r w:rsidRPr="00125F74">
        <w:rPr>
          <w:rFonts w:ascii="Arial" w:hAnsi="Arial" w:cs="Arial"/>
          <w:i/>
          <w:spacing w:val="-2"/>
          <w:sz w:val="20"/>
          <w:szCs w:val="20"/>
        </w:rPr>
        <w:t>e</w:t>
      </w:r>
      <w:r w:rsidRPr="00125F74">
        <w:rPr>
          <w:rFonts w:ascii="Arial" w:hAnsi="Arial" w:cs="Arial"/>
          <w:i/>
          <w:sz w:val="20"/>
          <w:szCs w:val="20"/>
        </w:rPr>
        <w:t>n ful</w:t>
      </w:r>
      <w:r w:rsidRPr="00125F74">
        <w:rPr>
          <w:rFonts w:ascii="Arial" w:hAnsi="Arial" w:cs="Arial"/>
          <w:i/>
          <w:spacing w:val="5"/>
          <w:sz w:val="20"/>
          <w:szCs w:val="20"/>
        </w:rPr>
        <w:t>l</w:t>
      </w:r>
      <w:r w:rsidRPr="00125F74">
        <w:rPr>
          <w:rFonts w:ascii="Arial" w:hAnsi="Arial" w:cs="Arial"/>
          <w:i/>
          <w:sz w:val="20"/>
          <w:szCs w:val="20"/>
        </w:rPr>
        <w:t>y</w:t>
      </w:r>
      <w:r w:rsidRPr="00125F74">
        <w:rPr>
          <w:rFonts w:ascii="Arial" w:hAnsi="Arial" w:cs="Arial"/>
          <w:i/>
          <w:spacing w:val="-5"/>
          <w:sz w:val="20"/>
          <w:szCs w:val="20"/>
        </w:rPr>
        <w:t xml:space="preserve"> </w:t>
      </w:r>
      <w:r w:rsidRPr="00125F74">
        <w:rPr>
          <w:rFonts w:ascii="Arial" w:hAnsi="Arial" w:cs="Arial"/>
          <w:i/>
          <w:sz w:val="20"/>
          <w:szCs w:val="20"/>
        </w:rPr>
        <w:t>proc</w:t>
      </w:r>
      <w:r w:rsidRPr="00125F74">
        <w:rPr>
          <w:rFonts w:ascii="Arial" w:hAnsi="Arial" w:cs="Arial"/>
          <w:i/>
          <w:spacing w:val="-1"/>
          <w:sz w:val="20"/>
          <w:szCs w:val="20"/>
        </w:rPr>
        <w:t>e</w:t>
      </w:r>
      <w:r w:rsidRPr="00125F74">
        <w:rPr>
          <w:rFonts w:ascii="Arial" w:hAnsi="Arial" w:cs="Arial"/>
          <w:i/>
          <w:sz w:val="20"/>
          <w:szCs w:val="20"/>
        </w:rPr>
        <w:t>ssed</w:t>
      </w:r>
      <w:r w:rsidRPr="00125F74">
        <w:rPr>
          <w:rFonts w:ascii="Arial" w:hAnsi="Arial" w:cs="Arial"/>
          <w:sz w:val="20"/>
          <w:szCs w:val="20"/>
        </w:rPr>
        <w:t>) relates to full processing of corporate actions on stocks, but does not relate to corporate actions on flows;</w:t>
      </w:r>
    </w:p>
    <w:p w:rsidR="00312EC9" w:rsidRDefault="00312EC9" w:rsidP="00927D5F">
      <w:pPr>
        <w:pStyle w:val="NoSpacing"/>
        <w:numPr>
          <w:ilvl w:val="0"/>
          <w:numId w:val="46"/>
        </w:numPr>
        <w:rPr>
          <w:rFonts w:ascii="Arial" w:hAnsi="Arial" w:cs="Arial"/>
          <w:sz w:val="20"/>
          <w:szCs w:val="20"/>
        </w:rPr>
      </w:pPr>
      <w:r w:rsidRPr="00125F74">
        <w:rPr>
          <w:rFonts w:ascii="Arial" w:hAnsi="Arial" w:cs="Arial"/>
          <w:sz w:val="20"/>
          <w:szCs w:val="20"/>
        </w:rPr>
        <w:t>the requirement for blocking of settlement in a particular investor CSD should be lifted once the corporate action on stocks has been fully processed in the investor CSD’s account provider; it is possible to read the current text as requiring that settlement should be blocked until all CSDs (i</w:t>
      </w:r>
      <w:r w:rsidRPr="00125F74">
        <w:rPr>
          <w:rFonts w:ascii="Arial" w:hAnsi="Arial" w:cs="Arial"/>
          <w:sz w:val="20"/>
          <w:szCs w:val="20"/>
        </w:rPr>
        <w:t>s</w:t>
      </w:r>
      <w:r w:rsidRPr="00125F74">
        <w:rPr>
          <w:rFonts w:ascii="Arial" w:hAnsi="Arial" w:cs="Arial"/>
          <w:sz w:val="20"/>
          <w:szCs w:val="20"/>
        </w:rPr>
        <w:t>suer CSD and all investor CSDs) have finished processing the corporate action on stocks;</w:t>
      </w:r>
    </w:p>
    <w:p w:rsidR="00312EC9" w:rsidRDefault="00312EC9" w:rsidP="00927D5F">
      <w:pPr>
        <w:pStyle w:val="NoSpacing"/>
        <w:numPr>
          <w:ilvl w:val="0"/>
          <w:numId w:val="46"/>
        </w:numPr>
        <w:rPr>
          <w:rFonts w:ascii="Arial" w:hAnsi="Arial" w:cs="Arial"/>
          <w:sz w:val="20"/>
          <w:szCs w:val="20"/>
        </w:rPr>
      </w:pPr>
      <w:r w:rsidRPr="00125F74">
        <w:rPr>
          <w:rFonts w:ascii="Arial" w:hAnsi="Arial" w:cs="Arial"/>
          <w:sz w:val="20"/>
          <w:szCs w:val="20"/>
          <w:lang w:val="en-US"/>
        </w:rPr>
        <w:t>the requirement for blocking of settlement in a particular investor CSD is unnecessarily broad; in the event of a securities distribution, and if the outcome security has the same ISIN as the parent security (e.g. a scrip dividend), there may well be no need, and no risk management benefit, for settlement in the parent securities to be blocked; this is on the basis that the entitlement to the outcome securities is fixed on record date, and that settlement in the outcome securities is poss</w:t>
      </w:r>
      <w:r w:rsidRPr="00125F74">
        <w:rPr>
          <w:rFonts w:ascii="Arial" w:hAnsi="Arial" w:cs="Arial"/>
          <w:sz w:val="20"/>
          <w:szCs w:val="20"/>
          <w:lang w:val="en-US"/>
        </w:rPr>
        <w:t>i</w:t>
      </w:r>
      <w:r w:rsidRPr="00125F74">
        <w:rPr>
          <w:rFonts w:ascii="Arial" w:hAnsi="Arial" w:cs="Arial"/>
          <w:sz w:val="20"/>
          <w:szCs w:val="20"/>
          <w:lang w:val="en-US"/>
        </w:rPr>
        <w:t xml:space="preserve">ble only after the investor CSD has booked the securities to the account of its participant. </w:t>
      </w:r>
    </w:p>
    <w:p w:rsidR="00312EC9" w:rsidRDefault="00312EC9" w:rsidP="00927D5F">
      <w:pPr>
        <w:pStyle w:val="NoSpacing"/>
        <w:numPr>
          <w:ilvl w:val="0"/>
          <w:numId w:val="46"/>
        </w:numPr>
        <w:rPr>
          <w:rFonts w:ascii="Arial" w:hAnsi="Arial" w:cs="Arial"/>
          <w:sz w:val="20"/>
          <w:szCs w:val="20"/>
        </w:rPr>
      </w:pPr>
      <w:r w:rsidRPr="00125F74">
        <w:rPr>
          <w:rFonts w:ascii="Arial" w:hAnsi="Arial" w:cs="Arial"/>
          <w:sz w:val="20"/>
          <w:szCs w:val="20"/>
        </w:rPr>
        <w:t>the text referring to “</w:t>
      </w:r>
      <w:r w:rsidRPr="00125F74">
        <w:rPr>
          <w:rFonts w:ascii="Arial" w:hAnsi="Arial" w:cs="Arial"/>
          <w:i/>
          <w:sz w:val="20"/>
          <w:szCs w:val="20"/>
        </w:rPr>
        <w:t>enabling the coordination of their actions with regard to the adequate refle</w:t>
      </w:r>
      <w:r w:rsidRPr="00125F74">
        <w:rPr>
          <w:rFonts w:ascii="Arial" w:hAnsi="Arial" w:cs="Arial"/>
          <w:i/>
          <w:sz w:val="20"/>
          <w:szCs w:val="20"/>
        </w:rPr>
        <w:t>c</w:t>
      </w:r>
      <w:r w:rsidRPr="00125F74">
        <w:rPr>
          <w:rFonts w:ascii="Arial" w:hAnsi="Arial" w:cs="Arial"/>
          <w:i/>
          <w:sz w:val="20"/>
          <w:szCs w:val="20"/>
        </w:rPr>
        <w:t>tion of the corporate actions ……”</w:t>
      </w:r>
      <w:r w:rsidRPr="00125F74">
        <w:rPr>
          <w:rFonts w:ascii="Arial" w:hAnsi="Arial" w:cs="Arial"/>
          <w:sz w:val="20"/>
          <w:szCs w:val="20"/>
        </w:rPr>
        <w:t xml:space="preserve"> is unnecessary, and is potentially misleading. The distribution of information on corporate actions, and the processing of corporate actions on stocks, follows the principle of “cascade processing” (i.e. one action in the Issuer CSD and a subsequent action in the investor CSDs); it is difficult to reconcile this principle with the idea of “coordination” of actions.</w:t>
      </w:r>
    </w:p>
    <w:p w:rsidR="00312EC9" w:rsidRDefault="00312EC9" w:rsidP="00312EC9">
      <w:pPr>
        <w:pStyle w:val="NoSpacing"/>
        <w:rPr>
          <w:rFonts w:ascii="Arial" w:hAnsi="Arial" w:cs="Arial"/>
          <w:sz w:val="20"/>
          <w:szCs w:val="20"/>
        </w:rPr>
      </w:pPr>
      <w:r w:rsidRPr="00125F74">
        <w:rPr>
          <w:rFonts w:ascii="Arial" w:hAnsi="Arial" w:cs="Arial"/>
          <w:sz w:val="20"/>
          <w:szCs w:val="20"/>
        </w:rPr>
        <w:t>The AG notes that all CSDs on T2S will comply with both the CAJWG Market Standards for Corporate Actions Processing, and the T2S Corporate Actions Sub Group (CASG) Standards. The AG suggests that the text of Article 6, paragraph 4 be revised so that it allows for full compliance with both these sets of Standards.</w:t>
      </w:r>
    </w:p>
    <w:p w:rsidR="00312EC9" w:rsidRDefault="00312EC9" w:rsidP="00312EC9">
      <w:pPr>
        <w:pStyle w:val="NoSpacing"/>
        <w:rPr>
          <w:rFonts w:ascii="Arial" w:hAnsi="Arial" w:cs="Arial"/>
          <w:sz w:val="20"/>
          <w:szCs w:val="20"/>
        </w:rPr>
      </w:pPr>
      <w:r w:rsidRPr="00125F74">
        <w:rPr>
          <w:rFonts w:ascii="Arial" w:hAnsi="Arial" w:cs="Arial"/>
          <w:sz w:val="20"/>
          <w:szCs w:val="20"/>
        </w:rPr>
        <w:t>The AG would also propose that the definition of the relevant corporate action terms should be consistent with the glossary of the EU market standards (CAJWG standards).</w:t>
      </w:r>
    </w:p>
    <w:p w:rsidR="00312EC9" w:rsidRDefault="00312EC9" w:rsidP="00312EC9">
      <w:pPr>
        <w:pStyle w:val="NoSpacing"/>
        <w:rPr>
          <w:rFonts w:ascii="Arial" w:hAnsi="Arial" w:cs="Arial"/>
          <w:b/>
          <w:i/>
          <w:sz w:val="20"/>
          <w:szCs w:val="20"/>
          <w:u w:val="single"/>
        </w:rPr>
      </w:pPr>
      <w:r w:rsidRPr="00125F74">
        <w:rPr>
          <w:rFonts w:ascii="Arial" w:hAnsi="Arial" w:cs="Arial"/>
          <w:b/>
          <w:i/>
          <w:sz w:val="20"/>
          <w:szCs w:val="20"/>
          <w:u w:val="single"/>
        </w:rPr>
        <w:t>Alternative drafting proposal:</w:t>
      </w:r>
    </w:p>
    <w:p w:rsidR="00312EC9" w:rsidRDefault="00312EC9" w:rsidP="00312EC9">
      <w:pPr>
        <w:pStyle w:val="NoSpacing"/>
        <w:rPr>
          <w:rFonts w:ascii="Arial" w:hAnsi="Arial" w:cs="Arial"/>
          <w:sz w:val="20"/>
          <w:szCs w:val="20"/>
          <w:lang w:eastAsia="en-GB"/>
        </w:rPr>
      </w:pPr>
      <w:r w:rsidRPr="00125F74">
        <w:rPr>
          <w:rFonts w:ascii="Arial" w:hAnsi="Arial" w:cs="Arial"/>
          <w:sz w:val="20"/>
          <w:szCs w:val="20"/>
        </w:rPr>
        <w:t>The AG offers the following drafting suggestion for article 6(4):</w:t>
      </w:r>
      <w:r w:rsidRPr="00125F74">
        <w:rPr>
          <w:rFonts w:ascii="Arial" w:hAnsi="Arial" w:cs="Arial"/>
          <w:sz w:val="20"/>
          <w:szCs w:val="20"/>
          <w:lang w:eastAsia="en-GB"/>
        </w:rPr>
        <w:t xml:space="preserve"> </w:t>
      </w:r>
    </w:p>
    <w:p w:rsidR="00312EC9" w:rsidRPr="00125F74" w:rsidRDefault="00312EC9" w:rsidP="00312EC9">
      <w:pPr>
        <w:pStyle w:val="NoSpacing"/>
        <w:rPr>
          <w:rFonts w:ascii="Arial" w:hAnsi="Arial" w:cs="Arial"/>
          <w:i/>
          <w:sz w:val="20"/>
          <w:szCs w:val="20"/>
          <w:lang w:eastAsia="en-GB"/>
        </w:rPr>
      </w:pPr>
      <w:r w:rsidRPr="00125F74">
        <w:rPr>
          <w:rFonts w:ascii="Arial" w:hAnsi="Arial" w:cs="Arial"/>
          <w:sz w:val="20"/>
          <w:szCs w:val="20"/>
          <w:lang w:eastAsia="en-GB"/>
        </w:rPr>
        <w:lastRenderedPageBreak/>
        <w:t>“</w:t>
      </w:r>
      <w:r w:rsidRPr="00125F74">
        <w:rPr>
          <w:rFonts w:ascii="Arial" w:hAnsi="Arial" w:cs="Arial"/>
          <w:i/>
          <w:sz w:val="20"/>
          <w:szCs w:val="20"/>
          <w:lang w:eastAsia="en-GB"/>
        </w:rPr>
        <w:t xml:space="preserve">4. In the case of a corporate action that would change the balance of securities accounts held by a CSD with another CSD, </w:t>
      </w:r>
      <w:r w:rsidRPr="00125F74">
        <w:rPr>
          <w:rFonts w:ascii="Arial" w:hAnsi="Arial" w:cs="Arial"/>
          <w:i/>
          <w:sz w:val="20"/>
          <w:szCs w:val="20"/>
          <w:u w:val="single"/>
          <w:lang w:eastAsia="en-GB"/>
        </w:rPr>
        <w:t>and in respect of booked positions (“corporate actions on stocks”), the bookings of the corporate action movements</w:t>
      </w:r>
      <w:r w:rsidRPr="00125F74">
        <w:rPr>
          <w:rFonts w:ascii="Arial" w:hAnsi="Arial" w:cs="Arial"/>
          <w:i/>
          <w:sz w:val="20"/>
          <w:szCs w:val="20"/>
          <w:lang w:eastAsia="en-GB"/>
        </w:rPr>
        <w:t xml:space="preserve"> </w:t>
      </w:r>
      <w:r w:rsidRPr="00125F74">
        <w:rPr>
          <w:rFonts w:ascii="Arial" w:hAnsi="Arial" w:cs="Arial"/>
          <w:i/>
          <w:strike/>
          <w:sz w:val="20"/>
          <w:szCs w:val="20"/>
          <w:lang w:eastAsia="en-GB"/>
        </w:rPr>
        <w:t xml:space="preserve">settlement in the relevant securities issues </w:t>
      </w:r>
      <w:r w:rsidRPr="00125F74">
        <w:rPr>
          <w:rFonts w:ascii="Arial" w:hAnsi="Arial" w:cs="Arial"/>
          <w:i/>
          <w:sz w:val="20"/>
          <w:szCs w:val="20"/>
          <w:lang w:eastAsia="en-GB"/>
        </w:rPr>
        <w:t xml:space="preserve">in the books of the former CSD shall not </w:t>
      </w:r>
      <w:r w:rsidRPr="00125F74">
        <w:rPr>
          <w:rFonts w:ascii="Arial" w:hAnsi="Arial" w:cs="Arial"/>
          <w:i/>
          <w:sz w:val="20"/>
          <w:szCs w:val="20"/>
          <w:u w:val="single"/>
          <w:lang w:eastAsia="en-GB"/>
        </w:rPr>
        <w:t>be finalised</w:t>
      </w:r>
      <w:r w:rsidRPr="00125F74">
        <w:rPr>
          <w:rFonts w:ascii="Arial" w:hAnsi="Arial" w:cs="Arial"/>
          <w:i/>
          <w:sz w:val="20"/>
          <w:szCs w:val="20"/>
          <w:lang w:eastAsia="en-GB"/>
        </w:rPr>
        <w:t xml:space="preserve"> </w:t>
      </w:r>
      <w:r w:rsidRPr="00125F74">
        <w:rPr>
          <w:rFonts w:ascii="Arial" w:hAnsi="Arial" w:cs="Arial"/>
          <w:i/>
          <w:strike/>
          <w:sz w:val="20"/>
          <w:szCs w:val="20"/>
          <w:lang w:eastAsia="en-GB"/>
        </w:rPr>
        <w:t>commence</w:t>
      </w:r>
      <w:r w:rsidRPr="00125F74">
        <w:rPr>
          <w:rFonts w:ascii="Arial" w:hAnsi="Arial" w:cs="Arial"/>
          <w:i/>
          <w:sz w:val="20"/>
          <w:szCs w:val="20"/>
          <w:lang w:eastAsia="en-GB"/>
        </w:rPr>
        <w:t xml:space="preserve"> until after the corporate action movements relating to booked positions (“corporate actions on stocks”) of the relevant securities issues have been fully processed in the latter CSD. </w:t>
      </w:r>
    </w:p>
    <w:p w:rsidR="00312EC9" w:rsidRPr="00125F74" w:rsidRDefault="00312EC9" w:rsidP="00312EC9">
      <w:pPr>
        <w:pStyle w:val="NoSpacing"/>
        <w:rPr>
          <w:rFonts w:ascii="Arial" w:hAnsi="Arial" w:cs="Arial"/>
          <w:i/>
          <w:sz w:val="20"/>
          <w:szCs w:val="20"/>
          <w:lang w:eastAsia="en-GB"/>
        </w:rPr>
      </w:pPr>
      <w:r w:rsidRPr="00125F74">
        <w:rPr>
          <w:rFonts w:ascii="Arial" w:hAnsi="Arial" w:cs="Arial"/>
          <w:i/>
          <w:sz w:val="20"/>
          <w:szCs w:val="20"/>
          <w:lang w:eastAsia="en-GB"/>
        </w:rPr>
        <w:t xml:space="preserve">The issuer CSD shall ensure the transmission to all its participants that are CSDs, or that are acting on behalf of CSDs, of timely information on corporate actions processing; all investor CSDs involved in the holding chain for a specific securities issue, shall likewise ensure the transmission of timely information to all their participants that are CSDs, or that are acting on behalf of CSDs. </w:t>
      </w:r>
      <w:r w:rsidRPr="00125F74">
        <w:rPr>
          <w:rFonts w:ascii="Arial" w:hAnsi="Arial" w:cs="Arial"/>
          <w:i/>
          <w:strike/>
          <w:sz w:val="20"/>
          <w:szCs w:val="20"/>
          <w:lang w:eastAsia="en-GB"/>
        </w:rPr>
        <w:t>enabling the coordination of their actions with regard to the adequate reflection of the corporate actions in the securities settlement systems operated by the respective investor CSDs.”</w:t>
      </w:r>
    </w:p>
    <w:permEnd w:id="1251082287"/>
    <w:p w:rsidR="00D12AFD" w:rsidRPr="002C4F00" w:rsidRDefault="00D12AFD" w:rsidP="00D12AFD">
      <w:r>
        <w:t>&lt;ESMA_QUESTION_TS_CSDR_3</w:t>
      </w:r>
      <w:r w:rsidR="00252063">
        <w:t>1</w:t>
      </w:r>
      <w:r>
        <w:t>&gt;</w:t>
      </w:r>
    </w:p>
    <w:p w:rsidR="00D12AFD" w:rsidRPr="002C4F00" w:rsidRDefault="00D12AFD" w:rsidP="00965B03">
      <w:pPr>
        <w:pStyle w:val="Heading5"/>
        <w:ind w:left="567" w:hanging="567"/>
      </w:pPr>
      <w:r w:rsidRPr="00C8467F">
        <w:t>What are your views on the proposed draft RTS on internalised settlement (Annex V) and draft ITS on internalised settlement (Annex IX)?</w:t>
      </w:r>
    </w:p>
    <w:p w:rsidR="00D12AFD" w:rsidRDefault="00D12AFD" w:rsidP="00D12AFD"/>
    <w:p w:rsidR="00D12AFD" w:rsidRDefault="00D12AFD" w:rsidP="00D12AFD">
      <w:r>
        <w:t>&lt;ESMA_QUESTION_TS_CSDR_3</w:t>
      </w:r>
      <w:r w:rsidR="00252063">
        <w:t>2</w:t>
      </w:r>
      <w:r>
        <w:t>&gt;</w:t>
      </w:r>
    </w:p>
    <w:p w:rsidR="00EB2760" w:rsidRDefault="00EB2760" w:rsidP="00CE149D">
      <w:pPr>
        <w:rPr>
          <w:rFonts w:cs="Arial"/>
          <w:sz w:val="20"/>
          <w:szCs w:val="20"/>
        </w:rPr>
      </w:pPr>
      <w:permStart w:id="263394238" w:edGrp="everyone"/>
      <w:r w:rsidRPr="00EE4E11">
        <w:rPr>
          <w:rFonts w:cs="Arial"/>
          <w:sz w:val="20"/>
          <w:szCs w:val="20"/>
        </w:rPr>
        <w:t>The T2S Advisory Group (AG) considers the scope of this question as not directly relevant for T2S.</w:t>
      </w:r>
    </w:p>
    <w:permEnd w:id="263394238"/>
    <w:p w:rsidR="00F05A8C" w:rsidRDefault="00D12AFD" w:rsidP="00CE149D">
      <w:r>
        <w:t>&lt;ESMA_QUESTION_TS_CSDR_3</w:t>
      </w:r>
      <w:r w:rsidR="00252063">
        <w:t>2</w:t>
      </w:r>
      <w:r>
        <w:t>&gt;</w:t>
      </w:r>
    </w:p>
    <w:sectPr w:rsidR="00F05A8C" w:rsidSect="000D17AA">
      <w:headerReference w:type="even" r:id="rId17"/>
      <w:headerReference w:type="first" r:id="rId18"/>
      <w:footerReference w:type="first" r:id="rId19"/>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596F" w:rsidRDefault="006A596F">
      <w:r>
        <w:separator/>
      </w:r>
    </w:p>
    <w:p w:rsidR="006A596F" w:rsidRDefault="006A596F"/>
  </w:endnote>
  <w:endnote w:type="continuationSeparator" w:id="0">
    <w:p w:rsidR="006A596F" w:rsidRDefault="006A596F">
      <w:r>
        <w:continuationSeparator/>
      </w:r>
    </w:p>
    <w:p w:rsidR="006A596F" w:rsidRDefault="006A596F"/>
  </w:endnote>
  <w:endnote w:type="continuationNotice" w:id="1">
    <w:p w:rsidR="006A596F" w:rsidRDefault="006A59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AF2E38" w:rsidRPr="00315E96" w:rsidTr="00315E96">
      <w:trPr>
        <w:trHeight w:val="284"/>
      </w:trPr>
      <w:tc>
        <w:tcPr>
          <w:tcW w:w="8460" w:type="dxa"/>
        </w:tcPr>
        <w:p w:rsidR="00AF2E38" w:rsidRPr="00315E96" w:rsidRDefault="00AF2E38" w:rsidP="00315E96">
          <w:pPr>
            <w:pStyle w:val="00Footer"/>
            <w:rPr>
              <w:lang w:val="fr-FR"/>
            </w:rPr>
          </w:pPr>
        </w:p>
      </w:tc>
      <w:tc>
        <w:tcPr>
          <w:tcW w:w="952" w:type="dxa"/>
        </w:tcPr>
        <w:p w:rsidR="00AF2E38" w:rsidRPr="002C5B2D" w:rsidRDefault="00AF2E38" w:rsidP="002C5B2D">
          <w:pPr>
            <w:pStyle w:val="00aPagenumber"/>
          </w:pPr>
          <w:r>
            <w:fldChar w:fldCharType="begin"/>
          </w:r>
          <w:r>
            <w:instrText xml:space="preserve"> PAGE </w:instrText>
          </w:r>
          <w:r>
            <w:fldChar w:fldCharType="separate"/>
          </w:r>
          <w:r w:rsidR="00D4772D">
            <w:rPr>
              <w:noProof/>
            </w:rPr>
            <w:t>4</w:t>
          </w:r>
          <w:r>
            <w:rPr>
              <w:noProof/>
            </w:rPr>
            <w:fldChar w:fldCharType="end"/>
          </w:r>
        </w:p>
      </w:tc>
    </w:tr>
  </w:tbl>
  <w:p w:rsidR="00AF2E38" w:rsidRDefault="00AF2E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E38" w:rsidRDefault="00AF2E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596F" w:rsidRDefault="006A596F">
      <w:r>
        <w:separator/>
      </w:r>
    </w:p>
    <w:p w:rsidR="006A596F" w:rsidRDefault="006A596F"/>
  </w:footnote>
  <w:footnote w:type="continuationSeparator" w:id="0">
    <w:p w:rsidR="006A596F" w:rsidRDefault="006A596F">
      <w:r>
        <w:continuationSeparator/>
      </w:r>
    </w:p>
    <w:p w:rsidR="006A596F" w:rsidRDefault="006A596F"/>
  </w:footnote>
  <w:footnote w:type="continuationNotice" w:id="1">
    <w:p w:rsidR="006A596F" w:rsidRDefault="006A596F"/>
  </w:footnote>
  <w:footnote w:id="2">
    <w:p w:rsidR="00AF2E38" w:rsidRPr="00294041" w:rsidRDefault="00AF2E38" w:rsidP="007353DB">
      <w:pPr>
        <w:pStyle w:val="FootnoteText"/>
      </w:pPr>
      <w:r w:rsidRPr="00294041">
        <w:rPr>
          <w:rStyle w:val="FootnoteReference"/>
          <w:sz w:val="12"/>
          <w:szCs w:val="12"/>
        </w:rPr>
        <w:footnoteRef/>
      </w:r>
      <w:r w:rsidRPr="00294041">
        <w:t xml:space="preserve"> In accordance with ISO 1022 (MT578) this message is used to advise the account owner that a counterparty has alleged an instruction against the account owner's account at the account servicer and the account servicer could not find the corresponding instruction of the account owner.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E38" w:rsidRDefault="00AF2E38">
    <w:pPr>
      <w:pStyle w:val="Header"/>
    </w:pPr>
    <w:r>
      <w:rPr>
        <w:noProof/>
        <w:lang w:eastAsia="en-GB"/>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E38" w:rsidRDefault="00AF2E38" w:rsidP="00013CCE">
    <w:pPr>
      <w:pStyle w:val="Header"/>
      <w:jc w:val="right"/>
    </w:pPr>
    <w:r>
      <w:rPr>
        <w:noProof/>
        <w:lang w:eastAsia="en-GB"/>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E38" w:rsidRDefault="00AF2E38"/>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AF2E38" w:rsidRPr="002F4496" w:rsidTr="000C06C9">
      <w:trPr>
        <w:trHeight w:val="284"/>
      </w:trPr>
      <w:tc>
        <w:tcPr>
          <w:tcW w:w="8460" w:type="dxa"/>
        </w:tcPr>
        <w:p w:rsidR="00AF2E38" w:rsidRPr="000C3B6D" w:rsidRDefault="00AF2E38" w:rsidP="000C06C9">
          <w:pPr>
            <w:pStyle w:val="00Footer"/>
            <w:rPr>
              <w:lang w:val="fr-FR"/>
            </w:rPr>
          </w:pPr>
        </w:p>
      </w:tc>
      <w:tc>
        <w:tcPr>
          <w:tcW w:w="952" w:type="dxa"/>
        </w:tcPr>
        <w:p w:rsidR="00AF2E38" w:rsidRPr="00146B34" w:rsidRDefault="00AF2E38" w:rsidP="000C06C9">
          <w:pPr>
            <w:pStyle w:val="00aPagenumber"/>
            <w:rPr>
              <w:lang w:val="fr-FR"/>
            </w:rPr>
          </w:pPr>
        </w:p>
      </w:tc>
    </w:tr>
  </w:tbl>
  <w:p w:rsidR="00AF2E38" w:rsidRPr="00DB46C3" w:rsidRDefault="00AF2E38">
    <w:pPr>
      <w:rPr>
        <w:lang w:val="fr-FR"/>
      </w:rPr>
    </w:pPr>
  </w:p>
  <w:p w:rsidR="00AF2E38" w:rsidRPr="002F4496" w:rsidRDefault="00AF2E38">
    <w:pPr>
      <w:pStyle w:val="Header"/>
      <w:rPr>
        <w:lang w:val="fr-FR"/>
      </w:rPr>
    </w:pPr>
  </w:p>
  <w:p w:rsidR="00AF2E38" w:rsidRPr="002F4496" w:rsidRDefault="00AF2E38" w:rsidP="000C06C9">
    <w:pPr>
      <w:pStyle w:val="Header"/>
      <w:tabs>
        <w:tab w:val="clear" w:pos="4536"/>
        <w:tab w:val="clear" w:pos="9072"/>
        <w:tab w:val="left" w:pos="8227"/>
      </w:tabs>
      <w:rPr>
        <w:lang w:val="fr-FR"/>
      </w:rPr>
    </w:pPr>
  </w:p>
  <w:p w:rsidR="00AF2E38" w:rsidRPr="002F4496" w:rsidRDefault="00AF2E38" w:rsidP="000C06C9">
    <w:pPr>
      <w:pStyle w:val="Header"/>
      <w:tabs>
        <w:tab w:val="clear" w:pos="4536"/>
        <w:tab w:val="clear" w:pos="9072"/>
        <w:tab w:val="left" w:pos="8227"/>
      </w:tabs>
      <w:rPr>
        <w:lang w:val="fr-FR"/>
      </w:rPr>
    </w:pPr>
  </w:p>
  <w:p w:rsidR="00AF2E38" w:rsidRPr="002F4496" w:rsidRDefault="00AF2E38">
    <w:pPr>
      <w:pStyle w:val="Header"/>
      <w:rPr>
        <w:lang w:val="fr-FR"/>
      </w:rPr>
    </w:pPr>
  </w:p>
  <w:p w:rsidR="00AF2E38" w:rsidRPr="002F4496" w:rsidRDefault="00AF2E38">
    <w:pPr>
      <w:pStyle w:val="Header"/>
      <w:rPr>
        <w:lang w:val="fr-FR"/>
      </w:rPr>
    </w:pPr>
  </w:p>
  <w:p w:rsidR="00AF2E38" w:rsidRPr="002F4496" w:rsidRDefault="00AF2E38">
    <w:pPr>
      <w:pStyle w:val="Header"/>
      <w:rPr>
        <w:lang w:val="fr-FR"/>
      </w:rPr>
    </w:pPr>
  </w:p>
  <w:p w:rsidR="00AF2E38" w:rsidRPr="002F4496" w:rsidRDefault="00AF2E38">
    <w:pPr>
      <w:pStyle w:val="Header"/>
      <w:rPr>
        <w:lang w:val="fr-FR"/>
      </w:rPr>
    </w:pPr>
  </w:p>
  <w:p w:rsidR="00AF2E38" w:rsidRPr="002F4496" w:rsidRDefault="00AF2E38">
    <w:pPr>
      <w:pStyle w:val="Header"/>
      <w:rPr>
        <w:highlight w:val="yellow"/>
        <w:lang w:val="fr-FR"/>
      </w:rPr>
    </w:pPr>
  </w:p>
  <w:p w:rsidR="00AF2E38" w:rsidRDefault="00AF2E38">
    <w:pPr>
      <w:pStyle w:val="Header"/>
    </w:pPr>
    <w:r>
      <w:rPr>
        <w:noProof/>
        <w:lang w:eastAsia="en-GB"/>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C0819"/>
    <w:multiLevelType w:val="hybridMultilevel"/>
    <w:tmpl w:val="9D8226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2">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5E254B2"/>
    <w:multiLevelType w:val="hybridMultilevel"/>
    <w:tmpl w:val="D4288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A2F632D"/>
    <w:multiLevelType w:val="hybridMultilevel"/>
    <w:tmpl w:val="E962D384"/>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9">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1DDD65E4"/>
    <w:multiLevelType w:val="hybridMultilevel"/>
    <w:tmpl w:val="4C98D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2">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nsid w:val="26E013B1"/>
    <w:multiLevelType w:val="hybridMultilevel"/>
    <w:tmpl w:val="3C7AA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6">
    <w:nsid w:val="2EA93B26"/>
    <w:multiLevelType w:val="hybridMultilevel"/>
    <w:tmpl w:val="FF621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9">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21">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2">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23">
    <w:nsid w:val="3DE07C2E"/>
    <w:multiLevelType w:val="hybridMultilevel"/>
    <w:tmpl w:val="6342559A"/>
    <w:lvl w:ilvl="0" w:tplc="F044FE4A">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F5A1AAF"/>
    <w:multiLevelType w:val="hybridMultilevel"/>
    <w:tmpl w:val="2910D4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6">
    <w:nsid w:val="47107452"/>
    <w:multiLevelType w:val="hybridMultilevel"/>
    <w:tmpl w:val="8806E35A"/>
    <w:lvl w:ilvl="0" w:tplc="08090019">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7">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8">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9">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2">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34">
    <w:nsid w:val="59EA20A4"/>
    <w:multiLevelType w:val="hybridMultilevel"/>
    <w:tmpl w:val="F6A0DF2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6">
    <w:nsid w:val="5B0177AD"/>
    <w:multiLevelType w:val="hybridMultilevel"/>
    <w:tmpl w:val="0D444C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5B2023D4"/>
    <w:multiLevelType w:val="hybridMultilevel"/>
    <w:tmpl w:val="00EA5832"/>
    <w:lvl w:ilvl="0" w:tplc="08090001">
      <w:start w:val="1"/>
      <w:numFmt w:val="bullet"/>
      <w:lvlText w:val=""/>
      <w:lvlJc w:val="left"/>
      <w:pPr>
        <w:ind w:left="1133" w:hanging="360"/>
      </w:pPr>
      <w:rPr>
        <w:rFonts w:ascii="Symbol" w:hAnsi="Symbol" w:hint="default"/>
      </w:rPr>
    </w:lvl>
    <w:lvl w:ilvl="1" w:tplc="08090003" w:tentative="1">
      <w:start w:val="1"/>
      <w:numFmt w:val="bullet"/>
      <w:lvlText w:val="o"/>
      <w:lvlJc w:val="left"/>
      <w:pPr>
        <w:ind w:left="1853" w:hanging="360"/>
      </w:pPr>
      <w:rPr>
        <w:rFonts w:ascii="Courier New" w:hAnsi="Courier New" w:cs="Courier New" w:hint="default"/>
      </w:rPr>
    </w:lvl>
    <w:lvl w:ilvl="2" w:tplc="08090005" w:tentative="1">
      <w:start w:val="1"/>
      <w:numFmt w:val="bullet"/>
      <w:lvlText w:val=""/>
      <w:lvlJc w:val="left"/>
      <w:pPr>
        <w:ind w:left="2573" w:hanging="360"/>
      </w:pPr>
      <w:rPr>
        <w:rFonts w:ascii="Wingdings" w:hAnsi="Wingdings" w:hint="default"/>
      </w:rPr>
    </w:lvl>
    <w:lvl w:ilvl="3" w:tplc="08090001" w:tentative="1">
      <w:start w:val="1"/>
      <w:numFmt w:val="bullet"/>
      <w:lvlText w:val=""/>
      <w:lvlJc w:val="left"/>
      <w:pPr>
        <w:ind w:left="3293" w:hanging="360"/>
      </w:pPr>
      <w:rPr>
        <w:rFonts w:ascii="Symbol" w:hAnsi="Symbol" w:hint="default"/>
      </w:rPr>
    </w:lvl>
    <w:lvl w:ilvl="4" w:tplc="08090003" w:tentative="1">
      <w:start w:val="1"/>
      <w:numFmt w:val="bullet"/>
      <w:lvlText w:val="o"/>
      <w:lvlJc w:val="left"/>
      <w:pPr>
        <w:ind w:left="4013" w:hanging="360"/>
      </w:pPr>
      <w:rPr>
        <w:rFonts w:ascii="Courier New" w:hAnsi="Courier New" w:cs="Courier New" w:hint="default"/>
      </w:rPr>
    </w:lvl>
    <w:lvl w:ilvl="5" w:tplc="08090005" w:tentative="1">
      <w:start w:val="1"/>
      <w:numFmt w:val="bullet"/>
      <w:lvlText w:val=""/>
      <w:lvlJc w:val="left"/>
      <w:pPr>
        <w:ind w:left="4733" w:hanging="360"/>
      </w:pPr>
      <w:rPr>
        <w:rFonts w:ascii="Wingdings" w:hAnsi="Wingdings" w:hint="default"/>
      </w:rPr>
    </w:lvl>
    <w:lvl w:ilvl="6" w:tplc="08090001" w:tentative="1">
      <w:start w:val="1"/>
      <w:numFmt w:val="bullet"/>
      <w:lvlText w:val=""/>
      <w:lvlJc w:val="left"/>
      <w:pPr>
        <w:ind w:left="5453" w:hanging="360"/>
      </w:pPr>
      <w:rPr>
        <w:rFonts w:ascii="Symbol" w:hAnsi="Symbol" w:hint="default"/>
      </w:rPr>
    </w:lvl>
    <w:lvl w:ilvl="7" w:tplc="08090003" w:tentative="1">
      <w:start w:val="1"/>
      <w:numFmt w:val="bullet"/>
      <w:lvlText w:val="o"/>
      <w:lvlJc w:val="left"/>
      <w:pPr>
        <w:ind w:left="6173" w:hanging="360"/>
      </w:pPr>
      <w:rPr>
        <w:rFonts w:ascii="Courier New" w:hAnsi="Courier New" w:cs="Courier New" w:hint="default"/>
      </w:rPr>
    </w:lvl>
    <w:lvl w:ilvl="8" w:tplc="08090005" w:tentative="1">
      <w:start w:val="1"/>
      <w:numFmt w:val="bullet"/>
      <w:lvlText w:val=""/>
      <w:lvlJc w:val="left"/>
      <w:pPr>
        <w:ind w:left="6893" w:hanging="360"/>
      </w:pPr>
      <w:rPr>
        <w:rFonts w:ascii="Wingdings" w:hAnsi="Wingdings" w:hint="default"/>
      </w:rPr>
    </w:lvl>
  </w:abstractNum>
  <w:abstractNum w:abstractNumId="38">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9">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40">
    <w:nsid w:val="605735B9"/>
    <w:multiLevelType w:val="hybridMultilevel"/>
    <w:tmpl w:val="FE2226F2"/>
    <w:lvl w:ilvl="0" w:tplc="659EE572">
      <w:start w:val="1"/>
      <w:numFmt w:val="decimal"/>
      <w:pStyle w:val="Heading5"/>
      <w:lvlText w:val="Q%1:"/>
      <w:lvlJc w:val="left"/>
      <w:pPr>
        <w:ind w:left="502" w:hanging="360"/>
      </w:pPr>
      <w:rPr>
        <w:rFonts w:ascii="Arial" w:hAnsi="Arial" w:hint="default"/>
        <w:b/>
        <w:i w:val="0"/>
        <w:color w:val="auto"/>
        <w:sz w:val="22"/>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42">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3">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4">
    <w:nsid w:val="721A25CF"/>
    <w:multiLevelType w:val="hybridMultilevel"/>
    <w:tmpl w:val="5F26B68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46">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num w:numId="1">
    <w:abstractNumId w:val="21"/>
  </w:num>
  <w:num w:numId="2">
    <w:abstractNumId w:val="25"/>
  </w:num>
  <w:num w:numId="3">
    <w:abstractNumId w:val="17"/>
  </w:num>
  <w:num w:numId="4">
    <w:abstractNumId w:val="30"/>
  </w:num>
  <w:num w:numId="5">
    <w:abstractNumId w:val="6"/>
  </w:num>
  <w:num w:numId="6">
    <w:abstractNumId w:val="32"/>
  </w:num>
  <w:num w:numId="7">
    <w:abstractNumId w:val="1"/>
  </w:num>
  <w:num w:numId="8">
    <w:abstractNumId w:val="8"/>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1"/>
  </w:num>
  <w:num w:numId="1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5"/>
  </w:num>
  <w:num w:numId="14">
    <w:abstractNumId w:val="40"/>
  </w:num>
  <w:num w:numId="15">
    <w:abstractNumId w:val="29"/>
  </w:num>
  <w:num w:numId="16">
    <w:abstractNumId w:val="15"/>
  </w:num>
  <w:num w:numId="17">
    <w:abstractNumId w:val="2"/>
  </w:num>
  <w:num w:numId="18">
    <w:abstractNumId w:val="19"/>
  </w:num>
  <w:num w:numId="19">
    <w:abstractNumId w:val="20"/>
  </w:num>
  <w:num w:numId="20">
    <w:abstractNumId w:val="22"/>
  </w:num>
  <w:num w:numId="21">
    <w:abstractNumId w:val="33"/>
  </w:num>
  <w:num w:numId="22">
    <w:abstractNumId w:val="43"/>
  </w:num>
  <w:num w:numId="23">
    <w:abstractNumId w:val="31"/>
  </w:num>
  <w:num w:numId="24">
    <w:abstractNumId w:val="14"/>
  </w:num>
  <w:num w:numId="25">
    <w:abstractNumId w:val="39"/>
  </w:num>
  <w:num w:numId="26">
    <w:abstractNumId w:val="38"/>
  </w:num>
  <w:num w:numId="27">
    <w:abstractNumId w:val="27"/>
  </w:num>
  <w:num w:numId="28">
    <w:abstractNumId w:val="42"/>
  </w:num>
  <w:num w:numId="29">
    <w:abstractNumId w:val="46"/>
  </w:num>
  <w:num w:numId="30">
    <w:abstractNumId w:val="11"/>
  </w:num>
  <w:num w:numId="31">
    <w:abstractNumId w:val="7"/>
  </w:num>
  <w:num w:numId="32">
    <w:abstractNumId w:val="28"/>
  </w:num>
  <w:num w:numId="33">
    <w:abstractNumId w:val="3"/>
  </w:num>
  <w:num w:numId="34">
    <w:abstractNumId w:val="0"/>
  </w:num>
  <w:num w:numId="35">
    <w:abstractNumId w:val="24"/>
  </w:num>
  <w:num w:numId="36">
    <w:abstractNumId w:val="4"/>
  </w:num>
  <w:num w:numId="37">
    <w:abstractNumId w:val="23"/>
  </w:num>
  <w:num w:numId="38">
    <w:abstractNumId w:val="36"/>
  </w:num>
  <w:num w:numId="39">
    <w:abstractNumId w:val="13"/>
  </w:num>
  <w:num w:numId="40">
    <w:abstractNumId w:val="5"/>
  </w:num>
  <w:num w:numId="41">
    <w:abstractNumId w:val="16"/>
  </w:num>
  <w:num w:numId="42">
    <w:abstractNumId w:val="10"/>
  </w:num>
  <w:num w:numId="43">
    <w:abstractNumId w:val="26"/>
  </w:num>
  <w:num w:numId="44">
    <w:abstractNumId w:val="34"/>
  </w:num>
  <w:num w:numId="45">
    <w:abstractNumId w:val="37"/>
  </w:num>
  <w:num w:numId="46">
    <w:abstractNumId w:val="44"/>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6bfjm/iXYcseCfNqFFexqQAtOxQ=" w:salt="TR/MU8Bj+9PToco2KdLWwQ=="/>
  <w:defaultTabStop w:val="709"/>
  <w:autoHyphenation/>
  <w:hyphenationZone w:val="567"/>
  <w:characterSpacingControl w:val="doNotCompress"/>
  <w:hdrShapeDefaults>
    <o:shapedefaults v:ext="edit" spidmax="2049">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0C9"/>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278"/>
    <w:rsid w:val="001244CD"/>
    <w:rsid w:val="0012566F"/>
    <w:rsid w:val="001260DB"/>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946"/>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97B"/>
    <w:rsid w:val="002005A6"/>
    <w:rsid w:val="00204CBC"/>
    <w:rsid w:val="002051F1"/>
    <w:rsid w:val="002067BA"/>
    <w:rsid w:val="002077D8"/>
    <w:rsid w:val="0021058D"/>
    <w:rsid w:val="00211E2F"/>
    <w:rsid w:val="00211E9E"/>
    <w:rsid w:val="00214FB4"/>
    <w:rsid w:val="00215940"/>
    <w:rsid w:val="002164F6"/>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063"/>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4E9B"/>
    <w:rsid w:val="00286064"/>
    <w:rsid w:val="002867B1"/>
    <w:rsid w:val="00287BBB"/>
    <w:rsid w:val="00287E3B"/>
    <w:rsid w:val="00290638"/>
    <w:rsid w:val="00291763"/>
    <w:rsid w:val="00291D80"/>
    <w:rsid w:val="00293156"/>
    <w:rsid w:val="00293BE7"/>
    <w:rsid w:val="002946DC"/>
    <w:rsid w:val="00295156"/>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2EC9"/>
    <w:rsid w:val="00314013"/>
    <w:rsid w:val="00314945"/>
    <w:rsid w:val="00315389"/>
    <w:rsid w:val="00315746"/>
    <w:rsid w:val="00315E96"/>
    <w:rsid w:val="00317FC8"/>
    <w:rsid w:val="003223D7"/>
    <w:rsid w:val="00323D9F"/>
    <w:rsid w:val="00324FDB"/>
    <w:rsid w:val="00325F48"/>
    <w:rsid w:val="00330386"/>
    <w:rsid w:val="0033194F"/>
    <w:rsid w:val="00332406"/>
    <w:rsid w:val="00332D8D"/>
    <w:rsid w:val="00335027"/>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FF6"/>
    <w:rsid w:val="00383D7D"/>
    <w:rsid w:val="00384CCE"/>
    <w:rsid w:val="003865E5"/>
    <w:rsid w:val="00390F5E"/>
    <w:rsid w:val="003926C1"/>
    <w:rsid w:val="00392900"/>
    <w:rsid w:val="00393357"/>
    <w:rsid w:val="00395E7B"/>
    <w:rsid w:val="00395F4C"/>
    <w:rsid w:val="003A6591"/>
    <w:rsid w:val="003A6E9A"/>
    <w:rsid w:val="003B08C8"/>
    <w:rsid w:val="003B2567"/>
    <w:rsid w:val="003B381A"/>
    <w:rsid w:val="003B4976"/>
    <w:rsid w:val="003B4B3F"/>
    <w:rsid w:val="003B4C4A"/>
    <w:rsid w:val="003B6258"/>
    <w:rsid w:val="003B7A99"/>
    <w:rsid w:val="003C0343"/>
    <w:rsid w:val="003C1C32"/>
    <w:rsid w:val="003C40DA"/>
    <w:rsid w:val="003C42BA"/>
    <w:rsid w:val="003C462F"/>
    <w:rsid w:val="003C4A02"/>
    <w:rsid w:val="003C4F05"/>
    <w:rsid w:val="003C579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2DD3"/>
    <w:rsid w:val="00403086"/>
    <w:rsid w:val="00403460"/>
    <w:rsid w:val="004040FF"/>
    <w:rsid w:val="00404284"/>
    <w:rsid w:val="004042C4"/>
    <w:rsid w:val="00406E90"/>
    <w:rsid w:val="00410240"/>
    <w:rsid w:val="00412253"/>
    <w:rsid w:val="004142ED"/>
    <w:rsid w:val="0041634D"/>
    <w:rsid w:val="004172A5"/>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0C4"/>
    <w:rsid w:val="00473916"/>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06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364"/>
    <w:rsid w:val="004D374D"/>
    <w:rsid w:val="004D42C8"/>
    <w:rsid w:val="004D4F57"/>
    <w:rsid w:val="004D50F6"/>
    <w:rsid w:val="004D5A0D"/>
    <w:rsid w:val="004D7910"/>
    <w:rsid w:val="004D7DEA"/>
    <w:rsid w:val="004E0A28"/>
    <w:rsid w:val="004E1A0F"/>
    <w:rsid w:val="004E2E89"/>
    <w:rsid w:val="004E33C2"/>
    <w:rsid w:val="004E3B9A"/>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E55"/>
    <w:rsid w:val="00614F25"/>
    <w:rsid w:val="00616A11"/>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83"/>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A2ED1"/>
    <w:rsid w:val="006A596F"/>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179F"/>
    <w:rsid w:val="00712580"/>
    <w:rsid w:val="007133E4"/>
    <w:rsid w:val="00713788"/>
    <w:rsid w:val="00713940"/>
    <w:rsid w:val="007151A2"/>
    <w:rsid w:val="00716774"/>
    <w:rsid w:val="00716BA9"/>
    <w:rsid w:val="007209DD"/>
    <w:rsid w:val="00722E49"/>
    <w:rsid w:val="00723A08"/>
    <w:rsid w:val="00724391"/>
    <w:rsid w:val="00724C18"/>
    <w:rsid w:val="00726630"/>
    <w:rsid w:val="00727F73"/>
    <w:rsid w:val="00730705"/>
    <w:rsid w:val="00730944"/>
    <w:rsid w:val="0073248E"/>
    <w:rsid w:val="00733EE9"/>
    <w:rsid w:val="007353DB"/>
    <w:rsid w:val="00735B8E"/>
    <w:rsid w:val="0073673C"/>
    <w:rsid w:val="00736935"/>
    <w:rsid w:val="007371CA"/>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5F04"/>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6080"/>
    <w:rsid w:val="007A7678"/>
    <w:rsid w:val="007B0CD8"/>
    <w:rsid w:val="007B0DE0"/>
    <w:rsid w:val="007B21DE"/>
    <w:rsid w:val="007B2BB9"/>
    <w:rsid w:val="007B43E8"/>
    <w:rsid w:val="007B4740"/>
    <w:rsid w:val="007B502C"/>
    <w:rsid w:val="007B5F3B"/>
    <w:rsid w:val="007C02B0"/>
    <w:rsid w:val="007C063E"/>
    <w:rsid w:val="007C1901"/>
    <w:rsid w:val="007C3BCC"/>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4106"/>
    <w:rsid w:val="007F5066"/>
    <w:rsid w:val="007F621C"/>
    <w:rsid w:val="007F7155"/>
    <w:rsid w:val="00800C28"/>
    <w:rsid w:val="0080245E"/>
    <w:rsid w:val="00803480"/>
    <w:rsid w:val="0080359C"/>
    <w:rsid w:val="008037AE"/>
    <w:rsid w:val="008043F4"/>
    <w:rsid w:val="00804BB4"/>
    <w:rsid w:val="00805D9F"/>
    <w:rsid w:val="00805DF1"/>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6F13"/>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A83"/>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1EDE"/>
    <w:rsid w:val="008922E8"/>
    <w:rsid w:val="00893916"/>
    <w:rsid w:val="0089442C"/>
    <w:rsid w:val="00895818"/>
    <w:rsid w:val="008A2585"/>
    <w:rsid w:val="008A2718"/>
    <w:rsid w:val="008A4CF6"/>
    <w:rsid w:val="008A4E42"/>
    <w:rsid w:val="008A51AA"/>
    <w:rsid w:val="008A6A12"/>
    <w:rsid w:val="008A7B1F"/>
    <w:rsid w:val="008B0DC6"/>
    <w:rsid w:val="008B2B9E"/>
    <w:rsid w:val="008B31F5"/>
    <w:rsid w:val="008B4C79"/>
    <w:rsid w:val="008B5D2D"/>
    <w:rsid w:val="008B6361"/>
    <w:rsid w:val="008C0320"/>
    <w:rsid w:val="008C054B"/>
    <w:rsid w:val="008C2A81"/>
    <w:rsid w:val="008C3863"/>
    <w:rsid w:val="008C4BDC"/>
    <w:rsid w:val="008C50FF"/>
    <w:rsid w:val="008C5435"/>
    <w:rsid w:val="008C6BD1"/>
    <w:rsid w:val="008D2DB5"/>
    <w:rsid w:val="008D3F10"/>
    <w:rsid w:val="008D611D"/>
    <w:rsid w:val="008E1B6A"/>
    <w:rsid w:val="008E3054"/>
    <w:rsid w:val="008E32FF"/>
    <w:rsid w:val="008E5625"/>
    <w:rsid w:val="008E5682"/>
    <w:rsid w:val="008E5C5B"/>
    <w:rsid w:val="008E5ED2"/>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41FD"/>
    <w:rsid w:val="00915EBA"/>
    <w:rsid w:val="00917093"/>
    <w:rsid w:val="0092030E"/>
    <w:rsid w:val="009217B1"/>
    <w:rsid w:val="00921A42"/>
    <w:rsid w:val="009223BB"/>
    <w:rsid w:val="00922491"/>
    <w:rsid w:val="00923BCF"/>
    <w:rsid w:val="00925AEC"/>
    <w:rsid w:val="0092751A"/>
    <w:rsid w:val="00927D5F"/>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1A6D"/>
    <w:rsid w:val="00962CEF"/>
    <w:rsid w:val="00963766"/>
    <w:rsid w:val="00963FDF"/>
    <w:rsid w:val="0096528F"/>
    <w:rsid w:val="009653F2"/>
    <w:rsid w:val="00965B03"/>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C665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1FC"/>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2E38"/>
    <w:rsid w:val="00AF3C29"/>
    <w:rsid w:val="00AF4401"/>
    <w:rsid w:val="00AF4463"/>
    <w:rsid w:val="00AF53CB"/>
    <w:rsid w:val="00AF65C5"/>
    <w:rsid w:val="00B03CE2"/>
    <w:rsid w:val="00B06544"/>
    <w:rsid w:val="00B105F2"/>
    <w:rsid w:val="00B10991"/>
    <w:rsid w:val="00B10F6A"/>
    <w:rsid w:val="00B12128"/>
    <w:rsid w:val="00B12945"/>
    <w:rsid w:val="00B12C1E"/>
    <w:rsid w:val="00B155D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C1D"/>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19E4"/>
    <w:rsid w:val="00B61D0B"/>
    <w:rsid w:val="00B6439A"/>
    <w:rsid w:val="00B6443B"/>
    <w:rsid w:val="00B64799"/>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874B2"/>
    <w:rsid w:val="00B91B86"/>
    <w:rsid w:val="00B927CA"/>
    <w:rsid w:val="00B928AE"/>
    <w:rsid w:val="00B93CDA"/>
    <w:rsid w:val="00B942E9"/>
    <w:rsid w:val="00B9433A"/>
    <w:rsid w:val="00B948EE"/>
    <w:rsid w:val="00B94BF3"/>
    <w:rsid w:val="00B94F90"/>
    <w:rsid w:val="00B95DC5"/>
    <w:rsid w:val="00B97E34"/>
    <w:rsid w:val="00B97FEF"/>
    <w:rsid w:val="00BA1354"/>
    <w:rsid w:val="00BA1DEE"/>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3046"/>
    <w:rsid w:val="00BD45A4"/>
    <w:rsid w:val="00BD4A5F"/>
    <w:rsid w:val="00BD59AA"/>
    <w:rsid w:val="00BD65E6"/>
    <w:rsid w:val="00BD663E"/>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4A33"/>
    <w:rsid w:val="00C353A0"/>
    <w:rsid w:val="00C368D7"/>
    <w:rsid w:val="00C36FD1"/>
    <w:rsid w:val="00C371A5"/>
    <w:rsid w:val="00C400B0"/>
    <w:rsid w:val="00C40D38"/>
    <w:rsid w:val="00C413FC"/>
    <w:rsid w:val="00C43D33"/>
    <w:rsid w:val="00C44407"/>
    <w:rsid w:val="00C456E8"/>
    <w:rsid w:val="00C46630"/>
    <w:rsid w:val="00C47A2F"/>
    <w:rsid w:val="00C50D18"/>
    <w:rsid w:val="00C51179"/>
    <w:rsid w:val="00C5282C"/>
    <w:rsid w:val="00C52FBE"/>
    <w:rsid w:val="00C5355E"/>
    <w:rsid w:val="00C53FC1"/>
    <w:rsid w:val="00C56438"/>
    <w:rsid w:val="00C56C65"/>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6F7"/>
    <w:rsid w:val="00CA582C"/>
    <w:rsid w:val="00CA6077"/>
    <w:rsid w:val="00CA715B"/>
    <w:rsid w:val="00CA7988"/>
    <w:rsid w:val="00CA7BA2"/>
    <w:rsid w:val="00CB0B78"/>
    <w:rsid w:val="00CB12A5"/>
    <w:rsid w:val="00CB17FA"/>
    <w:rsid w:val="00CB23D8"/>
    <w:rsid w:val="00CB2ED9"/>
    <w:rsid w:val="00CB36A5"/>
    <w:rsid w:val="00CB3810"/>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49D"/>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99A"/>
    <w:rsid w:val="00D00B0F"/>
    <w:rsid w:val="00D01BF4"/>
    <w:rsid w:val="00D0272C"/>
    <w:rsid w:val="00D045CE"/>
    <w:rsid w:val="00D05082"/>
    <w:rsid w:val="00D06163"/>
    <w:rsid w:val="00D07AFD"/>
    <w:rsid w:val="00D11749"/>
    <w:rsid w:val="00D12A7D"/>
    <w:rsid w:val="00D12AF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16A8"/>
    <w:rsid w:val="00D4257C"/>
    <w:rsid w:val="00D425AC"/>
    <w:rsid w:val="00D42823"/>
    <w:rsid w:val="00D42D5E"/>
    <w:rsid w:val="00D43F14"/>
    <w:rsid w:val="00D44C18"/>
    <w:rsid w:val="00D4556D"/>
    <w:rsid w:val="00D4772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7035"/>
    <w:rsid w:val="00DF12E3"/>
    <w:rsid w:val="00DF3F1D"/>
    <w:rsid w:val="00DF595C"/>
    <w:rsid w:val="00DF7EA7"/>
    <w:rsid w:val="00E02504"/>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5BCC"/>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760"/>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076"/>
    <w:rsid w:val="00EF76DB"/>
    <w:rsid w:val="00F005FD"/>
    <w:rsid w:val="00F007F1"/>
    <w:rsid w:val="00F02C04"/>
    <w:rsid w:val="00F03AF1"/>
    <w:rsid w:val="00F04BCD"/>
    <w:rsid w:val="00F05A8C"/>
    <w:rsid w:val="00F06211"/>
    <w:rsid w:val="00F10A54"/>
    <w:rsid w:val="00F123D0"/>
    <w:rsid w:val="00F1314C"/>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6B11"/>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91B"/>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6A98"/>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caption" w:semiHidden="1" w:unhideWhenUsed="1" w:qFormat="1"/>
    <w:lsdException w:name="footnote reference" w:uiPriority="99" w:qFormat="1"/>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qFormat/>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rsid w:val="00C274F3"/>
    <w:rPr>
      <w:vertAlign w:val="superscript"/>
    </w:rPr>
  </w:style>
  <w:style w:type="paragraph" w:styleId="TO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 w:val="20"/>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Arial" w:hAnsi="Arial"/>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Arial" w:hAnsi="Arial"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 w:val="22"/>
      <w:szCs w:val="22"/>
      <w:lang w:eastAsia="de-DE"/>
    </w:rPr>
  </w:style>
  <w:style w:type="character" w:customStyle="1" w:styleId="Heading8Char">
    <w:name w:val="Heading 8 Char"/>
    <w:link w:val="Heading8"/>
    <w:rsid w:val="002D6E1A"/>
    <w:rPr>
      <w:i/>
      <w:iCs/>
      <w:sz w:val="22"/>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 w:val="20"/>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 w:val="22"/>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Arial" w:hAnsi="Arial"/>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Arial" w:hAnsi="Arial"/>
      <w:lang w:eastAsia="de-DE"/>
    </w:rPr>
  </w:style>
  <w:style w:type="character" w:customStyle="1" w:styleId="NEW-Paragraph-level3Char">
    <w:name w:val="NEW-Paragraph-level3 Char"/>
    <w:link w:val="NEW-Paragraph-level3"/>
    <w:rsid w:val="00F90EF4"/>
    <w:rPr>
      <w:rFonts w:ascii="Arial" w:hAnsi="Arial"/>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Arial" w:hAnsi="Arial" w:cs="Arial"/>
      <w:b/>
      <w:bCs/>
      <w:kern w:val="32"/>
      <w:sz w:val="28"/>
      <w:szCs w:val="28"/>
      <w:lang w:eastAsia="de-DE"/>
    </w:rPr>
  </w:style>
  <w:style w:type="character" w:customStyle="1" w:styleId="aNEW-Level1Char">
    <w:name w:val="aNEW-Level1 Char"/>
    <w:link w:val="aNEW-Level1"/>
    <w:rsid w:val="000636A1"/>
    <w:rPr>
      <w:rFonts w:ascii="Arial" w:hAnsi="Arial"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b/>
      <w:bCs/>
      <w:kern w:val="28"/>
      <w:szCs w:val="32"/>
      <w:lang w:eastAsia="en-US"/>
    </w:rPr>
  </w:style>
  <w:style w:type="character" w:customStyle="1" w:styleId="aNEW-ParagraphChar">
    <w:name w:val="aNEW-Paragraph Char"/>
    <w:link w:val="aNEW-Paragraph"/>
    <w:rsid w:val="001244CD"/>
    <w:rPr>
      <w:rFonts w:ascii="Arial" w:eastAsia="Calibri" w:hAnsi="Arial"/>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Arial" w:hAnsi="Arial"/>
      <w:lang w:eastAsia="de-DE"/>
    </w:rPr>
  </w:style>
  <w:style w:type="character" w:customStyle="1" w:styleId="aNEW-Paragraph-level3Char">
    <w:name w:val="aNEW-Paragraph-level3 Char"/>
    <w:link w:val="aNEW-Paragraph-level3"/>
    <w:rsid w:val="00566D36"/>
    <w:rPr>
      <w:rFonts w:ascii="Arial" w:hAnsi="Arial"/>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 w:type="paragraph" w:styleId="NoSpacing">
    <w:name w:val="No Spacing"/>
    <w:uiPriority w:val="1"/>
    <w:qFormat/>
    <w:rsid w:val="004730C4"/>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caption" w:semiHidden="1" w:unhideWhenUsed="1" w:qFormat="1"/>
    <w:lsdException w:name="footnote reference" w:uiPriority="99" w:qFormat="1"/>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qFormat/>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rsid w:val="00C274F3"/>
    <w:rPr>
      <w:vertAlign w:val="superscript"/>
    </w:rPr>
  </w:style>
  <w:style w:type="paragraph" w:styleId="TO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 w:val="20"/>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Arial" w:hAnsi="Arial"/>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Arial" w:hAnsi="Arial"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 w:val="22"/>
      <w:szCs w:val="22"/>
      <w:lang w:eastAsia="de-DE"/>
    </w:rPr>
  </w:style>
  <w:style w:type="character" w:customStyle="1" w:styleId="Heading8Char">
    <w:name w:val="Heading 8 Char"/>
    <w:link w:val="Heading8"/>
    <w:rsid w:val="002D6E1A"/>
    <w:rPr>
      <w:i/>
      <w:iCs/>
      <w:sz w:val="22"/>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 w:val="20"/>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 w:val="22"/>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Arial" w:hAnsi="Arial"/>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Arial" w:hAnsi="Arial"/>
      <w:lang w:eastAsia="de-DE"/>
    </w:rPr>
  </w:style>
  <w:style w:type="character" w:customStyle="1" w:styleId="NEW-Paragraph-level3Char">
    <w:name w:val="NEW-Paragraph-level3 Char"/>
    <w:link w:val="NEW-Paragraph-level3"/>
    <w:rsid w:val="00F90EF4"/>
    <w:rPr>
      <w:rFonts w:ascii="Arial" w:hAnsi="Arial"/>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Arial" w:hAnsi="Arial" w:cs="Arial"/>
      <w:b/>
      <w:bCs/>
      <w:kern w:val="32"/>
      <w:sz w:val="28"/>
      <w:szCs w:val="28"/>
      <w:lang w:eastAsia="de-DE"/>
    </w:rPr>
  </w:style>
  <w:style w:type="character" w:customStyle="1" w:styleId="aNEW-Level1Char">
    <w:name w:val="aNEW-Level1 Char"/>
    <w:link w:val="aNEW-Level1"/>
    <w:rsid w:val="000636A1"/>
    <w:rPr>
      <w:rFonts w:ascii="Arial" w:hAnsi="Arial"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b/>
      <w:bCs/>
      <w:kern w:val="28"/>
      <w:szCs w:val="32"/>
      <w:lang w:eastAsia="en-US"/>
    </w:rPr>
  </w:style>
  <w:style w:type="character" w:customStyle="1" w:styleId="aNEW-ParagraphChar">
    <w:name w:val="aNEW-Paragraph Char"/>
    <w:link w:val="aNEW-Paragraph"/>
    <w:rsid w:val="001244CD"/>
    <w:rPr>
      <w:rFonts w:ascii="Arial" w:eastAsia="Calibri" w:hAnsi="Arial"/>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Arial" w:hAnsi="Arial"/>
      <w:lang w:eastAsia="de-DE"/>
    </w:rPr>
  </w:style>
  <w:style w:type="character" w:customStyle="1" w:styleId="aNEW-Paragraph-level3Char">
    <w:name w:val="aNEW-Paragraph-level3 Char"/>
    <w:link w:val="aNEW-Paragraph-level3"/>
    <w:rsid w:val="00566D36"/>
    <w:rPr>
      <w:rFonts w:ascii="Arial" w:hAnsi="Arial"/>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 w:type="paragraph" w:styleId="NoSpacing">
    <w:name w:val="No Spacing"/>
    <w:uiPriority w:val="1"/>
    <w:qFormat/>
    <w:rsid w:val="004730C4"/>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eur-lex.europa.eu/LexUriServ/LexUriServ.do?uri=OJ:L:2012:086:0001:0024:en: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yperlink" Target="http://eur-lex.europa.eu/legal-content/EN/TXT/PDF/?uri=OJ:JOL_2014_173_R_0009&amp;from=EN" TargetMode="External"/><Relationship Id="rId10" Type="http://schemas.openxmlformats.org/officeDocument/2006/relationships/header" Target="header1.xm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5E85BD11FA34C35ABE725446C5BAEC5"/>
        <w:category>
          <w:name w:val="General"/>
          <w:gallery w:val="placeholder"/>
        </w:category>
        <w:types>
          <w:type w:val="bbPlcHdr"/>
        </w:types>
        <w:behaviors>
          <w:behavior w:val="content"/>
        </w:behaviors>
        <w:guid w:val="{58B88D84-326A-40AF-A15B-47C410EA3821}"/>
      </w:docPartPr>
      <w:docPartBody>
        <w:p w:rsidR="008917E2" w:rsidRDefault="006A5A0A" w:rsidP="006A5A0A">
          <w:pPr>
            <w:pStyle w:val="65E85BD11FA34C35ABE725446C5BAEC5"/>
          </w:pPr>
          <w:r w:rsidRPr="000E3791">
            <w:rPr>
              <w:rStyle w:val="PlaceholderText"/>
            </w:rPr>
            <w:t>Choose an item.</w:t>
          </w:r>
        </w:p>
      </w:docPartBody>
    </w:docPart>
    <w:docPart>
      <w:docPartPr>
        <w:name w:val="98048A7DD8DF4A6B8C6CF00D9B1940F8"/>
        <w:category>
          <w:name w:val="General"/>
          <w:gallery w:val="placeholder"/>
        </w:category>
        <w:types>
          <w:type w:val="bbPlcHdr"/>
        </w:types>
        <w:behaviors>
          <w:behavior w:val="content"/>
        </w:behaviors>
        <w:guid w:val="{61EC2123-8C0C-4584-B757-952EBCA8739B}"/>
      </w:docPartPr>
      <w:docPartBody>
        <w:p w:rsidR="008917E2" w:rsidRDefault="006A5A0A" w:rsidP="006A5A0A">
          <w:pPr>
            <w:pStyle w:val="98048A7DD8DF4A6B8C6CF00D9B1940F8"/>
          </w:pPr>
          <w:r w:rsidRPr="000E3791">
            <w:rPr>
              <w:rStyle w:val="PlaceholderText"/>
            </w:rPr>
            <w:t>Choose an item.</w:t>
          </w:r>
        </w:p>
      </w:docPartBody>
    </w:docPart>
    <w:docPart>
      <w:docPartPr>
        <w:name w:val="5EAC301EA3224F67909AA00721C3F8B7"/>
        <w:category>
          <w:name w:val="General"/>
          <w:gallery w:val="placeholder"/>
        </w:category>
        <w:types>
          <w:type w:val="bbPlcHdr"/>
        </w:types>
        <w:behaviors>
          <w:behavior w:val="content"/>
        </w:behaviors>
        <w:guid w:val="{46FF2BF0-777C-4B97-B3E4-17DE1AA19E86}"/>
      </w:docPartPr>
      <w:docPartBody>
        <w:p w:rsidR="008917E2" w:rsidRDefault="006A5A0A" w:rsidP="006A5A0A">
          <w:pPr>
            <w:pStyle w:val="5EAC301EA3224F67909AA00721C3F8B7"/>
          </w:pPr>
          <w:r w:rsidRPr="000E379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08E"/>
    <w:rsid w:val="000742C9"/>
    <w:rsid w:val="00115F64"/>
    <w:rsid w:val="00171E2F"/>
    <w:rsid w:val="001877FC"/>
    <w:rsid w:val="003A2FCD"/>
    <w:rsid w:val="004B2C78"/>
    <w:rsid w:val="00665D1E"/>
    <w:rsid w:val="006A5A0A"/>
    <w:rsid w:val="008437E4"/>
    <w:rsid w:val="008917E2"/>
    <w:rsid w:val="00953A5F"/>
    <w:rsid w:val="00AF2479"/>
    <w:rsid w:val="00B4208E"/>
    <w:rsid w:val="00DA44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636160-0FF6-41DA-B21E-606787DFA8A8}">
  <ds:schemaRefs>
    <ds:schemaRef ds:uri="http://schemas.openxmlformats.org/officeDocument/2006/bibliography"/>
  </ds:schemaRefs>
</ds:datastoreItem>
</file>

<file path=customXml/itemProps2.xml><?xml version="1.0" encoding="utf-8"?>
<ds:datastoreItem xmlns:ds="http://schemas.openxmlformats.org/officeDocument/2006/customXml" ds:itemID="{7379B8BE-91B8-4F79-B4DB-97050285F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12260</Words>
  <Characters>69886</Characters>
  <Application>Microsoft Office Word</Application>
  <DocSecurity>8</DocSecurity>
  <Lines>582</Lines>
  <Paragraphs>163</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81983</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Kalogeropoulos, George</cp:lastModifiedBy>
  <cp:revision>2</cp:revision>
  <cp:lastPrinted>2014-05-08T16:06:00Z</cp:lastPrinted>
  <dcterms:created xsi:type="dcterms:W3CDTF">2015-02-19T09:44:00Z</dcterms:created>
  <dcterms:modified xsi:type="dcterms:W3CDTF">2015-02-19T09:44:00Z</dcterms:modified>
</cp:coreProperties>
</file>