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bookmarkStart w:id="0" w:name="_GoBack"/>
            <w:bookmarkEnd w:id="0"/>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1"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4"/>
      <w:r w:rsidRPr="00295156">
        <w:rPr>
          <w:rFonts w:cs="Georgia"/>
          <w:b/>
          <w:bCs/>
          <w:i/>
          <w:color w:val="000000"/>
          <w:sz w:val="20"/>
          <w:szCs w:val="20"/>
          <w:lang w:eastAsia="en-GB"/>
        </w:rPr>
        <w:t>Publication of responses</w:t>
      </w:r>
      <w:bookmarkEnd w:id="2"/>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3" w:name="_Toc335141335"/>
      <w:r w:rsidRPr="00295156">
        <w:rPr>
          <w:rFonts w:cs="Georgia"/>
          <w:b/>
          <w:bCs/>
          <w:i/>
          <w:color w:val="000000"/>
          <w:sz w:val="20"/>
          <w:szCs w:val="20"/>
          <w:lang w:eastAsia="en-GB"/>
        </w:rPr>
        <w:t>Data protection</w:t>
      </w:r>
      <w:bookmarkEnd w:id="3"/>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1"/>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0D215D">
        <w:tc>
          <w:tcPr>
            <w:tcW w:w="3510" w:type="dxa"/>
          </w:tcPr>
          <w:p w:rsidR="00473916" w:rsidRPr="0026621B" w:rsidRDefault="00473916" w:rsidP="000D215D">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437D0A" w:rsidP="000D215D">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161186400" w:edGrp="everyone"/>
                <w:r w:rsidR="00693EA3">
                  <w:rPr>
                    <w:rFonts w:cs="Arial"/>
                    <w:szCs w:val="22"/>
                  </w:rPr>
                  <w:t>No</w:t>
                </w:r>
                <w:permEnd w:id="1161186400"/>
              </w:sdtContent>
            </w:sdt>
          </w:p>
        </w:tc>
      </w:tr>
      <w:tr w:rsidR="00473916" w:rsidRPr="0026621B" w:rsidTr="000D215D">
        <w:tc>
          <w:tcPr>
            <w:tcW w:w="3510" w:type="dxa"/>
          </w:tcPr>
          <w:p w:rsidR="00473916" w:rsidRPr="0026621B" w:rsidRDefault="00473916" w:rsidP="000D215D">
            <w:pPr>
              <w:rPr>
                <w:rFonts w:cs="Arial"/>
                <w:szCs w:val="22"/>
              </w:rPr>
            </w:pPr>
            <w:r w:rsidRPr="0026621B">
              <w:rPr>
                <w:rFonts w:cs="Arial"/>
                <w:szCs w:val="22"/>
              </w:rPr>
              <w:t>Activity:</w:t>
            </w:r>
          </w:p>
        </w:tc>
        <w:tc>
          <w:tcPr>
            <w:tcW w:w="6118" w:type="dxa"/>
          </w:tcPr>
          <w:p w:rsidR="00473916" w:rsidRPr="0026621B" w:rsidRDefault="00437D0A" w:rsidP="000D215D">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156992540" w:edGrp="everyone"/>
                <w:r w:rsidR="00693EA3">
                  <w:rPr>
                    <w:rFonts w:cs="Arial"/>
                    <w:szCs w:val="22"/>
                  </w:rPr>
                  <w:t>Central Securities Depository</w:t>
                </w:r>
                <w:permEnd w:id="1156992540"/>
              </w:sdtContent>
            </w:sdt>
          </w:p>
        </w:tc>
      </w:tr>
      <w:tr w:rsidR="00473916" w:rsidRPr="0026621B" w:rsidTr="000D215D">
        <w:tc>
          <w:tcPr>
            <w:tcW w:w="3510" w:type="dxa"/>
          </w:tcPr>
          <w:p w:rsidR="00473916" w:rsidRPr="0026621B" w:rsidRDefault="00473916" w:rsidP="000D215D">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626820" w:edGrp="everyone" w:displacedByCustomXml="prev"/>
            <w:tc>
              <w:tcPr>
                <w:tcW w:w="6118" w:type="dxa"/>
              </w:tcPr>
              <w:p w:rsidR="00473916" w:rsidRPr="0026621B" w:rsidRDefault="00693EA3" w:rsidP="000D215D">
                <w:pPr>
                  <w:rPr>
                    <w:rFonts w:cs="Arial"/>
                    <w:szCs w:val="22"/>
                  </w:rPr>
                </w:pPr>
                <w:r>
                  <w:rPr>
                    <w:rFonts w:cs="Arial"/>
                    <w:szCs w:val="22"/>
                  </w:rPr>
                  <w:t>Norway</w:t>
                </w:r>
              </w:p>
            </w:tc>
            <w:permEnd w:id="158626820" w:displacedByCustomXml="next"/>
          </w:sdtContent>
        </w:sdt>
      </w:tr>
    </w:tbl>
    <w:p w:rsidR="007F4106" w:rsidRDefault="007F4106">
      <w:pPr>
        <w:rPr>
          <w:b/>
        </w:rPr>
      </w:pPr>
      <w:r>
        <w:br w:type="page"/>
      </w:r>
    </w:p>
    <w:p w:rsidR="00D12AFD" w:rsidRDefault="00D12AFD" w:rsidP="00965B03">
      <w:pPr>
        <w:pStyle w:val="Heading5"/>
        <w:ind w:left="567" w:hanging="567"/>
      </w:pPr>
      <w:r w:rsidRPr="002C4F00">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693EA3" w:rsidRDefault="00693EA3" w:rsidP="00D12AFD">
      <w:permStart w:id="1859917998" w:edGrp="everyone"/>
      <w:r>
        <w:t>VPS refer</w:t>
      </w:r>
      <w:r w:rsidR="00B23141">
        <w:t>s</w:t>
      </w:r>
      <w:r>
        <w:t xml:space="preserve"> to the response of ECSDA</w:t>
      </w:r>
      <w:r w:rsidR="00B23141">
        <w:t>,</w:t>
      </w:r>
      <w:r>
        <w:t xml:space="preserve"> which we fully support. </w:t>
      </w:r>
    </w:p>
    <w:permEnd w:id="1859917998"/>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0952D2" w:rsidRDefault="00693EA3" w:rsidP="000952D2">
      <w:pPr>
        <w:spacing w:line="360" w:lineRule="auto"/>
        <w:jc w:val="both"/>
        <w:rPr>
          <w:rFonts w:cs="Arial"/>
        </w:rPr>
      </w:pPr>
      <w:permStart w:id="1064974968" w:edGrp="everyone"/>
      <w:r>
        <w:t>VPS refer</w:t>
      </w:r>
      <w:r w:rsidR="00B23141">
        <w:t>s</w:t>
      </w:r>
      <w:r>
        <w:t xml:space="preserve"> to the response of ECSDA</w:t>
      </w:r>
      <w:r w:rsidR="00B23141">
        <w:t>,</w:t>
      </w:r>
      <w:r>
        <w:t xml:space="preserve"> which we fully support.</w:t>
      </w:r>
      <w:r w:rsidR="000952D2">
        <w:t xml:space="preserve"> We </w:t>
      </w:r>
      <w:r w:rsidR="00B23141">
        <w:t xml:space="preserve">refer </w:t>
      </w:r>
      <w:r w:rsidR="000952D2">
        <w:t>particularly to ECSDA</w:t>
      </w:r>
      <w:r w:rsidR="00B23141">
        <w:t>s</w:t>
      </w:r>
      <w:r w:rsidR="000952D2">
        <w:t xml:space="preserve"> comments regarding exception b) that need</w:t>
      </w:r>
      <w:r w:rsidR="00B23141">
        <w:t>s</w:t>
      </w:r>
      <w:r w:rsidR="000952D2">
        <w:t xml:space="preserve"> to be modified to work in direct holding markets. </w:t>
      </w:r>
      <w:r w:rsidR="000952D2" w:rsidRPr="000952D2">
        <w:t>We believe that the phrase “accounts opened in the name of the same participant” contained in art.3(2)(b) of the draft RTS is too narrow and should be replaced by “accounts managed by the same participant” in order to take into account the different ways in which beneficial owner a</w:t>
      </w:r>
      <w:r w:rsidR="000952D2" w:rsidRPr="000952D2">
        <w:t>c</w:t>
      </w:r>
      <w:r w:rsidR="000952D2" w:rsidRPr="000952D2">
        <w:t>counts can be managed in CSDs.</w:t>
      </w:r>
      <w:r w:rsidR="000952D2">
        <w:t xml:space="preserve"> </w:t>
      </w:r>
      <w:r w:rsidR="000952D2">
        <w:rPr>
          <w:rFonts w:cs="Arial"/>
        </w:rPr>
        <w:t>Not exempting such account allocations from mandatory matching would create major</w:t>
      </w:r>
      <w:r w:rsidR="000952D2" w:rsidRPr="004C3259">
        <w:rPr>
          <w:rFonts w:cs="Arial"/>
        </w:rPr>
        <w:t xml:space="preserve"> </w:t>
      </w:r>
      <w:r w:rsidR="000952D2">
        <w:rPr>
          <w:rFonts w:cs="Arial"/>
        </w:rPr>
        <w:t>practical problems</w:t>
      </w:r>
      <w:r w:rsidR="00B23141">
        <w:rPr>
          <w:rFonts w:cs="Arial"/>
        </w:rPr>
        <w:t>,</w:t>
      </w:r>
      <w:r w:rsidR="000952D2" w:rsidRPr="004C3259">
        <w:rPr>
          <w:rFonts w:cs="Arial"/>
        </w:rPr>
        <w:t xml:space="preserve"> since </w:t>
      </w:r>
      <w:r w:rsidR="000952D2" w:rsidRPr="005127BA">
        <w:rPr>
          <w:rFonts w:cs="Arial"/>
        </w:rPr>
        <w:t xml:space="preserve">compulsory matching is </w:t>
      </w:r>
      <w:r w:rsidR="000952D2">
        <w:rPr>
          <w:rFonts w:cs="Arial"/>
        </w:rPr>
        <w:t xml:space="preserve">practically </w:t>
      </w:r>
      <w:r w:rsidR="000952D2" w:rsidRPr="005127BA">
        <w:rPr>
          <w:rFonts w:cs="Arial"/>
        </w:rPr>
        <w:t xml:space="preserve">not feasible </w:t>
      </w:r>
      <w:r w:rsidR="000952D2">
        <w:rPr>
          <w:rFonts w:cs="Arial"/>
        </w:rPr>
        <w:t xml:space="preserve">(Participant B would have to match “with </w:t>
      </w:r>
      <w:r w:rsidR="00C96B88">
        <w:rPr>
          <w:rFonts w:cs="Arial"/>
        </w:rPr>
        <w:t>him</w:t>
      </w:r>
      <w:r w:rsidR="000952D2">
        <w:rPr>
          <w:rFonts w:cs="Arial"/>
        </w:rPr>
        <w:t>self”)</w:t>
      </w:r>
      <w:r w:rsidR="000952D2" w:rsidRPr="001E1AFC">
        <w:rPr>
          <w:rFonts w:cs="Arial"/>
        </w:rPr>
        <w:t xml:space="preserve">. As a result, we strongly recommend that the exemption from compulsory matching for </w:t>
      </w:r>
      <w:proofErr w:type="spellStart"/>
      <w:r w:rsidR="000952D2" w:rsidRPr="001E1AFC">
        <w:rPr>
          <w:rFonts w:cs="Arial"/>
        </w:rPr>
        <w:t>FoP</w:t>
      </w:r>
      <w:proofErr w:type="spellEnd"/>
      <w:r w:rsidR="000952D2" w:rsidRPr="001E1AFC">
        <w:rPr>
          <w:rFonts w:cs="Arial"/>
        </w:rPr>
        <w:t xml:space="preserve"> instructions contained in art.3(2)(b) </w:t>
      </w:r>
      <w:r w:rsidR="00B23141">
        <w:rPr>
          <w:rFonts w:cs="Arial"/>
        </w:rPr>
        <w:t xml:space="preserve">to </w:t>
      </w:r>
      <w:r w:rsidR="000952D2" w:rsidRPr="001E1AFC">
        <w:rPr>
          <w:rFonts w:cs="Arial"/>
        </w:rPr>
        <w:t xml:space="preserve">be extended to all </w:t>
      </w:r>
      <w:proofErr w:type="spellStart"/>
      <w:r w:rsidR="000952D2" w:rsidRPr="001E1AFC">
        <w:rPr>
          <w:rFonts w:cs="Arial"/>
        </w:rPr>
        <w:t>FoP</w:t>
      </w:r>
      <w:proofErr w:type="spellEnd"/>
      <w:r w:rsidR="000952D2" w:rsidRPr="001E1AFC">
        <w:rPr>
          <w:rFonts w:cs="Arial"/>
        </w:rPr>
        <w:t xml:space="preserve"> transfers between </w:t>
      </w:r>
      <w:r w:rsidR="000952D2" w:rsidRPr="00626F3D">
        <w:rPr>
          <w:rFonts w:cs="Arial"/>
          <w:i/>
        </w:rPr>
        <w:t>accounts managed by the same participant</w:t>
      </w:r>
      <w:r w:rsidR="000952D2">
        <w:rPr>
          <w:rFonts w:cs="Arial"/>
          <w:i/>
        </w:rPr>
        <w:t xml:space="preserve">, </w:t>
      </w:r>
      <w:r w:rsidR="000952D2" w:rsidRPr="00305B6A">
        <w:rPr>
          <w:rFonts w:cs="Arial"/>
        </w:rPr>
        <w:t>irrespective of the name in which the securities accounts were opened.</w:t>
      </w:r>
    </w:p>
    <w:p w:rsidR="000952D2" w:rsidRDefault="000952D2" w:rsidP="000952D2">
      <w:pPr>
        <w:spacing w:line="360" w:lineRule="auto"/>
        <w:jc w:val="both"/>
        <w:rPr>
          <w:rFonts w:cs="Arial"/>
        </w:rPr>
      </w:pPr>
    </w:p>
    <w:p w:rsidR="000952D2" w:rsidRDefault="000952D2" w:rsidP="000952D2">
      <w:pPr>
        <w:spacing w:line="360" w:lineRule="auto"/>
        <w:jc w:val="both"/>
        <w:rPr>
          <w:rFonts w:cs="Arial"/>
        </w:rPr>
      </w:pPr>
      <w:r>
        <w:rPr>
          <w:rFonts w:cs="Arial"/>
        </w:rPr>
        <w:t>VPS also strongly support the proposal in ECSDA</w:t>
      </w:r>
      <w:r w:rsidR="00B23141">
        <w:rPr>
          <w:rFonts w:cs="Arial"/>
        </w:rPr>
        <w:t>’</w:t>
      </w:r>
      <w:r>
        <w:rPr>
          <w:rFonts w:cs="Arial"/>
        </w:rPr>
        <w:t xml:space="preserve">s response to give </w:t>
      </w:r>
      <w:r w:rsidRPr="001E1AFC">
        <w:rPr>
          <w:rFonts w:cs="Arial"/>
        </w:rPr>
        <w:t xml:space="preserve">CSDs the </w:t>
      </w:r>
      <w:r w:rsidR="00B23141">
        <w:rPr>
          <w:rFonts w:cs="Arial"/>
        </w:rPr>
        <w:t>option</w:t>
      </w:r>
      <w:r w:rsidRPr="001E1AFC">
        <w:rPr>
          <w:rFonts w:cs="Arial"/>
        </w:rPr>
        <w:t xml:space="preserve"> to define further exemptions in addition to the cases mentioned in (a) and (b), subject to the approval of the competent authority.</w:t>
      </w:r>
    </w:p>
    <w:p w:rsidR="0083728E" w:rsidRDefault="0083728E" w:rsidP="000952D2">
      <w:pPr>
        <w:spacing w:line="360" w:lineRule="auto"/>
        <w:jc w:val="both"/>
        <w:rPr>
          <w:rFonts w:cs="Arial"/>
        </w:rPr>
      </w:pPr>
    </w:p>
    <w:p w:rsidR="0083728E" w:rsidRPr="0083728E" w:rsidRDefault="0083728E" w:rsidP="0083728E">
      <w:pPr>
        <w:spacing w:line="360" w:lineRule="auto"/>
        <w:jc w:val="both"/>
        <w:rPr>
          <w:rFonts w:cs="Arial"/>
        </w:rPr>
      </w:pPr>
      <w:r w:rsidRPr="0083728E">
        <w:rPr>
          <w:rFonts w:cs="Arial"/>
        </w:rPr>
        <w:t>In addition to com</w:t>
      </w:r>
      <w:r>
        <w:rPr>
          <w:rFonts w:cs="Arial"/>
        </w:rPr>
        <w:t>m</w:t>
      </w:r>
      <w:r w:rsidRPr="0083728E">
        <w:rPr>
          <w:rFonts w:cs="Arial"/>
        </w:rPr>
        <w:t>ents raised by ESMA</w:t>
      </w:r>
      <w:r w:rsidR="00B23141">
        <w:rPr>
          <w:rFonts w:cs="Arial"/>
        </w:rPr>
        <w:t>,</w:t>
      </w:r>
      <w:r w:rsidRPr="0083728E">
        <w:rPr>
          <w:rFonts w:cs="Arial"/>
        </w:rPr>
        <w:t xml:space="preserve"> VPS w</w:t>
      </w:r>
      <w:r w:rsidR="00B23141">
        <w:rPr>
          <w:rFonts w:cs="Arial"/>
        </w:rPr>
        <w:t>ould</w:t>
      </w:r>
      <w:r w:rsidRPr="0083728E">
        <w:rPr>
          <w:rFonts w:cs="Arial"/>
        </w:rPr>
        <w:t xml:space="preserve"> like to address the proposal in article 3.2 of the proposed RTS. According to the proposal</w:t>
      </w:r>
      <w:r w:rsidR="00B23141">
        <w:rPr>
          <w:rFonts w:cs="Arial"/>
        </w:rPr>
        <w:t>,</w:t>
      </w:r>
      <w:r w:rsidRPr="0083728E">
        <w:rPr>
          <w:rFonts w:cs="Arial"/>
        </w:rPr>
        <w:t xml:space="preserve"> the CSDs shall require that CCPs send already matched settlement instructions into the settlement system operated by a CSD.  VPS would like to point out that there are currently at least two models for settlement instructions for CCP tran</w:t>
      </w:r>
      <w:r w:rsidRPr="0083728E">
        <w:rPr>
          <w:rFonts w:cs="Arial"/>
        </w:rPr>
        <w:t>s</w:t>
      </w:r>
      <w:r w:rsidRPr="0083728E">
        <w:rPr>
          <w:rFonts w:cs="Arial"/>
        </w:rPr>
        <w:t xml:space="preserve">actions used in the EU. One is in line with the proposed rule (i.e. that the CCP has power of attorney to </w:t>
      </w:r>
      <w:r w:rsidR="00B23141">
        <w:rPr>
          <w:rFonts w:cs="Arial"/>
        </w:rPr>
        <w:t xml:space="preserve">make </w:t>
      </w:r>
      <w:r w:rsidRPr="0083728E">
        <w:rPr>
          <w:rFonts w:cs="Arial"/>
        </w:rPr>
        <w:t>instruct</w:t>
      </w:r>
      <w:r w:rsidR="00B23141">
        <w:rPr>
          <w:rFonts w:cs="Arial"/>
        </w:rPr>
        <w:t>ions</w:t>
      </w:r>
      <w:r w:rsidRPr="0083728E">
        <w:rPr>
          <w:rFonts w:cs="Arial"/>
        </w:rPr>
        <w:t xml:space="preserve"> on its members’ CSD accounts</w:t>
      </w:r>
      <w:r w:rsidR="00B23141">
        <w:rPr>
          <w:rFonts w:cs="Arial"/>
        </w:rPr>
        <w:t>,</w:t>
      </w:r>
      <w:r w:rsidRPr="0083728E">
        <w:rPr>
          <w:rFonts w:cs="Arial"/>
        </w:rPr>
        <w:t xml:space="preserve"> and </w:t>
      </w:r>
      <w:r w:rsidR="00B23141">
        <w:rPr>
          <w:rFonts w:cs="Arial"/>
        </w:rPr>
        <w:t>may</w:t>
      </w:r>
      <w:r w:rsidRPr="0083728E">
        <w:rPr>
          <w:rFonts w:cs="Arial"/>
        </w:rPr>
        <w:t xml:space="preserve"> therefore send matched settlement instructions directly to the CSD)</w:t>
      </w:r>
      <w:r w:rsidR="00B23141">
        <w:rPr>
          <w:rFonts w:cs="Arial"/>
        </w:rPr>
        <w:t>.</w:t>
      </w:r>
      <w:r w:rsidRPr="0083728E">
        <w:rPr>
          <w:rFonts w:cs="Arial"/>
        </w:rPr>
        <w:t xml:space="preserve"> </w:t>
      </w:r>
      <w:r w:rsidR="00B23141">
        <w:rPr>
          <w:rFonts w:cs="Arial"/>
        </w:rPr>
        <w:t>T</w:t>
      </w:r>
      <w:r w:rsidRPr="0083728E">
        <w:rPr>
          <w:rFonts w:cs="Arial"/>
        </w:rPr>
        <w:t xml:space="preserve">he other </w:t>
      </w:r>
      <w:r w:rsidR="00B23141">
        <w:rPr>
          <w:rFonts w:cs="Arial"/>
        </w:rPr>
        <w:t xml:space="preserve">one, however, </w:t>
      </w:r>
      <w:r w:rsidRPr="0083728E">
        <w:rPr>
          <w:rFonts w:cs="Arial"/>
        </w:rPr>
        <w:t>is that the settlement i</w:t>
      </w:r>
      <w:r w:rsidRPr="0083728E">
        <w:rPr>
          <w:rFonts w:cs="Arial"/>
        </w:rPr>
        <w:t>n</w:t>
      </w:r>
      <w:r w:rsidRPr="0083728E">
        <w:rPr>
          <w:rFonts w:cs="Arial"/>
        </w:rPr>
        <w:t>structions are sent to the CSD by the CCP members via the chain of intermediaries (if any), based on information provided by the CCP, and matched in the CSD against the corresponding settlement instructions sent by the CCP. The choice between the two models is depend</w:t>
      </w:r>
      <w:r w:rsidR="00AC5FAF">
        <w:rPr>
          <w:rFonts w:cs="Arial"/>
        </w:rPr>
        <w:t>ent</w:t>
      </w:r>
      <w:r w:rsidRPr="0083728E">
        <w:rPr>
          <w:rFonts w:cs="Arial"/>
        </w:rPr>
        <w:t xml:space="preserve"> on</w:t>
      </w:r>
      <w:r w:rsidR="00AC5FAF">
        <w:rPr>
          <w:rFonts w:cs="Arial"/>
        </w:rPr>
        <w:t>,</w:t>
      </w:r>
      <w:r w:rsidRPr="0083728E">
        <w:rPr>
          <w:rFonts w:cs="Arial"/>
        </w:rPr>
        <w:t xml:space="preserve"> </w:t>
      </w:r>
      <w:r w:rsidR="00AC5FAF">
        <w:rPr>
          <w:rFonts w:cs="Arial"/>
        </w:rPr>
        <w:t xml:space="preserve">among other things, </w:t>
      </w:r>
      <w:r w:rsidRPr="0083728E">
        <w:rPr>
          <w:rFonts w:cs="Arial"/>
        </w:rPr>
        <w:t xml:space="preserve">the type of market and the infrastructure of the relevant market, and also whether the transaction is cross-CSD and/or cross-CCP. We are of the opinion that EU should not favour one model </w:t>
      </w:r>
      <w:r w:rsidR="00AC5FAF">
        <w:rPr>
          <w:rFonts w:cs="Arial"/>
        </w:rPr>
        <w:t>over</w:t>
      </w:r>
      <w:r w:rsidRPr="0083728E">
        <w:rPr>
          <w:rFonts w:cs="Arial"/>
        </w:rPr>
        <w:t xml:space="preserve"> the other</w:t>
      </w:r>
      <w:r w:rsidR="00AC5FAF">
        <w:rPr>
          <w:rFonts w:cs="Arial"/>
        </w:rPr>
        <w:t xml:space="preserve"> one</w:t>
      </w:r>
      <w:r w:rsidRPr="0083728E">
        <w:rPr>
          <w:rFonts w:cs="Arial"/>
        </w:rPr>
        <w:t xml:space="preserve">, </w:t>
      </w:r>
      <w:r w:rsidR="00AC5FAF">
        <w:rPr>
          <w:rFonts w:cs="Arial"/>
        </w:rPr>
        <w:t xml:space="preserve">as </w:t>
      </w:r>
      <w:r w:rsidRPr="0083728E">
        <w:rPr>
          <w:rFonts w:cs="Arial"/>
        </w:rPr>
        <w:t xml:space="preserve">both are </w:t>
      </w:r>
      <w:r w:rsidR="00AC5FAF">
        <w:rPr>
          <w:rFonts w:cs="Arial"/>
        </w:rPr>
        <w:t xml:space="preserve">being </w:t>
      </w:r>
      <w:r w:rsidRPr="0083728E">
        <w:rPr>
          <w:rFonts w:cs="Arial"/>
        </w:rPr>
        <w:t xml:space="preserve">used and </w:t>
      </w:r>
      <w:r w:rsidR="00AC5FAF">
        <w:rPr>
          <w:rFonts w:cs="Arial"/>
        </w:rPr>
        <w:t xml:space="preserve">are </w:t>
      </w:r>
      <w:r w:rsidRPr="0083728E">
        <w:rPr>
          <w:rFonts w:cs="Arial"/>
        </w:rPr>
        <w:t xml:space="preserve">acceptable. </w:t>
      </w:r>
      <w:r w:rsidR="00AC5FAF">
        <w:rPr>
          <w:rFonts w:cs="Arial"/>
        </w:rPr>
        <w:t>Further, n</w:t>
      </w:r>
      <w:r w:rsidRPr="0083728E">
        <w:rPr>
          <w:rFonts w:cs="Arial"/>
        </w:rPr>
        <w:t>o arguments are put forward that motivate mandating only one of these models</w:t>
      </w:r>
      <w:r w:rsidR="00AC5FAF">
        <w:rPr>
          <w:rFonts w:cs="Arial"/>
        </w:rPr>
        <w:t>.</w:t>
      </w:r>
      <w:r w:rsidRPr="0083728E">
        <w:rPr>
          <w:rFonts w:cs="Arial"/>
        </w:rPr>
        <w:t xml:space="preserve"> </w:t>
      </w:r>
      <w:r w:rsidR="00AC5FAF">
        <w:rPr>
          <w:rFonts w:cs="Arial"/>
        </w:rPr>
        <w:t>I</w:t>
      </w:r>
      <w:r w:rsidRPr="0083728E">
        <w:rPr>
          <w:rFonts w:cs="Arial"/>
        </w:rPr>
        <w:t>n particular</w:t>
      </w:r>
      <w:r w:rsidR="00AC5FAF">
        <w:rPr>
          <w:rFonts w:cs="Arial"/>
        </w:rPr>
        <w:t>,</w:t>
      </w:r>
      <w:r w:rsidRPr="0083728E">
        <w:rPr>
          <w:rFonts w:cs="Arial"/>
        </w:rPr>
        <w:t xml:space="preserve"> it has not been shown that late settlement of CCP transactions are at all related to late matching of these. In our view, there is clearly no case for making one of the two models mandatory.  </w:t>
      </w:r>
    </w:p>
    <w:permEnd w:id="1064974968"/>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D12AFD" w:rsidRDefault="00693EA3" w:rsidP="00D12AFD">
      <w:permStart w:id="1548247835" w:edGrp="everyone"/>
      <w:r>
        <w:t>VPS refer</w:t>
      </w:r>
      <w:r w:rsidR="00AC5FAF">
        <w:t>s</w:t>
      </w:r>
      <w:r>
        <w:t xml:space="preserve"> to the response of ECSDA</w:t>
      </w:r>
      <w:r w:rsidR="00AC5FAF">
        <w:t>,</w:t>
      </w:r>
      <w:r>
        <w:t xml:space="preserve"> which we fully support. </w:t>
      </w:r>
      <w:permEnd w:id="1548247835"/>
      <w:r w:rsidR="00D12AFD">
        <w:t>&lt;E</w:t>
      </w:r>
      <w:r w:rsidR="00D12AFD">
        <w:t>S</w:t>
      </w:r>
      <w:r w:rsidR="00D12AFD">
        <w:t>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A77600" w:rsidRDefault="00693EA3" w:rsidP="00AC675E">
      <w:pPr>
        <w:spacing w:line="360" w:lineRule="auto"/>
        <w:jc w:val="both"/>
      </w:pPr>
      <w:permStart w:id="1143828038" w:edGrp="everyone"/>
      <w:r>
        <w:t>VPS refer</w:t>
      </w:r>
      <w:r w:rsidR="00AC5FAF">
        <w:t>s</w:t>
      </w:r>
      <w:r>
        <w:t xml:space="preserve"> to the response </w:t>
      </w:r>
      <w:r w:rsidR="00A77600">
        <w:t>of ECSDA</w:t>
      </w:r>
      <w:r w:rsidR="00AC5FAF">
        <w:t>,</w:t>
      </w:r>
      <w:r w:rsidR="00A77600">
        <w:t xml:space="preserve"> which we fully support. </w:t>
      </w:r>
    </w:p>
    <w:p w:rsidR="00A77600" w:rsidRDefault="00A77600" w:rsidP="00AC675E">
      <w:pPr>
        <w:spacing w:line="360" w:lineRule="auto"/>
        <w:jc w:val="both"/>
      </w:pPr>
    </w:p>
    <w:p w:rsidR="00AC675E" w:rsidRDefault="00A77600" w:rsidP="00AC675E">
      <w:pPr>
        <w:spacing w:line="360" w:lineRule="auto"/>
        <w:jc w:val="both"/>
        <w:rPr>
          <w:rFonts w:cs="Arial"/>
        </w:rPr>
      </w:pPr>
      <w:r>
        <w:t>In particular</w:t>
      </w:r>
      <w:r w:rsidR="00AC5FAF">
        <w:t>,</w:t>
      </w:r>
      <w:r>
        <w:t xml:space="preserve"> VPS would </w:t>
      </w:r>
      <w:r w:rsidR="00AC5FAF">
        <w:t>prefer that</w:t>
      </w:r>
      <w:r>
        <w:t xml:space="preserve"> </w:t>
      </w:r>
      <w:r w:rsidR="00AC675E" w:rsidRPr="00324FE5">
        <w:rPr>
          <w:rFonts w:cs="Arial"/>
        </w:rPr>
        <w:t>Level 2 legislation should not mandate specific technical functionalities of CSD systems. The draft ESMA technical standards are in some instances too prescriptive, without this be</w:t>
      </w:r>
      <w:r w:rsidR="00AC5FAF">
        <w:rPr>
          <w:rFonts w:cs="Arial"/>
        </w:rPr>
        <w:t>ing</w:t>
      </w:r>
      <w:r w:rsidR="00AC675E" w:rsidRPr="00324FE5">
        <w:rPr>
          <w:rFonts w:cs="Arial"/>
        </w:rPr>
        <w:t xml:space="preserve"> necessary to achieve the objectives of the CSDR. </w:t>
      </w:r>
      <w:r w:rsidR="00AC5FAF">
        <w:rPr>
          <w:rFonts w:cs="Arial"/>
        </w:rPr>
        <w:t>F</w:t>
      </w:r>
      <w:r w:rsidR="00AC675E" w:rsidRPr="00324FE5">
        <w:rPr>
          <w:rFonts w:cs="Arial"/>
        </w:rPr>
        <w:t>or instance</w:t>
      </w:r>
      <w:r w:rsidR="00AC5FAF">
        <w:rPr>
          <w:rFonts w:cs="Arial"/>
        </w:rPr>
        <w:t>, this is</w:t>
      </w:r>
      <w:r w:rsidR="00AC675E" w:rsidRPr="00324FE5">
        <w:rPr>
          <w:rFonts w:cs="Arial"/>
        </w:rPr>
        <w:t xml:space="preserve"> the case for standards mandating the type of matching fields that should be compulsory in settlement instruments, the technical functionalities that CSDs should have in place to prevent settlement fails (e.g. partial settlement, hold</w:t>
      </w:r>
      <w:r w:rsidR="00AC675E">
        <w:rPr>
          <w:rFonts w:cs="Arial"/>
        </w:rPr>
        <w:t xml:space="preserve">/ </w:t>
      </w:r>
      <w:r w:rsidR="00AC675E" w:rsidRPr="00324FE5">
        <w:rPr>
          <w:rFonts w:cs="Arial"/>
        </w:rPr>
        <w:t>release mechanism), the number and duration of settlement batches CSDs should have at a minimum, or the</w:t>
      </w:r>
      <w:r w:rsidR="00AC675E">
        <w:rPr>
          <w:rFonts w:cs="Arial"/>
        </w:rPr>
        <w:t xml:space="preserve"> technical solutions used to inform</w:t>
      </w:r>
      <w:r w:rsidR="00AC675E" w:rsidRPr="00324FE5">
        <w:rPr>
          <w:rFonts w:cs="Arial"/>
        </w:rPr>
        <w:t xml:space="preserve"> </w:t>
      </w:r>
      <w:r w:rsidR="00AC675E">
        <w:rPr>
          <w:rFonts w:cs="Arial"/>
        </w:rPr>
        <w:t xml:space="preserve">CSD </w:t>
      </w:r>
      <w:r w:rsidR="00AC675E" w:rsidRPr="00324FE5">
        <w:rPr>
          <w:rFonts w:cs="Arial"/>
        </w:rPr>
        <w:t xml:space="preserve">participants </w:t>
      </w:r>
      <w:r w:rsidR="00AC675E">
        <w:rPr>
          <w:rFonts w:cs="Arial"/>
        </w:rPr>
        <w:t xml:space="preserve">of pending </w:t>
      </w:r>
      <w:r w:rsidR="00AC675E" w:rsidRPr="00324FE5">
        <w:rPr>
          <w:rFonts w:cs="Arial"/>
        </w:rPr>
        <w:t>settlement instructions</w:t>
      </w:r>
      <w:r w:rsidR="00AC675E">
        <w:rPr>
          <w:rFonts w:cs="Arial"/>
        </w:rPr>
        <w:t>. In many such instances, VPS believes that a high level of settlement efficiency can better be achieved by allowing CSD</w:t>
      </w:r>
      <w:r w:rsidR="00AC5FAF">
        <w:rPr>
          <w:rFonts w:cs="Arial"/>
        </w:rPr>
        <w:t>s themselves</w:t>
      </w:r>
      <w:r w:rsidR="00AC675E">
        <w:rPr>
          <w:rFonts w:cs="Arial"/>
        </w:rPr>
        <w:t xml:space="preserve"> to decide on the most appropriate tools and technical solutions, based on the specific characteri</w:t>
      </w:r>
      <w:r w:rsidR="00AC675E">
        <w:rPr>
          <w:rFonts w:cs="Arial"/>
        </w:rPr>
        <w:t>s</w:t>
      </w:r>
      <w:r w:rsidR="00AC675E">
        <w:rPr>
          <w:rFonts w:cs="Arial"/>
        </w:rPr>
        <w:t xml:space="preserve">tics of the market in which it operates. </w:t>
      </w:r>
    </w:p>
    <w:p w:rsidR="00AC675E" w:rsidRDefault="00AC675E" w:rsidP="00AC675E">
      <w:pPr>
        <w:spacing w:line="360" w:lineRule="auto"/>
        <w:jc w:val="both"/>
        <w:rPr>
          <w:rFonts w:cs="Arial"/>
        </w:rPr>
      </w:pPr>
    </w:p>
    <w:p w:rsidR="00AC675E" w:rsidRDefault="00AC675E" w:rsidP="00AC675E">
      <w:pPr>
        <w:spacing w:line="360" w:lineRule="auto"/>
        <w:jc w:val="both"/>
        <w:rPr>
          <w:rFonts w:cs="Arial"/>
        </w:rPr>
      </w:pPr>
      <w:r>
        <w:rPr>
          <w:rFonts w:cs="Arial"/>
        </w:rPr>
        <w:t xml:space="preserve">As regards </w:t>
      </w:r>
      <w:r w:rsidRPr="00324FE5">
        <w:rPr>
          <w:rFonts w:cs="Arial"/>
        </w:rPr>
        <w:t xml:space="preserve">certain matching fields and in particular the identification of “transaction types”, </w:t>
      </w:r>
      <w:r>
        <w:rPr>
          <w:rFonts w:cs="Arial"/>
        </w:rPr>
        <w:t>VPS fear</w:t>
      </w:r>
      <w:r w:rsidR="006D1D0C">
        <w:rPr>
          <w:rFonts w:cs="Arial"/>
        </w:rPr>
        <w:t>s</w:t>
      </w:r>
      <w:r>
        <w:rPr>
          <w:rFonts w:cs="Arial"/>
        </w:rPr>
        <w:t xml:space="preserve"> </w:t>
      </w:r>
      <w:r w:rsidRPr="00324FE5">
        <w:rPr>
          <w:rFonts w:cs="Arial"/>
        </w:rPr>
        <w:t>that ESMA underestimates the importance of harmonising market practices prior to impo</w:t>
      </w:r>
      <w:r w:rsidRPr="00324FE5">
        <w:rPr>
          <w:rFonts w:cs="Arial"/>
        </w:rPr>
        <w:t>s</w:t>
      </w:r>
      <w:r w:rsidRPr="00324FE5">
        <w:rPr>
          <w:rFonts w:cs="Arial"/>
        </w:rPr>
        <w:t>ing the use of certain codes. Imposing mandatory matching fields by law might not only create obstacles to future adaptations</w:t>
      </w:r>
      <w:r>
        <w:rPr>
          <w:rFonts w:cs="Arial"/>
        </w:rPr>
        <w:t>, it</w:t>
      </w:r>
      <w:r w:rsidRPr="00324FE5">
        <w:rPr>
          <w:rFonts w:cs="Arial"/>
        </w:rPr>
        <w:t xml:space="preserve"> also is unlikely to bring substantial benefits in terms of impro</w:t>
      </w:r>
      <w:r w:rsidRPr="00324FE5">
        <w:rPr>
          <w:rFonts w:cs="Arial"/>
        </w:rPr>
        <w:t>v</w:t>
      </w:r>
      <w:r w:rsidRPr="00324FE5">
        <w:rPr>
          <w:rFonts w:cs="Arial"/>
        </w:rPr>
        <w:t>ing settlement efficiency. On the contrary, imposing mandatory matching fields without having ensured that all market participants have first agreed and implemented a harmonised market practice as to how these fields should be populated</w:t>
      </w:r>
      <w:r w:rsidR="006D1D0C">
        <w:rPr>
          <w:rFonts w:cs="Arial"/>
        </w:rPr>
        <w:t>,</w:t>
      </w:r>
      <w:r w:rsidRPr="00324FE5">
        <w:rPr>
          <w:rFonts w:cs="Arial"/>
        </w:rPr>
        <w:t xml:space="preserve"> could increase the number of settlement fails and create systemic risk. </w:t>
      </w:r>
    </w:p>
    <w:p w:rsidR="00AC675E" w:rsidRDefault="00AC675E" w:rsidP="00AC675E">
      <w:pPr>
        <w:spacing w:line="360" w:lineRule="auto"/>
        <w:jc w:val="both"/>
        <w:rPr>
          <w:rFonts w:cs="Arial"/>
        </w:rPr>
      </w:pPr>
    </w:p>
    <w:p w:rsidR="00AC675E" w:rsidRDefault="00C96B88" w:rsidP="000930A1">
      <w:pPr>
        <w:spacing w:line="360" w:lineRule="auto"/>
        <w:jc w:val="both"/>
      </w:pPr>
      <w:r>
        <w:rPr>
          <w:rFonts w:cs="Arial"/>
        </w:rPr>
        <w:t xml:space="preserve">VPS would also like to point out that ESMA should not mandate the use of codes which are not compatible with global standards. Some of the codes currently </w:t>
      </w:r>
      <w:r w:rsidR="00AC675E">
        <w:rPr>
          <w:rFonts w:cs="Arial"/>
        </w:rPr>
        <w:t xml:space="preserve">being proposed by ESMA in relation to CSD records and the identification of certain transactions and instruments for the purpose of the settlement discipline regime are not </w:t>
      </w:r>
      <w:r>
        <w:rPr>
          <w:rFonts w:cs="Arial"/>
        </w:rPr>
        <w:t xml:space="preserve">aligned </w:t>
      </w:r>
      <w:r w:rsidR="00AC675E">
        <w:rPr>
          <w:rFonts w:cs="Arial"/>
        </w:rPr>
        <w:t xml:space="preserve">with internationally recognised ISO standards. Given that CSDs and their participants operate in global markets, and given the CSDR requirement for CSDs to use open and international communication standards, </w:t>
      </w:r>
      <w:r w:rsidR="003F2BAF">
        <w:rPr>
          <w:rFonts w:cs="Arial"/>
        </w:rPr>
        <w:t>VPS</w:t>
      </w:r>
      <w:r w:rsidR="00AC675E">
        <w:rPr>
          <w:rFonts w:cs="Arial"/>
        </w:rPr>
        <w:t xml:space="preserve"> strongly believes that</w:t>
      </w:r>
      <w:r>
        <w:rPr>
          <w:rFonts w:cs="Arial"/>
        </w:rPr>
        <w:t xml:space="preserve">, when harmonised standards are required in </w:t>
      </w:r>
      <w:r w:rsidR="00AC675E">
        <w:rPr>
          <w:rFonts w:cs="Arial"/>
        </w:rPr>
        <w:t>Level 2 legislation</w:t>
      </w:r>
      <w:r>
        <w:rPr>
          <w:rFonts w:cs="Arial"/>
        </w:rPr>
        <w:t>, these</w:t>
      </w:r>
      <w:r w:rsidR="00AC675E">
        <w:rPr>
          <w:rFonts w:cs="Arial"/>
        </w:rPr>
        <w:t xml:space="preserve"> should be compatible with international standards. </w:t>
      </w:r>
    </w:p>
    <w:permEnd w:id="1143828038"/>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693EA3" w:rsidP="00124278">
      <w:permStart w:id="334117651" w:edGrp="everyone"/>
      <w:r>
        <w:t>VPS refer</w:t>
      </w:r>
      <w:r w:rsidR="006D1D0C">
        <w:t>s</w:t>
      </w:r>
      <w:r>
        <w:t xml:space="preserve"> to the response of ECSDA</w:t>
      </w:r>
      <w:r w:rsidR="006D1D0C">
        <w:t>,</w:t>
      </w:r>
      <w:r>
        <w:t xml:space="preserve"> which we fully support.</w:t>
      </w:r>
    </w:p>
    <w:permEnd w:id="334117651"/>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233680" w:rsidRDefault="00693EA3" w:rsidP="00D12AFD">
      <w:pPr>
        <w:rPr>
          <w:rFonts w:cs="Arial"/>
        </w:rPr>
      </w:pPr>
      <w:permStart w:id="1208892704" w:edGrp="everyone"/>
      <w:r>
        <w:t>VPS refer</w:t>
      </w:r>
      <w:r w:rsidR="006D1D0C">
        <w:t>s</w:t>
      </w:r>
      <w:r>
        <w:t xml:space="preserve"> to the response of ECSDA</w:t>
      </w:r>
      <w:r w:rsidR="006D1D0C">
        <w:t>,</w:t>
      </w:r>
      <w:r>
        <w:t xml:space="preserve"> which we fully support.</w:t>
      </w:r>
      <w:r w:rsidR="00CF6961">
        <w:t xml:space="preserve"> </w:t>
      </w:r>
      <w:r w:rsidR="00CF6961" w:rsidRPr="00471CCF">
        <w:rPr>
          <w:rFonts w:cs="Arial"/>
        </w:rPr>
        <w:t>The draft Level 2 measures i</w:t>
      </w:r>
      <w:r w:rsidR="00CF6961" w:rsidRPr="00471CCF">
        <w:rPr>
          <w:rFonts w:cs="Arial"/>
        </w:rPr>
        <w:t>s</w:t>
      </w:r>
      <w:r w:rsidR="00CF6961" w:rsidRPr="00471CCF">
        <w:rPr>
          <w:rFonts w:cs="Arial"/>
        </w:rPr>
        <w:t xml:space="preserve">sued by ESMA for consultation in December 2014 in the context of the CSD Regulation </w:t>
      </w:r>
      <w:r w:rsidR="00CF6961">
        <w:rPr>
          <w:rFonts w:cs="Arial"/>
        </w:rPr>
        <w:t>(CSDR)</w:t>
      </w:r>
      <w:r w:rsidR="006D1D0C">
        <w:rPr>
          <w:rFonts w:cs="Arial"/>
        </w:rPr>
        <w:t>,</w:t>
      </w:r>
      <w:r w:rsidR="00CF6961">
        <w:rPr>
          <w:rFonts w:cs="Arial"/>
        </w:rPr>
        <w:t xml:space="preserve"> </w:t>
      </w:r>
      <w:r w:rsidR="00CF6961" w:rsidRPr="00471CCF">
        <w:rPr>
          <w:rFonts w:cs="Arial"/>
        </w:rPr>
        <w:t>would create a settlement discipline framework which has the potential to substantially affect the way securities transactions are cleared and settled today.</w:t>
      </w:r>
      <w:r w:rsidR="00CF6961">
        <w:rPr>
          <w:rFonts w:cs="Arial"/>
        </w:rPr>
        <w:t xml:space="preserve"> As shown by ECSDA, d</w:t>
      </w:r>
      <w:r w:rsidR="00EF7298">
        <w:rPr>
          <w:rFonts w:cs="Arial"/>
        </w:rPr>
        <w:t>espite gene</w:t>
      </w:r>
      <w:r w:rsidR="00EF7298">
        <w:rPr>
          <w:rFonts w:cs="Arial"/>
        </w:rPr>
        <w:t>r</w:t>
      </w:r>
      <w:r w:rsidR="00EF7298">
        <w:rPr>
          <w:rFonts w:cs="Arial"/>
        </w:rPr>
        <w:t>ally high settlement efficiency rates across EU CSD</w:t>
      </w:r>
      <w:r w:rsidR="006D1D0C">
        <w:rPr>
          <w:rFonts w:cs="Arial"/>
        </w:rPr>
        <w:t>s</w:t>
      </w:r>
      <w:r w:rsidR="00EF7298">
        <w:rPr>
          <w:rFonts w:cs="Arial"/>
        </w:rPr>
        <w:t>, the volume and valu</w:t>
      </w:r>
      <w:r w:rsidR="006D1D0C">
        <w:rPr>
          <w:rFonts w:cs="Arial"/>
        </w:rPr>
        <w:t>e of instructions at stake mean</w:t>
      </w:r>
      <w:r w:rsidR="00EF7298">
        <w:rPr>
          <w:rFonts w:cs="Arial"/>
        </w:rPr>
        <w:t xml:space="preserve"> that the impact of ESMA’s draft standards is likely to be substantial. </w:t>
      </w:r>
      <w:r w:rsidR="00CF6961">
        <w:rPr>
          <w:rFonts w:cs="Arial"/>
        </w:rPr>
        <w:t>The impleme</w:t>
      </w:r>
      <w:r w:rsidR="00CF6961">
        <w:rPr>
          <w:rFonts w:cs="Arial"/>
        </w:rPr>
        <w:t>n</w:t>
      </w:r>
      <w:r w:rsidR="00CF6961">
        <w:rPr>
          <w:rFonts w:cs="Arial"/>
        </w:rPr>
        <w:t xml:space="preserve">tation cost </w:t>
      </w:r>
      <w:r w:rsidR="00EF7298">
        <w:rPr>
          <w:rFonts w:cs="Arial"/>
        </w:rPr>
        <w:t xml:space="preserve">of the measures for CSDs to comply with the proposed settlement discipline rules will as shown by </w:t>
      </w:r>
      <w:r w:rsidR="00CF6961">
        <w:rPr>
          <w:rFonts w:cs="Arial"/>
        </w:rPr>
        <w:t>as shown by ECSDA</w:t>
      </w:r>
      <w:r w:rsidR="006D1D0C">
        <w:rPr>
          <w:rFonts w:cs="Arial"/>
        </w:rPr>
        <w:t>,</w:t>
      </w:r>
      <w:r w:rsidR="00CF6961">
        <w:rPr>
          <w:rFonts w:cs="Arial"/>
        </w:rPr>
        <w:t xml:space="preserve"> </w:t>
      </w:r>
      <w:r w:rsidR="00EF7298">
        <w:rPr>
          <w:rFonts w:cs="Arial"/>
        </w:rPr>
        <w:t>amount to over EUR 67 million, or EUR 3.5 million per CSD on average. In addition</w:t>
      </w:r>
      <w:r w:rsidR="006D1D0C">
        <w:rPr>
          <w:rFonts w:cs="Arial"/>
        </w:rPr>
        <w:t>,</w:t>
      </w:r>
      <w:r w:rsidR="00EF7298">
        <w:rPr>
          <w:rFonts w:cs="Arial"/>
        </w:rPr>
        <w:t xml:space="preserve"> the cost incurred by CSD participants and other impacted infrastructure</w:t>
      </w:r>
      <w:r w:rsidR="006D1D0C">
        <w:rPr>
          <w:rFonts w:cs="Arial"/>
        </w:rPr>
        <w:t xml:space="preserve"> institutions,</w:t>
      </w:r>
      <w:r w:rsidR="00EF7298">
        <w:rPr>
          <w:rFonts w:cs="Arial"/>
        </w:rPr>
        <w:t xml:space="preserve"> such as CCPs</w:t>
      </w:r>
      <w:r w:rsidR="006D1D0C">
        <w:rPr>
          <w:rFonts w:cs="Arial"/>
        </w:rPr>
        <w:t>,</w:t>
      </w:r>
      <w:r w:rsidR="00EF7298">
        <w:rPr>
          <w:rFonts w:cs="Arial"/>
        </w:rPr>
        <w:t xml:space="preserve"> will have to be added to this and is also expected to be substantial. The </w:t>
      </w:r>
      <w:r w:rsidR="00C96B88">
        <w:rPr>
          <w:rFonts w:cs="Arial"/>
        </w:rPr>
        <w:t xml:space="preserve">negative </w:t>
      </w:r>
      <w:r w:rsidR="00EF7298">
        <w:rPr>
          <w:rFonts w:cs="Arial"/>
        </w:rPr>
        <w:t xml:space="preserve">impact of the adaptions from CSDs and market participants on the efficiency and stability of post trade processes should not be underestimated. </w:t>
      </w:r>
    </w:p>
    <w:p w:rsidR="00233680" w:rsidRDefault="00233680" w:rsidP="00D12AFD">
      <w:pPr>
        <w:rPr>
          <w:rFonts w:cs="Arial"/>
        </w:rPr>
      </w:pPr>
    </w:p>
    <w:p w:rsidR="00233680" w:rsidRPr="00233680" w:rsidRDefault="00233680" w:rsidP="00233680">
      <w:pPr>
        <w:rPr>
          <w:rFonts w:cs="Arial"/>
        </w:rPr>
      </w:pPr>
      <w:r w:rsidRPr="00233680">
        <w:rPr>
          <w:rFonts w:cs="Arial"/>
        </w:rPr>
        <w:t>In our opinion</w:t>
      </w:r>
      <w:r w:rsidR="003969E8">
        <w:rPr>
          <w:rFonts w:cs="Arial"/>
        </w:rPr>
        <w:t>,</w:t>
      </w:r>
      <w:r w:rsidRPr="00233680">
        <w:rPr>
          <w:rFonts w:cs="Arial"/>
        </w:rPr>
        <w:t xml:space="preserve"> only transactions in instruments a) admitted to trading on a trading venue, or b) traded on a trading venue, or cleared by a CCP</w:t>
      </w:r>
      <w:r w:rsidR="003969E8">
        <w:rPr>
          <w:rFonts w:cs="Arial"/>
        </w:rPr>
        <w:t>,</w:t>
      </w:r>
      <w:r>
        <w:rPr>
          <w:rFonts w:cs="Arial"/>
        </w:rPr>
        <w:t xml:space="preserve"> should be</w:t>
      </w:r>
      <w:r w:rsidRPr="00233680">
        <w:rPr>
          <w:rFonts w:cs="Arial"/>
        </w:rPr>
        <w:t xml:space="preserve"> subject to late settlement penalties under article 7 (2) and buy-ins under article 7 (3) of the CSDR.</w:t>
      </w:r>
      <w:r>
        <w:rPr>
          <w:rFonts w:cs="Arial"/>
        </w:rPr>
        <w:t xml:space="preserve"> </w:t>
      </w:r>
      <w:r w:rsidRPr="00233680">
        <w:rPr>
          <w:rFonts w:cs="Arial"/>
        </w:rPr>
        <w:t>Th</w:t>
      </w:r>
      <w:r>
        <w:rPr>
          <w:rFonts w:cs="Arial"/>
        </w:rPr>
        <w:t xml:space="preserve">is </w:t>
      </w:r>
      <w:r w:rsidRPr="00233680">
        <w:rPr>
          <w:rFonts w:cs="Arial"/>
        </w:rPr>
        <w:t>limitation is in line with the original Commission proposal and article 7 (10) of the CSDR. A wider scope could have uni</w:t>
      </w:r>
      <w:r w:rsidRPr="00233680">
        <w:rPr>
          <w:rFonts w:cs="Arial"/>
        </w:rPr>
        <w:t>n</w:t>
      </w:r>
      <w:r w:rsidRPr="00233680">
        <w:rPr>
          <w:rFonts w:cs="Arial"/>
        </w:rPr>
        <w:t>tended consequences for less-traded instruments and private transactions.</w:t>
      </w:r>
    </w:p>
    <w:p w:rsidR="00233680" w:rsidRDefault="00233680" w:rsidP="00D12AFD">
      <w:pPr>
        <w:rPr>
          <w:rFonts w:cs="Arial"/>
        </w:rPr>
      </w:pPr>
    </w:p>
    <w:p w:rsidR="00233680" w:rsidRPr="00233680" w:rsidRDefault="00EF7298" w:rsidP="00D12AFD">
      <w:pPr>
        <w:rPr>
          <w:rFonts w:cs="Arial"/>
        </w:rPr>
      </w:pPr>
      <w:r>
        <w:rPr>
          <w:rFonts w:cs="Arial"/>
        </w:rPr>
        <w:t>VPS is also</w:t>
      </w:r>
      <w:r w:rsidR="003969E8">
        <w:rPr>
          <w:rFonts w:cs="Arial"/>
        </w:rPr>
        <w:t>,</w:t>
      </w:r>
      <w:r>
        <w:rPr>
          <w:rFonts w:cs="Arial"/>
        </w:rPr>
        <w:t xml:space="preserve"> as ECSDA</w:t>
      </w:r>
      <w:r w:rsidR="003969E8">
        <w:rPr>
          <w:rFonts w:cs="Arial"/>
        </w:rPr>
        <w:t>,</w:t>
      </w:r>
      <w:r>
        <w:rPr>
          <w:rFonts w:cs="Arial"/>
        </w:rPr>
        <w:t xml:space="preserve"> </w:t>
      </w:r>
      <w:r w:rsidR="00CF6961" w:rsidRPr="00AD2461">
        <w:rPr>
          <w:rFonts w:cs="Arial"/>
        </w:rPr>
        <w:t xml:space="preserve">particularly concerned about </w:t>
      </w:r>
      <w:r>
        <w:rPr>
          <w:rFonts w:cs="Arial"/>
        </w:rPr>
        <w:t>ESMA</w:t>
      </w:r>
      <w:r w:rsidR="003969E8">
        <w:rPr>
          <w:rFonts w:cs="Arial"/>
        </w:rPr>
        <w:t>’</w:t>
      </w:r>
      <w:r>
        <w:rPr>
          <w:rFonts w:cs="Arial"/>
        </w:rPr>
        <w:t xml:space="preserve">s proposal </w:t>
      </w:r>
      <w:r w:rsidR="00CF6961" w:rsidRPr="00AD2461">
        <w:rPr>
          <w:rFonts w:cs="Arial"/>
        </w:rPr>
        <w:t xml:space="preserve">to give CSDs </w:t>
      </w:r>
      <w:r>
        <w:rPr>
          <w:rFonts w:cs="Arial"/>
        </w:rPr>
        <w:t>a</w:t>
      </w:r>
      <w:r w:rsidR="00CF6961" w:rsidRPr="00AD2461">
        <w:rPr>
          <w:rFonts w:cs="Arial"/>
        </w:rPr>
        <w:t xml:space="preserve"> unpre</w:t>
      </w:r>
      <w:r w:rsidR="00CF6961" w:rsidRPr="00AD2461">
        <w:rPr>
          <w:rFonts w:cs="Arial"/>
        </w:rPr>
        <w:t>c</w:t>
      </w:r>
      <w:r w:rsidR="00CF6961" w:rsidRPr="00AD2461">
        <w:rPr>
          <w:rFonts w:cs="Arial"/>
        </w:rPr>
        <w:t xml:space="preserve">edented central role in relation to buy-ins. </w:t>
      </w:r>
      <w:r>
        <w:rPr>
          <w:rFonts w:cs="Arial"/>
        </w:rPr>
        <w:t xml:space="preserve">VPS </w:t>
      </w:r>
      <w:r w:rsidR="00CF6961" w:rsidRPr="00AD2461">
        <w:rPr>
          <w:rFonts w:cs="Arial"/>
        </w:rPr>
        <w:t xml:space="preserve">fear that some of the tasks </w:t>
      </w:r>
      <w:r>
        <w:rPr>
          <w:rFonts w:cs="Arial"/>
        </w:rPr>
        <w:t xml:space="preserve">connected to this new role </w:t>
      </w:r>
      <w:r w:rsidR="00CF6961" w:rsidRPr="00AD2461">
        <w:rPr>
          <w:rFonts w:cs="Arial"/>
        </w:rPr>
        <w:t xml:space="preserve">might not be practically possible for </w:t>
      </w:r>
      <w:r>
        <w:rPr>
          <w:rFonts w:cs="Arial"/>
        </w:rPr>
        <w:t xml:space="preserve">CSDs </w:t>
      </w:r>
      <w:r w:rsidR="00CF6961" w:rsidRPr="00AD2461">
        <w:rPr>
          <w:rFonts w:cs="Arial"/>
        </w:rPr>
        <w:t xml:space="preserve">to perform, and </w:t>
      </w:r>
      <w:r>
        <w:rPr>
          <w:rFonts w:cs="Arial"/>
        </w:rPr>
        <w:t xml:space="preserve">are </w:t>
      </w:r>
      <w:r w:rsidR="00CF6961" w:rsidRPr="00AD2461">
        <w:rPr>
          <w:rFonts w:cs="Arial"/>
        </w:rPr>
        <w:t>also worr</w:t>
      </w:r>
      <w:r>
        <w:rPr>
          <w:rFonts w:cs="Arial"/>
        </w:rPr>
        <w:t xml:space="preserve">ied </w:t>
      </w:r>
      <w:r w:rsidR="00CF6961" w:rsidRPr="00AD2461">
        <w:rPr>
          <w:rFonts w:cs="Arial"/>
        </w:rPr>
        <w:t xml:space="preserve">that these new responsibilities will unavoidably have an impact on </w:t>
      </w:r>
      <w:r w:rsidR="00AC675E">
        <w:rPr>
          <w:rFonts w:cs="Arial"/>
        </w:rPr>
        <w:t>CSDs</w:t>
      </w:r>
      <w:r w:rsidR="003969E8">
        <w:rPr>
          <w:rFonts w:cs="Arial"/>
        </w:rPr>
        <w:t>’</w:t>
      </w:r>
      <w:r w:rsidR="00AC675E">
        <w:rPr>
          <w:rFonts w:cs="Arial"/>
        </w:rPr>
        <w:t xml:space="preserve"> liability, </w:t>
      </w:r>
      <w:r w:rsidR="00CF6961">
        <w:rPr>
          <w:rFonts w:cs="Arial"/>
        </w:rPr>
        <w:t>increasing their</w:t>
      </w:r>
      <w:r w:rsidR="00CF6961" w:rsidRPr="00AD2461">
        <w:rPr>
          <w:rFonts w:cs="Arial"/>
        </w:rPr>
        <w:t xml:space="preserve"> risk</w:t>
      </w:r>
      <w:r w:rsidR="00CF6961">
        <w:rPr>
          <w:rFonts w:cs="Arial"/>
        </w:rPr>
        <w:t xml:space="preserve"> profile. </w:t>
      </w:r>
      <w:r w:rsidR="00AC675E">
        <w:rPr>
          <w:rFonts w:cs="Arial"/>
        </w:rPr>
        <w:t xml:space="preserve">VPS </w:t>
      </w:r>
      <w:r w:rsidR="00CF6961">
        <w:rPr>
          <w:rFonts w:cs="Arial"/>
        </w:rPr>
        <w:t xml:space="preserve">strongly believes that an alternative approach is required, whereby buy-ins </w:t>
      </w:r>
      <w:r w:rsidR="00AC675E">
        <w:rPr>
          <w:rFonts w:cs="Arial"/>
        </w:rPr>
        <w:t xml:space="preserve">will be </w:t>
      </w:r>
      <w:r w:rsidR="00CF6961">
        <w:rPr>
          <w:rFonts w:cs="Arial"/>
        </w:rPr>
        <w:t xml:space="preserve">handled at trading level, in line with today’s accepted </w:t>
      </w:r>
      <w:r w:rsidR="00AC675E">
        <w:rPr>
          <w:rFonts w:cs="Arial"/>
        </w:rPr>
        <w:t>market practice</w:t>
      </w:r>
      <w:r w:rsidR="00CF6961">
        <w:rPr>
          <w:rFonts w:cs="Arial"/>
        </w:rPr>
        <w:t>, rather than at the settlement level.</w:t>
      </w:r>
    </w:p>
    <w:permEnd w:id="1208892704"/>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693EA3" w:rsidRDefault="00693EA3" w:rsidP="00D12AFD">
      <w:permStart w:id="2007895874" w:edGrp="everyone"/>
      <w:r>
        <w:t>VPS refer</w:t>
      </w:r>
      <w:r w:rsidR="003969E8">
        <w:t>s</w:t>
      </w:r>
      <w:r>
        <w:t xml:space="preserve"> to the response of ECSDA</w:t>
      </w:r>
      <w:r w:rsidR="003969E8">
        <w:t>,</w:t>
      </w:r>
      <w:r>
        <w:t xml:space="preserve"> which we fully support.</w:t>
      </w:r>
      <w:r w:rsidR="00CF6961">
        <w:t xml:space="preserve"> </w:t>
      </w:r>
    </w:p>
    <w:permEnd w:id="2007895874"/>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693EA3" w:rsidRDefault="00693EA3" w:rsidP="00D12AFD">
      <w:permStart w:id="525869849" w:edGrp="everyone"/>
      <w:r>
        <w:t>VPS refer</w:t>
      </w:r>
      <w:r w:rsidR="003969E8">
        <w:t>s</w:t>
      </w:r>
      <w:r>
        <w:t xml:space="preserve"> to the response of ECSDA</w:t>
      </w:r>
      <w:r w:rsidR="003969E8">
        <w:t>,</w:t>
      </w:r>
      <w:r>
        <w:t xml:space="preserve"> which we fully support.</w:t>
      </w:r>
    </w:p>
    <w:permEnd w:id="525869849"/>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693EA3" w:rsidRDefault="00693EA3" w:rsidP="00D12AFD">
      <w:permStart w:id="1730949132" w:edGrp="everyone"/>
      <w:r>
        <w:t>VPS refer</w:t>
      </w:r>
      <w:r w:rsidR="003969E8">
        <w:t>s</w:t>
      </w:r>
      <w:r>
        <w:t xml:space="preserve"> to the response of ECSDA</w:t>
      </w:r>
      <w:r w:rsidR="003969E8">
        <w:t>,</w:t>
      </w:r>
      <w:r>
        <w:t xml:space="preserve"> which we fully support.</w:t>
      </w:r>
    </w:p>
    <w:permEnd w:id="1730949132"/>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693EA3" w:rsidRDefault="00693EA3" w:rsidP="00D12AFD">
      <w:permStart w:id="1916908" w:edGrp="everyone"/>
      <w:r>
        <w:t>VPS refer</w:t>
      </w:r>
      <w:r w:rsidR="003969E8">
        <w:t>s</w:t>
      </w:r>
      <w:r>
        <w:t xml:space="preserve"> to the response of ECSDA</w:t>
      </w:r>
      <w:r w:rsidR="003969E8">
        <w:t>.</w:t>
      </w:r>
      <w:r>
        <w:t xml:space="preserve"> which we fully support.</w:t>
      </w:r>
    </w:p>
    <w:permEnd w:id="1916908"/>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693EA3" w:rsidP="00124278">
      <w:permStart w:id="1858081782" w:edGrp="everyone"/>
      <w:r>
        <w:t>VPS refer</w:t>
      </w:r>
      <w:r w:rsidR="003969E8">
        <w:t>s</w:t>
      </w:r>
      <w:r>
        <w:t xml:space="preserve"> to the response of ECSDA</w:t>
      </w:r>
      <w:r w:rsidR="003969E8">
        <w:t>,</w:t>
      </w:r>
      <w:r>
        <w:t xml:space="preserve"> which we fully support.</w:t>
      </w:r>
    </w:p>
    <w:permEnd w:id="1858081782"/>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693EA3" w:rsidRDefault="00693EA3" w:rsidP="00D12AFD">
      <w:permStart w:id="869601355" w:edGrp="everyone"/>
      <w:r>
        <w:t>VPS refer</w:t>
      </w:r>
      <w:r w:rsidR="003969E8">
        <w:t>s</w:t>
      </w:r>
      <w:r>
        <w:t xml:space="preserve"> to the response of ECSDA</w:t>
      </w:r>
      <w:r w:rsidR="003969E8">
        <w:t>,</w:t>
      </w:r>
      <w:r>
        <w:t xml:space="preserve"> which we fully support.</w:t>
      </w:r>
    </w:p>
    <w:permEnd w:id="869601355"/>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693EA3" w:rsidRDefault="00693EA3" w:rsidP="00D12AFD">
      <w:permStart w:id="1257972372" w:edGrp="everyone"/>
      <w:r>
        <w:t>VPS refer</w:t>
      </w:r>
      <w:r w:rsidR="003969E8">
        <w:t>s</w:t>
      </w:r>
      <w:r>
        <w:t xml:space="preserve"> to the response of ECSDA</w:t>
      </w:r>
      <w:r w:rsidR="003969E8">
        <w:t>,</w:t>
      </w:r>
      <w:r>
        <w:t xml:space="preserve"> which we fully support.</w:t>
      </w:r>
    </w:p>
    <w:permEnd w:id="1257972372"/>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5F052C" w:rsidRPr="005F052C" w:rsidRDefault="00693EA3" w:rsidP="00D12AFD">
      <w:pPr>
        <w:rPr>
          <w:rFonts w:cs="Arial"/>
        </w:rPr>
      </w:pPr>
      <w:permStart w:id="1405765131" w:edGrp="everyone"/>
      <w:r>
        <w:t>VPS refer</w:t>
      </w:r>
      <w:r w:rsidR="003969E8">
        <w:t>s</w:t>
      </w:r>
      <w:r>
        <w:t xml:space="preserve"> to the response of ECSDA</w:t>
      </w:r>
      <w:r w:rsidR="003969E8">
        <w:t>,</w:t>
      </w:r>
      <w:r>
        <w:t xml:space="preserve"> which we fully support.</w:t>
      </w:r>
      <w:r w:rsidR="005F052C">
        <w:t xml:space="preserve"> We particularly refer to ECSDA</w:t>
      </w:r>
      <w:r w:rsidR="003969E8">
        <w:t>’</w:t>
      </w:r>
      <w:r w:rsidR="005F052C">
        <w:t xml:space="preserve">s comments regarding the fact that </w:t>
      </w:r>
      <w:r w:rsidR="005F052C" w:rsidRPr="00615E24">
        <w:rPr>
          <w:rFonts w:cs="Arial"/>
        </w:rPr>
        <w:t>the</w:t>
      </w:r>
      <w:r w:rsidR="005F052C">
        <w:rPr>
          <w:rFonts w:cs="Arial"/>
        </w:rPr>
        <w:t xml:space="preserve"> timing of the implementation of </w:t>
      </w:r>
      <w:r w:rsidR="005F052C" w:rsidRPr="00615E24">
        <w:rPr>
          <w:rFonts w:cs="Arial"/>
        </w:rPr>
        <w:t xml:space="preserve">settlement discipline measures </w:t>
      </w:r>
      <w:r w:rsidR="005F052C">
        <w:rPr>
          <w:rFonts w:cs="Arial"/>
        </w:rPr>
        <w:t xml:space="preserve">is closely linked to the implementation of record </w:t>
      </w:r>
      <w:r w:rsidR="005F052C" w:rsidRPr="00615E24">
        <w:rPr>
          <w:rFonts w:cs="Arial"/>
        </w:rPr>
        <w:t>keeping requirements</w:t>
      </w:r>
      <w:r w:rsidR="005F052C">
        <w:rPr>
          <w:rFonts w:cs="Arial"/>
        </w:rPr>
        <w:t>, as</w:t>
      </w:r>
      <w:r w:rsidR="005F052C" w:rsidRPr="00615E24">
        <w:rPr>
          <w:rFonts w:cs="Arial"/>
        </w:rPr>
        <w:t xml:space="preserve"> set out in the separate technical standards on CSD authorisation. </w:t>
      </w:r>
      <w:r w:rsidR="005F052C">
        <w:rPr>
          <w:rFonts w:cs="Arial"/>
        </w:rPr>
        <w:t>It is our opinion that</w:t>
      </w:r>
      <w:r w:rsidR="005F052C" w:rsidRPr="00615E24">
        <w:rPr>
          <w:rFonts w:cs="Arial"/>
        </w:rPr>
        <w:t xml:space="preserve"> the implementation timeline </w:t>
      </w:r>
      <w:r w:rsidR="005F052C">
        <w:rPr>
          <w:rFonts w:cs="Arial"/>
        </w:rPr>
        <w:t>of record keeping requirements must be</w:t>
      </w:r>
      <w:r w:rsidR="005F052C" w:rsidRPr="00615E24">
        <w:rPr>
          <w:rFonts w:cs="Arial"/>
        </w:rPr>
        <w:t xml:space="preserve"> aligned with the </w:t>
      </w:r>
      <w:r w:rsidR="005F052C">
        <w:rPr>
          <w:rFonts w:cs="Arial"/>
        </w:rPr>
        <w:t>timeline for</w:t>
      </w:r>
      <w:r w:rsidR="005F052C" w:rsidRPr="00615E24">
        <w:rPr>
          <w:rFonts w:cs="Arial"/>
        </w:rPr>
        <w:t xml:space="preserve"> penalties and b</w:t>
      </w:r>
      <w:r w:rsidR="005F052C">
        <w:rPr>
          <w:rFonts w:cs="Arial"/>
        </w:rPr>
        <w:t>uy-ins. At the very least, the CSD records linked to the</w:t>
      </w:r>
      <w:r w:rsidR="005F052C" w:rsidRPr="00615E24">
        <w:rPr>
          <w:rFonts w:cs="Arial"/>
        </w:rPr>
        <w:t xml:space="preserve"> settlement discipline</w:t>
      </w:r>
      <w:r w:rsidR="005F052C">
        <w:rPr>
          <w:rFonts w:cs="Arial"/>
        </w:rPr>
        <w:t xml:space="preserve"> framework</w:t>
      </w:r>
      <w:r w:rsidR="005F052C" w:rsidRPr="00615E24">
        <w:rPr>
          <w:rFonts w:cs="Arial"/>
        </w:rPr>
        <w:t xml:space="preserve"> need to be decoupled </w:t>
      </w:r>
      <w:r w:rsidR="005F052C">
        <w:rPr>
          <w:rFonts w:cs="Arial"/>
        </w:rPr>
        <w:t>from other records</w:t>
      </w:r>
      <w:r w:rsidR="003969E8">
        <w:rPr>
          <w:rFonts w:cs="Arial"/>
        </w:rPr>
        <w:t>,</w:t>
      </w:r>
      <w:r w:rsidR="005F052C">
        <w:rPr>
          <w:rFonts w:cs="Arial"/>
        </w:rPr>
        <w:t xml:space="preserve"> as they will not be practically “implementable” until the entry into force of t</w:t>
      </w:r>
      <w:r w:rsidR="005F052C" w:rsidRPr="00615E24">
        <w:rPr>
          <w:rFonts w:cs="Arial"/>
        </w:rPr>
        <w:t xml:space="preserve">he settlement discipline provisions, i.e. </w:t>
      </w:r>
      <w:r w:rsidR="005F052C">
        <w:rPr>
          <w:rFonts w:cs="Arial"/>
        </w:rPr>
        <w:t xml:space="preserve">ideally </w:t>
      </w:r>
      <w:r w:rsidR="005F052C" w:rsidRPr="00615E24">
        <w:rPr>
          <w:rFonts w:cs="Arial"/>
        </w:rPr>
        <w:t>at least 24 months after publication of the technical standards.</w:t>
      </w:r>
    </w:p>
    <w:permEnd w:id="1405765131"/>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570D86" w:rsidRDefault="00693EA3" w:rsidP="00570D86">
      <w:pPr>
        <w:tabs>
          <w:tab w:val="left" w:pos="567"/>
        </w:tabs>
        <w:spacing w:line="360" w:lineRule="auto"/>
        <w:jc w:val="both"/>
      </w:pPr>
      <w:permStart w:id="861094600" w:edGrp="everyone"/>
      <w:r>
        <w:t>VPS refer</w:t>
      </w:r>
      <w:r w:rsidR="003969E8">
        <w:t>s</w:t>
      </w:r>
      <w:r>
        <w:t xml:space="preserve"> to the response of ECSDA</w:t>
      </w:r>
      <w:r w:rsidR="003969E8">
        <w:t>,</w:t>
      </w:r>
      <w:r>
        <w:t xml:space="preserve"> which we fully support.</w:t>
      </w:r>
      <w:r w:rsidR="00570D86">
        <w:t xml:space="preserve"> </w:t>
      </w:r>
    </w:p>
    <w:p w:rsidR="00570D86" w:rsidRDefault="00570D86" w:rsidP="00570D86">
      <w:pPr>
        <w:tabs>
          <w:tab w:val="left" w:pos="567"/>
        </w:tabs>
        <w:spacing w:line="360" w:lineRule="auto"/>
        <w:jc w:val="both"/>
      </w:pPr>
    </w:p>
    <w:p w:rsidR="00570D86" w:rsidRDefault="00570D86" w:rsidP="00570D86">
      <w:pPr>
        <w:tabs>
          <w:tab w:val="left" w:pos="567"/>
        </w:tabs>
        <w:spacing w:line="360" w:lineRule="auto"/>
        <w:jc w:val="both"/>
        <w:rPr>
          <w:rFonts w:cs="Arial"/>
        </w:rPr>
      </w:pPr>
      <w:r>
        <w:t>We particularly refer to ECSDAs comments regarding art 4 RTS, p 161 Information for groups. W</w:t>
      </w:r>
      <w:r w:rsidRPr="00570D86">
        <w:rPr>
          <w:rFonts w:cs="Arial"/>
        </w:rPr>
        <w:t>e believe that the first sentence of the article should be rephrased to be more closely aligned with art.26(7) of the CSDR which restricts the provision of detailed information on policies and procedures to cases where there are one or more CSDs and/or credit institutions in the corp</w:t>
      </w:r>
      <w:r w:rsidRPr="00570D86">
        <w:rPr>
          <w:rFonts w:cs="Arial"/>
        </w:rPr>
        <w:t>o</w:t>
      </w:r>
      <w:r w:rsidRPr="00570D86">
        <w:rPr>
          <w:rFonts w:cs="Arial"/>
        </w:rPr>
        <w:t xml:space="preserve">rate group to which the CSD belongs. </w:t>
      </w:r>
      <w:r>
        <w:rPr>
          <w:rFonts w:cs="Arial"/>
        </w:rPr>
        <w:t>As regards a</w:t>
      </w:r>
      <w:r w:rsidRPr="0052409D">
        <w:rPr>
          <w:rFonts w:cs="Arial"/>
        </w:rPr>
        <w:t>rt</w:t>
      </w:r>
      <w:r>
        <w:rPr>
          <w:rFonts w:cs="Arial"/>
        </w:rPr>
        <w:t>.</w:t>
      </w:r>
      <w:r w:rsidRPr="0052409D">
        <w:rPr>
          <w:rFonts w:cs="Arial"/>
        </w:rPr>
        <w:t>4(1)(b)</w:t>
      </w:r>
      <w:r>
        <w:rPr>
          <w:rFonts w:cs="Arial"/>
        </w:rPr>
        <w:t>, we assume that ESMA wishes the competent authority to obtain information on</w:t>
      </w:r>
      <w:r w:rsidRPr="0052409D">
        <w:rPr>
          <w:rFonts w:cs="Arial"/>
        </w:rPr>
        <w:t xml:space="preserve"> the parent company </w:t>
      </w:r>
      <w:r>
        <w:rPr>
          <w:rFonts w:cs="Arial"/>
        </w:rPr>
        <w:t>and other relevant group ent</w:t>
      </w:r>
      <w:r>
        <w:rPr>
          <w:rFonts w:cs="Arial"/>
        </w:rPr>
        <w:t>i</w:t>
      </w:r>
      <w:r>
        <w:rPr>
          <w:rFonts w:cs="Arial"/>
        </w:rPr>
        <w:t xml:space="preserve">ties (other CSDs or credit institutions), rather than on all entities </w:t>
      </w:r>
      <w:r w:rsidRPr="0052409D">
        <w:rPr>
          <w:rFonts w:cs="Arial"/>
        </w:rPr>
        <w:t>of the group</w:t>
      </w:r>
      <w:r>
        <w:rPr>
          <w:rFonts w:cs="Arial"/>
        </w:rPr>
        <w:t xml:space="preserve">. </w:t>
      </w:r>
      <w:r w:rsidR="00204BA4">
        <w:rPr>
          <w:rFonts w:cs="Arial"/>
        </w:rPr>
        <w:t>Thus, w</w:t>
      </w:r>
      <w:r>
        <w:rPr>
          <w:rFonts w:cs="Arial"/>
        </w:rPr>
        <w:t>e reco</w:t>
      </w:r>
      <w:r>
        <w:rPr>
          <w:rFonts w:cs="Arial"/>
        </w:rPr>
        <w:t>m</w:t>
      </w:r>
      <w:r>
        <w:rPr>
          <w:rFonts w:cs="Arial"/>
        </w:rPr>
        <w:t xml:space="preserve">mend amending the article to specify more clearly </w:t>
      </w:r>
      <w:r w:rsidR="003F2BAF">
        <w:rPr>
          <w:rFonts w:cs="Arial"/>
        </w:rPr>
        <w:t xml:space="preserve">in relation </w:t>
      </w:r>
      <w:r>
        <w:rPr>
          <w:rFonts w:cs="Arial"/>
        </w:rPr>
        <w:t>to which group entities the info</w:t>
      </w:r>
      <w:r>
        <w:rPr>
          <w:rFonts w:cs="Arial"/>
        </w:rPr>
        <w:t>r</w:t>
      </w:r>
      <w:r>
        <w:rPr>
          <w:rFonts w:cs="Arial"/>
        </w:rPr>
        <w:t>mation should be provided.</w:t>
      </w:r>
    </w:p>
    <w:p w:rsidR="00570D86" w:rsidRDefault="00570D86" w:rsidP="00570D86">
      <w:pPr>
        <w:tabs>
          <w:tab w:val="left" w:pos="567"/>
        </w:tabs>
        <w:spacing w:line="360" w:lineRule="auto"/>
        <w:jc w:val="both"/>
        <w:rPr>
          <w:rFonts w:cs="Arial"/>
        </w:rPr>
      </w:pPr>
    </w:p>
    <w:p w:rsidR="00693EA3" w:rsidRDefault="00204BA4" w:rsidP="00570D86">
      <w:pPr>
        <w:tabs>
          <w:tab w:val="left" w:pos="567"/>
        </w:tabs>
        <w:spacing w:line="360" w:lineRule="auto"/>
        <w:jc w:val="both"/>
      </w:pPr>
      <w:r>
        <w:rPr>
          <w:rFonts w:cs="Arial"/>
        </w:rPr>
        <w:t xml:space="preserve">In particular, </w:t>
      </w:r>
      <w:r w:rsidR="00570D86">
        <w:rPr>
          <w:rFonts w:cs="Arial"/>
        </w:rPr>
        <w:t xml:space="preserve">VPS </w:t>
      </w:r>
      <w:r>
        <w:rPr>
          <w:rFonts w:cs="Arial"/>
        </w:rPr>
        <w:t>would</w:t>
      </w:r>
      <w:r w:rsidR="00570D86">
        <w:rPr>
          <w:rFonts w:cs="Arial"/>
        </w:rPr>
        <w:t xml:space="preserve"> also like to refer to the </w:t>
      </w:r>
      <w:r w:rsidR="00570D86">
        <w:t xml:space="preserve">statement by ECSDA that the art 18 </w:t>
      </w:r>
      <w:r w:rsidR="00570D86">
        <w:rPr>
          <w:rFonts w:cs="Arial"/>
        </w:rPr>
        <w:t xml:space="preserve">of the draft RTS should be amended to ensure full alignment with the Level 1 Regulation. We refer to the fact that under article 34 of the CSD Regulation, CSDs are required to </w:t>
      </w:r>
      <w:r w:rsidR="00570D86" w:rsidRPr="00D5093F">
        <w:rPr>
          <w:rFonts w:cs="Arial"/>
          <w:i/>
        </w:rPr>
        <w:t>"publicly disclose the prices and fees associated with the core services listed in Section A of the Annex"</w:t>
      </w:r>
      <w:r w:rsidR="00570D86">
        <w:rPr>
          <w:rFonts w:cs="Arial"/>
        </w:rPr>
        <w:t xml:space="preserve">. As regards ancillary services, CSDs are only required to disclose to the competent authority </w:t>
      </w:r>
      <w:r w:rsidR="00570D86" w:rsidRPr="00EA3713">
        <w:rPr>
          <w:rFonts w:cs="Arial"/>
          <w:i/>
        </w:rPr>
        <w:t>"the cost and revenue of the ancillary services provided as a whole"</w:t>
      </w:r>
      <w:r w:rsidR="00570D86">
        <w:rPr>
          <w:rFonts w:cs="Arial"/>
        </w:rPr>
        <w:t>. The different treatment of core and anci</w:t>
      </w:r>
      <w:r w:rsidR="00570D86">
        <w:rPr>
          <w:rFonts w:cs="Arial"/>
        </w:rPr>
        <w:t>l</w:t>
      </w:r>
      <w:r w:rsidR="00570D86">
        <w:rPr>
          <w:rFonts w:cs="Arial"/>
        </w:rPr>
        <w:t xml:space="preserve">lary services under article 34 is the result of a political agreement </w:t>
      </w:r>
      <w:r>
        <w:rPr>
          <w:rFonts w:cs="Arial"/>
        </w:rPr>
        <w:t>among the</w:t>
      </w:r>
      <w:r w:rsidR="00570D86">
        <w:rPr>
          <w:rFonts w:cs="Arial"/>
        </w:rPr>
        <w:t xml:space="preserve"> EU legislator</w:t>
      </w:r>
      <w:r>
        <w:rPr>
          <w:rFonts w:cs="Arial"/>
        </w:rPr>
        <w:t>s</w:t>
      </w:r>
      <w:r w:rsidR="00570D86">
        <w:rPr>
          <w:rFonts w:cs="Arial"/>
        </w:rPr>
        <w:t>, and aims to avoid competitive distortions, since other market actors than CSDs can and do provide services listed in Section B or C of the Annex, without being subject to such transparency r</w:t>
      </w:r>
      <w:r w:rsidR="00570D86">
        <w:rPr>
          <w:rFonts w:cs="Arial"/>
        </w:rPr>
        <w:t>e</w:t>
      </w:r>
      <w:r w:rsidR="00570D86">
        <w:rPr>
          <w:rFonts w:cs="Arial"/>
        </w:rPr>
        <w:t>quirements.</w:t>
      </w:r>
      <w:r w:rsidR="00570D86">
        <w:t xml:space="preserve"> </w:t>
      </w:r>
    </w:p>
    <w:permEnd w:id="861094600"/>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693EA3" w:rsidRDefault="00693EA3" w:rsidP="00D12AFD">
      <w:permStart w:id="1168982552" w:edGrp="everyone"/>
      <w:r>
        <w:t>VPS refer</w:t>
      </w:r>
      <w:r w:rsidR="00204BA4">
        <w:t>s</w:t>
      </w:r>
      <w:r>
        <w:t xml:space="preserve"> to the response of ECSDA</w:t>
      </w:r>
      <w:r w:rsidR="00204BA4">
        <w:t>,</w:t>
      </w:r>
      <w:r>
        <w:t xml:space="preserve"> which we fully support.</w:t>
      </w:r>
    </w:p>
    <w:permEnd w:id="1168982552"/>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D21653" w:rsidP="00D21653">
      <w:pPr>
        <w:tabs>
          <w:tab w:val="left" w:pos="3402"/>
        </w:tabs>
        <w:suppressAutoHyphens/>
        <w:spacing w:line="360" w:lineRule="auto"/>
        <w:jc w:val="both"/>
      </w:pPr>
      <w:permStart w:id="244792757" w:edGrp="everyone"/>
      <w:r>
        <w:rPr>
          <w:rFonts w:cs="Arial"/>
        </w:rPr>
        <w:t>VPS has decided not to comment on Question 17</w:t>
      </w:r>
      <w:r w:rsidR="00204BA4">
        <w:rPr>
          <w:rFonts w:cs="Arial"/>
        </w:rPr>
        <w:t>,</w:t>
      </w:r>
      <w:r>
        <w:rPr>
          <w:rFonts w:cs="Arial"/>
        </w:rPr>
        <w:t xml:space="preserve"> since it pertains to communication among authorities.</w:t>
      </w:r>
    </w:p>
    <w:permEnd w:id="244792757"/>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693EA3" w:rsidP="00D12AFD">
      <w:permStart w:id="1792304494" w:edGrp="everyone"/>
      <w:r>
        <w:t>VPS refer</w:t>
      </w:r>
      <w:r w:rsidR="00204BA4">
        <w:t>s</w:t>
      </w:r>
      <w:r>
        <w:t xml:space="preserve"> to the response of ECSDA</w:t>
      </w:r>
      <w:r w:rsidR="00204BA4">
        <w:t>,</w:t>
      </w:r>
      <w:r>
        <w:t xml:space="preserve"> which we fully support.</w:t>
      </w:r>
    </w:p>
    <w:permEnd w:id="1792304494"/>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693EA3" w:rsidP="00124278">
      <w:permStart w:id="1621822990" w:edGrp="everyone"/>
      <w:r>
        <w:t>VPS refer</w:t>
      </w:r>
      <w:r w:rsidR="00204BA4">
        <w:t>s</w:t>
      </w:r>
      <w:r>
        <w:t xml:space="preserve"> to the response of ECSDA</w:t>
      </w:r>
      <w:r w:rsidR="00204BA4">
        <w:t>,</w:t>
      </w:r>
      <w:r>
        <w:t xml:space="preserve"> which we fully support.</w:t>
      </w:r>
    </w:p>
    <w:permEnd w:id="162182299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693EA3" w:rsidP="00124278">
      <w:permStart w:id="2038257222" w:edGrp="everyone"/>
      <w:r>
        <w:t>VPS refer</w:t>
      </w:r>
      <w:r w:rsidR="00204BA4">
        <w:t>s</w:t>
      </w:r>
      <w:r>
        <w:t xml:space="preserve"> to the response of ECSDA</w:t>
      </w:r>
      <w:r w:rsidR="00204BA4">
        <w:t>,</w:t>
      </w:r>
      <w:r>
        <w:t xml:space="preserve"> which we fully support.</w:t>
      </w:r>
    </w:p>
    <w:permEnd w:id="2038257222"/>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031FE5" w:rsidRDefault="00693EA3" w:rsidP="003658AF">
      <w:pPr>
        <w:tabs>
          <w:tab w:val="left" w:pos="3402"/>
        </w:tabs>
        <w:suppressAutoHyphens/>
        <w:spacing w:line="360" w:lineRule="auto"/>
        <w:jc w:val="both"/>
      </w:pPr>
      <w:permStart w:id="1151472272" w:edGrp="everyone"/>
      <w:r>
        <w:t>VPS refer</w:t>
      </w:r>
      <w:r w:rsidR="00204BA4">
        <w:t>s</w:t>
      </w:r>
      <w:r>
        <w:t xml:space="preserve"> to the response of ECSDA</w:t>
      </w:r>
      <w:r w:rsidR="00204BA4">
        <w:t>,</w:t>
      </w:r>
      <w:r>
        <w:t xml:space="preserve"> which we fully support.</w:t>
      </w:r>
      <w:r w:rsidR="00031FE5">
        <w:t xml:space="preserve"> VPS particularly  refer to the statement by ECSDA that </w:t>
      </w:r>
      <w:r w:rsidR="00031FE5">
        <w:rPr>
          <w:rFonts w:cs="Arial"/>
        </w:rPr>
        <w:t>it should be clearly stated that the list of services provided in art.2(1)(c)(</w:t>
      </w:r>
      <w:proofErr w:type="spellStart"/>
      <w:r w:rsidR="00031FE5">
        <w:rPr>
          <w:rFonts w:cs="Arial"/>
        </w:rPr>
        <w:t>i</w:t>
      </w:r>
      <w:proofErr w:type="spellEnd"/>
      <w:r w:rsidR="00031FE5">
        <w:rPr>
          <w:rFonts w:cs="Arial"/>
        </w:rPr>
        <w:t xml:space="preserve">), (ii) and (iii) is not exhaustive and that other services might be considered as complementary to a CSD's core and ancillary services. We refer to the text of </w:t>
      </w:r>
      <w:r w:rsidR="00031FE5" w:rsidRPr="003A2A8D">
        <w:rPr>
          <w:rFonts w:cs="Arial"/>
        </w:rPr>
        <w:t>art.</w:t>
      </w:r>
      <w:r w:rsidR="00031FE5">
        <w:rPr>
          <w:rFonts w:cs="Arial"/>
        </w:rPr>
        <w:t>18</w:t>
      </w:r>
      <w:r w:rsidR="00031FE5" w:rsidRPr="003A2A8D">
        <w:rPr>
          <w:rFonts w:cs="Arial"/>
        </w:rPr>
        <w:t>(4)</w:t>
      </w:r>
      <w:r w:rsidR="00031FE5">
        <w:rPr>
          <w:rFonts w:cs="Arial"/>
        </w:rPr>
        <w:t xml:space="preserve"> of the CSDR,</w:t>
      </w:r>
      <w:r w:rsidR="00031FE5" w:rsidRPr="003A2A8D">
        <w:rPr>
          <w:rFonts w:cs="Arial"/>
        </w:rPr>
        <w:t xml:space="preserve"> </w:t>
      </w:r>
      <w:r w:rsidR="00031FE5">
        <w:rPr>
          <w:rFonts w:cs="Arial"/>
        </w:rPr>
        <w:t xml:space="preserve">where it is </w:t>
      </w:r>
      <w:r w:rsidR="00204BA4">
        <w:rPr>
          <w:rFonts w:cs="Arial"/>
        </w:rPr>
        <w:t xml:space="preserve">made </w:t>
      </w:r>
      <w:r w:rsidR="00031FE5">
        <w:rPr>
          <w:rFonts w:cs="Arial"/>
        </w:rPr>
        <w:t xml:space="preserve">clear that one of </w:t>
      </w:r>
      <w:r w:rsidR="00031FE5" w:rsidRPr="003A2A8D">
        <w:rPr>
          <w:rFonts w:cs="Arial"/>
        </w:rPr>
        <w:t>the criteria to be taken into account by competent authorit</w:t>
      </w:r>
      <w:r w:rsidR="00031FE5">
        <w:rPr>
          <w:rFonts w:cs="Arial"/>
        </w:rPr>
        <w:t>ies</w:t>
      </w:r>
      <w:r w:rsidR="00031FE5" w:rsidRPr="003A2A8D">
        <w:rPr>
          <w:rFonts w:cs="Arial"/>
        </w:rPr>
        <w:t xml:space="preserve"> </w:t>
      </w:r>
      <w:r w:rsidR="00031FE5">
        <w:rPr>
          <w:rFonts w:cs="Arial"/>
        </w:rPr>
        <w:t xml:space="preserve">when deciding whether </w:t>
      </w:r>
      <w:r w:rsidR="00031FE5" w:rsidRPr="003A2A8D">
        <w:rPr>
          <w:rFonts w:cs="Arial"/>
        </w:rPr>
        <w:t>to a</w:t>
      </w:r>
      <w:r w:rsidR="00031FE5">
        <w:rPr>
          <w:rFonts w:cs="Arial"/>
        </w:rPr>
        <w:t>uthorise</w:t>
      </w:r>
      <w:r w:rsidR="00031FE5" w:rsidRPr="003A2A8D">
        <w:rPr>
          <w:rFonts w:cs="Arial"/>
        </w:rPr>
        <w:t xml:space="preserve"> participation</w:t>
      </w:r>
      <w:r w:rsidR="00031FE5">
        <w:rPr>
          <w:rFonts w:cs="Arial"/>
        </w:rPr>
        <w:t>s</w:t>
      </w:r>
      <w:r w:rsidR="00031FE5" w:rsidRPr="003A2A8D">
        <w:rPr>
          <w:rFonts w:cs="Arial"/>
        </w:rPr>
        <w:t xml:space="preserve"> of CSDs in legal persons other than those providing the services listed in Sections A and B of the Annex</w:t>
      </w:r>
      <w:r w:rsidR="00204BA4">
        <w:rPr>
          <w:rFonts w:cs="Arial"/>
        </w:rPr>
        <w:t>,</w:t>
      </w:r>
      <w:r w:rsidR="00031FE5" w:rsidRPr="003A2A8D">
        <w:rPr>
          <w:rFonts w:cs="Arial"/>
        </w:rPr>
        <w:t xml:space="preserve"> </w:t>
      </w:r>
      <w:r w:rsidR="00031FE5">
        <w:rPr>
          <w:rFonts w:cs="Arial"/>
        </w:rPr>
        <w:t xml:space="preserve">is the extent to which </w:t>
      </w:r>
      <w:r w:rsidR="00031FE5" w:rsidRPr="003A2A8D">
        <w:rPr>
          <w:rFonts w:cs="Arial"/>
        </w:rPr>
        <w:t>the services provided by th</w:t>
      </w:r>
      <w:r w:rsidR="00031FE5">
        <w:rPr>
          <w:rFonts w:cs="Arial"/>
        </w:rPr>
        <w:t>e other</w:t>
      </w:r>
      <w:r w:rsidR="00031FE5" w:rsidRPr="003A2A8D">
        <w:rPr>
          <w:rFonts w:cs="Arial"/>
        </w:rPr>
        <w:t xml:space="preserve"> legal person are complementary to the services provided by </w:t>
      </w:r>
      <w:r w:rsidR="00031FE5">
        <w:rPr>
          <w:rFonts w:cs="Arial"/>
        </w:rPr>
        <w:t>the</w:t>
      </w:r>
      <w:r w:rsidR="00031FE5" w:rsidRPr="003A2A8D">
        <w:rPr>
          <w:rFonts w:cs="Arial"/>
        </w:rPr>
        <w:t xml:space="preserve"> CSD. </w:t>
      </w:r>
    </w:p>
    <w:permEnd w:id="1151472272"/>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3658AF" w:rsidRDefault="00693EA3" w:rsidP="003658AF">
      <w:pPr>
        <w:tabs>
          <w:tab w:val="left" w:pos="567"/>
        </w:tabs>
        <w:spacing w:line="360" w:lineRule="auto"/>
        <w:jc w:val="both"/>
      </w:pPr>
      <w:permStart w:id="907037732" w:edGrp="everyone"/>
      <w:r>
        <w:t>VPS refer</w:t>
      </w:r>
      <w:r w:rsidR="005E1F98">
        <w:t>s</w:t>
      </w:r>
      <w:r>
        <w:t xml:space="preserve"> to the response of ECSDA</w:t>
      </w:r>
      <w:r w:rsidR="005E1F98">
        <w:t>,</w:t>
      </w:r>
      <w:r>
        <w:t xml:space="preserve"> which we fully support.</w:t>
      </w:r>
      <w:r w:rsidR="003658AF">
        <w:t xml:space="preserve"> </w:t>
      </w:r>
      <w:r w:rsidR="005E1F98">
        <w:t>P</w:t>
      </w:r>
      <w:r w:rsidR="003658AF">
        <w:t>articularly</w:t>
      </w:r>
      <w:r w:rsidR="005E1F98">
        <w:t>, VPS</w:t>
      </w:r>
      <w:r w:rsidR="003658AF">
        <w:t xml:space="preserve"> refer</w:t>
      </w:r>
      <w:r w:rsidR="005E1F98">
        <w:t>s</w:t>
      </w:r>
      <w:r w:rsidR="003658AF">
        <w:t xml:space="preserve"> to the statement by ECSDA that Level 2 regulation should not </w:t>
      </w:r>
      <w:r w:rsidR="003658AF">
        <w:rPr>
          <w:rFonts w:cs="Arial"/>
        </w:rPr>
        <w:t>impose the functions of Chief Compl</w:t>
      </w:r>
      <w:r w:rsidR="003658AF">
        <w:rPr>
          <w:rFonts w:cs="Arial"/>
        </w:rPr>
        <w:t>i</w:t>
      </w:r>
      <w:r w:rsidR="003658AF">
        <w:rPr>
          <w:rFonts w:cs="Arial"/>
        </w:rPr>
        <w:t>ance Officer and Chief Risk Officer to be performed by different individuals. Although this will be the case in many firms, there are compelling reasons for CSDs to decide to entrust both fun</w:t>
      </w:r>
      <w:r w:rsidR="003658AF">
        <w:rPr>
          <w:rFonts w:cs="Arial"/>
        </w:rPr>
        <w:t>c</w:t>
      </w:r>
      <w:r w:rsidR="003658AF">
        <w:rPr>
          <w:rFonts w:cs="Arial"/>
        </w:rPr>
        <w:t>tions to one individual. Indeed, non-compliance is perceived as a major source of risk for today’s financial institutions, and there are important synergies between the risk management function and the compliance function. These synergies have been discussed and described in various press articles and reports in recent years, with many experts expressing the view that compl</w:t>
      </w:r>
      <w:r w:rsidR="003658AF">
        <w:rPr>
          <w:rFonts w:cs="Arial"/>
        </w:rPr>
        <w:t>i</w:t>
      </w:r>
      <w:r w:rsidR="003658AF">
        <w:rPr>
          <w:rFonts w:cs="Arial"/>
        </w:rPr>
        <w:t>ance should be an integral part of risk management, and that the</w:t>
      </w:r>
      <w:r w:rsidR="005E1F98">
        <w:rPr>
          <w:rFonts w:cs="Arial"/>
        </w:rPr>
        <w:t>se</w:t>
      </w:r>
      <w:r w:rsidR="003658AF">
        <w:rPr>
          <w:rFonts w:cs="Arial"/>
        </w:rPr>
        <w:t xml:space="preserve"> functions would thus benefit from being combined into a single individual</w:t>
      </w:r>
      <w:r w:rsidR="005E1F98">
        <w:rPr>
          <w:rFonts w:cs="Arial"/>
        </w:rPr>
        <w:t>.</w:t>
      </w:r>
      <w:r w:rsidR="003658AF">
        <w:rPr>
          <w:rFonts w:cs="Arial"/>
        </w:rPr>
        <w:t xml:space="preserve"> </w:t>
      </w:r>
    </w:p>
    <w:permEnd w:id="907037732"/>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723A50" w:rsidRDefault="00693EA3" w:rsidP="00723A50">
      <w:pPr>
        <w:tabs>
          <w:tab w:val="left" w:pos="567"/>
        </w:tabs>
        <w:spacing w:line="360" w:lineRule="auto"/>
        <w:jc w:val="both"/>
      </w:pPr>
      <w:permStart w:id="1849056" w:edGrp="everyone"/>
      <w:r>
        <w:t>VPS refer</w:t>
      </w:r>
      <w:r w:rsidR="005E1F98">
        <w:t>s</w:t>
      </w:r>
      <w:r>
        <w:t xml:space="preserve"> to the response of ECSDA</w:t>
      </w:r>
      <w:r w:rsidR="005E1F98">
        <w:t>,</w:t>
      </w:r>
      <w:r>
        <w:t xml:space="preserve"> which we fully support.</w:t>
      </w:r>
      <w:r w:rsidR="003658AF">
        <w:t xml:space="preserve"> </w:t>
      </w:r>
    </w:p>
    <w:p w:rsidR="00723A50" w:rsidRDefault="00723A50" w:rsidP="00723A50">
      <w:pPr>
        <w:tabs>
          <w:tab w:val="left" w:pos="567"/>
        </w:tabs>
        <w:spacing w:line="360" w:lineRule="auto"/>
        <w:jc w:val="both"/>
      </w:pPr>
    </w:p>
    <w:p w:rsidR="00723A50" w:rsidRDefault="00723A50" w:rsidP="00723A50">
      <w:pPr>
        <w:tabs>
          <w:tab w:val="left" w:pos="567"/>
        </w:tabs>
        <w:spacing w:line="360" w:lineRule="auto"/>
        <w:jc w:val="both"/>
        <w:rPr>
          <w:rFonts w:cs="Arial"/>
          <w:color w:val="000000" w:themeColor="text1"/>
        </w:rPr>
      </w:pPr>
      <w:r>
        <w:rPr>
          <w:rFonts w:cs="Arial"/>
        </w:rPr>
        <w:t>T</w:t>
      </w:r>
      <w:r w:rsidRPr="00B653EE">
        <w:rPr>
          <w:rFonts w:cs="Arial"/>
        </w:rPr>
        <w:t>he proposed record keeping requirements are</w:t>
      </w:r>
      <w:r>
        <w:rPr>
          <w:rFonts w:cs="Arial"/>
        </w:rPr>
        <w:t xml:space="preserve"> in our opinion too </w:t>
      </w:r>
      <w:r w:rsidRPr="00B653EE">
        <w:rPr>
          <w:rFonts w:cs="Arial"/>
        </w:rPr>
        <w:t xml:space="preserve">far-reaching and would </w:t>
      </w:r>
      <w:r>
        <w:rPr>
          <w:rFonts w:cs="Arial"/>
        </w:rPr>
        <w:t xml:space="preserve">also </w:t>
      </w:r>
      <w:r w:rsidRPr="00B653EE">
        <w:rPr>
          <w:rFonts w:cs="Arial"/>
        </w:rPr>
        <w:t xml:space="preserve">impose obligations on other entities than CSDs, including CSD account holders and issuers as regards the obligation to obtain a Legal Entity Identifier (LEI). </w:t>
      </w:r>
      <w:r>
        <w:rPr>
          <w:rFonts w:cs="Arial"/>
        </w:rPr>
        <w:t>Without denying the benefits of using LEIs, CSDs are concerned that they will not be able to impose their use by third parties, especially when these are established outside the European Union. Th</w:t>
      </w:r>
      <w:r w:rsidR="005E1F98">
        <w:rPr>
          <w:rFonts w:cs="Arial"/>
        </w:rPr>
        <w:t>us,</w:t>
      </w:r>
      <w:r>
        <w:rPr>
          <w:rFonts w:cs="Arial"/>
        </w:rPr>
        <w:t xml:space="preserve"> </w:t>
      </w:r>
      <w:r w:rsidR="005E1F98">
        <w:rPr>
          <w:rFonts w:cs="Arial"/>
        </w:rPr>
        <w:t xml:space="preserve">there </w:t>
      </w:r>
      <w:r>
        <w:rPr>
          <w:rFonts w:cs="Arial"/>
        </w:rPr>
        <w:t xml:space="preserve">is a risk that CSDs will be unable to comply with the ESMA standards in practice. </w:t>
      </w:r>
      <w:r w:rsidR="005E1F98">
        <w:rPr>
          <w:rFonts w:cs="Arial"/>
        </w:rPr>
        <w:t>P</w:t>
      </w:r>
      <w:r>
        <w:t>articularly</w:t>
      </w:r>
      <w:r w:rsidR="005E1F98">
        <w:t>, VPS</w:t>
      </w:r>
      <w:r>
        <w:t xml:space="preserve"> refer</w:t>
      </w:r>
      <w:r w:rsidR="005E1F98">
        <w:t>s</w:t>
      </w:r>
      <w:r>
        <w:t xml:space="preserve"> to the statement by ECSDA regarding identifiers for issuers, and for account</w:t>
      </w:r>
      <w:r w:rsidR="005E1F98">
        <w:t xml:space="preserve"> </w:t>
      </w:r>
      <w:r>
        <w:t>holders in direct hol</w:t>
      </w:r>
      <w:r>
        <w:t>d</w:t>
      </w:r>
      <w:r>
        <w:t xml:space="preserve">ing markets. </w:t>
      </w:r>
      <w:r>
        <w:rPr>
          <w:rFonts w:cs="Arial"/>
          <w:color w:val="000000" w:themeColor="text1"/>
        </w:rPr>
        <w:t>For legal persons, the requirement to use a BIC or a LEI will be impossible to fulfil, given that many businesses recorded as account holders in CSD s are not banks (and thus do not have a BIC) and cannot be forced by the CSD to obtain a LEI. These legal persons include small brokers, asset managers, and often non-financial firms which hold securities on their own account. Such legal persons are typically identified by CSDs using a business ID or other similar identifier. As in the case of issuers, we foresee significant enforcement problems if CSDs are required to record LEIs for such entities, since the CSD Regulation does not impose obligations on these entities and CSDs have no means to impose the acquisition of a LEI by these legal persons, especially in a retro-active way.</w:t>
      </w:r>
    </w:p>
    <w:p w:rsidR="00723A50" w:rsidRDefault="00723A50" w:rsidP="00723A50">
      <w:pPr>
        <w:pStyle w:val="ListParagraph"/>
        <w:tabs>
          <w:tab w:val="left" w:pos="284"/>
        </w:tabs>
        <w:spacing w:line="360" w:lineRule="auto"/>
        <w:jc w:val="both"/>
        <w:rPr>
          <w:rFonts w:cs="Arial"/>
        </w:rPr>
      </w:pPr>
    </w:p>
    <w:p w:rsidR="001278DB" w:rsidRDefault="00723A50" w:rsidP="00723A50">
      <w:pPr>
        <w:tabs>
          <w:tab w:val="left" w:pos="284"/>
        </w:tabs>
        <w:spacing w:line="360" w:lineRule="auto"/>
        <w:jc w:val="both"/>
      </w:pPr>
      <w:r>
        <w:rPr>
          <w:rFonts w:cs="Arial"/>
        </w:rPr>
        <w:t>VPS is convinced that the draft standards on record keeping must be re</w:t>
      </w:r>
      <w:r w:rsidR="005E1F98">
        <w:rPr>
          <w:rFonts w:cs="Arial"/>
        </w:rPr>
        <w:t>consider</w:t>
      </w:r>
      <w:r>
        <w:rPr>
          <w:rFonts w:cs="Arial"/>
        </w:rPr>
        <w:t>ed and refer to the proposals by ECSDA in this respect.</w:t>
      </w:r>
    </w:p>
    <w:p w:rsidR="00886C9A" w:rsidRDefault="00886C9A" w:rsidP="00031776">
      <w:pPr>
        <w:tabs>
          <w:tab w:val="left" w:pos="567"/>
        </w:tabs>
        <w:spacing w:line="360" w:lineRule="auto"/>
        <w:jc w:val="both"/>
        <w:rPr>
          <w:rFonts w:cs="Arial"/>
          <w:color w:val="000000" w:themeColor="text1"/>
        </w:rPr>
      </w:pPr>
    </w:p>
    <w:p w:rsidR="00886C9A" w:rsidRDefault="005E1F98" w:rsidP="00886C9A">
      <w:pPr>
        <w:tabs>
          <w:tab w:val="left" w:pos="567"/>
        </w:tabs>
        <w:spacing w:line="360" w:lineRule="auto"/>
        <w:jc w:val="both"/>
      </w:pPr>
      <w:r>
        <w:rPr>
          <w:rFonts w:cs="Arial"/>
          <w:color w:val="000000" w:themeColor="text1"/>
        </w:rPr>
        <w:t>In particular, w</w:t>
      </w:r>
      <w:r w:rsidR="00886C9A" w:rsidRPr="00886C9A">
        <w:rPr>
          <w:rFonts w:cs="Arial"/>
          <w:color w:val="000000" w:themeColor="text1"/>
        </w:rPr>
        <w:t>e w</w:t>
      </w:r>
      <w:r>
        <w:rPr>
          <w:rFonts w:cs="Arial"/>
          <w:color w:val="000000" w:themeColor="text1"/>
        </w:rPr>
        <w:t>ould</w:t>
      </w:r>
      <w:r w:rsidR="00886C9A" w:rsidRPr="00886C9A">
        <w:rPr>
          <w:rFonts w:cs="Arial"/>
          <w:color w:val="000000" w:themeColor="text1"/>
        </w:rPr>
        <w:t xml:space="preserve"> also refer to ECSDAs statement regarding the </w:t>
      </w:r>
      <w:r w:rsidR="00886C9A">
        <w:rPr>
          <w:rFonts w:cs="Arial"/>
          <w:color w:val="000000" w:themeColor="text1"/>
        </w:rPr>
        <w:t>t</w:t>
      </w:r>
      <w:r w:rsidR="00886C9A" w:rsidRPr="00886C9A">
        <w:rPr>
          <w:rFonts w:cs="Arial"/>
          <w:color w:val="000000" w:themeColor="text1"/>
        </w:rPr>
        <w:t>iming of implementation for record</w:t>
      </w:r>
      <w:r>
        <w:rPr>
          <w:rFonts w:cs="Arial"/>
          <w:color w:val="000000" w:themeColor="text1"/>
        </w:rPr>
        <w:t xml:space="preserve"> </w:t>
      </w:r>
      <w:r w:rsidR="00886C9A" w:rsidRPr="00886C9A">
        <w:rPr>
          <w:rFonts w:cs="Arial"/>
          <w:color w:val="000000" w:themeColor="text1"/>
        </w:rPr>
        <w:t>keeping requirements</w:t>
      </w:r>
      <w:r w:rsidR="00886C9A">
        <w:rPr>
          <w:rFonts w:cs="Arial"/>
          <w:color w:val="000000" w:themeColor="text1"/>
        </w:rPr>
        <w:t xml:space="preserve">. </w:t>
      </w:r>
      <w:r w:rsidR="00886C9A" w:rsidRPr="00E13B55">
        <w:rPr>
          <w:rFonts w:cs="Arial"/>
        </w:rPr>
        <w:t>Despite important improvements compared to the record</w:t>
      </w:r>
      <w:r>
        <w:rPr>
          <w:rFonts w:cs="Arial"/>
        </w:rPr>
        <w:t xml:space="preserve"> </w:t>
      </w:r>
      <w:r w:rsidR="00886C9A" w:rsidRPr="00E13B55">
        <w:rPr>
          <w:rFonts w:cs="Arial"/>
        </w:rPr>
        <w:t>kee</w:t>
      </w:r>
      <w:r w:rsidR="00886C9A" w:rsidRPr="00E13B55">
        <w:rPr>
          <w:rFonts w:cs="Arial"/>
        </w:rPr>
        <w:t>p</w:t>
      </w:r>
      <w:r w:rsidR="00886C9A" w:rsidRPr="00E13B55">
        <w:rPr>
          <w:rFonts w:cs="Arial"/>
        </w:rPr>
        <w:t xml:space="preserve">ing requirements initially suggested in the Discussion Paper of </w:t>
      </w:r>
      <w:r w:rsidR="00886C9A">
        <w:rPr>
          <w:rFonts w:cs="Arial"/>
        </w:rPr>
        <w:t>March 2014, VPS believes that the draft RTS on record</w:t>
      </w:r>
      <w:r w:rsidR="00DC1D8F">
        <w:rPr>
          <w:rFonts w:cs="Arial"/>
        </w:rPr>
        <w:t xml:space="preserve"> </w:t>
      </w:r>
      <w:r w:rsidR="00886C9A">
        <w:rPr>
          <w:rFonts w:cs="Arial"/>
        </w:rPr>
        <w:t xml:space="preserve">keeping cannot be realistically implemented by the time </w:t>
      </w:r>
      <w:r w:rsidR="00886C9A" w:rsidRPr="00E13B55">
        <w:rPr>
          <w:rFonts w:cs="Arial"/>
        </w:rPr>
        <w:t>CSDs obtain their authorisation</w:t>
      </w:r>
      <w:r w:rsidR="00886C9A">
        <w:rPr>
          <w:rFonts w:cs="Arial"/>
        </w:rPr>
        <w:t>. Since many records are related to compliance with the settlement discipline rules of the CSDR</w:t>
      </w:r>
      <w:r w:rsidR="00DC1D8F">
        <w:rPr>
          <w:rFonts w:cs="Arial"/>
        </w:rPr>
        <w:t>,</w:t>
      </w:r>
      <w:r w:rsidR="00886C9A">
        <w:rPr>
          <w:rFonts w:cs="Arial"/>
        </w:rPr>
        <w:t xml:space="preserve"> VPS </w:t>
      </w:r>
      <w:r w:rsidR="00886C9A" w:rsidRPr="00886C9A">
        <w:rPr>
          <w:rFonts w:cs="Arial"/>
        </w:rPr>
        <w:t>strongly recommends that the timeline for implementing the draft tec</w:t>
      </w:r>
      <w:r w:rsidR="00886C9A" w:rsidRPr="00886C9A">
        <w:rPr>
          <w:rFonts w:cs="Arial"/>
        </w:rPr>
        <w:t>h</w:t>
      </w:r>
      <w:r w:rsidR="00886C9A" w:rsidRPr="00886C9A">
        <w:rPr>
          <w:rFonts w:cs="Arial"/>
        </w:rPr>
        <w:t>nical standards on record</w:t>
      </w:r>
      <w:r w:rsidR="00DC1D8F">
        <w:rPr>
          <w:rFonts w:cs="Arial"/>
        </w:rPr>
        <w:t xml:space="preserve"> </w:t>
      </w:r>
      <w:r w:rsidR="00886C9A" w:rsidRPr="00886C9A">
        <w:rPr>
          <w:rFonts w:cs="Arial"/>
        </w:rPr>
        <w:t>keeping be aligned with the timeline for implementing the draft tec</w:t>
      </w:r>
      <w:r w:rsidR="00886C9A" w:rsidRPr="00886C9A">
        <w:rPr>
          <w:rFonts w:cs="Arial"/>
        </w:rPr>
        <w:t>h</w:t>
      </w:r>
      <w:r w:rsidR="00886C9A" w:rsidRPr="00886C9A">
        <w:rPr>
          <w:rFonts w:cs="Arial"/>
        </w:rPr>
        <w:t xml:space="preserve">nical standards on settlement discipline. </w:t>
      </w:r>
      <w:r w:rsidR="00886C9A" w:rsidRPr="00EF7989">
        <w:rPr>
          <w:rFonts w:cs="Arial"/>
        </w:rPr>
        <w:t>In other words, compliance with both sets of requir</w:t>
      </w:r>
      <w:r w:rsidR="00886C9A" w:rsidRPr="00EF7989">
        <w:rPr>
          <w:rFonts w:cs="Arial"/>
        </w:rPr>
        <w:t>e</w:t>
      </w:r>
      <w:r w:rsidR="00886C9A" w:rsidRPr="00EF7989">
        <w:rPr>
          <w:rFonts w:cs="Arial"/>
        </w:rPr>
        <w:t xml:space="preserve">ments should only be </w:t>
      </w:r>
      <w:r w:rsidR="00886C9A">
        <w:rPr>
          <w:rFonts w:cs="Arial"/>
        </w:rPr>
        <w:t xml:space="preserve">enforced </w:t>
      </w:r>
      <w:r w:rsidR="00886C9A" w:rsidRPr="00EF7989">
        <w:rPr>
          <w:rFonts w:cs="Arial"/>
        </w:rPr>
        <w:t xml:space="preserve">after a transition period of at least 24 months </w:t>
      </w:r>
      <w:r w:rsidR="00886C9A">
        <w:rPr>
          <w:rFonts w:cs="Arial"/>
        </w:rPr>
        <w:t>following</w:t>
      </w:r>
      <w:r w:rsidR="00886C9A" w:rsidRPr="00EF7989">
        <w:rPr>
          <w:rFonts w:cs="Arial"/>
        </w:rPr>
        <w:t xml:space="preserve"> public</w:t>
      </w:r>
      <w:r w:rsidR="00886C9A" w:rsidRPr="00EF7989">
        <w:rPr>
          <w:rFonts w:cs="Arial"/>
        </w:rPr>
        <w:t>a</w:t>
      </w:r>
      <w:r w:rsidR="00886C9A" w:rsidRPr="00EF7989">
        <w:rPr>
          <w:rFonts w:cs="Arial"/>
        </w:rPr>
        <w:t>tion of the relevant technical standards.</w:t>
      </w:r>
      <w:r w:rsidR="00886C9A">
        <w:rPr>
          <w:rFonts w:cs="Arial"/>
        </w:rPr>
        <w:t xml:space="preserve"> Furthermore, the RTS should clarify that </w:t>
      </w:r>
      <w:r w:rsidR="00886C9A" w:rsidRPr="00886C9A">
        <w:rPr>
          <w:rFonts w:cs="Arial"/>
        </w:rPr>
        <w:t xml:space="preserve">CSDs </w:t>
      </w:r>
      <w:r w:rsidR="00886C9A">
        <w:rPr>
          <w:rFonts w:cs="Arial"/>
        </w:rPr>
        <w:t xml:space="preserve">are </w:t>
      </w:r>
      <w:r w:rsidR="00886C9A" w:rsidRPr="00886C9A">
        <w:rPr>
          <w:rFonts w:cs="Arial"/>
        </w:rPr>
        <w:t>not required to apply CSDR record keeping requirements retroactively.</w:t>
      </w:r>
    </w:p>
    <w:permEnd w:id="1849056"/>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693EA3" w:rsidP="00124278">
      <w:permStart w:id="720793331" w:edGrp="everyone"/>
      <w:r>
        <w:t>VPS refer</w:t>
      </w:r>
      <w:r w:rsidR="00DC1D8F">
        <w:t>s</w:t>
      </w:r>
      <w:r>
        <w:t xml:space="preserve"> to the response of ECSDA</w:t>
      </w:r>
      <w:r w:rsidR="00DC1D8F">
        <w:t>,</w:t>
      </w:r>
      <w:r>
        <w:t xml:space="preserve"> which we fully support.</w:t>
      </w:r>
    </w:p>
    <w:permEnd w:id="720793331"/>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83728E" w:rsidRDefault="00693EA3" w:rsidP="00124278">
      <w:permStart w:id="621889507" w:edGrp="everyone"/>
      <w:r>
        <w:t>VPS refer</w:t>
      </w:r>
      <w:r w:rsidR="00DC1D8F">
        <w:t>s</w:t>
      </w:r>
      <w:r>
        <w:t xml:space="preserve"> to the response of ECSDA</w:t>
      </w:r>
      <w:r w:rsidR="00DC1D8F">
        <w:t>,</w:t>
      </w:r>
      <w:r>
        <w:t xml:space="preserve"> which we fully support.</w:t>
      </w:r>
    </w:p>
    <w:permEnd w:id="621889507"/>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693EA3" w:rsidP="00124278">
      <w:permStart w:id="190786375" w:edGrp="everyone"/>
      <w:r>
        <w:t>VPS refer</w:t>
      </w:r>
      <w:r w:rsidR="00DC1D8F">
        <w:t>s</w:t>
      </w:r>
      <w:r>
        <w:t xml:space="preserve"> to the response of ECSDA</w:t>
      </w:r>
      <w:r w:rsidR="00DC1D8F">
        <w:t>,</w:t>
      </w:r>
      <w:r>
        <w:t xml:space="preserve"> which we fully support.</w:t>
      </w:r>
    </w:p>
    <w:permEnd w:id="190786375"/>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693EA3" w:rsidP="00124278">
      <w:permStart w:id="317678935" w:edGrp="everyone"/>
      <w:r>
        <w:t>VPS refer</w:t>
      </w:r>
      <w:r w:rsidR="00DC1D8F">
        <w:t>s</w:t>
      </w:r>
      <w:r>
        <w:t xml:space="preserve"> to the response of ECSDA</w:t>
      </w:r>
      <w:r w:rsidR="00DC1D8F">
        <w:t>,</w:t>
      </w:r>
      <w:r>
        <w:t xml:space="preserve"> which we fully support.</w:t>
      </w:r>
    </w:p>
    <w:permEnd w:id="317678935"/>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886C9A" w:rsidRDefault="00693EA3" w:rsidP="00124278">
      <w:permStart w:id="1019809640" w:edGrp="everyone"/>
      <w:r>
        <w:t>VPS refer</w:t>
      </w:r>
      <w:r w:rsidR="00DC1D8F">
        <w:t>s</w:t>
      </w:r>
      <w:r>
        <w:t xml:space="preserve"> to the response of ECSDA</w:t>
      </w:r>
      <w:r w:rsidR="00DC1D8F">
        <w:t>,</w:t>
      </w:r>
      <w:r>
        <w:t xml:space="preserve"> which we fully support.</w:t>
      </w:r>
      <w:r w:rsidR="00886C9A">
        <w:t xml:space="preserve"> </w:t>
      </w:r>
      <w:r w:rsidR="00DC1D8F">
        <w:t>P</w:t>
      </w:r>
      <w:r w:rsidR="00886C9A">
        <w:t>articularly</w:t>
      </w:r>
      <w:r w:rsidR="00DC1D8F">
        <w:t>, VPS</w:t>
      </w:r>
      <w:r w:rsidR="00886C9A">
        <w:t xml:space="preserve"> refer</w:t>
      </w:r>
      <w:r w:rsidR="00DC1D8F">
        <w:t>s</w:t>
      </w:r>
      <w:r w:rsidR="00886C9A">
        <w:t xml:space="preserve"> to the statement by ECSDA regarding </w:t>
      </w:r>
      <w:r w:rsidR="00886C9A">
        <w:rPr>
          <w:rFonts w:cs="Arial"/>
        </w:rPr>
        <w:t>business continuity. We do not understand why the timeframe for disaster recovery should be fundamentally different in the case of a c</w:t>
      </w:r>
      <w:r w:rsidR="00886C9A" w:rsidRPr="006962C5">
        <w:rPr>
          <w:rFonts w:cs="Arial"/>
        </w:rPr>
        <w:t>yber-attack</w:t>
      </w:r>
      <w:r w:rsidR="00886C9A">
        <w:rPr>
          <w:rFonts w:cs="Arial"/>
        </w:rPr>
        <w:t xml:space="preserve"> than in the case of a terrorist attack or a pandemic situation, for instance. CSDs will always do their </w:t>
      </w:r>
      <w:r w:rsidR="00DC1D8F">
        <w:rPr>
          <w:rFonts w:cs="Arial"/>
        </w:rPr>
        <w:t>utmost</w:t>
      </w:r>
      <w:r w:rsidR="00886C9A">
        <w:rPr>
          <w:rFonts w:cs="Arial"/>
        </w:rPr>
        <w:t xml:space="preserve"> to resume operations as soon as possible, and the two hours recovery-time contained in the PFMI and the CSDR Level 1 is a helpful benchmark</w:t>
      </w:r>
      <w:r w:rsidR="00FC48E8">
        <w:rPr>
          <w:rFonts w:cs="Arial"/>
        </w:rPr>
        <w:t xml:space="preserve">. </w:t>
      </w:r>
      <w:r w:rsidR="00DC1D8F">
        <w:rPr>
          <w:rFonts w:cs="Arial"/>
        </w:rPr>
        <w:t>However, r</w:t>
      </w:r>
      <w:r w:rsidR="00886C9A">
        <w:rPr>
          <w:rFonts w:cs="Arial"/>
        </w:rPr>
        <w:t>egulators must also recognise that exceptional crises might be of such scale that the benchmark cannot be met, irrespective of the cause (whether a cyber-attack or another event).</w:t>
      </w:r>
    </w:p>
    <w:permEnd w:id="1019809640"/>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693EA3" w:rsidP="00124278">
      <w:permStart w:id="1120287535" w:edGrp="everyone"/>
      <w:r>
        <w:t>VPS refer</w:t>
      </w:r>
      <w:r w:rsidR="00DC1D8F">
        <w:t>s</w:t>
      </w:r>
      <w:r>
        <w:t xml:space="preserve"> to the response of ECSDA</w:t>
      </w:r>
      <w:r w:rsidR="00DC1D8F">
        <w:t>,</w:t>
      </w:r>
      <w:r>
        <w:t xml:space="preserve"> which we fully support.</w:t>
      </w:r>
    </w:p>
    <w:permEnd w:id="1120287535"/>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693EA3" w:rsidP="00124278">
      <w:permStart w:id="366765426" w:edGrp="everyone"/>
      <w:r>
        <w:t>VPS refer</w:t>
      </w:r>
      <w:r w:rsidR="00DC1D8F">
        <w:t>s</w:t>
      </w:r>
      <w:r>
        <w:t xml:space="preserve"> to the response of ECSDA</w:t>
      </w:r>
      <w:r w:rsidR="00DC1D8F">
        <w:t>,</w:t>
      </w:r>
      <w:r>
        <w:t xml:space="preserve"> which we fully support.</w:t>
      </w:r>
    </w:p>
    <w:permEnd w:id="366765426"/>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CF6961" w:rsidRDefault="00693EA3" w:rsidP="00CF6961">
      <w:permStart w:id="683362963" w:edGrp="everyone"/>
      <w:r>
        <w:t>VPS refer</w:t>
      </w:r>
      <w:r w:rsidR="00DC1D8F">
        <w:t>s</w:t>
      </w:r>
      <w:r>
        <w:t xml:space="preserve"> to the response of ECSDA</w:t>
      </w:r>
      <w:r w:rsidR="00DC1D8F">
        <w:t>,</w:t>
      </w:r>
      <w:r>
        <w:t xml:space="preserve"> which we fully support.</w:t>
      </w:r>
      <w:r w:rsidR="00723A50">
        <w:t xml:space="preserve"> </w:t>
      </w:r>
      <w:r w:rsidR="00DC1D8F">
        <w:t>P</w:t>
      </w:r>
      <w:r w:rsidR="00723A50">
        <w:t>articularly</w:t>
      </w:r>
      <w:r w:rsidR="00DC1D8F">
        <w:t>, VPS</w:t>
      </w:r>
      <w:r w:rsidR="00723A50">
        <w:t xml:space="preserve"> refer</w:t>
      </w:r>
      <w:r w:rsidR="00DC1D8F">
        <w:t>s</w:t>
      </w:r>
      <w:r w:rsidR="00723A50">
        <w:t xml:space="preserve"> to the statement by ECSDA regarding </w:t>
      </w:r>
      <w:r w:rsidR="00723A50" w:rsidRPr="00CF6961">
        <w:t>the importance of allowing CSDs to continue to maintain links with non-EU CSDs. Expecting CSDs or intermediaries established in non-EU jurisdictions to be subject to a comparable regulatory regime to that in place in the EU is not realistic, given that European rules are among the strictest in the world. It is also not justified from a risk perspe</w:t>
      </w:r>
      <w:r w:rsidR="00723A50" w:rsidRPr="00CF6961">
        <w:t>c</w:t>
      </w:r>
      <w:r w:rsidR="00723A50" w:rsidRPr="00CF6961">
        <w:t>tive</w:t>
      </w:r>
      <w:r w:rsidR="00DC1D8F">
        <w:t>,</w:t>
      </w:r>
      <w:r w:rsidR="00723A50" w:rsidRPr="00CF6961">
        <w:t xml:space="preserve"> since CSD links do not expose the linked CSDs to credit risk. Forcing European CSDs to discontinue existing links with non-EU CSDs would be detrimental to market integration and would not in any way enhance the safety of cross-border settlements, since transactions would have to occur outside the network of existing infrastructures. </w:t>
      </w:r>
      <w:r w:rsidR="00DC1D8F">
        <w:t>Thus, i</w:t>
      </w:r>
      <w:r w:rsidR="00723A50" w:rsidRPr="00CF6961">
        <w:t>t is important that the tec</w:t>
      </w:r>
      <w:r w:rsidR="00723A50" w:rsidRPr="00CF6961">
        <w:t>h</w:t>
      </w:r>
      <w:r w:rsidR="00723A50" w:rsidRPr="00CF6961">
        <w:t xml:space="preserve">nical standards on CSD links </w:t>
      </w:r>
      <w:r w:rsidR="00A4411D">
        <w:t>are</w:t>
      </w:r>
      <w:r w:rsidR="00723A50" w:rsidRPr="00CF6961">
        <w:t xml:space="preserve"> rec</w:t>
      </w:r>
      <w:r w:rsidR="00A4411D">
        <w:t>onsider</w:t>
      </w:r>
      <w:r w:rsidR="00723A50" w:rsidRPr="00CF6961">
        <w:t>ed to take into account the need to maintain access to non-EU markets.</w:t>
      </w:r>
    </w:p>
    <w:p w:rsidR="00DC1D8F" w:rsidRPr="00CF6961" w:rsidRDefault="00DC1D8F" w:rsidP="00CF6961"/>
    <w:p w:rsidR="00723A50" w:rsidRDefault="00723A50" w:rsidP="00CF6961">
      <w:r>
        <w:t>VPS would also like to draw ESMA</w:t>
      </w:r>
      <w:r w:rsidR="00A4411D">
        <w:t>’</w:t>
      </w:r>
      <w:r>
        <w:t>s attention to ECSDA</w:t>
      </w:r>
      <w:r w:rsidR="00A4411D">
        <w:t>’</w:t>
      </w:r>
      <w:r>
        <w:t xml:space="preserve">s statement regarding the need to adapt the </w:t>
      </w:r>
      <w:r w:rsidR="00CF6961">
        <w:t xml:space="preserve">proposed </w:t>
      </w:r>
      <w:r>
        <w:t>reconciliation rules</w:t>
      </w:r>
      <w:r w:rsidR="00CF6961">
        <w:t xml:space="preserve">. </w:t>
      </w:r>
      <w:r w:rsidR="00CF6961" w:rsidRPr="00CF6961">
        <w:t xml:space="preserve">Suspension of settlement in a financial instrument should not be automatic in case of discrepancies identified </w:t>
      </w:r>
      <w:r w:rsidR="00CF6961">
        <w:t xml:space="preserve">during </w:t>
      </w:r>
      <w:r w:rsidR="00CF6961" w:rsidRPr="00CF6961">
        <w:t>the reconciliation process. There should be an element of proportionality to ensure that the damage caused by the suspe</w:t>
      </w:r>
      <w:r w:rsidR="00CF6961" w:rsidRPr="00CF6961">
        <w:t>n</w:t>
      </w:r>
      <w:r w:rsidR="00CF6961" w:rsidRPr="00CF6961">
        <w:t>sion is not greater than that caused by the reconciliation error</w:t>
      </w:r>
      <w:r w:rsidR="00CF6961">
        <w:t>. Also</w:t>
      </w:r>
      <w:r w:rsidR="00A4411D">
        <w:t>,</w:t>
      </w:r>
      <w:r w:rsidR="00CF6961">
        <w:t xml:space="preserve"> the r</w:t>
      </w:r>
      <w:r w:rsidR="00CF6961" w:rsidRPr="00CF6961">
        <w:t xml:space="preserve">equirements on daily reconciliation should </w:t>
      </w:r>
      <w:r w:rsidR="00CF6961">
        <w:t>be adapted so that it is</w:t>
      </w:r>
      <w:r w:rsidR="00A4411D">
        <w:t xml:space="preserve"> made</w:t>
      </w:r>
      <w:r w:rsidR="00CF6961">
        <w:t xml:space="preserve"> clear that </w:t>
      </w:r>
      <w:r w:rsidR="00A4411D">
        <w:t>those</w:t>
      </w:r>
      <w:r w:rsidR="00CF6961">
        <w:t xml:space="preserve"> </w:t>
      </w:r>
      <w:r w:rsidR="00CF6961" w:rsidRPr="00CF6961">
        <w:t>only apply to cases where the CSD provides central maintenance services for a financial instrument. In other cases</w:t>
      </w:r>
      <w:r w:rsidR="00A4411D">
        <w:t>,</w:t>
      </w:r>
      <w:r w:rsidR="00CF6961">
        <w:t xml:space="preserve"> </w:t>
      </w:r>
      <w:r w:rsidR="00CF6961" w:rsidRPr="00CF6961">
        <w:t xml:space="preserve">the CSD is not in a position to impose daily reconciliation to </w:t>
      </w:r>
      <w:r w:rsidR="00CF6961">
        <w:t xml:space="preserve">the </w:t>
      </w:r>
      <w:r w:rsidR="00CF6961" w:rsidRPr="00CF6961">
        <w:t>third party</w:t>
      </w:r>
      <w:r w:rsidR="00A4411D">
        <w:t>,</w:t>
      </w:r>
      <w:r w:rsidR="00CF6961" w:rsidRPr="00CF6961">
        <w:t xml:space="preserve"> and can only perform reconcili</w:t>
      </w:r>
      <w:r w:rsidR="00CF6961" w:rsidRPr="00CF6961">
        <w:t>a</w:t>
      </w:r>
      <w:r w:rsidR="00CF6961" w:rsidRPr="00CF6961">
        <w:t>tion as any other intermediary in the chain. Taking such cases into account is fundamental to avoid that CSDs are forced to discontinue their services in such markets</w:t>
      </w:r>
      <w:r w:rsidR="00A4411D">
        <w:t>;</w:t>
      </w:r>
      <w:r w:rsidR="00CF6961" w:rsidRPr="00CF6961">
        <w:t xml:space="preserve"> services </w:t>
      </w:r>
      <w:r w:rsidR="00A4411D">
        <w:t>that</w:t>
      </w:r>
      <w:r w:rsidR="00CF6961" w:rsidRPr="00CF6961">
        <w:t xml:space="preserve"> contribute to reduce risk and support settlement efficiency for market participants.</w:t>
      </w:r>
    </w:p>
    <w:permEnd w:id="683362963"/>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693EA3" w:rsidP="00124278">
      <w:permStart w:id="1887125717" w:edGrp="everyone"/>
      <w:r>
        <w:t>VPS refer</w:t>
      </w:r>
      <w:r w:rsidR="00A4411D">
        <w:t>s</w:t>
      </w:r>
      <w:r>
        <w:t xml:space="preserve"> to the response of ECSDA</w:t>
      </w:r>
      <w:r w:rsidR="00A4411D">
        <w:t>,</w:t>
      </w:r>
      <w:r>
        <w:t xml:space="preserve"> which we fully support.</w:t>
      </w:r>
    </w:p>
    <w:permEnd w:id="1887125717"/>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D8F" w:rsidRDefault="00DC1D8F">
      <w:r>
        <w:separator/>
      </w:r>
    </w:p>
    <w:p w:rsidR="00DC1D8F" w:rsidRDefault="00DC1D8F"/>
  </w:endnote>
  <w:endnote w:type="continuationSeparator" w:id="0">
    <w:p w:rsidR="00DC1D8F" w:rsidRDefault="00DC1D8F">
      <w:r>
        <w:continuationSeparator/>
      </w:r>
    </w:p>
    <w:p w:rsidR="00DC1D8F" w:rsidRDefault="00DC1D8F"/>
  </w:endnote>
  <w:endnote w:type="continuationNotice" w:id="1">
    <w:p w:rsidR="00DC1D8F" w:rsidRDefault="00DC1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DC1D8F" w:rsidRPr="00315E96" w:rsidTr="00315E96">
      <w:trPr>
        <w:trHeight w:val="284"/>
      </w:trPr>
      <w:tc>
        <w:tcPr>
          <w:tcW w:w="8460" w:type="dxa"/>
        </w:tcPr>
        <w:p w:rsidR="00DC1D8F" w:rsidRPr="00315E96" w:rsidRDefault="00DC1D8F" w:rsidP="00315E96">
          <w:pPr>
            <w:pStyle w:val="00Footer"/>
            <w:rPr>
              <w:lang w:val="fr-FR"/>
            </w:rPr>
          </w:pPr>
        </w:p>
      </w:tc>
      <w:tc>
        <w:tcPr>
          <w:tcW w:w="952" w:type="dxa"/>
        </w:tcPr>
        <w:p w:rsidR="00DC1D8F" w:rsidRPr="002C5B2D" w:rsidRDefault="00DC1D8F" w:rsidP="002C5B2D">
          <w:pPr>
            <w:pStyle w:val="00aPagenumber"/>
          </w:pPr>
          <w:r>
            <w:fldChar w:fldCharType="begin"/>
          </w:r>
          <w:r>
            <w:instrText xml:space="preserve"> PAGE </w:instrText>
          </w:r>
          <w:r>
            <w:fldChar w:fldCharType="separate"/>
          </w:r>
          <w:r w:rsidR="00437D0A">
            <w:rPr>
              <w:noProof/>
            </w:rPr>
            <w:t>14</w:t>
          </w:r>
          <w:r>
            <w:rPr>
              <w:noProof/>
            </w:rPr>
            <w:fldChar w:fldCharType="end"/>
          </w:r>
        </w:p>
      </w:tc>
    </w:tr>
  </w:tbl>
  <w:p w:rsidR="00DC1D8F" w:rsidRDefault="00DC1D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D8F" w:rsidRDefault="00DC1D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D8F" w:rsidRDefault="00DC1D8F">
      <w:r>
        <w:separator/>
      </w:r>
    </w:p>
    <w:p w:rsidR="00DC1D8F" w:rsidRDefault="00DC1D8F"/>
  </w:footnote>
  <w:footnote w:type="continuationSeparator" w:id="0">
    <w:p w:rsidR="00DC1D8F" w:rsidRDefault="00DC1D8F">
      <w:r>
        <w:continuationSeparator/>
      </w:r>
    </w:p>
    <w:p w:rsidR="00DC1D8F" w:rsidRDefault="00DC1D8F"/>
  </w:footnote>
  <w:footnote w:type="continuationNotice" w:id="1">
    <w:p w:rsidR="00DC1D8F" w:rsidRDefault="00DC1D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D8F" w:rsidRDefault="00DC1D8F">
    <w:pPr>
      <w:pStyle w:val="Header"/>
    </w:pPr>
    <w:r>
      <w:rPr>
        <w:noProof/>
        <w:lang w:val="nb-NO" w:eastAsia="nb-NO"/>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D8F" w:rsidRDefault="00DC1D8F" w:rsidP="00013CCE">
    <w:pPr>
      <w:pStyle w:val="Header"/>
      <w:jc w:val="right"/>
    </w:pPr>
    <w:r>
      <w:rPr>
        <w:noProof/>
        <w:lang w:val="nb-NO" w:eastAsia="nb-NO"/>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D8F" w:rsidRDefault="00DC1D8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DC1D8F" w:rsidRPr="002F4496" w:rsidTr="000C06C9">
      <w:trPr>
        <w:trHeight w:val="284"/>
      </w:trPr>
      <w:tc>
        <w:tcPr>
          <w:tcW w:w="8460" w:type="dxa"/>
        </w:tcPr>
        <w:p w:rsidR="00DC1D8F" w:rsidRPr="000C3B6D" w:rsidRDefault="00DC1D8F" w:rsidP="000C06C9">
          <w:pPr>
            <w:pStyle w:val="00Footer"/>
            <w:rPr>
              <w:lang w:val="fr-FR"/>
            </w:rPr>
          </w:pPr>
        </w:p>
      </w:tc>
      <w:tc>
        <w:tcPr>
          <w:tcW w:w="952" w:type="dxa"/>
        </w:tcPr>
        <w:p w:rsidR="00DC1D8F" w:rsidRPr="00146B34" w:rsidRDefault="00DC1D8F" w:rsidP="000C06C9">
          <w:pPr>
            <w:pStyle w:val="00aPagenumber"/>
            <w:rPr>
              <w:lang w:val="fr-FR"/>
            </w:rPr>
          </w:pPr>
        </w:p>
      </w:tc>
    </w:tr>
  </w:tbl>
  <w:p w:rsidR="00DC1D8F" w:rsidRPr="00DB46C3" w:rsidRDefault="00DC1D8F">
    <w:pPr>
      <w:rPr>
        <w:lang w:val="fr-FR"/>
      </w:rPr>
    </w:pPr>
  </w:p>
  <w:p w:rsidR="00DC1D8F" w:rsidRPr="002F4496" w:rsidRDefault="00DC1D8F">
    <w:pPr>
      <w:pStyle w:val="Header"/>
      <w:rPr>
        <w:lang w:val="fr-FR"/>
      </w:rPr>
    </w:pPr>
  </w:p>
  <w:p w:rsidR="00DC1D8F" w:rsidRPr="002F4496" w:rsidRDefault="00DC1D8F" w:rsidP="000C06C9">
    <w:pPr>
      <w:pStyle w:val="Header"/>
      <w:tabs>
        <w:tab w:val="clear" w:pos="4536"/>
        <w:tab w:val="clear" w:pos="9072"/>
        <w:tab w:val="left" w:pos="8227"/>
      </w:tabs>
      <w:rPr>
        <w:lang w:val="fr-FR"/>
      </w:rPr>
    </w:pPr>
  </w:p>
  <w:p w:rsidR="00DC1D8F" w:rsidRPr="002F4496" w:rsidRDefault="00DC1D8F" w:rsidP="000C06C9">
    <w:pPr>
      <w:pStyle w:val="Header"/>
      <w:tabs>
        <w:tab w:val="clear" w:pos="4536"/>
        <w:tab w:val="clear" w:pos="9072"/>
        <w:tab w:val="left" w:pos="8227"/>
      </w:tabs>
      <w:rPr>
        <w:lang w:val="fr-FR"/>
      </w:rPr>
    </w:pPr>
  </w:p>
  <w:p w:rsidR="00DC1D8F" w:rsidRPr="002F4496" w:rsidRDefault="00DC1D8F">
    <w:pPr>
      <w:pStyle w:val="Header"/>
      <w:rPr>
        <w:lang w:val="fr-FR"/>
      </w:rPr>
    </w:pPr>
  </w:p>
  <w:p w:rsidR="00DC1D8F" w:rsidRPr="002F4496" w:rsidRDefault="00DC1D8F">
    <w:pPr>
      <w:pStyle w:val="Header"/>
      <w:rPr>
        <w:lang w:val="fr-FR"/>
      </w:rPr>
    </w:pPr>
  </w:p>
  <w:p w:rsidR="00DC1D8F" w:rsidRPr="002F4496" w:rsidRDefault="00DC1D8F">
    <w:pPr>
      <w:pStyle w:val="Header"/>
      <w:rPr>
        <w:lang w:val="fr-FR"/>
      </w:rPr>
    </w:pPr>
  </w:p>
  <w:p w:rsidR="00DC1D8F" w:rsidRPr="002F4496" w:rsidRDefault="00DC1D8F">
    <w:pPr>
      <w:pStyle w:val="Header"/>
      <w:rPr>
        <w:lang w:val="fr-FR"/>
      </w:rPr>
    </w:pPr>
  </w:p>
  <w:p w:rsidR="00DC1D8F" w:rsidRPr="002F4496" w:rsidRDefault="00DC1D8F">
    <w:pPr>
      <w:pStyle w:val="Header"/>
      <w:rPr>
        <w:highlight w:val="yellow"/>
        <w:lang w:val="fr-FR"/>
      </w:rPr>
    </w:pPr>
  </w:p>
  <w:p w:rsidR="00DC1D8F" w:rsidRDefault="00DC1D8F">
    <w:pPr>
      <w:pStyle w:val="Header"/>
    </w:pPr>
    <w:r>
      <w:rPr>
        <w:noProof/>
        <w:lang w:val="nb-NO" w:eastAsia="nb-NO"/>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nb-NO" w:eastAsia="nb-NO"/>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1A82893"/>
    <w:multiLevelType w:val="hybridMultilevel"/>
    <w:tmpl w:val="75CC92B6"/>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C551977"/>
    <w:multiLevelType w:val="hybridMultilevel"/>
    <w:tmpl w:val="21B45A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3E552E2"/>
    <w:multiLevelType w:val="hybridMultilevel"/>
    <w:tmpl w:val="E0883C00"/>
    <w:lvl w:ilvl="0" w:tplc="2676DC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5AD1ED9"/>
    <w:multiLevelType w:val="hybridMultilevel"/>
    <w:tmpl w:val="6908BBAC"/>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3">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266364B8"/>
    <w:multiLevelType w:val="hybridMultilevel"/>
    <w:tmpl w:val="FB6AA3E0"/>
    <w:lvl w:ilvl="0" w:tplc="1FAA33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8">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2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2">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4">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6">
    <w:nsid w:val="47F13B58"/>
    <w:multiLevelType w:val="hybridMultilevel"/>
    <w:tmpl w:val="91F62568"/>
    <w:lvl w:ilvl="0" w:tplc="A7BA189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9">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4">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6">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9">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2">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3">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2"/>
  </w:num>
  <w:num w:numId="2">
    <w:abstractNumId w:val="25"/>
  </w:num>
  <w:num w:numId="3">
    <w:abstractNumId w:val="18"/>
  </w:num>
  <w:num w:numId="4">
    <w:abstractNumId w:val="30"/>
  </w:num>
  <w:num w:numId="5">
    <w:abstractNumId w:val="4"/>
  </w:num>
  <w:num w:numId="6">
    <w:abstractNumId w:val="32"/>
  </w:num>
  <w:num w:numId="7">
    <w:abstractNumId w:val="0"/>
  </w:num>
  <w:num w:numId="8">
    <w:abstractNumId w:val="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37"/>
  </w:num>
  <w:num w:numId="15">
    <w:abstractNumId w:val="29"/>
  </w:num>
  <w:num w:numId="16">
    <w:abstractNumId w:val="16"/>
  </w:num>
  <w:num w:numId="17">
    <w:abstractNumId w:val="2"/>
  </w:num>
  <w:num w:numId="18">
    <w:abstractNumId w:val="20"/>
  </w:num>
  <w:num w:numId="19">
    <w:abstractNumId w:val="21"/>
  </w:num>
  <w:num w:numId="20">
    <w:abstractNumId w:val="23"/>
  </w:num>
  <w:num w:numId="21">
    <w:abstractNumId w:val="33"/>
  </w:num>
  <w:num w:numId="22">
    <w:abstractNumId w:val="40"/>
  </w:num>
  <w:num w:numId="23">
    <w:abstractNumId w:val="31"/>
  </w:num>
  <w:num w:numId="24">
    <w:abstractNumId w:val="15"/>
  </w:num>
  <w:num w:numId="25">
    <w:abstractNumId w:val="36"/>
  </w:num>
  <w:num w:numId="26">
    <w:abstractNumId w:val="35"/>
  </w:num>
  <w:num w:numId="27">
    <w:abstractNumId w:val="27"/>
  </w:num>
  <w:num w:numId="28">
    <w:abstractNumId w:val="39"/>
  </w:num>
  <w:num w:numId="29">
    <w:abstractNumId w:val="42"/>
  </w:num>
  <w:num w:numId="30">
    <w:abstractNumId w:val="12"/>
  </w:num>
  <w:num w:numId="31">
    <w:abstractNumId w:val="5"/>
  </w:num>
  <w:num w:numId="32">
    <w:abstractNumId w:val="28"/>
  </w:num>
  <w:num w:numId="33">
    <w:abstractNumId w:val="3"/>
  </w:num>
  <w:num w:numId="34">
    <w:abstractNumId w:val="5"/>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7"/>
  </w:num>
  <w:num w:numId="37">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num>
  <w:num w:numId="41">
    <w:abstractNumId w:val="6"/>
  </w:num>
  <w:num w:numId="42">
    <w:abstractNumId w:val="26"/>
  </w:num>
  <w:num w:numId="43">
    <w:abstractNumId w:val="1"/>
  </w:num>
  <w:num w:numId="44">
    <w:abstractNumId w:val="8"/>
  </w:num>
  <w:num w:numId="45">
    <w:abstractNumId w:val="10"/>
  </w:num>
  <w:num w:numId="46">
    <w:abstractNumId w:val="14"/>
  </w:num>
  <w:num w:numId="47">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1843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27b78bcc-7fe4-4477-a023-989f6eaa9adb"/>
  </w:docVars>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1776"/>
    <w:rsid w:val="00031FE5"/>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0A1"/>
    <w:rsid w:val="000932E0"/>
    <w:rsid w:val="00094C4C"/>
    <w:rsid w:val="000952D2"/>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15D"/>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278DB"/>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BA4"/>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68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197"/>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8AF"/>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969E8"/>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BAF"/>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37D0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CDD"/>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25DB"/>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C57"/>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0D8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1F98"/>
    <w:rsid w:val="005E49E5"/>
    <w:rsid w:val="005E5481"/>
    <w:rsid w:val="005E55E4"/>
    <w:rsid w:val="005E6C5F"/>
    <w:rsid w:val="005E7636"/>
    <w:rsid w:val="005F028E"/>
    <w:rsid w:val="005F04B4"/>
    <w:rsid w:val="005F052C"/>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3EA3"/>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1D0C"/>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3A50"/>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87"/>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3728E"/>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6C9A"/>
    <w:rsid w:val="0088759B"/>
    <w:rsid w:val="008909B4"/>
    <w:rsid w:val="00891EDE"/>
    <w:rsid w:val="008922E8"/>
    <w:rsid w:val="00893916"/>
    <w:rsid w:val="0089442C"/>
    <w:rsid w:val="00894BF8"/>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02C"/>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411D"/>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77600"/>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5FAF"/>
    <w:rsid w:val="00AC61BE"/>
    <w:rsid w:val="00AC675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141"/>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96B88"/>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6961"/>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1653"/>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1D8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29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8E8"/>
    <w:rsid w:val="00FC4F6E"/>
    <w:rsid w:val="00FC506C"/>
    <w:rsid w:val="00FC578C"/>
    <w:rsid w:val="00FC5A37"/>
    <w:rsid w:val="00FD13EA"/>
    <w:rsid w:val="00FD5EC4"/>
    <w:rsid w:val="00FD7858"/>
    <w:rsid w:val="00FD7A8D"/>
    <w:rsid w:val="00FE1330"/>
    <w:rsid w:val="00FE1CE5"/>
    <w:rsid w:val="00FE2832"/>
    <w:rsid w:val="00FE2B8A"/>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554BA"/>
    <w:rsid w:val="004B2C78"/>
    <w:rsid w:val="006A5A0A"/>
    <w:rsid w:val="008437E4"/>
    <w:rsid w:val="008917E2"/>
    <w:rsid w:val="008D079A"/>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FF19-BE51-4B73-845B-8ABD3CB3802F}">
  <ds:schemaRefs>
    <ds:schemaRef ds:uri="http://schemas.openxmlformats.org/officeDocument/2006/bibliography"/>
  </ds:schemaRefs>
</ds:datastoreItem>
</file>

<file path=customXml/itemProps2.xml><?xml version="1.0" encoding="utf-8"?>
<ds:datastoreItem xmlns:ds="http://schemas.openxmlformats.org/officeDocument/2006/customXml" ds:itemID="{07509C26-5A6C-4036-A76E-54E5706E2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EFE02177</Template>
  <TotalTime>0</TotalTime>
  <Pages>14</Pages>
  <Words>4404</Words>
  <Characters>23869</Characters>
  <Application>Microsoft Office Word</Application>
  <DocSecurity>8</DocSecurity>
  <Lines>198</Lines>
  <Paragraphs>56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28217</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vsasjbo</cp:lastModifiedBy>
  <cp:revision>2</cp:revision>
  <cp:lastPrinted>2015-02-19T07:26:00Z</cp:lastPrinted>
  <dcterms:created xsi:type="dcterms:W3CDTF">2015-02-19T14:41:00Z</dcterms:created>
  <dcterms:modified xsi:type="dcterms:W3CDTF">2015-02-19T14:41:00Z</dcterms:modified>
</cp:coreProperties>
</file>