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2" w:history="1">
        <w:r w:rsidRPr="00616B9B">
          <w:rPr>
            <w:rStyle w:val="Hiperligao"/>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3" w:history="1">
        <w:r w:rsidRPr="00616B9B">
          <w:rPr>
            <w:rStyle w:val="Hiperligao"/>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Ttulo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elacomgrelha"/>
        <w:tblW w:w="0" w:type="auto"/>
        <w:tblLook w:val="04A0"/>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6834BF"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Content>
                <w:permStart w:id="0" w:edGrp="everyone"/>
                <w:r w:rsidR="00145963">
                  <w:rPr>
                    <w:rFonts w:ascii="Arial" w:hAnsi="Arial" w:cs="Arial"/>
                    <w:sz w:val="22"/>
                    <w:szCs w:val="22"/>
                  </w:rPr>
                  <w:t>No</w:t>
                </w:r>
                <w:permEnd w:id="0"/>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6834BF"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145963">
                  <w:rPr>
                    <w:rFonts w:ascii="Arial" w:hAnsi="Arial" w:cs="Arial"/>
                    <w:sz w:val="22"/>
                    <w:szCs w:val="22"/>
                  </w:rPr>
                  <w:t>Central Securities Depository (and Trading Venue)</w:t>
                </w:r>
                <w:permEnd w:id="1"/>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F32462" w:rsidRPr="0026621B" w:rsidRDefault="00145963" w:rsidP="00E66DAF">
                <w:pPr>
                  <w:rPr>
                    <w:rFonts w:ascii="Arial" w:hAnsi="Arial" w:cs="Arial"/>
                    <w:sz w:val="22"/>
                    <w:szCs w:val="22"/>
                  </w:rPr>
                </w:pPr>
                <w:r>
                  <w:rPr>
                    <w:rFonts w:ascii="Arial" w:hAnsi="Arial" w:cs="Arial"/>
                    <w:sz w:val="22"/>
                    <w:szCs w:val="22"/>
                  </w:rPr>
                  <w:t xml:space="preserve">Portugal (and all other </w:t>
                </w:r>
                <w:proofErr w:type="spellStart"/>
                <w:r>
                  <w:rPr>
                    <w:rFonts w:ascii="Arial" w:hAnsi="Arial" w:cs="Arial"/>
                    <w:sz w:val="22"/>
                    <w:szCs w:val="22"/>
                  </w:rPr>
                  <w:t>Euronext</w:t>
                </w:r>
                <w:proofErr w:type="spellEnd"/>
                <w:r>
                  <w:rPr>
                    <w:rFonts w:ascii="Arial" w:hAnsi="Arial" w:cs="Arial"/>
                    <w:sz w:val="22"/>
                    <w:szCs w:val="22"/>
                  </w:rPr>
                  <w:t xml:space="preserve"> locations)</w:t>
                </w:r>
              </w:p>
            </w:tc>
            <w:permEnd w:id="2"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036F38" w:rsidRPr="00565BBD" w:rsidRDefault="00036F38" w:rsidP="00036F38">
      <w:pPr>
        <w:pStyle w:val="Default"/>
        <w:spacing w:line="360" w:lineRule="auto"/>
        <w:jc w:val="both"/>
        <w:rPr>
          <w:rFonts w:ascii="Times New Roman" w:hAnsi="Times New Roman" w:cs="Times New Roman"/>
          <w:color w:val="auto"/>
          <w:lang w:val="en-US"/>
        </w:rPr>
      </w:pPr>
      <w:permStart w:id="3" w:edGrp="everyone"/>
      <w:r w:rsidRPr="00565BBD">
        <w:rPr>
          <w:rFonts w:ascii="Times New Roman" w:hAnsi="Times New Roman" w:cs="Times New Roman"/>
          <w:color w:val="auto"/>
          <w:lang w:val="en-US"/>
        </w:rPr>
        <w:t>We stress that the penalty mechanism should follow a simple approach that would ease an aut</w:t>
      </w:r>
      <w:r w:rsidRPr="00565BBD">
        <w:rPr>
          <w:rFonts w:ascii="Times New Roman" w:hAnsi="Times New Roman" w:cs="Times New Roman"/>
          <w:color w:val="auto"/>
          <w:lang w:val="en-US"/>
        </w:rPr>
        <w:t>o</w:t>
      </w:r>
      <w:r w:rsidRPr="00565BBD">
        <w:rPr>
          <w:rFonts w:ascii="Times New Roman" w:hAnsi="Times New Roman" w:cs="Times New Roman"/>
          <w:color w:val="auto"/>
          <w:lang w:val="en-US"/>
        </w:rPr>
        <w:t xml:space="preserve">mated implementation and limit associated costs. </w:t>
      </w:r>
    </w:p>
    <w:p w:rsidR="00036F38" w:rsidRPr="00565BBD" w:rsidRDefault="00036F38" w:rsidP="00036F38">
      <w:pPr>
        <w:spacing w:line="360" w:lineRule="auto"/>
        <w:jc w:val="both"/>
        <w:rPr>
          <w:rFonts w:ascii="Times New Roman" w:hAnsi="Times New Roman"/>
          <w:bCs/>
          <w:sz w:val="24"/>
          <w:lang w:val="en-US"/>
        </w:rPr>
      </w:pPr>
      <w:r w:rsidRPr="00565BBD">
        <w:rPr>
          <w:rFonts w:ascii="Times New Roman" w:hAnsi="Times New Roman"/>
          <w:bCs/>
          <w:sz w:val="24"/>
          <w:lang w:val="en-US"/>
        </w:rPr>
        <w:t>We support ESMA proposal regarding the basis for the cash penalty calculation, and we believe that the same should follow clear rules on which reference price should be used and it is very important that CSDs should have access, on an easy way, to the source for such prices.</w:t>
      </w:r>
    </w:p>
    <w:p w:rsidR="00036F38" w:rsidRPr="00565BBD" w:rsidRDefault="00036F38" w:rsidP="00036F38">
      <w:pPr>
        <w:spacing w:line="360" w:lineRule="auto"/>
        <w:jc w:val="both"/>
        <w:rPr>
          <w:rFonts w:ascii="Times New Roman" w:hAnsi="Times New Roman"/>
          <w:bCs/>
          <w:sz w:val="24"/>
          <w:lang w:val="en-US"/>
        </w:rPr>
      </w:pPr>
    </w:p>
    <w:p w:rsidR="00036F38" w:rsidRPr="00565BBD" w:rsidRDefault="00036F38" w:rsidP="00036F38">
      <w:pPr>
        <w:spacing w:line="360" w:lineRule="auto"/>
        <w:jc w:val="both"/>
        <w:rPr>
          <w:rFonts w:ascii="Times New Roman" w:hAnsi="Times New Roman"/>
          <w:bCs/>
          <w:sz w:val="24"/>
          <w:lang w:val="en-US"/>
        </w:rPr>
      </w:pPr>
      <w:r w:rsidRPr="00565BBD">
        <w:rPr>
          <w:rFonts w:ascii="Times New Roman" w:hAnsi="Times New Roman"/>
          <w:bCs/>
          <w:sz w:val="24"/>
          <w:lang w:val="en-US"/>
        </w:rPr>
        <w:t>We consider that ESMA technical standard should:</w:t>
      </w:r>
    </w:p>
    <w:p w:rsidR="00036F38" w:rsidRPr="00565BBD" w:rsidRDefault="00036F38" w:rsidP="00036F38">
      <w:pPr>
        <w:pStyle w:val="PargrafodaLista"/>
        <w:numPr>
          <w:ilvl w:val="0"/>
          <w:numId w:val="42"/>
        </w:numPr>
        <w:spacing w:line="360" w:lineRule="auto"/>
        <w:ind w:left="567" w:hanging="567"/>
        <w:contextualSpacing w:val="0"/>
        <w:jc w:val="both"/>
        <w:rPr>
          <w:rFonts w:ascii="Times New Roman" w:hAnsi="Times New Roman"/>
          <w:bCs/>
          <w:sz w:val="24"/>
          <w:lang w:val="en-US"/>
        </w:rPr>
      </w:pPr>
      <w:r w:rsidRPr="00565BBD">
        <w:rPr>
          <w:rFonts w:ascii="Times New Roman" w:hAnsi="Times New Roman"/>
          <w:bCs/>
          <w:sz w:val="24"/>
          <w:lang w:val="en-US"/>
        </w:rPr>
        <w:t>Clearly define if all EU CSDs should use or not the same references prices and as a cons</w:t>
      </w:r>
      <w:r w:rsidRPr="00565BBD">
        <w:rPr>
          <w:rFonts w:ascii="Times New Roman" w:hAnsi="Times New Roman"/>
          <w:bCs/>
          <w:sz w:val="24"/>
          <w:lang w:val="en-US"/>
        </w:rPr>
        <w:t>e</w:t>
      </w:r>
      <w:r w:rsidRPr="00565BBD">
        <w:rPr>
          <w:rFonts w:ascii="Times New Roman" w:hAnsi="Times New Roman"/>
          <w:bCs/>
          <w:sz w:val="24"/>
          <w:lang w:val="en-US"/>
        </w:rPr>
        <w:t>quence the same source of prices (to guarantee the same reference price).</w:t>
      </w:r>
    </w:p>
    <w:p w:rsidR="00036F38" w:rsidRPr="00565BBD" w:rsidRDefault="00036F38" w:rsidP="00036F38">
      <w:pPr>
        <w:pStyle w:val="PargrafodaLista"/>
        <w:numPr>
          <w:ilvl w:val="0"/>
          <w:numId w:val="42"/>
        </w:numPr>
        <w:spacing w:line="360" w:lineRule="auto"/>
        <w:ind w:left="567" w:hanging="567"/>
        <w:contextualSpacing w:val="0"/>
        <w:jc w:val="both"/>
        <w:rPr>
          <w:rFonts w:ascii="Times New Roman" w:hAnsi="Times New Roman"/>
          <w:bCs/>
          <w:sz w:val="24"/>
          <w:lang w:val="en-US"/>
        </w:rPr>
      </w:pPr>
      <w:r w:rsidRPr="00565BBD">
        <w:rPr>
          <w:rFonts w:ascii="Times New Roman" w:hAnsi="Times New Roman"/>
          <w:bCs/>
          <w:sz w:val="24"/>
          <w:lang w:val="en-US"/>
        </w:rPr>
        <w:t xml:space="preserve">Clarify  </w:t>
      </w:r>
      <w:r w:rsidRPr="00565BBD">
        <w:rPr>
          <w:rFonts w:ascii="Times New Roman" w:hAnsi="Times New Roman"/>
          <w:sz w:val="24"/>
          <w:lang w:val="en-US"/>
        </w:rPr>
        <w:t>whether the penalty fee to be applied on a failed instruction that is pending for multiple days should be calculated based on a single reference price determined at the end of ISD or whether different reference price should be used for each day when the instru</w:t>
      </w:r>
      <w:r w:rsidRPr="00565BBD">
        <w:rPr>
          <w:rFonts w:ascii="Times New Roman" w:hAnsi="Times New Roman"/>
          <w:sz w:val="24"/>
          <w:lang w:val="en-US"/>
        </w:rPr>
        <w:t>c</w:t>
      </w:r>
      <w:r w:rsidRPr="00565BBD">
        <w:rPr>
          <w:rFonts w:ascii="Times New Roman" w:hAnsi="Times New Roman"/>
          <w:sz w:val="24"/>
          <w:lang w:val="en-US"/>
        </w:rPr>
        <w:t>tion fails. We stress that the first option is less complex and less costly to implement.</w:t>
      </w:r>
    </w:p>
    <w:permEnd w:id="3"/>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036F38" w:rsidRPr="00565BBD" w:rsidRDefault="00036F38" w:rsidP="00036F38">
      <w:pPr>
        <w:pStyle w:val="Default"/>
        <w:spacing w:line="360" w:lineRule="auto"/>
        <w:jc w:val="both"/>
        <w:rPr>
          <w:rFonts w:ascii="Times New Roman" w:hAnsi="Times New Roman" w:cs="Times New Roman"/>
          <w:color w:val="auto"/>
          <w:lang w:val="en-US"/>
        </w:rPr>
      </w:pPr>
      <w:permStart w:id="4" w:edGrp="everyone"/>
      <w:r w:rsidRPr="00565BBD">
        <w:rPr>
          <w:rFonts w:ascii="Times New Roman" w:hAnsi="Times New Roman" w:cs="Times New Roman"/>
          <w:color w:val="auto"/>
          <w:lang w:val="en-US"/>
        </w:rPr>
        <w:t>We agree with ESMA that the penalty is not structured to compensate the counterparty of a fai</w:t>
      </w:r>
      <w:r w:rsidRPr="00565BBD">
        <w:rPr>
          <w:rFonts w:ascii="Times New Roman" w:hAnsi="Times New Roman" w:cs="Times New Roman"/>
          <w:color w:val="auto"/>
          <w:lang w:val="en-US"/>
        </w:rPr>
        <w:t>l</w:t>
      </w:r>
      <w:r w:rsidRPr="00565BBD">
        <w:rPr>
          <w:rFonts w:ascii="Times New Roman" w:hAnsi="Times New Roman" w:cs="Times New Roman"/>
          <w:color w:val="auto"/>
          <w:lang w:val="en-US"/>
        </w:rPr>
        <w:t>ing instruction for the loss suffered and to replicate exactly the loss incurred by the failed partic</w:t>
      </w:r>
      <w:r w:rsidRPr="00565BBD">
        <w:rPr>
          <w:rFonts w:ascii="Times New Roman" w:hAnsi="Times New Roman" w:cs="Times New Roman"/>
          <w:color w:val="auto"/>
          <w:lang w:val="en-US"/>
        </w:rPr>
        <w:t>i</w:t>
      </w:r>
      <w:r w:rsidRPr="00565BBD">
        <w:rPr>
          <w:rFonts w:ascii="Times New Roman" w:hAnsi="Times New Roman" w:cs="Times New Roman"/>
          <w:color w:val="auto"/>
          <w:lang w:val="en-US"/>
        </w:rPr>
        <w:t>pant, or the gains achieved by the failing participant. The purpose of the penalties is to be suff</w:t>
      </w:r>
      <w:r w:rsidRPr="00565BBD">
        <w:rPr>
          <w:rFonts w:ascii="Times New Roman" w:hAnsi="Times New Roman" w:cs="Times New Roman"/>
          <w:color w:val="auto"/>
          <w:lang w:val="en-US"/>
        </w:rPr>
        <w:t>i</w:t>
      </w:r>
      <w:r w:rsidRPr="00565BBD">
        <w:rPr>
          <w:rFonts w:ascii="Times New Roman" w:hAnsi="Times New Roman" w:cs="Times New Roman"/>
          <w:color w:val="auto"/>
          <w:lang w:val="en-US"/>
        </w:rPr>
        <w:t xml:space="preserve">ciently deterrent and to introduce the desired incentives to prevent and reduce settlement fails. </w:t>
      </w:r>
    </w:p>
    <w:p w:rsidR="00036F38" w:rsidRPr="00565BBD" w:rsidRDefault="00036F38" w:rsidP="00036F38">
      <w:pPr>
        <w:tabs>
          <w:tab w:val="left" w:pos="3402"/>
        </w:tabs>
        <w:suppressAutoHyphens/>
        <w:spacing w:line="360" w:lineRule="auto"/>
        <w:jc w:val="both"/>
        <w:rPr>
          <w:rFonts w:ascii="Times New Roman" w:hAnsi="Times New Roman"/>
          <w:bCs/>
          <w:sz w:val="24"/>
          <w:lang w:val="en-US"/>
        </w:rPr>
      </w:pPr>
    </w:p>
    <w:p w:rsidR="00BB4120" w:rsidRDefault="00036F38" w:rsidP="00036F38">
      <w:pPr>
        <w:tabs>
          <w:tab w:val="left" w:pos="3402"/>
        </w:tabs>
        <w:suppressAutoHyphens/>
        <w:spacing w:line="360" w:lineRule="auto"/>
        <w:jc w:val="both"/>
        <w:rPr>
          <w:rFonts w:ascii="Times New Roman" w:hAnsi="Times New Roman"/>
          <w:bCs/>
          <w:sz w:val="24"/>
          <w:lang w:val="en-US"/>
        </w:rPr>
      </w:pPr>
      <w:r w:rsidRPr="00565BBD">
        <w:rPr>
          <w:rFonts w:ascii="Times New Roman" w:hAnsi="Times New Roman"/>
          <w:bCs/>
          <w:sz w:val="24"/>
          <w:lang w:val="en-US"/>
        </w:rPr>
        <w:t>We stress that the list of financial instruments specified for the application of penalty rates should be consistency with the categories of financial instruments referred in the RTS on settlement discipline regarding the fails reporting; i.e. we support that fails reporting should reflect the categories of financial instruments subject to different penalty rates, in order to all settlement discipline regime be consistent and easy to implement.</w:t>
      </w:r>
    </w:p>
    <w:p w:rsidR="00BB4120" w:rsidRPr="00C37F8F" w:rsidRDefault="00BB4120" w:rsidP="00BB4120">
      <w:pPr>
        <w:pStyle w:val="Textosimples"/>
        <w:spacing w:line="360" w:lineRule="auto"/>
        <w:jc w:val="both"/>
        <w:rPr>
          <w:rFonts w:ascii="Times New Roman" w:hAnsi="Times New Roman"/>
          <w:sz w:val="24"/>
          <w:szCs w:val="24"/>
        </w:rPr>
      </w:pPr>
      <w:r w:rsidRPr="00C37F8F">
        <w:rPr>
          <w:rFonts w:ascii="Times New Roman" w:hAnsi="Times New Roman"/>
          <w:sz w:val="24"/>
          <w:szCs w:val="24"/>
        </w:rPr>
        <w:t>Another reason for which penalty rates should indeed reflect the underlying instruments, has to do with the need to protect the market and, more specifically, the smaller issuers.</w:t>
      </w:r>
    </w:p>
    <w:p w:rsidR="00036F38" w:rsidRPr="00BB4120" w:rsidRDefault="00BB4120" w:rsidP="00BB4120">
      <w:pPr>
        <w:pStyle w:val="Textosimples"/>
        <w:spacing w:line="360" w:lineRule="auto"/>
        <w:jc w:val="both"/>
        <w:rPr>
          <w:rFonts w:ascii="Times New Roman" w:hAnsi="Times New Roman"/>
          <w:sz w:val="24"/>
          <w:szCs w:val="24"/>
        </w:rPr>
      </w:pPr>
      <w:r w:rsidRPr="00C37F8F">
        <w:rPr>
          <w:rFonts w:ascii="Times New Roman" w:hAnsi="Times New Roman"/>
          <w:sz w:val="24"/>
          <w:szCs w:val="24"/>
        </w:rPr>
        <w:lastRenderedPageBreak/>
        <w:t>In fact, one way to try to support - and to maintain - the level of attractiveness of small caps towards investors, is to ensure that penalties for settlement fails on these securities are well balanced and serve only the purpose of desincentivising settlement fails and do not serve as compensation of the loss incurred into by one of the counterparties to the transaction.</w:t>
      </w:r>
    </w:p>
    <w:permEnd w:id="4"/>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reduction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036F38" w:rsidRPr="00565BBD" w:rsidRDefault="00036F38" w:rsidP="00036F38">
      <w:pPr>
        <w:pStyle w:val="Default"/>
        <w:spacing w:line="360" w:lineRule="auto"/>
        <w:jc w:val="both"/>
        <w:rPr>
          <w:rFonts w:ascii="Times New Roman" w:hAnsi="Times New Roman" w:cs="Times New Roman"/>
          <w:color w:val="auto"/>
          <w:lang w:val="en-US"/>
        </w:rPr>
      </w:pPr>
      <w:permStart w:id="5" w:edGrp="everyone"/>
      <w:r w:rsidRPr="00565BBD">
        <w:rPr>
          <w:rFonts w:ascii="Times New Roman" w:hAnsi="Times New Roman" w:cs="Times New Roman"/>
          <w:color w:val="auto"/>
          <w:lang w:val="en-US"/>
        </w:rPr>
        <w:t xml:space="preserve">We welcome ESMA approach to not apply, at this stage, the possibility to increase or decrease of the basic amount of the penalty. In a second stage, depending on the outcome of the penalty mechanism on settlement efficiency, this approach should be reviewed. </w:t>
      </w:r>
    </w:p>
    <w:p w:rsidR="00036F38" w:rsidRPr="00565BBD" w:rsidRDefault="00036F38" w:rsidP="00036F38">
      <w:pPr>
        <w:tabs>
          <w:tab w:val="left" w:pos="3402"/>
        </w:tabs>
        <w:suppressAutoHyphens/>
        <w:spacing w:line="360" w:lineRule="auto"/>
        <w:jc w:val="both"/>
        <w:rPr>
          <w:rFonts w:ascii="Times New Roman" w:hAnsi="Times New Roman"/>
          <w:bCs/>
          <w:sz w:val="24"/>
          <w:lang w:val="en-US"/>
        </w:rPr>
      </w:pPr>
    </w:p>
    <w:p w:rsidR="00036F38" w:rsidRPr="00565BBD" w:rsidRDefault="00036F38" w:rsidP="00036F38">
      <w:pPr>
        <w:tabs>
          <w:tab w:val="left" w:pos="3402"/>
        </w:tabs>
        <w:suppressAutoHyphens/>
        <w:spacing w:line="360" w:lineRule="auto"/>
        <w:jc w:val="both"/>
        <w:rPr>
          <w:rFonts w:ascii="Times New Roman" w:hAnsi="Times New Roman"/>
          <w:bCs/>
          <w:sz w:val="24"/>
          <w:lang w:val="en-US"/>
        </w:rPr>
      </w:pPr>
      <w:r w:rsidRPr="00565BBD">
        <w:rPr>
          <w:rFonts w:ascii="Times New Roman" w:hAnsi="Times New Roman"/>
          <w:bCs/>
          <w:sz w:val="24"/>
          <w:lang w:val="en-US"/>
        </w:rPr>
        <w:t>We also welcome ESMA’s proposal to allow CSDs, “</w:t>
      </w:r>
      <w:r w:rsidRPr="00565BBD">
        <w:rPr>
          <w:rFonts w:ascii="Times New Roman" w:hAnsi="Times New Roman"/>
          <w:bCs/>
          <w:i/>
          <w:sz w:val="24"/>
          <w:lang w:val="en-US"/>
        </w:rPr>
        <w:t xml:space="preserve">in the limited circumstances where settlement cannot be performed for reasons that are independent from any of the participants or the CSD” </w:t>
      </w:r>
      <w:r w:rsidRPr="00565BBD">
        <w:rPr>
          <w:rFonts w:ascii="Times New Roman" w:hAnsi="Times New Roman"/>
          <w:bCs/>
          <w:sz w:val="24"/>
          <w:lang w:val="en-US"/>
        </w:rPr>
        <w:t xml:space="preserve">not to charge the penalty. </w:t>
      </w:r>
    </w:p>
    <w:p w:rsidR="00036F38" w:rsidRPr="00565BBD" w:rsidRDefault="00036F38" w:rsidP="00036F38">
      <w:pPr>
        <w:tabs>
          <w:tab w:val="left" w:pos="3402"/>
        </w:tabs>
        <w:suppressAutoHyphens/>
        <w:spacing w:line="360" w:lineRule="auto"/>
        <w:jc w:val="both"/>
        <w:rPr>
          <w:rFonts w:ascii="Times New Roman" w:hAnsi="Times New Roman"/>
          <w:bCs/>
          <w:sz w:val="24"/>
          <w:lang w:val="en-US"/>
        </w:rPr>
      </w:pPr>
      <w:r w:rsidRPr="00565BBD">
        <w:rPr>
          <w:rFonts w:ascii="Times New Roman" w:hAnsi="Times New Roman"/>
          <w:bCs/>
          <w:sz w:val="24"/>
          <w:lang w:val="en-US"/>
        </w:rPr>
        <w:t>In line with the T2S AG response to the ESMA Consultation, we think that it is appropriate to foresee a more general rule whereby penalties would be set to zero for all fails which are not due to a lack of cash or of securities, in line with the definition of “fails” in the Level 1 text of the CSDR. Exceptions to this rule need to be explicitly mentioned in the Level 1 CSDR or the Level 2 technical standards, for example on hold instructions and instructions sent after the intended settlement date.</w:t>
      </w:r>
    </w:p>
    <w:permEnd w:id="5"/>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bookmarkStart w:id="3" w:name="_GoBack"/>
      <w:bookmarkEnd w:id="3"/>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036F38" w:rsidRPr="00565BBD" w:rsidRDefault="00036F38" w:rsidP="00036F38">
      <w:pPr>
        <w:pStyle w:val="Default"/>
        <w:spacing w:line="360" w:lineRule="auto"/>
        <w:jc w:val="both"/>
        <w:rPr>
          <w:rFonts w:ascii="Times New Roman" w:hAnsi="Times New Roman" w:cs="Times New Roman"/>
          <w:bCs/>
          <w:color w:val="auto"/>
          <w:lang w:val="en-US"/>
        </w:rPr>
      </w:pPr>
      <w:permStart w:id="6" w:edGrp="everyone"/>
      <w:r w:rsidRPr="00565BBD">
        <w:rPr>
          <w:rFonts w:ascii="Times New Roman" w:hAnsi="Times New Roman" w:cs="Times New Roman"/>
          <w:bCs/>
          <w:color w:val="auto"/>
          <w:lang w:val="en-US"/>
        </w:rPr>
        <w:t>We agree with ESMA approach.</w:t>
      </w:r>
    </w:p>
    <w:permEnd w:id="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036F38" w:rsidRDefault="00036F38" w:rsidP="00A35728">
      <w:pPr>
        <w:rPr>
          <w:rFonts w:ascii="Times New Roman" w:hAnsi="Times New Roman"/>
          <w:sz w:val="24"/>
          <w:lang w:val="en-US"/>
        </w:rPr>
      </w:pPr>
      <w:permStart w:id="7" w:edGrp="everyone"/>
      <w:r w:rsidRPr="00565BBD">
        <w:rPr>
          <w:rFonts w:ascii="Times New Roman" w:hAnsi="Times New Roman"/>
          <w:sz w:val="24"/>
          <w:lang w:val="en-US"/>
        </w:rPr>
        <w:t>Yes we agree.</w:t>
      </w:r>
    </w:p>
    <w:permEnd w:id="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lastRenderedPageBreak/>
        <w:t>&lt;ESMA_QUESTION_TA_CSDR_6&gt;</w:t>
      </w:r>
    </w:p>
    <w:p w:rsidR="00036F38" w:rsidRPr="00704130" w:rsidRDefault="00036F38" w:rsidP="00036F38">
      <w:pPr>
        <w:rPr>
          <w:rFonts w:ascii="Times New Roman" w:hAnsi="Times New Roman"/>
          <w:sz w:val="24"/>
        </w:rPr>
      </w:pPr>
      <w:permStart w:id="8" w:edGrp="everyone"/>
      <w:r w:rsidRPr="00704130">
        <w:rPr>
          <w:rFonts w:ascii="Times New Roman" w:hAnsi="Times New Roman"/>
          <w:sz w:val="24"/>
        </w:rPr>
        <w:t>We have</w:t>
      </w:r>
      <w:r>
        <w:rPr>
          <w:rFonts w:ascii="Times New Roman" w:hAnsi="Times New Roman"/>
          <w:sz w:val="24"/>
        </w:rPr>
        <w:t xml:space="preserve"> answered jointly to Q6</w:t>
      </w:r>
      <w:r w:rsidR="00145963">
        <w:rPr>
          <w:rFonts w:ascii="Times New Roman" w:hAnsi="Times New Roman"/>
          <w:sz w:val="24"/>
        </w:rPr>
        <w:t xml:space="preserve"> to Q8</w:t>
      </w:r>
      <w:r w:rsidRPr="00704130">
        <w:rPr>
          <w:rFonts w:ascii="Times New Roman" w:hAnsi="Times New Roman"/>
          <w:sz w:val="24"/>
        </w:rPr>
        <w:t xml:space="preserve">. See answer </w:t>
      </w:r>
      <w:r w:rsidR="00145963">
        <w:rPr>
          <w:rFonts w:ascii="Times New Roman" w:hAnsi="Times New Roman"/>
          <w:sz w:val="24"/>
        </w:rPr>
        <w:t>bellow to Q8</w:t>
      </w:r>
      <w:r w:rsidRPr="00704130">
        <w:rPr>
          <w:rFonts w:ascii="Times New Roman" w:hAnsi="Times New Roman"/>
          <w:sz w:val="24"/>
        </w:rPr>
        <w:t>.</w:t>
      </w:r>
    </w:p>
    <w:permEnd w:id="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145963" w:rsidRPr="00704130" w:rsidRDefault="00145963" w:rsidP="00145963">
      <w:pPr>
        <w:rPr>
          <w:rFonts w:ascii="Times New Roman" w:hAnsi="Times New Roman"/>
          <w:sz w:val="24"/>
        </w:rPr>
      </w:pPr>
      <w:permStart w:id="9" w:edGrp="everyone"/>
      <w:r w:rsidRPr="00704130">
        <w:rPr>
          <w:rFonts w:ascii="Times New Roman" w:hAnsi="Times New Roman"/>
          <w:sz w:val="24"/>
        </w:rPr>
        <w:t>We have</w:t>
      </w:r>
      <w:r>
        <w:rPr>
          <w:rFonts w:ascii="Times New Roman" w:hAnsi="Times New Roman"/>
          <w:sz w:val="24"/>
        </w:rPr>
        <w:t xml:space="preserve"> answered jointly to Q6 to Q8</w:t>
      </w:r>
      <w:r w:rsidRPr="00704130">
        <w:rPr>
          <w:rFonts w:ascii="Times New Roman" w:hAnsi="Times New Roman"/>
          <w:sz w:val="24"/>
        </w:rPr>
        <w:t xml:space="preserve">. See answer </w:t>
      </w:r>
      <w:r>
        <w:rPr>
          <w:rFonts w:ascii="Times New Roman" w:hAnsi="Times New Roman"/>
          <w:sz w:val="24"/>
        </w:rPr>
        <w:t>bellow to Q8</w:t>
      </w:r>
      <w:r w:rsidRPr="00704130">
        <w:rPr>
          <w:rFonts w:ascii="Times New Roman" w:hAnsi="Times New Roman"/>
          <w:sz w:val="24"/>
        </w:rPr>
        <w:t>.</w:t>
      </w:r>
    </w:p>
    <w:permEnd w:id="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036F38" w:rsidRPr="00565BBD" w:rsidRDefault="00036F38" w:rsidP="00036F38">
      <w:pPr>
        <w:tabs>
          <w:tab w:val="left" w:pos="3402"/>
        </w:tabs>
        <w:suppressAutoHyphens/>
        <w:spacing w:line="360" w:lineRule="auto"/>
        <w:jc w:val="both"/>
        <w:rPr>
          <w:rFonts w:ascii="Times New Roman" w:hAnsi="Times New Roman"/>
          <w:bCs/>
          <w:sz w:val="24"/>
          <w:lang w:val="en-US"/>
        </w:rPr>
      </w:pPr>
      <w:permStart w:id="10" w:edGrp="everyone"/>
      <w:r w:rsidRPr="00565BBD">
        <w:rPr>
          <w:rFonts w:ascii="Times New Roman" w:hAnsi="Times New Roman"/>
          <w:bCs/>
          <w:sz w:val="24"/>
          <w:lang w:val="en-US"/>
        </w:rPr>
        <w:t xml:space="preserve">We support ECSDA response in what concerns the proposed indicators, namely the understanding related to: </w:t>
      </w:r>
    </w:p>
    <w:p w:rsidR="00036F38" w:rsidRPr="00565BBD" w:rsidRDefault="00036F38" w:rsidP="00036F38">
      <w:pPr>
        <w:pStyle w:val="PargrafodaLista"/>
        <w:numPr>
          <w:ilvl w:val="0"/>
          <w:numId w:val="43"/>
        </w:numPr>
        <w:tabs>
          <w:tab w:val="left" w:pos="3402"/>
        </w:tabs>
        <w:suppressAutoHyphens/>
        <w:spacing w:line="360" w:lineRule="auto"/>
        <w:ind w:left="567" w:hanging="567"/>
        <w:contextualSpacing w:val="0"/>
        <w:jc w:val="both"/>
        <w:rPr>
          <w:rFonts w:ascii="Times New Roman" w:hAnsi="Times New Roman"/>
          <w:bCs/>
          <w:sz w:val="24"/>
          <w:lang w:val="en-US"/>
        </w:rPr>
      </w:pPr>
      <w:r w:rsidRPr="00565BBD">
        <w:rPr>
          <w:rFonts w:ascii="Times New Roman" w:hAnsi="Times New Roman"/>
          <w:bCs/>
          <w:sz w:val="24"/>
          <w:lang w:val="en-US"/>
        </w:rPr>
        <w:t>The intention of Level 1 legislation to clearly limit the cases of "</w:t>
      </w:r>
      <w:r w:rsidRPr="00565BBD">
        <w:rPr>
          <w:rFonts w:ascii="Times New Roman" w:hAnsi="Times New Roman"/>
          <w:bCs/>
          <w:i/>
          <w:sz w:val="24"/>
          <w:lang w:val="en-US"/>
        </w:rPr>
        <w:t>systemic importance</w:t>
      </w:r>
      <w:r w:rsidRPr="00565BBD">
        <w:rPr>
          <w:rFonts w:ascii="Times New Roman" w:hAnsi="Times New Roman"/>
          <w:bCs/>
          <w:sz w:val="24"/>
          <w:lang w:val="en-US"/>
        </w:rPr>
        <w:t xml:space="preserve">" to CSDs having a branch in a host Member State, and not to cover all other cases of cross-border service provision; </w:t>
      </w:r>
    </w:p>
    <w:p w:rsidR="00036F38" w:rsidRPr="00565BBD" w:rsidRDefault="00036F38" w:rsidP="00036F38">
      <w:pPr>
        <w:pStyle w:val="PargrafodaLista"/>
        <w:numPr>
          <w:ilvl w:val="0"/>
          <w:numId w:val="43"/>
        </w:numPr>
        <w:tabs>
          <w:tab w:val="left" w:pos="3402"/>
        </w:tabs>
        <w:suppressAutoHyphens/>
        <w:spacing w:line="360" w:lineRule="auto"/>
        <w:ind w:left="567" w:hanging="567"/>
        <w:contextualSpacing w:val="0"/>
        <w:jc w:val="both"/>
        <w:rPr>
          <w:rFonts w:ascii="Times New Roman" w:hAnsi="Times New Roman"/>
          <w:sz w:val="24"/>
          <w:lang w:val="en-US"/>
        </w:rPr>
      </w:pPr>
      <w:r w:rsidRPr="00565BBD">
        <w:rPr>
          <w:rFonts w:ascii="Times New Roman" w:hAnsi="Times New Roman"/>
          <w:bCs/>
          <w:sz w:val="24"/>
          <w:lang w:val="en-US"/>
        </w:rPr>
        <w:t>The inadequacy and the need of review of the indicators related to the central maintenance service. Th</w:t>
      </w:r>
      <w:r w:rsidRPr="00565BBD">
        <w:rPr>
          <w:rFonts w:ascii="Times New Roman" w:hAnsi="Times New Roman"/>
          <w:sz w:val="24"/>
          <w:lang w:val="en-US"/>
        </w:rPr>
        <w:t>e “</w:t>
      </w:r>
      <w:r w:rsidRPr="00565BBD">
        <w:rPr>
          <w:rFonts w:ascii="Times New Roman" w:hAnsi="Times New Roman"/>
          <w:i/>
          <w:sz w:val="24"/>
          <w:lang w:val="en-US"/>
        </w:rPr>
        <w:t>nationality</w:t>
      </w:r>
      <w:r w:rsidRPr="00565BBD">
        <w:rPr>
          <w:rFonts w:ascii="Times New Roman" w:hAnsi="Times New Roman"/>
          <w:sz w:val="24"/>
          <w:lang w:val="en-US"/>
        </w:rPr>
        <w:t>” of CSD participants is irrelevant since it might be totally different from that of the actual holders of the security;</w:t>
      </w:r>
    </w:p>
    <w:p w:rsidR="00036F38" w:rsidRPr="00565BBD" w:rsidRDefault="00036F38" w:rsidP="00036F38">
      <w:pPr>
        <w:pStyle w:val="PargrafodaLista"/>
        <w:numPr>
          <w:ilvl w:val="0"/>
          <w:numId w:val="43"/>
        </w:numPr>
        <w:tabs>
          <w:tab w:val="left" w:pos="3402"/>
        </w:tabs>
        <w:suppressAutoHyphens/>
        <w:spacing w:line="360" w:lineRule="auto"/>
        <w:ind w:left="567" w:hanging="567"/>
        <w:contextualSpacing w:val="0"/>
        <w:jc w:val="both"/>
        <w:rPr>
          <w:rFonts w:ascii="Times New Roman" w:hAnsi="Times New Roman"/>
          <w:bCs/>
          <w:sz w:val="24"/>
          <w:lang w:val="en-US"/>
        </w:rPr>
      </w:pPr>
      <w:r w:rsidRPr="00565BBD">
        <w:rPr>
          <w:rFonts w:ascii="Times New Roman" w:hAnsi="Times New Roman"/>
          <w:sz w:val="24"/>
          <w:lang w:val="en-US"/>
        </w:rPr>
        <w:t>The often non-availability, to the CSDs,  of the proposed denominators for the thresholds’ calculations;</w:t>
      </w:r>
    </w:p>
    <w:p w:rsidR="00036F38" w:rsidRPr="00565BBD" w:rsidRDefault="00036F38" w:rsidP="00036F38">
      <w:pPr>
        <w:pStyle w:val="PargrafodaLista"/>
        <w:numPr>
          <w:ilvl w:val="0"/>
          <w:numId w:val="43"/>
        </w:numPr>
        <w:tabs>
          <w:tab w:val="left" w:pos="567"/>
        </w:tabs>
        <w:spacing w:line="360" w:lineRule="auto"/>
        <w:ind w:left="567" w:hanging="567"/>
        <w:contextualSpacing w:val="0"/>
        <w:jc w:val="both"/>
        <w:rPr>
          <w:rFonts w:ascii="Times New Roman" w:hAnsi="Times New Roman"/>
          <w:sz w:val="24"/>
          <w:lang w:val="en-US"/>
        </w:rPr>
      </w:pPr>
      <w:r w:rsidRPr="00565BBD">
        <w:rPr>
          <w:rFonts w:ascii="Times New Roman" w:hAnsi="Times New Roman"/>
          <w:sz w:val="24"/>
          <w:lang w:val="en-US"/>
        </w:rPr>
        <w:t>The welcome of ESMA’s decision not to include collateral management services in the assessment of the threshold for the “</w:t>
      </w:r>
      <w:r w:rsidRPr="00565BBD">
        <w:rPr>
          <w:rFonts w:ascii="Times New Roman" w:hAnsi="Times New Roman"/>
          <w:i/>
          <w:sz w:val="24"/>
          <w:lang w:val="en-US"/>
        </w:rPr>
        <w:t>central maintenance service</w:t>
      </w:r>
      <w:r w:rsidRPr="00565BBD">
        <w:rPr>
          <w:rFonts w:ascii="Times New Roman" w:hAnsi="Times New Roman"/>
          <w:sz w:val="24"/>
          <w:lang w:val="en-US"/>
        </w:rPr>
        <w:t>”;</w:t>
      </w:r>
    </w:p>
    <w:p w:rsidR="00036F38" w:rsidRPr="00565BBD" w:rsidRDefault="00036F38" w:rsidP="00036F38">
      <w:pPr>
        <w:pStyle w:val="PargrafodaLista"/>
        <w:numPr>
          <w:ilvl w:val="0"/>
          <w:numId w:val="43"/>
        </w:numPr>
        <w:tabs>
          <w:tab w:val="left" w:pos="3402"/>
        </w:tabs>
        <w:suppressAutoHyphens/>
        <w:spacing w:line="360" w:lineRule="auto"/>
        <w:ind w:left="567" w:hanging="567"/>
        <w:contextualSpacing w:val="0"/>
        <w:jc w:val="both"/>
        <w:rPr>
          <w:rFonts w:ascii="Times New Roman" w:hAnsi="Times New Roman"/>
          <w:bCs/>
          <w:sz w:val="24"/>
          <w:lang w:val="en-US"/>
        </w:rPr>
      </w:pPr>
      <w:r w:rsidRPr="00565BBD">
        <w:rPr>
          <w:rFonts w:ascii="Times New Roman" w:hAnsi="Times New Roman"/>
          <w:bCs/>
          <w:sz w:val="24"/>
          <w:lang w:val="en-US"/>
        </w:rPr>
        <w:t>The consideration of the proposed indicators on the notary service as more appropriate.</w:t>
      </w:r>
    </w:p>
    <w:p w:rsidR="00036F38" w:rsidRPr="00565BBD" w:rsidRDefault="00036F38" w:rsidP="00036F38">
      <w:pPr>
        <w:pStyle w:val="PargrafodaLista"/>
        <w:tabs>
          <w:tab w:val="left" w:pos="3402"/>
        </w:tabs>
        <w:suppressAutoHyphens/>
        <w:spacing w:line="360" w:lineRule="auto"/>
        <w:ind w:left="4128"/>
        <w:jc w:val="both"/>
        <w:rPr>
          <w:rFonts w:ascii="Times New Roman" w:hAnsi="Times New Roman"/>
          <w:bCs/>
          <w:sz w:val="24"/>
          <w:lang w:val="en-US"/>
        </w:rPr>
      </w:pPr>
    </w:p>
    <w:p w:rsidR="00036F38" w:rsidRPr="00565BBD" w:rsidRDefault="00036F38" w:rsidP="00036F38">
      <w:pPr>
        <w:tabs>
          <w:tab w:val="left" w:pos="3402"/>
        </w:tabs>
        <w:suppressAutoHyphens/>
        <w:spacing w:line="360" w:lineRule="auto"/>
        <w:jc w:val="both"/>
        <w:rPr>
          <w:rFonts w:ascii="Times New Roman" w:hAnsi="Times New Roman"/>
          <w:bCs/>
          <w:sz w:val="24"/>
          <w:lang w:val="en-US"/>
        </w:rPr>
      </w:pPr>
      <w:r w:rsidRPr="00565BBD">
        <w:rPr>
          <w:rFonts w:ascii="Times New Roman" w:hAnsi="Times New Roman"/>
          <w:bCs/>
          <w:sz w:val="24"/>
          <w:lang w:val="en-US"/>
        </w:rPr>
        <w:t>W</w:t>
      </w:r>
      <w:r w:rsidRPr="00565BBD">
        <w:rPr>
          <w:rFonts w:ascii="Times New Roman" w:hAnsi="Times New Roman"/>
          <w:sz w:val="24"/>
          <w:lang w:val="en-US"/>
        </w:rPr>
        <w:t xml:space="preserve">e also agree with ECSDA recommendation that a simulation exercise should be undertaken by ESMA before the draft technical advice is </w:t>
      </w:r>
      <w:proofErr w:type="spellStart"/>
      <w:r w:rsidRPr="00565BBD">
        <w:rPr>
          <w:rFonts w:ascii="Times New Roman" w:hAnsi="Times New Roman"/>
          <w:sz w:val="24"/>
          <w:lang w:val="en-US"/>
        </w:rPr>
        <w:t>finalised</w:t>
      </w:r>
      <w:proofErr w:type="spellEnd"/>
      <w:r w:rsidRPr="00565BBD">
        <w:rPr>
          <w:rFonts w:ascii="Times New Roman" w:hAnsi="Times New Roman"/>
          <w:sz w:val="24"/>
          <w:lang w:val="en-US"/>
        </w:rPr>
        <w:t xml:space="preserve">, in order to assess the number of authorities that would be required to establish cooperation arrangements as result of the proposed thresholds. </w:t>
      </w:r>
      <w:proofErr w:type="spellStart"/>
      <w:r w:rsidRPr="00565BBD">
        <w:rPr>
          <w:rFonts w:ascii="Times New Roman" w:hAnsi="Times New Roman"/>
          <w:sz w:val="24"/>
          <w:lang w:val="en-US"/>
        </w:rPr>
        <w:t>Interbolsa</w:t>
      </w:r>
      <w:proofErr w:type="spellEnd"/>
      <w:r w:rsidRPr="00565BBD">
        <w:rPr>
          <w:rFonts w:ascii="Times New Roman" w:hAnsi="Times New Roman"/>
          <w:sz w:val="24"/>
          <w:lang w:val="en-US"/>
        </w:rPr>
        <w:t xml:space="preserve"> stands prepared to support ESMA in such an exercise. </w:t>
      </w:r>
    </w:p>
    <w:permEnd w:id="10"/>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C0F" w:rsidRDefault="00817C0F">
      <w:r>
        <w:separator/>
      </w:r>
    </w:p>
    <w:p w:rsidR="00817C0F" w:rsidRDefault="00817C0F"/>
  </w:endnote>
  <w:endnote w:type="continuationSeparator" w:id="0">
    <w:p w:rsidR="00817C0F" w:rsidRDefault="00817C0F">
      <w:r>
        <w:continuationSeparator/>
      </w:r>
    </w:p>
    <w:p w:rsidR="00817C0F" w:rsidRDefault="00817C0F"/>
  </w:endnote>
  <w:endnote w:type="continuationNotice" w:id="1">
    <w:p w:rsidR="00817C0F" w:rsidRDefault="00817C0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6834BF" w:rsidP="002C5B2D">
          <w:pPr>
            <w:pStyle w:val="00aPagenumber"/>
            <w:rPr>
              <w:rFonts w:ascii="Arial" w:hAnsi="Arial" w:cs="Arial"/>
              <w:sz w:val="22"/>
              <w:szCs w:val="22"/>
            </w:rPr>
          </w:pPr>
          <w:r w:rsidRPr="00616B9B">
            <w:rPr>
              <w:rFonts w:ascii="Arial" w:hAnsi="Arial" w:cs="Arial"/>
              <w:sz w:val="22"/>
              <w:szCs w:val="22"/>
            </w:rPr>
            <w:fldChar w:fldCharType="begin"/>
          </w:r>
          <w:r w:rsidR="00811EDA" w:rsidRPr="00616B9B">
            <w:rPr>
              <w:rFonts w:ascii="Arial" w:hAnsi="Arial" w:cs="Arial"/>
              <w:sz w:val="22"/>
              <w:szCs w:val="22"/>
            </w:rPr>
            <w:instrText xml:space="preserve"> PAGE </w:instrText>
          </w:r>
          <w:r w:rsidRPr="00616B9B">
            <w:rPr>
              <w:rFonts w:ascii="Arial" w:hAnsi="Arial" w:cs="Arial"/>
              <w:sz w:val="22"/>
              <w:szCs w:val="22"/>
            </w:rPr>
            <w:fldChar w:fldCharType="separate"/>
          </w:r>
          <w:r w:rsidR="00BB4120">
            <w:rPr>
              <w:rFonts w:ascii="Arial" w:hAnsi="Arial" w:cs="Arial"/>
              <w:noProof/>
              <w:sz w:val="22"/>
              <w:szCs w:val="22"/>
            </w:rPr>
            <w:t>7</w:t>
          </w:r>
          <w:r w:rsidRPr="00616B9B">
            <w:rPr>
              <w:rFonts w:ascii="Arial" w:hAnsi="Arial" w:cs="Arial"/>
              <w:noProof/>
              <w:sz w:val="22"/>
              <w:szCs w:val="22"/>
            </w:rPr>
            <w:fldChar w:fldCharType="end"/>
          </w:r>
        </w:p>
      </w:tc>
    </w:tr>
  </w:tbl>
  <w:p w:rsidR="00811EDA" w:rsidRDefault="00811EDA">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C0F" w:rsidRDefault="00817C0F">
      <w:r>
        <w:separator/>
      </w:r>
    </w:p>
    <w:p w:rsidR="00817C0F" w:rsidRDefault="00817C0F"/>
  </w:footnote>
  <w:footnote w:type="continuationSeparator" w:id="0">
    <w:p w:rsidR="00817C0F" w:rsidRDefault="00817C0F">
      <w:r>
        <w:continuationSeparator/>
      </w:r>
    </w:p>
    <w:p w:rsidR="00817C0F" w:rsidRDefault="00817C0F"/>
  </w:footnote>
  <w:footnote w:type="continuationNotice" w:id="1">
    <w:p w:rsidR="00817C0F" w:rsidRDefault="00817C0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E66EB">
    <w:pPr>
      <w:pStyle w:val="Cabealho"/>
    </w:pPr>
    <w:r>
      <w:rPr>
        <w:noProof/>
        <w:lang w:val="pt-PT" w:eastAsia="pt-P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6834BF" w:rsidRPr="006834BF">
      <w:rPr>
        <w:noProof/>
        <w:lang w:eastAsia="en-GB"/>
      </w:rPr>
      <w:pict>
        <v:line id="Line 16" o:spid="_x0000_s4098" style="position:absolute;z-index:251656192;visibility:visible;mso-wrap-distance-left:3.17486mm;mso-wrap-distance-right:3.17486mm;mso-position-horizontal-relative:page;mso-position-vertical-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E66EB" w:rsidP="00013CCE">
    <w:pPr>
      <w:pStyle w:val="Cabealho"/>
      <w:jc w:val="right"/>
    </w:pPr>
    <w:r>
      <w:rPr>
        <w:noProof/>
        <w:lang w:val="pt-PT" w:eastAsia="pt-P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pt-PT" w:eastAsia="pt-P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rsidR="00811EDA">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Cabealho"/>
      <w:rPr>
        <w:lang w:val="fr-FR"/>
      </w:rPr>
    </w:pPr>
  </w:p>
  <w:p w:rsidR="00811EDA" w:rsidRPr="002F4496" w:rsidRDefault="00811EDA" w:rsidP="000C06C9">
    <w:pPr>
      <w:pStyle w:val="Cabealho"/>
      <w:tabs>
        <w:tab w:val="clear" w:pos="4536"/>
        <w:tab w:val="clear" w:pos="9072"/>
        <w:tab w:val="left" w:pos="8227"/>
      </w:tabs>
      <w:rPr>
        <w:lang w:val="fr-FR"/>
      </w:rPr>
    </w:pPr>
  </w:p>
  <w:p w:rsidR="00811EDA" w:rsidRPr="002F4496" w:rsidRDefault="00811EDA" w:rsidP="000C06C9">
    <w:pPr>
      <w:pStyle w:val="Cabealho"/>
      <w:tabs>
        <w:tab w:val="clear" w:pos="4536"/>
        <w:tab w:val="clear" w:pos="9072"/>
        <w:tab w:val="left" w:pos="8227"/>
      </w:tabs>
      <w:rPr>
        <w:lang w:val="fr-FR"/>
      </w:rPr>
    </w:pPr>
  </w:p>
  <w:p w:rsidR="00811EDA" w:rsidRPr="002F4496" w:rsidRDefault="00811EDA">
    <w:pPr>
      <w:pStyle w:val="Cabealho"/>
      <w:rPr>
        <w:lang w:val="fr-FR"/>
      </w:rPr>
    </w:pPr>
  </w:p>
  <w:p w:rsidR="00811EDA" w:rsidRPr="002F4496" w:rsidRDefault="00811EDA">
    <w:pPr>
      <w:pStyle w:val="Cabealho"/>
      <w:rPr>
        <w:lang w:val="fr-FR"/>
      </w:rPr>
    </w:pPr>
  </w:p>
  <w:p w:rsidR="00811EDA" w:rsidRPr="002F4496" w:rsidRDefault="00811EDA">
    <w:pPr>
      <w:pStyle w:val="Cabealho"/>
      <w:rPr>
        <w:lang w:val="fr-FR"/>
      </w:rPr>
    </w:pPr>
  </w:p>
  <w:p w:rsidR="00811EDA" w:rsidRPr="002F4496" w:rsidRDefault="00811EDA">
    <w:pPr>
      <w:pStyle w:val="Cabealho"/>
      <w:rPr>
        <w:lang w:val="fr-FR"/>
      </w:rPr>
    </w:pPr>
  </w:p>
  <w:p w:rsidR="00811EDA" w:rsidRPr="002F4496" w:rsidRDefault="00811EDA">
    <w:pPr>
      <w:pStyle w:val="Cabealho"/>
      <w:rPr>
        <w:highlight w:val="yellow"/>
        <w:lang w:val="fr-FR"/>
      </w:rPr>
    </w:pPr>
  </w:p>
  <w:p w:rsidR="00811EDA" w:rsidRDefault="006834BF">
    <w:pPr>
      <w:pStyle w:val="Cabealho"/>
    </w:pPr>
    <w:r w:rsidRPr="006834BF">
      <w:rPr>
        <w:noProof/>
        <w:lang w:eastAsia="en-GB"/>
      </w:rPr>
      <w:pict>
        <v:line id="Straight Connector 138" o:spid="_x0000_s4097" style="position:absolute;z-index:251660288;visibility:visible;mso-wrap-distance-left:3.17497mm;mso-wrap-distance-right:3.17497mm;mso-position-horizontal-relative:page;mso-position-vertical-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DE66EB">
      <w:rPr>
        <w:noProof/>
        <w:lang w:val="pt-PT" w:eastAsia="pt-P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commarc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Corpodetexto"/>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acommarc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8EC427D"/>
    <w:multiLevelType w:val="hybridMultilevel"/>
    <w:tmpl w:val="D63C5C54"/>
    <w:lvl w:ilvl="0" w:tplc="1ED8900E">
      <w:start w:val="1"/>
      <w:numFmt w:val="lowerRoman"/>
      <w:lvlText w:val="(%1)"/>
      <w:lvlJc w:val="left"/>
      <w:pPr>
        <w:ind w:left="4128" w:hanging="720"/>
      </w:pPr>
      <w:rPr>
        <w:rFonts w:hint="default"/>
      </w:rPr>
    </w:lvl>
    <w:lvl w:ilvl="1" w:tplc="08160019" w:tentative="1">
      <w:start w:val="1"/>
      <w:numFmt w:val="lowerLetter"/>
      <w:lvlText w:val="%2."/>
      <w:lvlJc w:val="left"/>
      <w:pPr>
        <w:ind w:left="4488" w:hanging="360"/>
      </w:pPr>
    </w:lvl>
    <w:lvl w:ilvl="2" w:tplc="0816001B" w:tentative="1">
      <w:start w:val="1"/>
      <w:numFmt w:val="lowerRoman"/>
      <w:lvlText w:val="%3."/>
      <w:lvlJc w:val="right"/>
      <w:pPr>
        <w:ind w:left="5208" w:hanging="180"/>
      </w:pPr>
    </w:lvl>
    <w:lvl w:ilvl="3" w:tplc="0816000F" w:tentative="1">
      <w:start w:val="1"/>
      <w:numFmt w:val="decimal"/>
      <w:lvlText w:val="%4."/>
      <w:lvlJc w:val="left"/>
      <w:pPr>
        <w:ind w:left="5928" w:hanging="360"/>
      </w:pPr>
    </w:lvl>
    <w:lvl w:ilvl="4" w:tplc="08160019" w:tentative="1">
      <w:start w:val="1"/>
      <w:numFmt w:val="lowerLetter"/>
      <w:lvlText w:val="%5."/>
      <w:lvlJc w:val="left"/>
      <w:pPr>
        <w:ind w:left="6648" w:hanging="360"/>
      </w:pPr>
    </w:lvl>
    <w:lvl w:ilvl="5" w:tplc="0816001B" w:tentative="1">
      <w:start w:val="1"/>
      <w:numFmt w:val="lowerRoman"/>
      <w:lvlText w:val="%6."/>
      <w:lvlJc w:val="right"/>
      <w:pPr>
        <w:ind w:left="7368" w:hanging="180"/>
      </w:pPr>
    </w:lvl>
    <w:lvl w:ilvl="6" w:tplc="0816000F" w:tentative="1">
      <w:start w:val="1"/>
      <w:numFmt w:val="decimal"/>
      <w:lvlText w:val="%7."/>
      <w:lvlJc w:val="left"/>
      <w:pPr>
        <w:ind w:left="8088" w:hanging="360"/>
      </w:pPr>
    </w:lvl>
    <w:lvl w:ilvl="7" w:tplc="08160019" w:tentative="1">
      <w:start w:val="1"/>
      <w:numFmt w:val="lowerLetter"/>
      <w:lvlText w:val="%8."/>
      <w:lvlJc w:val="left"/>
      <w:pPr>
        <w:ind w:left="8808" w:hanging="360"/>
      </w:pPr>
    </w:lvl>
    <w:lvl w:ilvl="8" w:tplc="0816001B" w:tentative="1">
      <w:start w:val="1"/>
      <w:numFmt w:val="lowerRoman"/>
      <w:lvlText w:val="%9."/>
      <w:lvlJc w:val="right"/>
      <w:pPr>
        <w:ind w:left="9528" w:hanging="180"/>
      </w:p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Listacommarc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Ttu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D3A47DC"/>
    <w:multiLevelType w:val="hybridMultilevel"/>
    <w:tmpl w:val="109E009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605735B9"/>
    <w:multiLevelType w:val="hybridMultilevel"/>
    <w:tmpl w:val="AD1C76E8"/>
    <w:lvl w:ilvl="0" w:tplc="6658B948">
      <w:start w:val="1"/>
      <w:numFmt w:val="decimal"/>
      <w:pStyle w:val="Ttu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70F71"/>
    <w:multiLevelType w:val="singleLevel"/>
    <w:tmpl w:val="A8CADBFA"/>
    <w:name w:val="Bullet 0"/>
    <w:lvl w:ilvl="0">
      <w:start w:val="1"/>
      <w:numFmt w:val="bullet"/>
      <w:pStyle w:val="Listanumerada"/>
      <w:lvlText w:val="–"/>
      <w:lvlJc w:val="left"/>
      <w:pPr>
        <w:tabs>
          <w:tab w:val="num" w:pos="1417"/>
        </w:tabs>
        <w:ind w:left="1417" w:hanging="567"/>
      </w:pPr>
    </w:lvl>
  </w:abstractNum>
  <w:abstractNum w:abstractNumId="35">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nsid w:val="7A281AEC"/>
    <w:multiLevelType w:val="hybridMultilevel"/>
    <w:tmpl w:val="757A3DAE"/>
    <w:lvl w:ilvl="0" w:tplc="3EDCE540">
      <w:start w:val="1"/>
      <w:numFmt w:val="lowerLetter"/>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39">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0">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3"/>
  </w:num>
  <w:num w:numId="15">
    <w:abstractNumId w:val="24"/>
  </w:num>
  <w:num w:numId="16">
    <w:abstractNumId w:val="11"/>
  </w:num>
  <w:num w:numId="17">
    <w:abstractNumId w:val="1"/>
  </w:num>
  <w:num w:numId="18">
    <w:abstractNumId w:val="15"/>
  </w:num>
  <w:num w:numId="19">
    <w:abstractNumId w:val="16"/>
  </w:num>
  <w:num w:numId="20">
    <w:abstractNumId w:val="18"/>
  </w:num>
  <w:num w:numId="21">
    <w:abstractNumId w:val="28"/>
  </w:num>
  <w:num w:numId="22">
    <w:abstractNumId w:val="36"/>
  </w:num>
  <w:num w:numId="23">
    <w:abstractNumId w:val="26"/>
  </w:num>
  <w:num w:numId="24">
    <w:abstractNumId w:val="10"/>
  </w:num>
  <w:num w:numId="25">
    <w:abstractNumId w:val="32"/>
  </w:num>
  <w:num w:numId="26">
    <w:abstractNumId w:val="31"/>
  </w:num>
  <w:num w:numId="27">
    <w:abstractNumId w:val="21"/>
  </w:num>
  <w:num w:numId="28">
    <w:abstractNumId w:val="35"/>
  </w:num>
  <w:num w:numId="29">
    <w:abstractNumId w:val="39"/>
  </w:num>
  <w:num w:numId="30">
    <w:abstractNumId w:val="8"/>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5"/>
  </w:num>
  <w:num w:numId="42">
    <w:abstractNumId w:val="38"/>
  </w:num>
  <w:num w:numId="43">
    <w:abstractNumId w:val="22"/>
  </w:num>
  <w:num w:numId="44">
    <w:abstractNumId w:val="30"/>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7170">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38"/>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63"/>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6942"/>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42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4BF"/>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17C0F"/>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120"/>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Ttulo1">
    <w:name w:val="heading 1"/>
    <w:basedOn w:val="Normal"/>
    <w:next w:val="Normal"/>
    <w:link w:val="Ttulo1Carcte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cter"/>
    <w:qFormat/>
    <w:rsid w:val="00886A60"/>
    <w:pPr>
      <w:keepNext/>
      <w:keepLines/>
      <w:spacing w:before="200" w:after="120"/>
      <w:outlineLvl w:val="1"/>
    </w:pPr>
    <w:rPr>
      <w:b/>
      <w:bCs/>
      <w:szCs w:val="26"/>
    </w:rPr>
  </w:style>
  <w:style w:type="paragraph" w:styleId="Ttulo3">
    <w:name w:val="heading 3"/>
    <w:basedOn w:val="Normal"/>
    <w:next w:val="Normal"/>
    <w:link w:val="Ttulo3Carcte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cte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cter"/>
    <w:qFormat/>
    <w:rsid w:val="00E9344E"/>
    <w:pPr>
      <w:keepNext/>
      <w:keepLines/>
      <w:numPr>
        <w:numId w:val="14"/>
      </w:numPr>
      <w:spacing w:before="200"/>
      <w:jc w:val="both"/>
      <w:outlineLvl w:val="4"/>
    </w:pPr>
    <w:rPr>
      <w:b/>
    </w:rPr>
  </w:style>
  <w:style w:type="paragraph" w:styleId="Ttulo6">
    <w:name w:val="heading 6"/>
    <w:basedOn w:val="Normal"/>
    <w:next w:val="Normal"/>
    <w:link w:val="Ttulo6Carcte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cte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cte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cter"/>
    <w:qFormat/>
    <w:rsid w:val="00A06867"/>
    <w:pPr>
      <w:tabs>
        <w:tab w:val="num" w:pos="1584"/>
      </w:tabs>
      <w:spacing w:before="240" w:after="60"/>
      <w:ind w:left="1584" w:hanging="1584"/>
      <w:outlineLvl w:val="8"/>
    </w:pPr>
    <w:rPr>
      <w:rFonts w:ascii="Arial" w:hAnsi="Arial" w:cs="Arial"/>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rsid w:val="005B64CB"/>
    <w:pPr>
      <w:tabs>
        <w:tab w:val="center" w:pos="4536"/>
        <w:tab w:val="right" w:pos="9072"/>
      </w:tabs>
    </w:pPr>
  </w:style>
  <w:style w:type="paragraph" w:styleId="Rodap">
    <w:name w:val="footer"/>
    <w:basedOn w:val="Normal"/>
    <w:link w:val="RodapCarcter"/>
    <w:rsid w:val="005B64CB"/>
    <w:pPr>
      <w:tabs>
        <w:tab w:val="center" w:pos="4536"/>
        <w:tab w:val="right" w:pos="9072"/>
      </w:tabs>
    </w:pPr>
  </w:style>
  <w:style w:type="table" w:styleId="Tabelacomgrelha">
    <w:name w:val="Table Grid"/>
    <w:basedOn w:val="Tabela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Tipodeletrapredefinidodopargrafo"/>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ndice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liga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denotaderodap">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denotaderodapCarcter"/>
    <w:uiPriority w:val="99"/>
    <w:rsid w:val="001725A5"/>
    <w:pPr>
      <w:spacing w:line="200" w:lineRule="exact"/>
    </w:pPr>
    <w:rPr>
      <w:sz w:val="16"/>
      <w:szCs w:val="20"/>
    </w:rPr>
  </w:style>
  <w:style w:type="character" w:styleId="Refdenotaderodap">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ndice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rio">
    <w:name w:val="annotation reference"/>
    <w:rsid w:val="004B1E61"/>
    <w:rPr>
      <w:sz w:val="16"/>
      <w:szCs w:val="16"/>
    </w:rPr>
  </w:style>
  <w:style w:type="paragraph" w:styleId="Textodecomentrio">
    <w:name w:val="annotation text"/>
    <w:basedOn w:val="Normal"/>
    <w:link w:val="TextodecomentrioCarcter"/>
    <w:rsid w:val="004B1E61"/>
    <w:rPr>
      <w:szCs w:val="20"/>
    </w:rPr>
  </w:style>
  <w:style w:type="character" w:customStyle="1" w:styleId="TextodecomentrioCarcter">
    <w:name w:val="Texto de comentário Carácter"/>
    <w:link w:val="Textodecomentrio"/>
    <w:uiPriority w:val="99"/>
    <w:rsid w:val="004B1E61"/>
    <w:rPr>
      <w:rFonts w:ascii="Georgia" w:hAnsi="Georgia"/>
      <w:lang w:eastAsia="de-DE"/>
    </w:rPr>
  </w:style>
  <w:style w:type="paragraph" w:styleId="Assuntodecomentrio">
    <w:name w:val="annotation subject"/>
    <w:basedOn w:val="Textodecomentrio"/>
    <w:next w:val="Textodecomentrio"/>
    <w:link w:val="AssuntodecomentrioCarcter"/>
    <w:rsid w:val="004B1E61"/>
    <w:rPr>
      <w:b/>
      <w:bCs/>
    </w:rPr>
  </w:style>
  <w:style w:type="character" w:customStyle="1" w:styleId="AssuntodecomentrioCarcter">
    <w:name w:val="Assunto de comentário Carácter"/>
    <w:link w:val="Assuntodecomentrio"/>
    <w:rsid w:val="004B1E61"/>
    <w:rPr>
      <w:rFonts w:ascii="Georgia" w:hAnsi="Georgia"/>
      <w:b/>
      <w:bCs/>
      <w:lang w:eastAsia="de-DE"/>
    </w:rPr>
  </w:style>
  <w:style w:type="paragraph" w:styleId="Textodebalo">
    <w:name w:val="Balloon Text"/>
    <w:basedOn w:val="Normal"/>
    <w:link w:val="TextodebaloCarcter"/>
    <w:rsid w:val="004B1E61"/>
    <w:rPr>
      <w:rFonts w:ascii="Tahoma" w:hAnsi="Tahoma" w:cs="Tahoma"/>
      <w:sz w:val="16"/>
      <w:szCs w:val="16"/>
    </w:rPr>
  </w:style>
  <w:style w:type="character" w:customStyle="1" w:styleId="TextodebaloCarcter">
    <w:name w:val="Texto de balão Carácter"/>
    <w:link w:val="Textodebalo"/>
    <w:rsid w:val="004B1E61"/>
    <w:rPr>
      <w:rFonts w:ascii="Tahoma" w:hAnsi="Tahoma" w:cs="Tahoma"/>
      <w:sz w:val="16"/>
      <w:szCs w:val="16"/>
      <w:lang w:eastAsia="de-DE"/>
    </w:rPr>
  </w:style>
  <w:style w:type="paragraph" w:styleId="PargrafodaLista">
    <w:name w:val="List Paragraph"/>
    <w:aliases w:val="Paragraphe EI,Paragraphe de liste1,EC,List Paragraph"/>
    <w:basedOn w:val="Normal"/>
    <w:link w:val="PargrafodaListaCarcter"/>
    <w:uiPriority w:val="34"/>
    <w:qFormat/>
    <w:rsid w:val="002A0C82"/>
    <w:pPr>
      <w:ind w:left="720"/>
      <w:contextualSpacing/>
    </w:pPr>
  </w:style>
  <w:style w:type="paragraph" w:styleId="Ttulodondice">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denotaderodapCarcter">
    <w:name w:val="Texto de nota de rodapé Carácter"/>
    <w:aliases w:val="Char3 Carácter, Char3 Carácter,Fußnotentextf Carácter,Fußnotentextr Carácter,stile 1 Carácter,Footnote1 Carácter,Footnote2 Carácter,Footnote3 Carácter,Footnote4 Carácter,Footnote5 Carácter,Footnote6 Carácter"/>
    <w:link w:val="Textodenotaderodap"/>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uiPriority w:val="99"/>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Tipodeletrapredefinidodopargrafo"/>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cter">
    <w:name w:val="Título 1 Carácte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e">
    <w:name w:val="Emphasis"/>
    <w:uiPriority w:val="20"/>
    <w:qFormat/>
    <w:rsid w:val="005F028E"/>
    <w:rPr>
      <w:i/>
      <w:iCs/>
    </w:rPr>
  </w:style>
  <w:style w:type="paragraph" w:styleId="Reviso">
    <w:name w:val="Revision"/>
    <w:link w:val="RevisoCarcter"/>
    <w:hidden/>
    <w:uiPriority w:val="99"/>
    <w:semiHidden/>
    <w:rsid w:val="008E6A37"/>
    <w:rPr>
      <w:rFonts w:ascii="Georgia" w:hAnsi="Georgia"/>
      <w:sz w:val="22"/>
      <w:szCs w:val="24"/>
      <w:lang w:eastAsia="de-DE"/>
    </w:rPr>
  </w:style>
  <w:style w:type="paragraph" w:styleId="ndice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ndice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ndice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ndice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ndice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ndice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ndice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documento">
    <w:name w:val="Document Map"/>
    <w:basedOn w:val="Normal"/>
    <w:link w:val="MapadodocumentoCarcter"/>
    <w:rsid w:val="00AA016B"/>
    <w:rPr>
      <w:rFonts w:ascii="Tahoma" w:hAnsi="Tahoma" w:cs="Tahoma"/>
      <w:sz w:val="16"/>
      <w:szCs w:val="16"/>
    </w:rPr>
  </w:style>
  <w:style w:type="character" w:customStyle="1" w:styleId="MapadodocumentoCarcter">
    <w:name w:val="Mapa do documento Carácter"/>
    <w:link w:val="Mapadodocumento"/>
    <w:rsid w:val="00AA016B"/>
    <w:rPr>
      <w:rFonts w:ascii="Tahoma" w:hAnsi="Tahoma" w:cs="Tahoma"/>
      <w:sz w:val="16"/>
      <w:szCs w:val="16"/>
      <w:lang w:eastAsia="de-DE"/>
    </w:rPr>
  </w:style>
  <w:style w:type="paragraph" w:styleId="Textosimples">
    <w:name w:val="Plain Text"/>
    <w:basedOn w:val="Normal"/>
    <w:link w:val="TextosimplesCarcter"/>
    <w:uiPriority w:val="99"/>
    <w:unhideWhenUsed/>
    <w:rsid w:val="00AA016B"/>
    <w:rPr>
      <w:rFonts w:ascii="Consolas" w:hAnsi="Consolas"/>
      <w:sz w:val="21"/>
      <w:szCs w:val="21"/>
      <w:lang w:val="de-DE"/>
    </w:rPr>
  </w:style>
  <w:style w:type="character" w:customStyle="1" w:styleId="TextosimplesCarcter">
    <w:name w:val="Texto simples Carácter"/>
    <w:link w:val="Textosimples"/>
    <w:uiPriority w:val="99"/>
    <w:rsid w:val="00AA016B"/>
    <w:rPr>
      <w:rFonts w:ascii="Consolas" w:hAnsi="Consolas"/>
      <w:sz w:val="21"/>
      <w:szCs w:val="21"/>
      <w:lang w:val="de-DE" w:eastAsia="de-DE"/>
    </w:rPr>
  </w:style>
  <w:style w:type="paragraph" w:styleId="Corpodetexto">
    <w:name w:val="Body Text"/>
    <w:basedOn w:val="Normal"/>
    <w:link w:val="CorpodetextoCarcter"/>
    <w:unhideWhenUsed/>
    <w:rsid w:val="00AA016B"/>
    <w:pPr>
      <w:numPr>
        <w:numId w:val="9"/>
      </w:numPr>
      <w:spacing w:after="240"/>
      <w:jc w:val="both"/>
    </w:pPr>
    <w:rPr>
      <w:rFonts w:ascii="Times New Roman" w:hAnsi="Times New Roman"/>
      <w:sz w:val="24"/>
      <w:szCs w:val="20"/>
      <w:lang w:eastAsia="en-GB"/>
    </w:rPr>
  </w:style>
  <w:style w:type="character" w:customStyle="1" w:styleId="CorpodetextoCarcter">
    <w:name w:val="Corpo de texto Carácter"/>
    <w:link w:val="Corpodetexto"/>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Fort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cter">
    <w:name w:val="Título 2 Carácte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cter">
    <w:name w:val="Título 9 Carácte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cter">
    <w:name w:val="Título 7 Carácter"/>
    <w:link w:val="Ttulo7"/>
    <w:rsid w:val="002D6E1A"/>
    <w:rPr>
      <w:sz w:val="22"/>
      <w:szCs w:val="24"/>
      <w:lang w:eastAsia="de-DE"/>
    </w:rPr>
  </w:style>
  <w:style w:type="character" w:customStyle="1" w:styleId="Ttulo6Carcter">
    <w:name w:val="Título 6 Carácter"/>
    <w:link w:val="Ttulo6"/>
    <w:rsid w:val="002D6E1A"/>
    <w:rPr>
      <w:b/>
      <w:bCs/>
      <w:szCs w:val="22"/>
      <w:lang w:eastAsia="de-DE"/>
    </w:rPr>
  </w:style>
  <w:style w:type="character" w:customStyle="1" w:styleId="Ttulo8Carcter">
    <w:name w:val="Título 8 Carácter"/>
    <w:link w:val="Ttulo8"/>
    <w:rsid w:val="002D6E1A"/>
    <w:rPr>
      <w:i/>
      <w:iCs/>
      <w:szCs w:val="24"/>
      <w:lang w:eastAsia="de-DE"/>
    </w:rPr>
  </w:style>
  <w:style w:type="numbering" w:customStyle="1" w:styleId="NoList1">
    <w:name w:val="No List1"/>
    <w:next w:val="Semlista"/>
    <w:uiPriority w:val="99"/>
    <w:semiHidden/>
    <w:unhideWhenUsed/>
    <w:rsid w:val="002D6E1A"/>
  </w:style>
  <w:style w:type="character" w:styleId="Hiperligaovisitada">
    <w:name w:val="FollowedHyperlink"/>
    <w:unhideWhenUsed/>
    <w:rsid w:val="002D6E1A"/>
    <w:rPr>
      <w:color w:val="800080"/>
      <w:u w:val="single"/>
    </w:rPr>
  </w:style>
  <w:style w:type="character" w:customStyle="1" w:styleId="CabealhoCarcter">
    <w:name w:val="Cabeçalho Carácter"/>
    <w:link w:val="Cabealho"/>
    <w:rsid w:val="002D6E1A"/>
    <w:rPr>
      <w:rFonts w:ascii="Georgia" w:hAnsi="Georgia"/>
      <w:sz w:val="22"/>
      <w:szCs w:val="24"/>
      <w:lang w:eastAsia="de-DE"/>
    </w:rPr>
  </w:style>
  <w:style w:type="character" w:customStyle="1" w:styleId="RodapCarcter">
    <w:name w:val="Rodapé Carácter"/>
    <w:link w:val="Rodap"/>
    <w:rsid w:val="002D6E1A"/>
    <w:rPr>
      <w:rFonts w:ascii="Georgia" w:hAnsi="Georgia"/>
      <w:sz w:val="22"/>
      <w:szCs w:val="24"/>
      <w:lang w:eastAsia="de-DE"/>
    </w:rPr>
  </w:style>
  <w:style w:type="paragraph" w:styleId="Textodenotadefim">
    <w:name w:val="endnote text"/>
    <w:basedOn w:val="Normal"/>
    <w:link w:val="TextodenotadefimCarcter"/>
    <w:unhideWhenUsed/>
    <w:rsid w:val="002D6E1A"/>
    <w:rPr>
      <w:szCs w:val="20"/>
    </w:rPr>
  </w:style>
  <w:style w:type="character" w:customStyle="1" w:styleId="TextodenotadefimCarcter">
    <w:name w:val="Texto de nota de fim Carácter"/>
    <w:link w:val="Textodenotadefim"/>
    <w:rsid w:val="002D6E1A"/>
    <w:rPr>
      <w:rFonts w:ascii="Georgia" w:hAnsi="Georgia"/>
      <w:lang w:eastAsia="de-DE"/>
    </w:rPr>
  </w:style>
  <w:style w:type="paragraph" w:styleId="Listanumerada">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argrafodaListaCarcter">
    <w:name w:val="Parágrafo da Lista Carácter"/>
    <w:aliases w:val="Paragraphe EI Carácter,Paragraphe de liste1 Carácter,EC Carácter,List Paragraph Carácter"/>
    <w:link w:val="Pargrafoda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grafodaLista"/>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Refdenotadefim">
    <w:name w:val="endnote reference"/>
    <w:unhideWhenUsed/>
    <w:rsid w:val="002D6E1A"/>
    <w:rPr>
      <w:vertAlign w:val="superscript"/>
    </w:rPr>
  </w:style>
  <w:style w:type="character" w:styleId="TextodoMarcadordePosio">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a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Sem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inha">
    <w:name w:val="line number"/>
    <w:basedOn w:val="Tipodeletrapredefinidodopargrafo"/>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cter">
    <w:name w:val="Título 5 Carácter"/>
    <w:aliases w:val="Questions Carácter"/>
    <w:link w:val="Ttulo5"/>
    <w:rsid w:val="00E9344E"/>
    <w:rPr>
      <w:rFonts w:ascii="Georgia" w:hAnsi="Georgia"/>
      <w:b/>
      <w:szCs w:val="24"/>
      <w:lang w:eastAsia="de-DE"/>
    </w:rPr>
  </w:style>
  <w:style w:type="character" w:customStyle="1" w:styleId="Ttulo3Carcter">
    <w:name w:val="Título 3 Carácter"/>
    <w:link w:val="Ttulo3"/>
    <w:rsid w:val="003865E5"/>
    <w:rPr>
      <w:rFonts w:ascii="Cambria" w:eastAsia="Times New Roman" w:hAnsi="Cambria" w:cs="Times New Roman"/>
      <w:b/>
      <w:bCs/>
      <w:color w:val="4F81BD"/>
      <w:sz w:val="22"/>
      <w:szCs w:val="24"/>
      <w:lang w:eastAsia="de-DE"/>
    </w:rPr>
  </w:style>
  <w:style w:type="character" w:customStyle="1" w:styleId="Ttulo4Carcter">
    <w:name w:val="Título 4 Carácter"/>
    <w:link w:val="Ttulo4"/>
    <w:rsid w:val="00CB7286"/>
    <w:rPr>
      <w:b/>
      <w:bCs/>
      <w:sz w:val="28"/>
      <w:szCs w:val="28"/>
      <w:lang w:eastAsia="de-DE"/>
    </w:rPr>
  </w:style>
  <w:style w:type="table" w:styleId="ListaClara-Cor3">
    <w:name w:val="Light List Accent 3"/>
    <w:basedOn w:val="Tabela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a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numerada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numerada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numerada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mmarc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mmarc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mmarc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mmarc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ndicedeilustra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rPr>
  </w:style>
  <w:style w:type="character" w:customStyle="1" w:styleId="aStyle1Char">
    <w:name w:val="a. Style1 Char"/>
    <w:link w:val="aStyle1"/>
    <w:rsid w:val="000D2D0B"/>
    <w:rPr>
      <w:rFonts w:ascii="Georgia" w:hAnsi="Georgia"/>
    </w:rPr>
  </w:style>
  <w:style w:type="paragraph" w:styleId="Ttulo">
    <w:name w:val="Title"/>
    <w:basedOn w:val="Normal"/>
    <w:next w:val="Normal"/>
    <w:link w:val="TtuloCarcte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cter">
    <w:name w:val="Título Carácte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oCarcter">
    <w:name w:val="Revisão Carácter"/>
    <w:link w:val="Reviso"/>
    <w:uiPriority w:val="99"/>
    <w:semiHidden/>
    <w:locked/>
    <w:rsid w:val="000D2D0B"/>
    <w:rPr>
      <w:rFonts w:ascii="Georgia" w:hAnsi="Georgia"/>
      <w:sz w:val="22"/>
      <w:szCs w:val="24"/>
      <w:lang w:eastAsia="de-DE"/>
    </w:rPr>
  </w:style>
  <w:style w:type="table" w:customStyle="1" w:styleId="TableGrid2">
    <w:name w:val="Table Grid2"/>
    <w:basedOn w:val="Tabelanormal"/>
    <w:next w:val="Tabelacomgrelha"/>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Discreto">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TextodoMarcadordePosio"/>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TextodoMarcadordePosio"/>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TextodoMarcadordePosio"/>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hyphenationZone w:val="425"/>
  <w:characterSpacingControl w:val="doNotCompress"/>
  <w:compat>
    <w:useFELayout/>
  </w:compat>
  <w:rsids>
    <w:rsidRoot w:val="0072030F"/>
    <w:rsid w:val="002D3005"/>
    <w:rsid w:val="00392976"/>
    <w:rsid w:val="00464746"/>
    <w:rsid w:val="007015FF"/>
    <w:rsid w:val="0072030F"/>
    <w:rsid w:val="00D578A9"/>
    <w:rsid w:val="00E923C1"/>
    <w:rsid w:val="00ED03BC"/>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FF"/>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B8003-6D36-446D-A0FB-7B430E44105F}">
  <ds:schemaRefs>
    <ds:schemaRef ds:uri="http://schemas.openxmlformats.org/officeDocument/2006/bibliography"/>
  </ds:schemaRefs>
</ds:datastoreItem>
</file>

<file path=customXml/itemProps2.xml><?xml version="1.0" encoding="utf-8"?>
<ds:datastoreItem xmlns:ds="http://schemas.openxmlformats.org/officeDocument/2006/customXml" ds:itemID="{1E80BC4C-ABB2-4E64-B852-3AEA28016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1411</Words>
  <Characters>7623</Characters>
  <Application>Microsoft Office Word</Application>
  <DocSecurity>8</DocSecurity>
  <Lines>63</Lines>
  <Paragraphs>18</Paragraphs>
  <ScaleCrop>false</ScaleCrop>
  <HeadingPairs>
    <vt:vector size="10" baseType="variant">
      <vt:variant>
        <vt:lpstr>Título</vt:lpstr>
      </vt:variant>
      <vt:variant>
        <vt:i4>1</vt:i4>
      </vt:variant>
      <vt:variant>
        <vt:lpstr>Title</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9016</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Helena Lopes</cp:lastModifiedBy>
  <cp:revision>11</cp:revision>
  <cp:lastPrinted>2014-05-08T16:06:00Z</cp:lastPrinted>
  <dcterms:created xsi:type="dcterms:W3CDTF">2014-12-08T13:59:00Z</dcterms:created>
  <dcterms:modified xsi:type="dcterms:W3CDTF">2015-02-18T17:33:00Z</dcterms:modified>
</cp:coreProperties>
</file>