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C92E09" w:rsidRPr="00B8572C" w14:paraId="55D8B106" w14:textId="77777777" w:rsidTr="00C0651F">
            <w:trPr>
              <w:trHeight w:hRule="exact" w:val="2407"/>
            </w:trPr>
            <w:tc>
              <w:tcPr>
                <w:tcW w:w="10705" w:type="dxa"/>
              </w:tcPr>
              <w:p w14:paraId="2A8545EF" w14:textId="145E7790" w:rsidR="00C92E09" w:rsidRPr="00C92E09" w:rsidRDefault="00C92E09" w:rsidP="00C92E09">
                <w:pPr>
                  <w:pStyle w:val="Title"/>
                  <w:spacing w:line="276" w:lineRule="auto"/>
                  <w:ind w:right="854"/>
                  <w:rPr>
                    <w:rFonts w:asciiTheme="minorHAnsi" w:hAnsiTheme="minorHAnsi" w:cstheme="minorHAnsi"/>
                    <w:sz w:val="40"/>
                    <w:szCs w:val="40"/>
                  </w:rPr>
                </w:pPr>
                <w:r w:rsidRPr="00C92E09">
                  <w:rPr>
                    <w:rFonts w:cs="Arial"/>
                    <w:sz w:val="40"/>
                    <w:szCs w:val="40"/>
                  </w:rPr>
                  <w:t>Reply form for the</w:t>
                </w:r>
                <w:r w:rsidRPr="00C92E09">
                  <w:rPr>
                    <w:sz w:val="40"/>
                    <w:szCs w:val="40"/>
                  </w:rPr>
                  <w:t xml:space="preserve"> </w:t>
                </w:r>
                <w:r w:rsidRPr="00C92E09">
                  <w:rPr>
                    <w:rFonts w:cs="Arial"/>
                    <w:sz w:val="40"/>
                    <w:szCs w:val="40"/>
                  </w:rPr>
                  <w:t xml:space="preserve">Consultation Paper on MiFID II/ MiFIR review on the functioning of </w:t>
                </w:r>
                <w:r w:rsidR="00C0651F" w:rsidRPr="00C0651F">
                  <w:rPr>
                    <w:rFonts w:asciiTheme="minorHAnsi" w:eastAsiaTheme="minorEastAsia" w:hAnsiTheme="minorHAnsi" w:cs="Arial"/>
                    <w:b w:val="0"/>
                    <w:color w:val="auto"/>
                    <w:spacing w:val="0"/>
                    <w:sz w:val="22"/>
                    <w:szCs w:val="20"/>
                    <w:lang w:eastAsia="en-US"/>
                  </w:rPr>
                  <w:t xml:space="preserve"> </w:t>
                </w:r>
                <w:r w:rsidR="00C0651F" w:rsidRPr="00C0651F">
                  <w:rPr>
                    <w:rFonts w:cs="Arial"/>
                    <w:sz w:val="40"/>
                    <w:szCs w:val="40"/>
                  </w:rPr>
                  <w:t>Organised Trading Facilities (OTF)</w:t>
                </w: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894391" w:rsidR="00AF2EF7" w:rsidRPr="00B8572C" w:rsidRDefault="00AF2EF7" w:rsidP="00333811">
          <w:pPr>
            <w:numPr>
              <w:ilvl w:val="1"/>
              <w:numId w:val="0"/>
            </w:numPr>
            <w:tabs>
              <w:tab w:val="left" w:pos="5426"/>
            </w:tabs>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r w:rsidR="00333811">
            <w:rPr>
              <w:rFonts w:asciiTheme="majorHAnsi" w:eastAsiaTheme="majorEastAsia" w:hAnsiTheme="majorHAnsi" w:cstheme="majorBidi"/>
              <w:b/>
              <w:sz w:val="28"/>
              <w:lang w:eastAsia="en-US"/>
            </w:rPr>
            <w:tab/>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5ADF15E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C92E09">
            <w:rPr>
              <w:rFonts w:asciiTheme="minorHAnsi" w:eastAsiaTheme="minorEastAsia" w:hAnsiTheme="minorHAnsi" w:cstheme="minorBidi"/>
              <w:b/>
              <w:sz w:val="22"/>
              <w:szCs w:val="20"/>
              <w:lang w:eastAsia="en-US"/>
            </w:rPr>
            <w:t>25</w:t>
          </w:r>
          <w:r w:rsidR="009C223D" w:rsidRPr="0004778B">
            <w:rPr>
              <w:rFonts w:asciiTheme="minorHAnsi" w:eastAsiaTheme="minorEastAsia" w:hAnsiTheme="minorHAnsi" w:cstheme="minorBidi"/>
              <w:b/>
              <w:sz w:val="22"/>
              <w:szCs w:val="20"/>
              <w:lang w:eastAsia="en-US"/>
            </w:rPr>
            <w:t>/</w:t>
          </w:r>
          <w:r w:rsidR="00C92E09">
            <w:rPr>
              <w:rFonts w:asciiTheme="minorHAnsi" w:eastAsiaTheme="minorEastAsia" w:hAnsiTheme="minorHAnsi" w:cstheme="minorBidi"/>
              <w:b/>
              <w:sz w:val="22"/>
              <w:szCs w:val="20"/>
              <w:lang w:eastAsia="en-US"/>
            </w:rPr>
            <w:t>11</w:t>
          </w:r>
          <w:r w:rsidR="009C223D" w:rsidRPr="0004778B">
            <w:rPr>
              <w:rFonts w:asciiTheme="minorHAnsi" w:eastAsiaTheme="minorEastAsia" w:hAnsiTheme="minorHAnsi" w:cstheme="minorBidi"/>
              <w:b/>
              <w:sz w:val="22"/>
              <w:szCs w:val="20"/>
              <w:lang w:eastAsia="en-US"/>
            </w:rPr>
            <w:t>/2020</w:t>
          </w:r>
          <w:r w:rsidRPr="001F23C9">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083D28">
          <w:pPr>
            <w:pStyle w:val="ListParagraph"/>
            <w:numPr>
              <w:ilvl w:val="0"/>
              <w:numId w:val="12"/>
            </w:numPr>
            <w:rPr>
              <w:lang w:eastAsia="en-US"/>
            </w:rPr>
          </w:pPr>
          <w:r w:rsidRPr="00C85C8B">
            <w:rPr>
              <w:lang w:eastAsia="en-US"/>
            </w:rPr>
            <w:t xml:space="preserve">Insert your responses to the questions in the Consultation Paper in the present response form. </w:t>
          </w:r>
        </w:p>
        <w:p w14:paraId="3B16398E" w14:textId="3D0AA406" w:rsidR="00C85C8B" w:rsidRPr="00C85C8B" w:rsidRDefault="00C85C8B" w:rsidP="00083D28">
          <w:pPr>
            <w:pStyle w:val="ListParagraph"/>
            <w:numPr>
              <w:ilvl w:val="0"/>
              <w:numId w:val="12"/>
            </w:numPr>
            <w:rPr>
              <w:lang w:eastAsia="en-US"/>
            </w:rPr>
          </w:pPr>
          <w:r w:rsidRPr="00C85C8B">
            <w:rPr>
              <w:lang w:eastAsia="en-US"/>
            </w:rPr>
            <w:t>Please do not remove t</w:t>
          </w:r>
          <w:r>
            <w:rPr>
              <w:lang w:eastAsia="en-US"/>
            </w:rPr>
            <w:t>ags of the type &lt;ESMA_QUESTION_</w:t>
          </w:r>
          <w:r w:rsidR="00C92E09">
            <w:rPr>
              <w:lang w:eastAsia="en-US"/>
            </w:rPr>
            <w:t>FOTF</w:t>
          </w:r>
          <w:r w:rsidRPr="00C85C8B">
            <w:rPr>
              <w:lang w:eastAsia="en-US"/>
            </w:rPr>
            <w:t xml:space="preserve">_1&gt;. Your response to each question </w:t>
          </w:r>
          <w:proofErr w:type="gramStart"/>
          <w:r w:rsidRPr="00C85C8B">
            <w:rPr>
              <w:lang w:eastAsia="en-US"/>
            </w:rPr>
            <w:t>has to</w:t>
          </w:r>
          <w:proofErr w:type="gramEnd"/>
          <w:r w:rsidRPr="00C85C8B">
            <w:rPr>
              <w:lang w:eastAsia="en-US"/>
            </w:rPr>
            <w:t xml:space="preserve"> be framed by the two tags corresponding to the question.</w:t>
          </w:r>
        </w:p>
        <w:p w14:paraId="5CC57030" w14:textId="77777777" w:rsidR="00C85C8B" w:rsidRPr="00C85C8B" w:rsidRDefault="00C85C8B" w:rsidP="00083D28">
          <w:pPr>
            <w:pStyle w:val="ListParagraph"/>
            <w:numPr>
              <w:ilvl w:val="0"/>
              <w:numId w:val="12"/>
            </w:numPr>
            <w:rPr>
              <w:lang w:eastAsia="en-US"/>
            </w:rPr>
          </w:pPr>
          <w:r w:rsidRPr="00C85C8B">
            <w:rPr>
              <w:lang w:eastAsia="en-US"/>
            </w:rPr>
            <w:t>If you do not wish to respond to a given question, please do not delete it but simply leave the text “TYPE YOUR TEXT HERE” between the tags.</w:t>
          </w:r>
        </w:p>
        <w:p w14:paraId="1876A4C8" w14:textId="7864ABBD" w:rsidR="00C85C8B" w:rsidRPr="00C85C8B" w:rsidRDefault="00C85C8B" w:rsidP="00083D28">
          <w:pPr>
            <w:pStyle w:val="ListParagraph"/>
            <w:numPr>
              <w:ilvl w:val="0"/>
              <w:numId w:val="12"/>
            </w:numPr>
            <w:rPr>
              <w:lang w:eastAsia="en-US"/>
            </w:rPr>
          </w:pPr>
          <w:r w:rsidRPr="00C85C8B">
            <w:rPr>
              <w:lang w:eastAsia="en-US"/>
            </w:rPr>
            <w:t xml:space="preserve">When you have drafted your response, name your response form according to </w:t>
          </w:r>
          <w:r>
            <w:rPr>
              <w:lang w:eastAsia="en-US"/>
            </w:rPr>
            <w:t xml:space="preserve">the following convention: </w:t>
          </w:r>
          <w:proofErr w:type="spellStart"/>
          <w:r>
            <w:rPr>
              <w:lang w:eastAsia="en-US"/>
            </w:rPr>
            <w:t>ESMA_</w:t>
          </w:r>
          <w:r w:rsidR="00C92E09">
            <w:rPr>
              <w:lang w:eastAsia="en-US"/>
            </w:rPr>
            <w:t>FOTF</w:t>
          </w:r>
          <w:r w:rsidRPr="00C85C8B">
            <w:rPr>
              <w:lang w:eastAsia="en-US"/>
            </w:rPr>
            <w:t>_nameofrespondent_RESPONSEFORM</w:t>
          </w:r>
          <w:proofErr w:type="spellEnd"/>
          <w:r w:rsidRPr="00C85C8B">
            <w:rPr>
              <w:lang w:eastAsia="en-US"/>
            </w:rPr>
            <w:t>. For example, for a respondent named ABCD, the response</w:t>
          </w:r>
          <w:r>
            <w:rPr>
              <w:lang w:eastAsia="en-US"/>
            </w:rPr>
            <w:t xml:space="preserve"> form would be entitled ESMA_</w:t>
          </w:r>
          <w:r w:rsidR="00C92E09">
            <w:rPr>
              <w:lang w:eastAsia="en-US"/>
            </w:rPr>
            <w:t>FOTF</w:t>
          </w:r>
          <w:r w:rsidRPr="00C85C8B">
            <w:rPr>
              <w:lang w:eastAsia="en-US"/>
            </w:rPr>
            <w:t>_ABCD_RESPONSEFORM.</w:t>
          </w:r>
        </w:p>
        <w:p w14:paraId="1A9C59D6" w14:textId="14DFCC1C" w:rsidR="00C85C8B" w:rsidRPr="00C85C8B" w:rsidRDefault="00C85C8B" w:rsidP="00083D28">
          <w:pPr>
            <w:pStyle w:val="ListParagraph"/>
            <w:numPr>
              <w:ilvl w:val="0"/>
              <w:numId w:val="12"/>
            </w:numPr>
            <w:rPr>
              <w:lang w:eastAsia="en-US"/>
            </w:rPr>
          </w:pPr>
          <w:r w:rsidRPr="00C85C8B">
            <w:rPr>
              <w:lang w:eastAsia="en-US"/>
            </w:rPr>
            <w:t>Upload the form containing your responses, in Word format, to ESMA’s website (</w:t>
          </w:r>
          <w:hyperlink r:id="rId19" w:history="1">
            <w:r w:rsidRPr="00C85C8B">
              <w:rPr>
                <w:lang w:eastAsia="en-US"/>
              </w:rPr>
              <w:t>www.esma.europa.eu</w:t>
            </w:r>
          </w:hyperlink>
          <w:r w:rsidRPr="00C85C8B">
            <w:rPr>
              <w:lang w:eastAsia="en-US"/>
            </w:rPr>
            <w:t xml:space="preserve"> under the heading “Your input – Open consultations” </w:t>
          </w:r>
          <w:r w:rsidRPr="00C85C8B">
            <w:rPr>
              <w:lang w:eastAsia="en-US"/>
            </w:rPr>
            <w:sym w:font="Wingdings" w:char="F0E0"/>
          </w:r>
          <w:r w:rsidRPr="00C85C8B">
            <w:rPr>
              <w:lang w:eastAsia="en-US"/>
            </w:rPr>
            <w:t xml:space="preserve"> “Consultation on</w:t>
          </w:r>
          <w:r w:rsidR="009F22E7" w:rsidRPr="009F22E7">
            <w:rPr>
              <w:lang w:eastAsia="en-US"/>
            </w:rPr>
            <w:t xml:space="preserve"> the functioning of the Organised Trading Facility regime</w:t>
          </w:r>
          <w:r w:rsidRPr="00C85C8B">
            <w:rPr>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AB6157">
            <w:rPr>
              <w:rFonts w:asciiTheme="minorHAnsi" w:eastAsiaTheme="minorEastAsia" w:hAnsiTheme="minorHAnsi" w:cstheme="minorBidi"/>
              <w:sz w:val="22"/>
              <w:szCs w:val="20"/>
              <w:lang w:eastAsia="en-US"/>
            </w:rPr>
            <w:t>publically</w:t>
          </w:r>
          <w:proofErr w:type="spellEnd"/>
          <w:r w:rsidRPr="00AB6157">
            <w:rPr>
              <w:rFonts w:asciiTheme="minorHAnsi" w:eastAsiaTheme="minorEastAsia" w:hAnsiTheme="minorHAnsi" w:cstheme="minorBidi"/>
              <w:sz w:val="22"/>
              <w:szCs w:val="20"/>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20"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21"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4EA43FF"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w:t>
          </w:r>
          <w:r w:rsidR="00647144" w:rsidRPr="00647144">
            <w:rPr>
              <w:rFonts w:ascii="Arial" w:eastAsiaTheme="minorEastAsia" w:hAnsi="Arial" w:cs="Arial"/>
              <w:sz w:val="22"/>
              <w:szCs w:val="22"/>
              <w:lang w:eastAsia="ja-JP"/>
            </w:rPr>
            <w:t xml:space="preserve"> </w:t>
          </w:r>
          <w:r w:rsidR="00647144">
            <w:rPr>
              <w:rFonts w:ascii="Arial" w:eastAsiaTheme="minorEastAsia" w:hAnsi="Arial" w:cs="Arial"/>
              <w:sz w:val="22"/>
              <w:szCs w:val="22"/>
              <w:lang w:eastAsia="ja-JP"/>
            </w:rPr>
            <w:t>(</w:t>
          </w:r>
          <w:proofErr w:type="spellStart"/>
          <w:r w:rsidR="00647144">
            <w:rPr>
              <w:rFonts w:ascii="Arial" w:eastAsiaTheme="minorEastAsia" w:hAnsi="Arial" w:cs="Arial"/>
              <w:sz w:val="22"/>
              <w:szCs w:val="22"/>
              <w:lang w:eastAsia="ja-JP"/>
            </w:rPr>
            <w:t>i</w:t>
          </w:r>
          <w:proofErr w:type="spellEnd"/>
          <w:r w:rsidR="00647144">
            <w:rPr>
              <w:rFonts w:ascii="Arial" w:eastAsiaTheme="minorEastAsia" w:hAnsi="Arial" w:cs="Arial"/>
              <w:sz w:val="22"/>
              <w:szCs w:val="22"/>
              <w:lang w:eastAsia="ja-JP"/>
            </w:rPr>
            <w:t xml:space="preserve">) </w:t>
          </w:r>
          <w:r w:rsidR="00647144" w:rsidRPr="00647144">
            <w:rPr>
              <w:rFonts w:ascii="Arial" w:eastAsiaTheme="minorEastAsia" w:hAnsi="Arial" w:cs="Arial"/>
              <w:sz w:val="22"/>
              <w:szCs w:val="22"/>
              <w:lang w:eastAsia="ja-JP"/>
            </w:rPr>
            <w:t>alternative investment fund</w:t>
          </w:r>
          <w:r w:rsidR="00647144">
            <w:rPr>
              <w:rFonts w:ascii="Arial" w:eastAsiaTheme="minorEastAsia" w:hAnsi="Arial" w:cs="Arial"/>
              <w:sz w:val="22"/>
              <w:szCs w:val="22"/>
              <w:lang w:eastAsia="ja-JP"/>
            </w:rPr>
            <w:t xml:space="preserve"> managers, UCITS management companies, EUSEF managers and/or EuVECA managers and their trade associations, (ii) distributors of UCITS, alternative investment funds, EuSEFs and EuVECAs, as well as (iii) institutional and retail investors investing into UCITS, alternative investment funds, EuSEFs and/or EuVECAs and their associations.</w:t>
          </w:r>
          <w:r w:rsidRPr="001F23C9">
            <w:rPr>
              <w:rFonts w:ascii="Arial" w:hAnsi="Arial" w:cs="Arial"/>
              <w:sz w:val="22"/>
              <w:szCs w:val="22"/>
              <w:lang w:eastAsia="it-IT"/>
            </w:rPr>
            <w:t>.</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0"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text/>
          </w:sdtPr>
          <w:sdtEndPr/>
          <w:sdtContent>
            <w:tc>
              <w:tcPr>
                <w:tcW w:w="5595" w:type="dxa"/>
                <w:shd w:val="clear" w:color="auto" w:fill="auto"/>
              </w:tcPr>
              <w:p w14:paraId="1B67440D" w14:textId="6F92262D" w:rsidR="00C85C8B" w:rsidRPr="00C85C8B" w:rsidRDefault="00083D28" w:rsidP="00C85C8B">
                <w:pPr>
                  <w:rPr>
                    <w:rFonts w:ascii="Arial" w:hAnsi="Arial" w:cs="Arial"/>
                    <w:color w:val="808080"/>
                    <w:sz w:val="20"/>
                    <w:lang w:eastAsia="de-DE"/>
                  </w:rPr>
                </w:pPr>
                <w:r>
                  <w:rPr>
                    <w:rFonts w:ascii="Arial" w:hAnsi="Arial" w:cs="Arial"/>
                    <w:color w:val="808080"/>
                    <w:sz w:val="20"/>
                    <w:lang w:eastAsia="de-DE"/>
                  </w:rPr>
                  <w:t>Invesco</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631A9B06" w:rsidR="00C85C8B" w:rsidRPr="00C85C8B" w:rsidRDefault="008403F9"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083D28">
                  <w:rPr>
                    <w:rFonts w:ascii="Arial" w:hAnsi="Arial" w:cs="Arial"/>
                    <w:sz w:val="20"/>
                    <w:lang w:eastAsia="de-DE"/>
                  </w:rPr>
                  <w:t>Investment Services</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2832E804" w:rsidR="00C85C8B" w:rsidRPr="00C85C8B" w:rsidRDefault="00083D28" w:rsidP="00C85C8B">
                <w:pPr>
                  <w:rPr>
                    <w:rFonts w:ascii="Arial" w:hAnsi="Arial" w:cs="Arial"/>
                    <w:sz w:val="20"/>
                    <w:lang w:eastAsia="de-DE"/>
                  </w:rPr>
                </w:pPr>
                <w:r>
                  <w:rPr>
                    <w:rFonts w:ascii="Arial" w:hAnsi="Arial" w:cs="Arial"/>
                    <w:sz w:val="20"/>
                    <w:lang w:eastAsia="de-DE"/>
                  </w:rPr>
                  <w:t>International</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08AE9D3D"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theme="minorBidi"/>
          <w:sz w:val="22"/>
          <w:szCs w:val="20"/>
          <w:lang w:eastAsia="en-US"/>
        </w:rPr>
        <w:t>FOTF</w:t>
      </w:r>
      <w:r w:rsidRPr="00C85C8B">
        <w:rPr>
          <w:rFonts w:asciiTheme="minorHAnsi" w:eastAsiaTheme="minorEastAsia" w:hAnsiTheme="minorHAnsi" w:cstheme="minorBidi"/>
          <w:sz w:val="22"/>
          <w:szCs w:val="20"/>
          <w:lang w:eastAsia="en-US"/>
        </w:rPr>
        <w:t>_1&gt;</w:t>
      </w:r>
    </w:p>
    <w:p w14:paraId="02AF2FF9" w14:textId="6A1E7505" w:rsidR="00C85C8B" w:rsidRPr="001F792B" w:rsidRDefault="00C85C8B" w:rsidP="00C85C8B">
      <w:pPr>
        <w:spacing w:after="250" w:line="276" w:lineRule="auto"/>
        <w:jc w:val="both"/>
        <w:rPr>
          <w:rFonts w:ascii="Arial" w:eastAsiaTheme="minorEastAsia" w:hAnsi="Arial" w:cs="Arial"/>
          <w:sz w:val="22"/>
          <w:szCs w:val="20"/>
          <w:lang w:eastAsia="en-US"/>
        </w:rPr>
      </w:pPr>
      <w:bookmarkStart w:id="1" w:name="_GoBack"/>
      <w:permStart w:id="885457707" w:edGrp="everyone"/>
    </w:p>
    <w:p w14:paraId="2D7C31F6" w14:textId="2AF19FD8" w:rsidR="00083D28" w:rsidRPr="001F792B" w:rsidRDefault="00083D28" w:rsidP="00D47BAA">
      <w:pPr>
        <w:spacing w:after="250" w:line="276" w:lineRule="auto"/>
        <w:jc w:val="both"/>
        <w:rPr>
          <w:rFonts w:ascii="Arial" w:eastAsiaTheme="minorEastAsia" w:hAnsi="Arial" w:cs="Arial"/>
          <w:sz w:val="22"/>
          <w:szCs w:val="20"/>
          <w:lang w:eastAsia="en-US"/>
        </w:rPr>
      </w:pPr>
      <w:r w:rsidRPr="001F792B">
        <w:rPr>
          <w:rFonts w:ascii="Arial" w:eastAsiaTheme="minorEastAsia" w:hAnsi="Arial" w:cs="Arial"/>
          <w:sz w:val="22"/>
          <w:szCs w:val="20"/>
          <w:lang w:eastAsia="en-US"/>
        </w:rPr>
        <w:t xml:space="preserve">As a global asset manager with operations across the EU, Invesco welcomes the opportunity to contribute to the European Securities and Markets Authority (ESMA) consultation on the functioning of the EU MiFID II/MiFIR regime for organised trading </w:t>
      </w:r>
      <w:proofErr w:type="spellStart"/>
      <w:r w:rsidRPr="001F792B">
        <w:rPr>
          <w:rFonts w:ascii="Arial" w:eastAsiaTheme="minorEastAsia" w:hAnsi="Arial" w:cs="Arial"/>
          <w:sz w:val="22"/>
          <w:szCs w:val="20"/>
          <w:lang w:eastAsia="en-US"/>
        </w:rPr>
        <w:t>facilties</w:t>
      </w:r>
      <w:proofErr w:type="spellEnd"/>
      <w:r w:rsidRPr="001F792B">
        <w:rPr>
          <w:rFonts w:ascii="Arial" w:eastAsiaTheme="minorEastAsia" w:hAnsi="Arial" w:cs="Arial"/>
          <w:sz w:val="22"/>
          <w:szCs w:val="20"/>
          <w:lang w:eastAsia="en-US"/>
        </w:rPr>
        <w:t xml:space="preserve"> (OTFs).</w:t>
      </w:r>
    </w:p>
    <w:p w14:paraId="1B83F474" w14:textId="355EF0B3" w:rsidR="00083D28" w:rsidRPr="001F792B" w:rsidRDefault="00083D28" w:rsidP="00D47BAA">
      <w:pPr>
        <w:spacing w:after="250" w:line="276" w:lineRule="auto"/>
        <w:jc w:val="both"/>
        <w:rPr>
          <w:rFonts w:ascii="Arial" w:eastAsiaTheme="minorEastAsia" w:hAnsi="Arial" w:cs="Arial"/>
          <w:sz w:val="22"/>
          <w:szCs w:val="20"/>
          <w:lang w:eastAsia="en-US"/>
        </w:rPr>
      </w:pPr>
      <w:r w:rsidRPr="001F792B">
        <w:rPr>
          <w:rFonts w:ascii="Arial" w:eastAsiaTheme="minorEastAsia" w:hAnsi="Arial" w:cs="Arial"/>
          <w:sz w:val="22"/>
          <w:szCs w:val="20"/>
          <w:lang w:eastAsia="en-US"/>
        </w:rPr>
        <w:t>While the MiFID II/MiFIR framework has only been in application since January 2018, it is appropriate to consider the application and effectiveness of the MiFID II/MiFIR regulatory framework in the context of the effective functioning of European financial markets.</w:t>
      </w:r>
    </w:p>
    <w:p w14:paraId="006FB73C" w14:textId="77777777" w:rsidR="00083D28" w:rsidRPr="001F792B" w:rsidRDefault="00083D28" w:rsidP="00D47BAA">
      <w:pPr>
        <w:spacing w:after="250" w:line="276" w:lineRule="auto"/>
        <w:jc w:val="both"/>
        <w:rPr>
          <w:rFonts w:ascii="Arial" w:eastAsiaTheme="minorEastAsia" w:hAnsi="Arial" w:cs="Arial"/>
          <w:sz w:val="22"/>
          <w:szCs w:val="20"/>
          <w:lang w:eastAsia="en-US"/>
        </w:rPr>
      </w:pPr>
      <w:r w:rsidRPr="001F792B">
        <w:rPr>
          <w:rFonts w:ascii="Arial" w:eastAsiaTheme="minorEastAsia" w:hAnsi="Arial" w:cs="Arial"/>
          <w:sz w:val="22"/>
          <w:szCs w:val="20"/>
          <w:lang w:eastAsia="en-US"/>
        </w:rPr>
        <w:t>On balance, we believe that the implementation of MiFID II/MiFIR has generally improved the overall regulatory framework in financial services, and that significant and positive progress as regards market structure has been achieved. However, we also believe that the MiFID II/MiFIR framework would benefit from some targeted amendments and optimisations.</w:t>
      </w:r>
    </w:p>
    <w:p w14:paraId="6EB45B85" w14:textId="6581BFCC" w:rsidR="00083D28" w:rsidRPr="001F792B" w:rsidRDefault="00083D28" w:rsidP="00D47BAA">
      <w:pPr>
        <w:spacing w:after="250" w:line="276" w:lineRule="auto"/>
        <w:jc w:val="both"/>
        <w:rPr>
          <w:rFonts w:ascii="Arial" w:eastAsiaTheme="minorEastAsia" w:hAnsi="Arial" w:cs="Arial"/>
          <w:sz w:val="22"/>
          <w:szCs w:val="20"/>
          <w:lang w:eastAsia="en-US"/>
        </w:rPr>
      </w:pPr>
      <w:r w:rsidRPr="001F792B">
        <w:rPr>
          <w:rFonts w:ascii="Arial" w:eastAsiaTheme="minorEastAsia" w:hAnsi="Arial" w:cs="Arial"/>
          <w:sz w:val="22"/>
          <w:szCs w:val="20"/>
          <w:lang w:eastAsia="en-US"/>
        </w:rPr>
        <w:t xml:space="preserve">As such, in responding to this consultation, </w:t>
      </w:r>
      <w:r w:rsidR="00945BBF" w:rsidRPr="001F792B">
        <w:rPr>
          <w:rFonts w:ascii="Arial" w:eastAsiaTheme="minorEastAsia" w:hAnsi="Arial" w:cs="Arial"/>
          <w:sz w:val="22"/>
          <w:szCs w:val="20"/>
          <w:lang w:eastAsia="en-US"/>
        </w:rPr>
        <w:t>we have</w:t>
      </w:r>
      <w:r w:rsidRPr="001F792B">
        <w:rPr>
          <w:rFonts w:ascii="Arial" w:eastAsiaTheme="minorEastAsia" w:hAnsi="Arial" w:cs="Arial"/>
          <w:sz w:val="22"/>
          <w:szCs w:val="20"/>
          <w:lang w:eastAsia="en-US"/>
        </w:rPr>
        <w:t xml:space="preserve"> focused on the following area:</w:t>
      </w:r>
    </w:p>
    <w:p w14:paraId="512189E5" w14:textId="1B4A5B6A" w:rsidR="00083D28" w:rsidRPr="001F792B" w:rsidRDefault="00083D28" w:rsidP="00D47BAA">
      <w:pPr>
        <w:pStyle w:val="ListParagraph"/>
        <w:rPr>
          <w:lang w:eastAsia="en-US"/>
        </w:rPr>
      </w:pPr>
      <w:r w:rsidRPr="001F792B">
        <w:rPr>
          <w:lang w:eastAsia="en-US"/>
        </w:rPr>
        <w:t>Operation of internal crossing systems by fund managers</w:t>
      </w:r>
    </w:p>
    <w:p w14:paraId="321792B0" w14:textId="41195F75" w:rsidR="00083D28" w:rsidRPr="001F792B" w:rsidRDefault="00083D28" w:rsidP="00D47BAA">
      <w:pPr>
        <w:spacing w:after="250" w:line="276" w:lineRule="auto"/>
        <w:jc w:val="both"/>
        <w:rPr>
          <w:rFonts w:ascii="Arial" w:eastAsiaTheme="minorEastAsia" w:hAnsi="Arial" w:cs="Arial"/>
          <w:sz w:val="22"/>
          <w:szCs w:val="20"/>
          <w:lang w:eastAsia="en-US"/>
        </w:rPr>
      </w:pPr>
      <w:r w:rsidRPr="001F792B">
        <w:rPr>
          <w:rFonts w:ascii="Arial" w:eastAsiaTheme="minorEastAsia" w:hAnsi="Arial" w:cs="Arial"/>
          <w:sz w:val="22"/>
          <w:szCs w:val="20"/>
          <w:lang w:eastAsia="en-US"/>
        </w:rPr>
        <w:t>Invesco can provide further detail at ESMA’s request.</w:t>
      </w:r>
    </w:p>
    <w:bookmarkEnd w:id="1"/>
    <w:p w14:paraId="5CF8D2BA" w14:textId="77777777" w:rsidR="00083D28" w:rsidRPr="00C85C8B" w:rsidRDefault="00083D28" w:rsidP="00C85C8B">
      <w:pPr>
        <w:spacing w:after="250" w:line="276" w:lineRule="auto"/>
        <w:jc w:val="both"/>
        <w:rPr>
          <w:rFonts w:ascii="Arial" w:eastAsiaTheme="minorEastAsia" w:hAnsi="Arial" w:cs="Arial"/>
          <w:sz w:val="22"/>
          <w:szCs w:val="20"/>
          <w:lang w:eastAsia="en-US"/>
        </w:rPr>
      </w:pPr>
    </w:p>
    <w:permEnd w:id="885457707"/>
    <w:p w14:paraId="15D00E65" w14:textId="2457CBD8"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C92E09">
        <w:rPr>
          <w:rFonts w:asciiTheme="minorHAnsi" w:eastAsiaTheme="minorEastAsia" w:hAnsiTheme="minorHAnsi" w:cs="Arial"/>
          <w:sz w:val="22"/>
          <w:szCs w:val="20"/>
          <w:lang w:eastAsia="en-US"/>
        </w:rPr>
        <w:t>FOTF</w:t>
      </w:r>
      <w:r w:rsidRPr="00C85C8B">
        <w:rPr>
          <w:rFonts w:asciiTheme="minorHAnsi" w:eastAsiaTheme="minorEastAsia" w:hAnsiTheme="minorHAnsi" w:cstheme="minorBidi"/>
          <w:sz w:val="22"/>
          <w:szCs w:val="20"/>
          <w:lang w:eastAsia="en-US"/>
        </w:rPr>
        <w:t>_1&gt;</w:t>
      </w:r>
    </w:p>
    <w:p w14:paraId="58C2F704" w14:textId="77777777" w:rsidR="00C85C8B" w:rsidRDefault="00C85C8B" w:rsidP="00C1698A">
      <w:pPr>
        <w:spacing w:line="276" w:lineRule="auto"/>
        <w:rPr>
          <w:rFonts w:asciiTheme="minorHAnsi" w:hAnsiTheme="minorHAnsi" w:cstheme="minorHAnsi"/>
          <w:b/>
          <w:sz w:val="28"/>
          <w:szCs w:val="28"/>
        </w:rPr>
      </w:pP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p w14:paraId="289A1E31" w14:textId="6515C9EB" w:rsidR="00AB6157" w:rsidRDefault="00AB6157" w:rsidP="00C1698A">
      <w:pPr>
        <w:spacing w:line="276" w:lineRule="auto"/>
        <w:rPr>
          <w:rFonts w:asciiTheme="minorHAnsi" w:hAnsiTheme="minorHAnsi" w:cstheme="minorHAnsi"/>
          <w:b/>
          <w:sz w:val="28"/>
          <w:szCs w:val="28"/>
        </w:rPr>
      </w:pPr>
    </w:p>
    <w:bookmarkEnd w:id="0"/>
    <w:p w14:paraId="7190F722"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 What are your views about the current OTFs landscape in the EU? What is your initial assessment of the efficiency and usefulness of the OTF regime so far?</w:t>
      </w:r>
    </w:p>
    <w:p w14:paraId="6165C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186C579D" w14:textId="77777777" w:rsidR="00C92E09" w:rsidRPr="00C92E09" w:rsidRDefault="00C92E09" w:rsidP="00C92E09">
      <w:pPr>
        <w:spacing w:after="160" w:line="259" w:lineRule="auto"/>
        <w:rPr>
          <w:rFonts w:ascii="Arial" w:eastAsia="Calibri" w:hAnsi="Arial" w:cs="Arial"/>
          <w:sz w:val="22"/>
          <w:szCs w:val="22"/>
          <w:lang w:eastAsia="en-US"/>
        </w:rPr>
      </w:pPr>
      <w:permStart w:id="1805873418" w:edGrp="everyone"/>
      <w:r w:rsidRPr="00C92E09">
        <w:rPr>
          <w:rFonts w:ascii="Arial" w:eastAsia="Calibri" w:hAnsi="Arial" w:cs="Arial"/>
          <w:sz w:val="22"/>
          <w:szCs w:val="22"/>
          <w:lang w:eastAsia="en-US"/>
        </w:rPr>
        <w:t>TYPE YOUR TEXT HERE</w:t>
      </w:r>
    </w:p>
    <w:permEnd w:id="1805873418"/>
    <w:p w14:paraId="0F69E8E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&lt;ESMA_QUESTION_FOTF_1&gt;</w:t>
      </w:r>
    </w:p>
    <w:p w14:paraId="6D1952C4" w14:textId="77777777" w:rsidR="00C92E09" w:rsidRPr="00C92E09" w:rsidRDefault="00C92E09" w:rsidP="00C92E09">
      <w:pPr>
        <w:spacing w:after="160" w:line="259" w:lineRule="auto"/>
        <w:rPr>
          <w:rFonts w:ascii="Arial" w:eastAsia="Calibri" w:hAnsi="Arial" w:cs="Arial"/>
          <w:sz w:val="22"/>
          <w:szCs w:val="22"/>
          <w:lang w:eastAsia="en-US"/>
        </w:rPr>
      </w:pPr>
    </w:p>
    <w:p w14:paraId="7F89096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 Trading in OTFs has been fairly stable and concentrated in certain type of instruments throughout the application of MiFID II. How would you explain those findings? What in your view incentivizes market participants to trade on OTFs? How do you see the OTF landscape evolving in the near future?</w:t>
      </w:r>
    </w:p>
    <w:p w14:paraId="473AE3A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393D384B" w14:textId="77777777" w:rsidR="00C92E09" w:rsidRPr="00C92E09" w:rsidRDefault="00C92E09" w:rsidP="00C92E09">
      <w:pPr>
        <w:spacing w:after="160" w:line="259" w:lineRule="auto"/>
        <w:rPr>
          <w:rFonts w:ascii="Arial" w:eastAsia="Calibri" w:hAnsi="Arial" w:cs="Arial"/>
          <w:sz w:val="22"/>
          <w:szCs w:val="22"/>
          <w:lang w:eastAsia="en-US"/>
        </w:rPr>
      </w:pPr>
      <w:permStart w:id="1854082101" w:edGrp="everyone"/>
      <w:r w:rsidRPr="00C92E09">
        <w:rPr>
          <w:rFonts w:ascii="Arial" w:eastAsia="Calibri" w:hAnsi="Arial" w:cs="Arial"/>
          <w:sz w:val="22"/>
          <w:szCs w:val="22"/>
          <w:lang w:eastAsia="en-US"/>
        </w:rPr>
        <w:t>TYPE YOUR TEXT HERE</w:t>
      </w:r>
    </w:p>
    <w:permEnd w:id="1854082101"/>
    <w:p w14:paraId="7CA563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&lt;ESMA_QUESTION_FOTF_2&gt;</w:t>
      </w:r>
    </w:p>
    <w:p w14:paraId="6FF723EE" w14:textId="77777777" w:rsidR="00C92E09" w:rsidRPr="00C92E09" w:rsidRDefault="00C92E09" w:rsidP="00C92E09">
      <w:pPr>
        <w:spacing w:after="160" w:line="259" w:lineRule="auto"/>
        <w:rPr>
          <w:rFonts w:ascii="Arial" w:eastAsia="Calibri" w:hAnsi="Arial" w:cs="Arial"/>
          <w:sz w:val="22"/>
          <w:szCs w:val="22"/>
          <w:lang w:eastAsia="en-US"/>
        </w:rPr>
      </w:pPr>
    </w:p>
    <w:p w14:paraId="772A6183"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Q3: Do you concur with ESMA’s clarifications above regarding the application of Article 1(7) and Article 4(19) of MiFID II? If yes, do you agree with the ESMA proposed amendment of Level 1? Which other amendment of the Level 1 text would you consider to be necessary?</w:t>
      </w:r>
    </w:p>
    <w:p w14:paraId="2FEBC8C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0381C985" w14:textId="77777777" w:rsidR="00C92E09" w:rsidRPr="00C92E09" w:rsidRDefault="00C92E09" w:rsidP="00C92E09">
      <w:pPr>
        <w:spacing w:after="160" w:line="259" w:lineRule="auto"/>
        <w:rPr>
          <w:rFonts w:ascii="Arial" w:eastAsia="Calibri" w:hAnsi="Arial" w:cs="Arial"/>
          <w:sz w:val="22"/>
          <w:szCs w:val="22"/>
          <w:lang w:eastAsia="en-US"/>
        </w:rPr>
      </w:pPr>
      <w:permStart w:id="1801542831" w:edGrp="everyone"/>
      <w:r w:rsidRPr="00C92E09">
        <w:rPr>
          <w:rFonts w:ascii="Arial" w:eastAsia="Calibri" w:hAnsi="Arial" w:cs="Arial"/>
          <w:sz w:val="22"/>
          <w:szCs w:val="22"/>
          <w:lang w:eastAsia="en-US"/>
        </w:rPr>
        <w:t>TYPE YOUR TEXT HERE</w:t>
      </w:r>
    </w:p>
    <w:permEnd w:id="1801542831"/>
    <w:p w14:paraId="251C9D47"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&lt;ESMA_QUESTION_FOTF_3&gt;</w:t>
      </w:r>
    </w:p>
    <w:p w14:paraId="55CA7BD7" w14:textId="77777777" w:rsidR="00C92E09" w:rsidRPr="00C92E09" w:rsidRDefault="00C92E09" w:rsidP="00C92E09">
      <w:pPr>
        <w:spacing w:after="160" w:line="259" w:lineRule="auto"/>
        <w:rPr>
          <w:rFonts w:ascii="Arial" w:eastAsia="Calibri" w:hAnsi="Arial" w:cs="Arial"/>
          <w:sz w:val="22"/>
          <w:szCs w:val="22"/>
          <w:lang w:eastAsia="en-US"/>
        </w:rPr>
      </w:pPr>
    </w:p>
    <w:p w14:paraId="53FDD92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Q4: Do you agree with ESMA’s two-step approach? If not, which alternative should ESMA consider?</w:t>
      </w:r>
    </w:p>
    <w:p w14:paraId="4C804BD0"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70E94F90" w14:textId="77777777" w:rsidR="00C92E09" w:rsidRPr="00C92E09" w:rsidRDefault="00C92E09" w:rsidP="00C92E09">
      <w:pPr>
        <w:spacing w:after="160" w:line="259" w:lineRule="auto"/>
        <w:rPr>
          <w:rFonts w:ascii="Arial" w:eastAsia="Calibri" w:hAnsi="Arial" w:cs="Arial"/>
          <w:sz w:val="22"/>
          <w:szCs w:val="22"/>
          <w:lang w:eastAsia="en-US"/>
        </w:rPr>
      </w:pPr>
      <w:permStart w:id="512113161" w:edGrp="everyone"/>
      <w:r w:rsidRPr="00C92E09">
        <w:rPr>
          <w:rFonts w:ascii="Arial" w:eastAsia="Calibri" w:hAnsi="Arial" w:cs="Arial"/>
          <w:sz w:val="22"/>
          <w:szCs w:val="22"/>
          <w:lang w:eastAsia="en-US"/>
        </w:rPr>
        <w:t>TYPE YOUR TEXT HERE</w:t>
      </w:r>
    </w:p>
    <w:permEnd w:id="512113161"/>
    <w:p w14:paraId="419E41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&lt;ESMA_QUESTION_FOTF_4&gt;</w:t>
      </w:r>
    </w:p>
    <w:p w14:paraId="6F4FEE87" w14:textId="77777777" w:rsidR="00C92E09" w:rsidRPr="00C92E09" w:rsidRDefault="00C92E09" w:rsidP="00C92E09">
      <w:pPr>
        <w:spacing w:after="160" w:line="259" w:lineRule="auto"/>
        <w:rPr>
          <w:rFonts w:ascii="Arial" w:eastAsia="Calibri" w:hAnsi="Arial" w:cs="Arial"/>
          <w:sz w:val="22"/>
          <w:szCs w:val="22"/>
          <w:lang w:eastAsia="en-US"/>
        </w:rPr>
      </w:pPr>
    </w:p>
    <w:p w14:paraId="687E97B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Q5: Do you agree with ESMA’s proposal not to amend the OTF </w:t>
      </w:r>
      <w:proofErr w:type="spellStart"/>
      <w:r w:rsidRPr="00C92E09">
        <w:rPr>
          <w:rFonts w:ascii="Arial" w:hAnsi="Arial" w:cs="Arial"/>
          <w:b/>
          <w:sz w:val="22"/>
          <w:szCs w:val="22"/>
          <w:lang w:val="en-US" w:eastAsia="en-US"/>
        </w:rPr>
        <w:t>authorisation</w:t>
      </w:r>
      <w:proofErr w:type="spellEnd"/>
      <w:r w:rsidRPr="00C92E09">
        <w:rPr>
          <w:rFonts w:ascii="Arial" w:hAnsi="Arial" w:cs="Arial"/>
          <w:b/>
          <w:sz w:val="22"/>
          <w:szCs w:val="22"/>
          <w:lang w:val="en-US" w:eastAsia="en-US"/>
        </w:rPr>
        <w:t xml:space="preserve"> regime and not to exempt smaller entities? If not, based on which criteria should those smaller entities potentially subject to an OTF exemption be identified? </w:t>
      </w:r>
    </w:p>
    <w:p w14:paraId="5B8E5BC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7F64ED5C" w14:textId="77777777" w:rsidR="00C92E09" w:rsidRPr="00C92E09" w:rsidRDefault="00C92E09" w:rsidP="00C92E09">
      <w:pPr>
        <w:spacing w:after="160" w:line="259" w:lineRule="auto"/>
        <w:rPr>
          <w:rFonts w:ascii="Arial" w:eastAsia="Calibri" w:hAnsi="Arial" w:cs="Arial"/>
          <w:sz w:val="22"/>
          <w:szCs w:val="22"/>
          <w:lang w:eastAsia="en-US"/>
        </w:rPr>
      </w:pPr>
      <w:permStart w:id="145175905" w:edGrp="everyone"/>
      <w:r w:rsidRPr="00C92E09">
        <w:rPr>
          <w:rFonts w:ascii="Arial" w:eastAsia="Calibri" w:hAnsi="Arial" w:cs="Arial"/>
          <w:sz w:val="22"/>
          <w:szCs w:val="22"/>
          <w:lang w:eastAsia="en-US"/>
        </w:rPr>
        <w:t>TYPE YOUR TEXT HERE</w:t>
      </w:r>
    </w:p>
    <w:permEnd w:id="145175905"/>
    <w:p w14:paraId="5DF2E878"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&lt;ESMA_QUESTION_FOTF_5&gt;</w:t>
      </w:r>
    </w:p>
    <w:p w14:paraId="4ACD1BC9" w14:textId="77777777" w:rsidR="00C92E09" w:rsidRPr="00C92E09" w:rsidRDefault="00C92E09" w:rsidP="00C92E09">
      <w:pPr>
        <w:spacing w:after="160" w:line="259" w:lineRule="auto"/>
        <w:rPr>
          <w:rFonts w:ascii="Arial" w:eastAsia="Calibri" w:hAnsi="Arial" w:cs="Arial"/>
          <w:sz w:val="22"/>
          <w:szCs w:val="22"/>
          <w:lang w:eastAsia="en-US"/>
        </w:rPr>
      </w:pPr>
    </w:p>
    <w:p w14:paraId="39AFBFD8"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lastRenderedPageBreak/>
        <w:t xml:space="preserve">Q6: Which provisions applicable to OTFs are particularly burdensome to apply for less sophisticated firms? Which Level 1 or Level 2 amendments would alleviate this regulatory burden without </w:t>
      </w:r>
      <w:proofErr w:type="spellStart"/>
      <w:r w:rsidRPr="00C92E09">
        <w:rPr>
          <w:rFonts w:ascii="Arial" w:hAnsi="Arial" w:cs="Arial"/>
          <w:b/>
          <w:sz w:val="22"/>
          <w:szCs w:val="22"/>
          <w:lang w:val="en-US" w:eastAsia="en-US"/>
        </w:rPr>
        <w:t>jeopardising</w:t>
      </w:r>
      <w:proofErr w:type="spellEnd"/>
      <w:r w:rsidRPr="00C92E09">
        <w:rPr>
          <w:rFonts w:ascii="Arial" w:hAnsi="Arial" w:cs="Arial"/>
          <w:b/>
          <w:sz w:val="22"/>
          <w:szCs w:val="22"/>
          <w:lang w:val="en-US" w:eastAsia="en-US"/>
        </w:rPr>
        <w:t xml:space="preserve"> the level playing field between OTFs and the convergent application of MiFID II/MiFIR rules in the EU?</w:t>
      </w:r>
    </w:p>
    <w:p w14:paraId="265F826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91BA24F" w14:textId="77777777" w:rsidR="00C92E09" w:rsidRPr="00C92E09" w:rsidRDefault="00C92E09" w:rsidP="00C92E09">
      <w:pPr>
        <w:spacing w:after="160" w:line="259" w:lineRule="auto"/>
        <w:rPr>
          <w:rFonts w:ascii="Arial" w:eastAsia="Calibri" w:hAnsi="Arial" w:cs="Arial"/>
          <w:sz w:val="22"/>
          <w:szCs w:val="22"/>
          <w:lang w:eastAsia="en-US"/>
        </w:rPr>
      </w:pPr>
      <w:permStart w:id="570434045" w:edGrp="everyone"/>
      <w:r w:rsidRPr="00C92E09">
        <w:rPr>
          <w:rFonts w:ascii="Arial" w:eastAsia="Calibri" w:hAnsi="Arial" w:cs="Arial"/>
          <w:sz w:val="22"/>
          <w:szCs w:val="22"/>
          <w:lang w:eastAsia="en-US"/>
        </w:rPr>
        <w:t>TYPE YOUR TEXT HERE</w:t>
      </w:r>
    </w:p>
    <w:permEnd w:id="570434045"/>
    <w:p w14:paraId="742E7D3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&lt;ESMA_QUESTION_FOTF_6&gt;</w:t>
      </w:r>
    </w:p>
    <w:p w14:paraId="3685F8D3" w14:textId="77777777" w:rsidR="00C92E09" w:rsidRPr="00C92E09" w:rsidRDefault="00C92E09" w:rsidP="00C92E09">
      <w:pPr>
        <w:spacing w:after="160" w:line="259" w:lineRule="auto"/>
        <w:rPr>
          <w:rFonts w:ascii="Arial" w:eastAsia="Calibri" w:hAnsi="Arial" w:cs="Arial"/>
          <w:sz w:val="22"/>
          <w:szCs w:val="22"/>
          <w:lang w:eastAsia="en-US"/>
        </w:rPr>
      </w:pPr>
    </w:p>
    <w:p w14:paraId="4CA794B0"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Q7: Do you consider that ESMA should publish further guidance on the difference between the operation of an OTF, or other multilateral systems, and other investment services (primarily Reception and Transmission of Orders and Execution of orders on behalf of clients)? If yes, what elements should be considered to differentiate between the operation of multilateral systems and these other investment services?</w:t>
      </w:r>
    </w:p>
    <w:p w14:paraId="53FFFC34"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1E7B2FAF" w14:textId="77777777" w:rsidR="00C92E09" w:rsidRPr="00C92E09" w:rsidRDefault="00C92E09" w:rsidP="00C92E09">
      <w:pPr>
        <w:spacing w:after="160" w:line="259" w:lineRule="auto"/>
        <w:rPr>
          <w:rFonts w:ascii="Arial" w:eastAsia="Calibri" w:hAnsi="Arial" w:cs="Arial"/>
          <w:sz w:val="22"/>
          <w:szCs w:val="22"/>
          <w:lang w:eastAsia="en-US"/>
        </w:rPr>
      </w:pPr>
      <w:permStart w:id="513218818" w:edGrp="everyone"/>
      <w:r w:rsidRPr="00C92E09">
        <w:rPr>
          <w:rFonts w:ascii="Arial" w:eastAsia="Calibri" w:hAnsi="Arial" w:cs="Arial"/>
          <w:sz w:val="22"/>
          <w:szCs w:val="22"/>
          <w:lang w:eastAsia="en-US"/>
        </w:rPr>
        <w:t>TYPE YOUR TEXT HERE</w:t>
      </w:r>
    </w:p>
    <w:permEnd w:id="513218818"/>
    <w:p w14:paraId="76E1096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&lt;ESMA_QUESTION_FOTF_7&gt;</w:t>
      </w:r>
    </w:p>
    <w:p w14:paraId="3233143B" w14:textId="77777777" w:rsidR="00C92E09" w:rsidRPr="00C92E09" w:rsidRDefault="00C92E09" w:rsidP="00C92E09">
      <w:pPr>
        <w:spacing w:after="160" w:line="259" w:lineRule="auto"/>
        <w:rPr>
          <w:rFonts w:ascii="Arial" w:eastAsia="Calibri" w:hAnsi="Arial" w:cs="Arial"/>
          <w:sz w:val="22"/>
          <w:szCs w:val="22"/>
          <w:lang w:eastAsia="en-US"/>
        </w:rPr>
      </w:pPr>
    </w:p>
    <w:p w14:paraId="6C9BE47C"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Q8: Do you consider that there are networks of SIs currently operating in such a way that it would in your view qualify as a multilateral system? Please give concrete examples.</w:t>
      </w:r>
    </w:p>
    <w:p w14:paraId="33996D1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1FFA277A" w14:textId="77777777" w:rsidR="00C92E09" w:rsidRPr="00C92E09" w:rsidRDefault="00C92E09" w:rsidP="00C92E09">
      <w:pPr>
        <w:spacing w:after="160" w:line="259" w:lineRule="auto"/>
        <w:rPr>
          <w:rFonts w:ascii="Arial" w:eastAsia="Calibri" w:hAnsi="Arial" w:cs="Arial"/>
          <w:sz w:val="22"/>
          <w:szCs w:val="22"/>
          <w:lang w:eastAsia="en-US"/>
        </w:rPr>
      </w:pPr>
      <w:permStart w:id="1036202595" w:edGrp="everyone"/>
      <w:r w:rsidRPr="00C92E09">
        <w:rPr>
          <w:rFonts w:ascii="Arial" w:eastAsia="Calibri" w:hAnsi="Arial" w:cs="Arial"/>
          <w:sz w:val="22"/>
          <w:szCs w:val="22"/>
          <w:lang w:eastAsia="en-US"/>
        </w:rPr>
        <w:t>TYPE YOUR TEXT HERE</w:t>
      </w:r>
    </w:p>
    <w:permEnd w:id="1036202595"/>
    <w:p w14:paraId="5AC9484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&lt;ESMA_QUESTION_FOTF_8&gt;</w:t>
      </w:r>
    </w:p>
    <w:p w14:paraId="76E717F8" w14:textId="77777777" w:rsidR="00C92E09" w:rsidRPr="00C92E09" w:rsidRDefault="00C92E09" w:rsidP="00C92E09">
      <w:pPr>
        <w:spacing w:after="160" w:line="259" w:lineRule="auto"/>
        <w:rPr>
          <w:rFonts w:ascii="Arial" w:eastAsia="Calibri" w:hAnsi="Arial" w:cs="Arial"/>
          <w:sz w:val="22"/>
          <w:szCs w:val="22"/>
          <w:lang w:eastAsia="en-US"/>
        </w:rPr>
      </w:pPr>
    </w:p>
    <w:p w14:paraId="1A8F842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Q9: Do you agree that the line differentiating bilateral and multilateral trading in the context of SIs is sufficiently clear? Do you think there should be a Level 1 amendment?</w:t>
      </w:r>
    </w:p>
    <w:p w14:paraId="0ECE683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F811D30" w14:textId="77777777" w:rsidR="00C92E09" w:rsidRPr="00C92E09" w:rsidRDefault="00C92E09" w:rsidP="00C92E09">
      <w:pPr>
        <w:spacing w:after="160" w:line="259" w:lineRule="auto"/>
        <w:rPr>
          <w:rFonts w:ascii="Arial" w:eastAsia="Calibri" w:hAnsi="Arial" w:cs="Arial"/>
          <w:sz w:val="22"/>
          <w:szCs w:val="22"/>
          <w:lang w:eastAsia="en-US"/>
        </w:rPr>
      </w:pPr>
      <w:permStart w:id="1365582167" w:edGrp="everyone"/>
      <w:r w:rsidRPr="00C92E09">
        <w:rPr>
          <w:rFonts w:ascii="Arial" w:eastAsia="Calibri" w:hAnsi="Arial" w:cs="Arial"/>
          <w:sz w:val="22"/>
          <w:szCs w:val="22"/>
          <w:lang w:eastAsia="en-US"/>
        </w:rPr>
        <w:t>TYPE YOUR TEXT HERE</w:t>
      </w:r>
    </w:p>
    <w:permEnd w:id="1365582167"/>
    <w:p w14:paraId="3749830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&lt;ESMA_QUESTION_FOTF_9&gt;</w:t>
      </w:r>
    </w:p>
    <w:p w14:paraId="1A351736" w14:textId="77777777" w:rsidR="00C92E09" w:rsidRPr="00C92E09" w:rsidRDefault="00C92E09" w:rsidP="00C92E09">
      <w:pPr>
        <w:spacing w:after="160" w:line="259" w:lineRule="auto"/>
        <w:rPr>
          <w:rFonts w:ascii="Arial" w:eastAsia="Calibri" w:hAnsi="Arial" w:cs="Arial"/>
          <w:sz w:val="22"/>
          <w:szCs w:val="22"/>
          <w:lang w:eastAsia="en-US"/>
        </w:rPr>
      </w:pPr>
    </w:p>
    <w:p w14:paraId="01C840C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Q10: What are the main characteristics of software providers and how to </w:t>
      </w:r>
      <w:proofErr w:type="spellStart"/>
      <w:r w:rsidRPr="00C92E09">
        <w:rPr>
          <w:rFonts w:ascii="Arial" w:hAnsi="Arial" w:cs="Arial"/>
          <w:b/>
          <w:sz w:val="22"/>
          <w:szCs w:val="22"/>
          <w:lang w:val="en-US" w:eastAsia="en-US"/>
        </w:rPr>
        <w:t>categorise</w:t>
      </w:r>
      <w:proofErr w:type="spellEnd"/>
      <w:r w:rsidRPr="00C92E09">
        <w:rPr>
          <w:rFonts w:ascii="Arial" w:hAnsi="Arial" w:cs="Arial"/>
          <w:b/>
          <w:sz w:val="22"/>
          <w:szCs w:val="22"/>
          <w:lang w:val="en-US" w:eastAsia="en-US"/>
        </w:rPr>
        <w:t xml:space="preserve"> them? Amongst these business models of software providers, which are those that in your view constitute a multilateral system and should be </w:t>
      </w:r>
      <w:proofErr w:type="spellStart"/>
      <w:r w:rsidRPr="00C92E09">
        <w:rPr>
          <w:rFonts w:ascii="Arial" w:hAnsi="Arial" w:cs="Arial"/>
          <w:b/>
          <w:sz w:val="22"/>
          <w:szCs w:val="22"/>
          <w:lang w:val="en-US" w:eastAsia="en-US"/>
        </w:rPr>
        <w:t>authorised</w:t>
      </w:r>
      <w:proofErr w:type="spellEnd"/>
      <w:r w:rsidRPr="00C92E09">
        <w:rPr>
          <w:rFonts w:ascii="Arial" w:hAnsi="Arial" w:cs="Arial"/>
          <w:b/>
          <w:sz w:val="22"/>
          <w:szCs w:val="22"/>
          <w:lang w:val="en-US" w:eastAsia="en-US"/>
        </w:rPr>
        <w:t xml:space="preserve"> as such?</w:t>
      </w:r>
    </w:p>
    <w:p w14:paraId="7A698A59"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&lt;ESMA_QUESTION_FOTF_10&gt;</w:t>
      </w:r>
    </w:p>
    <w:p w14:paraId="3DED6ECC" w14:textId="77777777" w:rsidR="00C92E09" w:rsidRPr="00C92E09" w:rsidRDefault="00C92E09" w:rsidP="00C92E09">
      <w:pPr>
        <w:spacing w:after="160" w:line="259" w:lineRule="auto"/>
        <w:rPr>
          <w:rFonts w:ascii="Arial" w:eastAsia="Calibri" w:hAnsi="Arial" w:cs="Arial"/>
          <w:sz w:val="22"/>
          <w:szCs w:val="22"/>
          <w:lang w:eastAsia="en-US"/>
        </w:rPr>
      </w:pPr>
      <w:permStart w:id="1941981821" w:edGrp="everyone"/>
      <w:r w:rsidRPr="00C92E09">
        <w:rPr>
          <w:rFonts w:ascii="Arial" w:eastAsia="Calibri" w:hAnsi="Arial" w:cs="Arial"/>
          <w:sz w:val="22"/>
          <w:szCs w:val="22"/>
          <w:lang w:eastAsia="en-US"/>
        </w:rPr>
        <w:t>TYPE YOUR TEXT HERE</w:t>
      </w:r>
    </w:p>
    <w:permEnd w:id="1941981821"/>
    <w:p w14:paraId="58C0594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&lt;ESMA_QUESTION_FOTF_10&gt;</w:t>
      </w:r>
    </w:p>
    <w:p w14:paraId="662D07F3" w14:textId="77777777" w:rsidR="00C92E09" w:rsidRPr="00C92E09" w:rsidRDefault="00C92E09" w:rsidP="00C92E09">
      <w:pPr>
        <w:spacing w:after="160" w:line="259" w:lineRule="auto"/>
        <w:rPr>
          <w:rFonts w:ascii="Arial" w:eastAsia="Calibri" w:hAnsi="Arial" w:cs="Arial"/>
          <w:sz w:val="22"/>
          <w:szCs w:val="22"/>
          <w:lang w:eastAsia="en-US"/>
        </w:rPr>
      </w:pPr>
    </w:p>
    <w:p w14:paraId="6896E05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Q11: Do you agree with the approach suggested by ESMA regarding software providers that pre-arranged transactions </w:t>
      </w:r>
      <w:proofErr w:type="spellStart"/>
      <w:r w:rsidRPr="00C92E09">
        <w:rPr>
          <w:rFonts w:ascii="Arial" w:hAnsi="Arial" w:cs="Arial"/>
          <w:b/>
          <w:sz w:val="22"/>
          <w:szCs w:val="22"/>
          <w:lang w:val="en-US" w:eastAsia="en-US"/>
        </w:rPr>
        <w:t>formalised</w:t>
      </w:r>
      <w:proofErr w:type="spellEnd"/>
      <w:r w:rsidRPr="00C92E09">
        <w:rPr>
          <w:rFonts w:ascii="Arial" w:hAnsi="Arial" w:cs="Arial"/>
          <w:b/>
          <w:sz w:val="22"/>
          <w:szCs w:val="22"/>
          <w:lang w:val="en-US" w:eastAsia="en-US"/>
        </w:rPr>
        <w:t xml:space="preserve"> on other </w:t>
      </w:r>
      <w:proofErr w:type="spellStart"/>
      <w:r w:rsidRPr="00C92E09">
        <w:rPr>
          <w:rFonts w:ascii="Arial" w:hAnsi="Arial" w:cs="Arial"/>
          <w:b/>
          <w:sz w:val="22"/>
          <w:szCs w:val="22"/>
          <w:lang w:val="en-US" w:eastAsia="en-US"/>
        </w:rPr>
        <w:t>authorised</w:t>
      </w:r>
      <w:proofErr w:type="spellEnd"/>
      <w:r w:rsidRPr="00C92E09">
        <w:rPr>
          <w:rFonts w:ascii="Arial" w:hAnsi="Arial" w:cs="Arial"/>
          <w:b/>
          <w:sz w:val="22"/>
          <w:szCs w:val="22"/>
          <w:lang w:val="en-US" w:eastAsia="en-US"/>
        </w:rPr>
        <w:t xml:space="preserve"> trading venues? Do you consider that this approach is sufficient to ensure a level playing field or do you think that ESMA should provide further clarifications or propose specific Level 1 amendments, and if so, which ones?</w:t>
      </w:r>
    </w:p>
    <w:p w14:paraId="7F29A5D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7BCB7447" w14:textId="77777777" w:rsidR="00C92E09" w:rsidRPr="00C92E09" w:rsidRDefault="00C92E09" w:rsidP="00C92E09">
      <w:pPr>
        <w:spacing w:after="160" w:line="259" w:lineRule="auto"/>
        <w:rPr>
          <w:rFonts w:ascii="Arial" w:eastAsia="Calibri" w:hAnsi="Arial" w:cs="Arial"/>
          <w:sz w:val="22"/>
          <w:szCs w:val="22"/>
          <w:lang w:eastAsia="en-US"/>
        </w:rPr>
      </w:pPr>
      <w:permStart w:id="1114264616" w:edGrp="everyone"/>
      <w:r w:rsidRPr="00C92E09">
        <w:rPr>
          <w:rFonts w:ascii="Arial" w:eastAsia="Calibri" w:hAnsi="Arial" w:cs="Arial"/>
          <w:sz w:val="22"/>
          <w:szCs w:val="22"/>
          <w:lang w:eastAsia="en-US"/>
        </w:rPr>
        <w:t>TYPE YOUR TEXT HERE</w:t>
      </w:r>
    </w:p>
    <w:permEnd w:id="1114264616"/>
    <w:p w14:paraId="4738C5E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&lt;ESMA_QUESTION_FOTF_11&gt;</w:t>
      </w:r>
    </w:p>
    <w:p w14:paraId="680CD701" w14:textId="77777777" w:rsidR="00C92E09" w:rsidRPr="00C92E09" w:rsidRDefault="00C92E09" w:rsidP="00C92E09">
      <w:pPr>
        <w:spacing w:after="160" w:line="259" w:lineRule="auto"/>
        <w:rPr>
          <w:rFonts w:ascii="Arial" w:eastAsia="Calibri" w:hAnsi="Arial" w:cs="Arial"/>
          <w:sz w:val="22"/>
          <w:szCs w:val="22"/>
          <w:lang w:eastAsia="en-US"/>
        </w:rPr>
      </w:pPr>
    </w:p>
    <w:p w14:paraId="4FA12205"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Q12: Do you agree with the principles suggested by ESMA to identify a bulletin board? If not, please elaborate. Do you agree to amend Level 1 to include a definition of bulletin board?</w:t>
      </w:r>
    </w:p>
    <w:p w14:paraId="73A2FFC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4F3BF0C0" w14:textId="77777777" w:rsidR="00C92E09" w:rsidRPr="00C92E09" w:rsidRDefault="00C92E09" w:rsidP="00C92E09">
      <w:pPr>
        <w:spacing w:after="160" w:line="259" w:lineRule="auto"/>
        <w:rPr>
          <w:rFonts w:ascii="Arial" w:eastAsia="Calibri" w:hAnsi="Arial" w:cs="Arial"/>
          <w:sz w:val="22"/>
          <w:szCs w:val="22"/>
          <w:lang w:eastAsia="en-US"/>
        </w:rPr>
      </w:pPr>
      <w:permStart w:id="233254254" w:edGrp="everyone"/>
      <w:r w:rsidRPr="00C92E09">
        <w:rPr>
          <w:rFonts w:ascii="Arial" w:eastAsia="Calibri" w:hAnsi="Arial" w:cs="Arial"/>
          <w:sz w:val="22"/>
          <w:szCs w:val="22"/>
          <w:lang w:eastAsia="en-US"/>
        </w:rPr>
        <w:t>TYPE YOUR TEXT HERE</w:t>
      </w:r>
    </w:p>
    <w:permEnd w:id="233254254"/>
    <w:p w14:paraId="498FE611"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&lt;ESMA_QUESTION_FOTF_12&gt;</w:t>
      </w:r>
    </w:p>
    <w:p w14:paraId="3079FEBB" w14:textId="77777777" w:rsidR="00C92E09" w:rsidRPr="00C92E09" w:rsidRDefault="00C92E09" w:rsidP="00C92E09">
      <w:pPr>
        <w:spacing w:after="160" w:line="259" w:lineRule="auto"/>
        <w:rPr>
          <w:rFonts w:ascii="Arial" w:eastAsia="Calibri" w:hAnsi="Arial" w:cs="Arial"/>
          <w:sz w:val="22"/>
          <w:szCs w:val="22"/>
          <w:lang w:eastAsia="en-US"/>
        </w:rPr>
      </w:pPr>
    </w:p>
    <w:p w14:paraId="532E1CA1"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Q13: Are you aware of any facility operating as a bulletin board that would not comply with the principles identified above?</w:t>
      </w:r>
    </w:p>
    <w:p w14:paraId="2B0D3E6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361EECAD" w14:textId="77777777" w:rsidR="00C92E09" w:rsidRPr="00C92E09" w:rsidRDefault="00C92E09" w:rsidP="00C92E09">
      <w:pPr>
        <w:spacing w:after="160" w:line="259" w:lineRule="auto"/>
        <w:rPr>
          <w:rFonts w:ascii="Arial" w:eastAsia="Calibri" w:hAnsi="Arial" w:cs="Arial"/>
          <w:sz w:val="22"/>
          <w:szCs w:val="22"/>
          <w:lang w:eastAsia="en-US"/>
        </w:rPr>
      </w:pPr>
      <w:permStart w:id="535432319" w:edGrp="everyone"/>
      <w:r w:rsidRPr="00C92E09">
        <w:rPr>
          <w:rFonts w:ascii="Arial" w:eastAsia="Calibri" w:hAnsi="Arial" w:cs="Arial"/>
          <w:sz w:val="22"/>
          <w:szCs w:val="22"/>
          <w:lang w:eastAsia="en-US"/>
        </w:rPr>
        <w:t>TYPE YOUR TEXT HERE</w:t>
      </w:r>
    </w:p>
    <w:permEnd w:id="535432319"/>
    <w:p w14:paraId="5B6A6FB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&lt;ESMA_QUESTION_FOTF_13&gt;</w:t>
      </w:r>
    </w:p>
    <w:p w14:paraId="1D4D2C55" w14:textId="77777777" w:rsidR="00C92E09" w:rsidRPr="00C92E09" w:rsidRDefault="00C92E09" w:rsidP="00C92E09">
      <w:pPr>
        <w:spacing w:after="160" w:line="259" w:lineRule="auto"/>
        <w:rPr>
          <w:rFonts w:ascii="Arial" w:eastAsia="Calibri" w:hAnsi="Arial" w:cs="Arial"/>
          <w:sz w:val="22"/>
          <w:szCs w:val="22"/>
          <w:lang w:eastAsia="en-US"/>
        </w:rPr>
      </w:pPr>
    </w:p>
    <w:p w14:paraId="34AA72B9"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Q14: Market participants that currently operate such systems are invited to share more detailed information on their crossing systems (scale of the activity, geographical coverage, instruments concerned, </w:t>
      </w:r>
      <w:proofErr w:type="spellStart"/>
      <w:r w:rsidRPr="00C92E09">
        <w:rPr>
          <w:rFonts w:ascii="Arial" w:hAnsi="Arial" w:cs="Arial"/>
          <w:b/>
          <w:sz w:val="22"/>
          <w:szCs w:val="22"/>
          <w:lang w:val="en-US" w:eastAsia="en-US"/>
        </w:rPr>
        <w:t>etc</w:t>
      </w:r>
      <w:proofErr w:type="spellEnd"/>
      <w:r w:rsidRPr="00C92E09">
        <w:rPr>
          <w:rFonts w:ascii="Arial" w:hAnsi="Arial" w:cs="Arial"/>
          <w:b/>
          <w:sz w:val="22"/>
          <w:szCs w:val="22"/>
          <w:lang w:val="en-US" w:eastAsia="en-US"/>
        </w:rPr>
        <w:t>…), providing examples of such platforms and describing how much costs &amp; fees are saved this way as opposed to executing the relevant transactions via brokers or trading venues.</w:t>
      </w:r>
    </w:p>
    <w:p w14:paraId="0A0005BE"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3DE8F808" w14:textId="77777777" w:rsidR="00C92E09" w:rsidRPr="00C92E09" w:rsidRDefault="00C92E09" w:rsidP="00C92E09">
      <w:pPr>
        <w:spacing w:after="160" w:line="259" w:lineRule="auto"/>
        <w:rPr>
          <w:rFonts w:ascii="Arial" w:eastAsia="Calibri" w:hAnsi="Arial" w:cs="Arial"/>
          <w:sz w:val="22"/>
          <w:szCs w:val="22"/>
          <w:lang w:eastAsia="en-US"/>
        </w:rPr>
      </w:pPr>
      <w:permStart w:id="503937496" w:edGrp="everyone"/>
      <w:r w:rsidRPr="00C92E09">
        <w:rPr>
          <w:rFonts w:ascii="Arial" w:eastAsia="Calibri" w:hAnsi="Arial" w:cs="Arial"/>
          <w:sz w:val="22"/>
          <w:szCs w:val="22"/>
          <w:lang w:eastAsia="en-US"/>
        </w:rPr>
        <w:t>TYPE YOUR TEXT HERE</w:t>
      </w:r>
    </w:p>
    <w:permEnd w:id="503937496"/>
    <w:p w14:paraId="2D80129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&lt;ESMA_QUESTION_FOTF_14&gt;</w:t>
      </w:r>
    </w:p>
    <w:p w14:paraId="2556E45B" w14:textId="77777777" w:rsidR="00C92E09" w:rsidRPr="00C92E09" w:rsidRDefault="00C92E09" w:rsidP="00C92E09">
      <w:pPr>
        <w:spacing w:after="160" w:line="259" w:lineRule="auto"/>
        <w:rPr>
          <w:rFonts w:ascii="Arial" w:eastAsia="Calibri" w:hAnsi="Arial" w:cs="Arial"/>
          <w:sz w:val="22"/>
          <w:szCs w:val="22"/>
          <w:lang w:eastAsia="en-US"/>
        </w:rPr>
      </w:pPr>
    </w:p>
    <w:p w14:paraId="1183504D"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Q15: Do you consider that internal crossing systems allowing different fund managers within the same group to transact between themselves should be in scope of MiFID II or regarded as an investment management function covered under the AIFMD and UCITS? Please explain. In your view, should the regulatory treatment of these internal crossing system be clarified via a Level 1 change?</w:t>
      </w:r>
    </w:p>
    <w:p w14:paraId="75AC5A4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lastRenderedPageBreak/>
        <w:t>&lt;ESMA_QUESTION_FOTF_15&gt;</w:t>
      </w:r>
    </w:p>
    <w:p w14:paraId="24118605" w14:textId="77777777" w:rsidR="008951B7" w:rsidRPr="008951B7" w:rsidRDefault="008951B7" w:rsidP="008951B7">
      <w:pPr>
        <w:spacing w:after="160" w:line="259" w:lineRule="auto"/>
        <w:rPr>
          <w:rFonts w:ascii="Arial" w:eastAsia="Calibri" w:hAnsi="Arial" w:cs="Arial"/>
          <w:sz w:val="22"/>
          <w:szCs w:val="22"/>
          <w:lang w:eastAsia="en-US"/>
        </w:rPr>
      </w:pPr>
      <w:permStart w:id="165479820" w:edGrp="everyone"/>
    </w:p>
    <w:p w14:paraId="2A49E595" w14:textId="78743E38" w:rsidR="008951B7" w:rsidRPr="001F792B" w:rsidRDefault="008951B7" w:rsidP="00A03391">
      <w:pPr>
        <w:spacing w:line="259" w:lineRule="auto"/>
        <w:jc w:val="both"/>
        <w:rPr>
          <w:rFonts w:ascii="Arial" w:eastAsia="Calibri" w:hAnsi="Arial" w:cs="Arial"/>
          <w:sz w:val="22"/>
          <w:szCs w:val="22"/>
          <w:lang w:eastAsia="en-US"/>
        </w:rPr>
      </w:pPr>
      <w:r w:rsidRPr="001F792B">
        <w:rPr>
          <w:rFonts w:ascii="Arial" w:eastAsia="Calibri" w:hAnsi="Arial" w:cs="Arial"/>
          <w:sz w:val="22"/>
          <w:szCs w:val="22"/>
          <w:lang w:eastAsia="en-US"/>
        </w:rPr>
        <w:t>Invesco agrees with ESMA that the current regulatory framework applicable to fund managers in respect of the operation of internal crossing systems would benefit from clarification.</w:t>
      </w:r>
    </w:p>
    <w:p w14:paraId="68DC1BF9" w14:textId="77777777" w:rsidR="00A03391" w:rsidRPr="001F792B" w:rsidRDefault="00A03391" w:rsidP="00A03391">
      <w:pPr>
        <w:spacing w:line="259" w:lineRule="auto"/>
        <w:jc w:val="both"/>
        <w:rPr>
          <w:rFonts w:ascii="Arial" w:eastAsia="Calibri" w:hAnsi="Arial" w:cs="Arial"/>
          <w:sz w:val="22"/>
          <w:szCs w:val="22"/>
          <w:lang w:eastAsia="en-US"/>
        </w:rPr>
      </w:pPr>
    </w:p>
    <w:p w14:paraId="2B6A36BD" w14:textId="53727415" w:rsidR="00A03391" w:rsidRPr="001F792B" w:rsidRDefault="008951B7" w:rsidP="00A03391">
      <w:pPr>
        <w:spacing w:line="259" w:lineRule="auto"/>
        <w:jc w:val="both"/>
        <w:rPr>
          <w:rFonts w:ascii="Arial" w:eastAsia="Calibri" w:hAnsi="Arial" w:cs="Arial"/>
          <w:sz w:val="22"/>
          <w:szCs w:val="22"/>
          <w:lang w:eastAsia="en-US"/>
        </w:rPr>
      </w:pPr>
      <w:r w:rsidRPr="001F792B">
        <w:rPr>
          <w:rFonts w:ascii="Arial" w:eastAsia="Calibri" w:hAnsi="Arial" w:cs="Arial"/>
          <w:sz w:val="22"/>
          <w:szCs w:val="22"/>
          <w:lang w:eastAsia="en-US"/>
        </w:rPr>
        <w:t xml:space="preserve">It is our view that, where appropriately implemented, operated and governed, internal crossing systems allowing fund managers within the same group to transact between themselves can be in the best interests of clients and end-investors, for example in terms of reduced trading costs and better execution quality. Indeed, we would argue that the EU MiFID II/MiFIR framework, as currently calibrated and applied across the bloc, </w:t>
      </w:r>
      <w:r w:rsidR="00CB4394" w:rsidRPr="001F792B">
        <w:rPr>
          <w:rFonts w:ascii="Arial" w:eastAsia="Calibri" w:hAnsi="Arial" w:cs="Arial"/>
          <w:sz w:val="22"/>
          <w:szCs w:val="22"/>
          <w:lang w:eastAsia="en-US"/>
        </w:rPr>
        <w:t xml:space="preserve">can </w:t>
      </w:r>
      <w:r w:rsidRPr="001F792B">
        <w:rPr>
          <w:rFonts w:ascii="Arial" w:eastAsia="Calibri" w:hAnsi="Arial" w:cs="Arial"/>
          <w:sz w:val="22"/>
          <w:szCs w:val="22"/>
          <w:lang w:eastAsia="en-US"/>
        </w:rPr>
        <w:t>serve as a barrier to fund managers operating internal crossing systems, potentially weakening client outcomes as they are unable to access the cost and execution benefits of internal crossing.</w:t>
      </w:r>
    </w:p>
    <w:p w14:paraId="5C8C8873" w14:textId="77777777" w:rsidR="00A03391" w:rsidRPr="001F792B" w:rsidRDefault="00A03391" w:rsidP="00A03391">
      <w:pPr>
        <w:spacing w:line="259" w:lineRule="auto"/>
        <w:jc w:val="both"/>
        <w:rPr>
          <w:rFonts w:ascii="Arial" w:eastAsia="Calibri" w:hAnsi="Arial" w:cs="Arial"/>
          <w:sz w:val="22"/>
          <w:szCs w:val="22"/>
          <w:lang w:eastAsia="en-US"/>
        </w:rPr>
      </w:pPr>
    </w:p>
    <w:p w14:paraId="6DA089B9" w14:textId="24C2B453" w:rsidR="008951B7" w:rsidRPr="001F792B" w:rsidRDefault="008951B7" w:rsidP="00A03391">
      <w:pPr>
        <w:spacing w:line="259" w:lineRule="auto"/>
        <w:jc w:val="both"/>
        <w:rPr>
          <w:rFonts w:ascii="Arial" w:eastAsia="Calibri" w:hAnsi="Arial" w:cs="Arial"/>
          <w:sz w:val="22"/>
          <w:szCs w:val="22"/>
          <w:lang w:eastAsia="en-US"/>
        </w:rPr>
      </w:pPr>
      <w:r w:rsidRPr="001F792B">
        <w:rPr>
          <w:rFonts w:ascii="Arial" w:eastAsia="Calibri" w:hAnsi="Arial" w:cs="Arial"/>
          <w:sz w:val="22"/>
          <w:szCs w:val="22"/>
          <w:lang w:eastAsia="en-US"/>
        </w:rPr>
        <w:t>We do not believe that it is the intention of the EU MiFID II/MiFIR framework to</w:t>
      </w:r>
      <w:r w:rsidR="00746F46" w:rsidRPr="001F792B">
        <w:rPr>
          <w:rFonts w:ascii="Arial" w:eastAsia="Calibri" w:hAnsi="Arial" w:cs="Arial"/>
          <w:sz w:val="22"/>
          <w:szCs w:val="22"/>
          <w:lang w:eastAsia="en-US"/>
        </w:rPr>
        <w:t xml:space="preserve"> potentially</w:t>
      </w:r>
      <w:r w:rsidRPr="001F792B">
        <w:rPr>
          <w:rFonts w:ascii="Arial" w:eastAsia="Calibri" w:hAnsi="Arial" w:cs="Arial"/>
          <w:sz w:val="22"/>
          <w:szCs w:val="22"/>
          <w:lang w:eastAsia="en-US"/>
        </w:rPr>
        <w:t xml:space="preserve"> weaken investor outcomes in this way. As such, we believe that EU policymakers should take action to ensure that appropriately implemented, operated and governed internal crossing, where it takes place under pre-determined de minimis conditions, can take place under the EU MiFID II/MiFIR framework.</w:t>
      </w:r>
    </w:p>
    <w:p w14:paraId="08F21B56" w14:textId="77777777" w:rsidR="00A03391" w:rsidRPr="001F792B" w:rsidRDefault="00A03391" w:rsidP="00A03391">
      <w:pPr>
        <w:pStyle w:val="ListParagraph"/>
        <w:numPr>
          <w:ilvl w:val="0"/>
          <w:numId w:val="0"/>
        </w:numPr>
        <w:spacing w:after="0"/>
        <w:ind w:left="720"/>
        <w:rPr>
          <w:lang w:eastAsia="en-US"/>
        </w:rPr>
      </w:pPr>
    </w:p>
    <w:p w14:paraId="50807711" w14:textId="29890784" w:rsidR="008951B7" w:rsidRPr="001F792B" w:rsidRDefault="008951B7" w:rsidP="00A03391">
      <w:pPr>
        <w:pStyle w:val="ListParagraph"/>
        <w:spacing w:after="0"/>
        <w:rPr>
          <w:lang w:eastAsia="en-US"/>
        </w:rPr>
      </w:pPr>
      <w:r w:rsidRPr="001F792B">
        <w:rPr>
          <w:lang w:eastAsia="en-US"/>
        </w:rPr>
        <w:t>First, it would be prudent to include in EU MiFID II Article 4 (or EU MiFID II Delegated Regulation Article 2) definitions of ‘internal crossing’ and an ‘internal crossing system’ (as a type of ‘multilateral system’) so as to ensure the clear identification of such activities and the specific entities involved within a group (defined as third parties for regulatory purposes). This would act as a foundation on which EU policymakers could clarify the specific regulatory interpretation of internal crossing and treatment of entities undertaking such activities. Including such definitions in the legislative framework would also resolve the issue set out in paragraphs 90 and 91 of the ESMA consultation and avoid any amendment to the existing definition of ‘multilateral system’.</w:t>
      </w:r>
    </w:p>
    <w:p w14:paraId="44025BD0" w14:textId="77777777" w:rsidR="00A03391" w:rsidRPr="001F792B" w:rsidRDefault="00A03391" w:rsidP="00A03391">
      <w:pPr>
        <w:pStyle w:val="ListParagraph"/>
        <w:numPr>
          <w:ilvl w:val="0"/>
          <w:numId w:val="0"/>
        </w:numPr>
        <w:spacing w:after="0"/>
        <w:ind w:left="720"/>
        <w:rPr>
          <w:lang w:eastAsia="en-US"/>
        </w:rPr>
      </w:pPr>
    </w:p>
    <w:p w14:paraId="10BDEE64" w14:textId="73B00D7D" w:rsidR="008951B7" w:rsidRPr="001F792B" w:rsidRDefault="008951B7" w:rsidP="00A03391">
      <w:pPr>
        <w:pStyle w:val="ListParagraph"/>
        <w:spacing w:after="0"/>
        <w:rPr>
          <w:lang w:eastAsia="en-US"/>
        </w:rPr>
      </w:pPr>
      <w:r w:rsidRPr="001F792B">
        <w:rPr>
          <w:lang w:eastAsia="en-US"/>
        </w:rPr>
        <w:t>Second, EU policymakers should include in the EU MiFID II/MiFIR framework general organisational requirements for internal crossing systems as well as specific operational and governance requirements for firms operating internal crossing systems, with provisions to define at Level 2 the de minimis conditions under which internal crossing can take place (i.e. any trading activity beyond the pre-determined de minimis conditions should be deemed to be substantial and therefore take place externally). Such de minimis conditions would therefore ensure that internal crossing systems are not subject to the specific regulatory requirements applicable to multilateral trading facilities (MTFs) and organised trading facilities (OTFs) in much the same way as systematic internalisers (SIs) can undertake matched principal trading, under certain conditions, without being considered an MTF (as set out in the ESMA Q&amp;A on market structures topics).</w:t>
      </w:r>
    </w:p>
    <w:p w14:paraId="401EABC2" w14:textId="77777777" w:rsidR="00A03391" w:rsidRPr="001F792B" w:rsidRDefault="00A03391" w:rsidP="00A03391">
      <w:pPr>
        <w:pStyle w:val="ListParagraph"/>
        <w:numPr>
          <w:ilvl w:val="0"/>
          <w:numId w:val="0"/>
        </w:numPr>
        <w:spacing w:after="0"/>
        <w:ind w:left="720"/>
        <w:rPr>
          <w:lang w:eastAsia="en-US"/>
        </w:rPr>
      </w:pPr>
    </w:p>
    <w:p w14:paraId="0390B8E7" w14:textId="016CA5BB" w:rsidR="008951B7" w:rsidRPr="001F792B" w:rsidRDefault="008951B7" w:rsidP="00A03391">
      <w:pPr>
        <w:pStyle w:val="ListParagraph"/>
        <w:spacing w:after="0"/>
        <w:rPr>
          <w:lang w:eastAsia="en-US"/>
        </w:rPr>
      </w:pPr>
      <w:r w:rsidRPr="001F792B">
        <w:rPr>
          <w:lang w:eastAsia="en-US"/>
        </w:rPr>
        <w:t xml:space="preserve">Third, in order to ensure that the operation of an internal crossing system is consistent with the operation of the EU MiFIR Article 23 trading obligation for investment firms in respect of shares (STO), we would encourage EU policymakers to clarify the operation of EU MiFIR Article 23(1)(b) – via an amendment to the MiFIR Delegated Regulation – to include trades that take place on internal crossing systems as those which do not </w:t>
      </w:r>
      <w:r w:rsidRPr="001F792B">
        <w:rPr>
          <w:lang w:eastAsia="en-US"/>
        </w:rPr>
        <w:lastRenderedPageBreak/>
        <w:t>contribute to the price discovery process. We believe this to be a prudent approach given the de minimis conditions that would apply to internal crossing. Moreover, we believe that EU MiFIR Delegated Regulation Article 2(a) could be expanded to allow for the use of closing price/last sale price for liquid shares as this would allow global firms, such as Invesco, to leverage economies of scale and operate global internal crossing systems in the best interests of end-investors.</w:t>
      </w:r>
    </w:p>
    <w:p w14:paraId="6A029DCD" w14:textId="77777777" w:rsidR="00A03391" w:rsidRPr="001F792B" w:rsidRDefault="00A03391" w:rsidP="00A03391">
      <w:pPr>
        <w:spacing w:line="259" w:lineRule="auto"/>
        <w:jc w:val="both"/>
        <w:rPr>
          <w:rFonts w:ascii="Arial" w:eastAsia="Calibri" w:hAnsi="Arial" w:cs="Arial"/>
          <w:sz w:val="22"/>
          <w:szCs w:val="22"/>
          <w:lang w:eastAsia="en-US"/>
        </w:rPr>
      </w:pPr>
    </w:p>
    <w:p w14:paraId="4AD0F882" w14:textId="49374FF1" w:rsidR="008951B7" w:rsidRPr="001F792B" w:rsidRDefault="008951B7" w:rsidP="00A03391">
      <w:pPr>
        <w:spacing w:line="259" w:lineRule="auto"/>
        <w:jc w:val="both"/>
        <w:rPr>
          <w:rFonts w:ascii="Arial" w:eastAsia="Calibri" w:hAnsi="Arial" w:cs="Arial"/>
          <w:sz w:val="22"/>
          <w:szCs w:val="22"/>
          <w:lang w:eastAsia="en-US"/>
        </w:rPr>
      </w:pPr>
      <w:r w:rsidRPr="001F792B">
        <w:rPr>
          <w:rFonts w:ascii="Arial" w:eastAsia="Calibri" w:hAnsi="Arial" w:cs="Arial"/>
          <w:sz w:val="22"/>
          <w:szCs w:val="22"/>
          <w:lang w:eastAsia="en-US"/>
        </w:rPr>
        <w:t xml:space="preserve">We believe this approach to be clear and proportionate from a regulatory and supervisory </w:t>
      </w:r>
      <w:proofErr w:type="gramStart"/>
      <w:r w:rsidRPr="001F792B">
        <w:rPr>
          <w:rFonts w:ascii="Arial" w:eastAsia="Calibri" w:hAnsi="Arial" w:cs="Arial"/>
          <w:sz w:val="22"/>
          <w:szCs w:val="22"/>
          <w:lang w:eastAsia="en-US"/>
        </w:rPr>
        <w:t>perspective, and</w:t>
      </w:r>
      <w:proofErr w:type="gramEnd"/>
      <w:r w:rsidRPr="001F792B">
        <w:rPr>
          <w:rFonts w:ascii="Arial" w:eastAsia="Calibri" w:hAnsi="Arial" w:cs="Arial"/>
          <w:sz w:val="22"/>
          <w:szCs w:val="22"/>
          <w:lang w:eastAsia="en-US"/>
        </w:rPr>
        <w:t xml:space="preserve"> would ensure that clients and end-investors have access to the potential cost and execution benefits of internal crossing. We also believe that existing provisions relating to </w:t>
      </w:r>
      <w:r w:rsidR="002E0F74" w:rsidRPr="001F792B">
        <w:rPr>
          <w:rFonts w:ascii="Arial" w:eastAsia="Calibri" w:hAnsi="Arial" w:cs="Arial"/>
          <w:sz w:val="22"/>
          <w:szCs w:val="22"/>
          <w:lang w:eastAsia="en-US"/>
        </w:rPr>
        <w:t xml:space="preserve">best execution and </w:t>
      </w:r>
      <w:r w:rsidRPr="001F792B">
        <w:rPr>
          <w:rFonts w:ascii="Arial" w:eastAsia="Calibri" w:hAnsi="Arial" w:cs="Arial"/>
          <w:sz w:val="22"/>
          <w:szCs w:val="22"/>
          <w:lang w:eastAsia="en-US"/>
        </w:rPr>
        <w:t>conflicts of interest in the EU MiFID II/MiFIR framework, as well as those in the UCITS and AIFM Directives, would act as additional safeguards in the operation of internal crossing systems, as outlined above, ensuring high standards of investor protection are upheld and that firms undertake such activities only when it is in the best interests of investors.</w:t>
      </w:r>
    </w:p>
    <w:p w14:paraId="76C6F1CD" w14:textId="77777777" w:rsidR="00A03391" w:rsidRPr="002E0F74" w:rsidRDefault="00A03391" w:rsidP="00A03391">
      <w:pPr>
        <w:spacing w:line="259" w:lineRule="auto"/>
        <w:jc w:val="both"/>
        <w:rPr>
          <w:rFonts w:ascii="Arial" w:eastAsia="Calibri" w:hAnsi="Arial" w:cs="Arial"/>
          <w:color w:val="FF0000"/>
          <w:sz w:val="22"/>
          <w:szCs w:val="22"/>
          <w:lang w:eastAsia="en-US"/>
        </w:rPr>
      </w:pPr>
    </w:p>
    <w:p w14:paraId="4CAC5E76" w14:textId="77777777" w:rsidR="008951B7" w:rsidRPr="00C92E09" w:rsidRDefault="008951B7" w:rsidP="00C92E09">
      <w:pPr>
        <w:spacing w:after="160" w:line="259" w:lineRule="auto"/>
        <w:rPr>
          <w:rFonts w:ascii="Arial" w:eastAsia="Calibri" w:hAnsi="Arial" w:cs="Arial"/>
          <w:sz w:val="22"/>
          <w:szCs w:val="22"/>
          <w:lang w:eastAsia="en-US"/>
        </w:rPr>
      </w:pPr>
    </w:p>
    <w:permEnd w:id="165479820"/>
    <w:p w14:paraId="2020FE8C" w14:textId="77777777" w:rsidR="00C92E09" w:rsidRPr="00C92E09" w:rsidRDefault="00C92E09" w:rsidP="00C92E09">
      <w:pPr>
        <w:spacing w:after="160" w:line="259" w:lineRule="auto"/>
        <w:rPr>
          <w:rFonts w:ascii="Arial" w:eastAsia="Calibri" w:hAnsi="Arial" w:cs="Arial"/>
          <w:sz w:val="22"/>
          <w:szCs w:val="22"/>
          <w:lang w:eastAsia="en-US"/>
        </w:rPr>
      </w:pPr>
    </w:p>
    <w:p w14:paraId="2CD20977"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Q16: Do you agree with the interpretation provided by ESMA regarding how discretion should be applied and do you think the concept of discretion should be further clarified?</w:t>
      </w:r>
    </w:p>
    <w:p w14:paraId="10C1F47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7BCB8790" w14:textId="77777777" w:rsidR="00C92E09" w:rsidRPr="00C92E09" w:rsidRDefault="00C92E09" w:rsidP="00C92E09">
      <w:pPr>
        <w:spacing w:after="160" w:line="259" w:lineRule="auto"/>
        <w:rPr>
          <w:rFonts w:ascii="Arial" w:eastAsia="Calibri" w:hAnsi="Arial" w:cs="Arial"/>
          <w:sz w:val="22"/>
          <w:szCs w:val="22"/>
          <w:lang w:eastAsia="en-US"/>
        </w:rPr>
      </w:pPr>
      <w:permStart w:id="386081243" w:edGrp="everyone"/>
      <w:r w:rsidRPr="00C92E09">
        <w:rPr>
          <w:rFonts w:ascii="Arial" w:eastAsia="Calibri" w:hAnsi="Arial" w:cs="Arial"/>
          <w:sz w:val="22"/>
          <w:szCs w:val="22"/>
          <w:lang w:eastAsia="en-US"/>
        </w:rPr>
        <w:t>TYPE YOUR TEXT HERE</w:t>
      </w:r>
    </w:p>
    <w:permEnd w:id="386081243"/>
    <w:p w14:paraId="4A1C8A7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&lt;ESMA_QUESTION_FOTF_16&gt;</w:t>
      </w:r>
    </w:p>
    <w:p w14:paraId="43F8A11E" w14:textId="77777777" w:rsidR="00C92E09" w:rsidRPr="00C92E09" w:rsidRDefault="00C92E09" w:rsidP="00C92E09">
      <w:pPr>
        <w:spacing w:after="160" w:line="259" w:lineRule="auto"/>
        <w:rPr>
          <w:rFonts w:ascii="Arial" w:eastAsia="Calibri" w:hAnsi="Arial" w:cs="Arial"/>
          <w:sz w:val="22"/>
          <w:szCs w:val="22"/>
          <w:lang w:eastAsia="en-US"/>
        </w:rPr>
      </w:pPr>
    </w:p>
    <w:p w14:paraId="3449C3FB"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Q17: For OTF operators: Do you apply discretion predominantly in placement of orders or in execution of orders? Does this depend on the type of trading system you operate? Please explain.</w:t>
      </w:r>
    </w:p>
    <w:p w14:paraId="0CF043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786CDF2E" w14:textId="77777777" w:rsidR="00C92E09" w:rsidRPr="00C92E09" w:rsidRDefault="00C92E09" w:rsidP="00C92E09">
      <w:pPr>
        <w:spacing w:after="160" w:line="259" w:lineRule="auto"/>
        <w:rPr>
          <w:rFonts w:ascii="Arial" w:eastAsia="Calibri" w:hAnsi="Arial" w:cs="Arial"/>
          <w:sz w:val="22"/>
          <w:szCs w:val="22"/>
          <w:lang w:eastAsia="en-US"/>
        </w:rPr>
      </w:pPr>
      <w:permStart w:id="1621327859" w:edGrp="everyone"/>
      <w:r w:rsidRPr="00C92E09">
        <w:rPr>
          <w:rFonts w:ascii="Arial" w:eastAsia="Calibri" w:hAnsi="Arial" w:cs="Arial"/>
          <w:sz w:val="22"/>
          <w:szCs w:val="22"/>
          <w:lang w:eastAsia="en-US"/>
        </w:rPr>
        <w:t>TYPE YOUR TEXT HERE</w:t>
      </w:r>
    </w:p>
    <w:permEnd w:id="1621327859"/>
    <w:p w14:paraId="03BAD03D"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&lt;ESMA_QUESTION_FOTF_17&gt;</w:t>
      </w:r>
    </w:p>
    <w:p w14:paraId="30D3769F" w14:textId="77777777" w:rsidR="00C92E09" w:rsidRPr="00C92E09" w:rsidRDefault="00C92E09" w:rsidP="00C92E09">
      <w:pPr>
        <w:spacing w:after="160" w:line="259" w:lineRule="auto"/>
        <w:rPr>
          <w:rFonts w:ascii="Arial" w:eastAsia="Calibri" w:hAnsi="Arial" w:cs="Arial"/>
          <w:sz w:val="22"/>
          <w:szCs w:val="22"/>
          <w:lang w:eastAsia="en-US"/>
        </w:rPr>
      </w:pPr>
    </w:p>
    <w:p w14:paraId="3B7A900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Q18: For OTF clients: Do you face any issue in the way OTF operators exercise discretion for order placement and order execution? If so, please explain. Does it appear to be used regularly in practice by OTF operators?</w:t>
      </w:r>
    </w:p>
    <w:p w14:paraId="67F3FCFC"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163D4257" w14:textId="77777777" w:rsidR="00C92E09" w:rsidRPr="00C92E09" w:rsidRDefault="00C92E09" w:rsidP="00C92E09">
      <w:pPr>
        <w:spacing w:after="160" w:line="259" w:lineRule="auto"/>
        <w:rPr>
          <w:rFonts w:ascii="Arial" w:eastAsia="Calibri" w:hAnsi="Arial" w:cs="Arial"/>
          <w:sz w:val="22"/>
          <w:szCs w:val="22"/>
          <w:lang w:eastAsia="en-US"/>
        </w:rPr>
      </w:pPr>
      <w:permStart w:id="1910249455" w:edGrp="everyone"/>
      <w:r w:rsidRPr="00C92E09">
        <w:rPr>
          <w:rFonts w:ascii="Arial" w:eastAsia="Calibri" w:hAnsi="Arial" w:cs="Arial"/>
          <w:sz w:val="22"/>
          <w:szCs w:val="22"/>
          <w:lang w:eastAsia="en-US"/>
        </w:rPr>
        <w:t>TYPE YOUR TEXT HERE</w:t>
      </w:r>
    </w:p>
    <w:permEnd w:id="1910249455"/>
    <w:p w14:paraId="4726C192"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&lt;ESMA_QUESTION_FOTF_18&gt;</w:t>
      </w:r>
    </w:p>
    <w:p w14:paraId="34DCE032" w14:textId="77777777" w:rsidR="00C92E09" w:rsidRPr="00C92E09" w:rsidRDefault="00C92E09" w:rsidP="00C92E09">
      <w:pPr>
        <w:spacing w:after="160" w:line="259" w:lineRule="auto"/>
        <w:rPr>
          <w:rFonts w:ascii="Arial" w:eastAsia="Calibri" w:hAnsi="Arial" w:cs="Arial"/>
          <w:sz w:val="22"/>
          <w:szCs w:val="22"/>
          <w:lang w:eastAsia="en-US"/>
        </w:rPr>
      </w:pPr>
    </w:p>
    <w:p w14:paraId="1891B60F"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lastRenderedPageBreak/>
        <w:t>Q19: Do you think ESMA should clarify any aspect in relation to MPT or that any specific measure in relation to MPT shall be recommended?</w:t>
      </w:r>
    </w:p>
    <w:p w14:paraId="29021366"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4FAF0180" w14:textId="77777777" w:rsidR="00C92E09" w:rsidRPr="00C92E09" w:rsidRDefault="00C92E09" w:rsidP="00C92E09">
      <w:pPr>
        <w:spacing w:after="160" w:line="259" w:lineRule="auto"/>
        <w:rPr>
          <w:rFonts w:ascii="Arial" w:eastAsia="Calibri" w:hAnsi="Arial" w:cs="Arial"/>
          <w:sz w:val="22"/>
          <w:szCs w:val="22"/>
          <w:lang w:eastAsia="en-US"/>
        </w:rPr>
      </w:pPr>
      <w:permStart w:id="752047120" w:edGrp="everyone"/>
      <w:r w:rsidRPr="00C92E09">
        <w:rPr>
          <w:rFonts w:ascii="Arial" w:eastAsia="Calibri" w:hAnsi="Arial" w:cs="Arial"/>
          <w:sz w:val="22"/>
          <w:szCs w:val="22"/>
          <w:lang w:eastAsia="en-US"/>
        </w:rPr>
        <w:t>TYPE YOUR TEXT HERE</w:t>
      </w:r>
    </w:p>
    <w:permEnd w:id="752047120"/>
    <w:p w14:paraId="07D9765A"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&lt;ESMA_QUESTION_FOTF_19&gt;</w:t>
      </w:r>
    </w:p>
    <w:p w14:paraId="3C9E0EEC" w14:textId="77777777" w:rsidR="00C92E09" w:rsidRPr="00C92E09" w:rsidRDefault="00C92E09" w:rsidP="00C92E09">
      <w:pPr>
        <w:spacing w:after="160" w:line="259" w:lineRule="auto"/>
        <w:rPr>
          <w:rFonts w:ascii="Arial" w:eastAsia="Calibri" w:hAnsi="Arial" w:cs="Arial"/>
          <w:sz w:val="22"/>
          <w:szCs w:val="22"/>
          <w:lang w:eastAsia="en-US"/>
        </w:rPr>
      </w:pPr>
    </w:p>
    <w:p w14:paraId="16AF3E5E"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Q20: In your view what is the difference between MPT and riskless principal trading and should this difference be clarified in Level 1?. In addition, what, in your view, incentivizes a firm to engage in MPT rather than in agency cross trades (i.e. trades where a broker arranges transactions between two of its clients but without interposing itself)?</w:t>
      </w:r>
    </w:p>
    <w:p w14:paraId="5BF84C53"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5F95047C" w14:textId="77777777" w:rsidR="00C92E09" w:rsidRPr="00C92E09" w:rsidRDefault="00C92E09" w:rsidP="00C92E09">
      <w:pPr>
        <w:spacing w:after="160" w:line="259" w:lineRule="auto"/>
        <w:rPr>
          <w:rFonts w:ascii="Arial" w:eastAsia="Calibri" w:hAnsi="Arial" w:cs="Arial"/>
          <w:sz w:val="22"/>
          <w:szCs w:val="22"/>
          <w:lang w:eastAsia="en-US"/>
        </w:rPr>
      </w:pPr>
      <w:permStart w:id="329991609" w:edGrp="everyone"/>
      <w:r w:rsidRPr="00C92E09">
        <w:rPr>
          <w:rFonts w:ascii="Arial" w:eastAsia="Calibri" w:hAnsi="Arial" w:cs="Arial"/>
          <w:sz w:val="22"/>
          <w:szCs w:val="22"/>
          <w:lang w:eastAsia="en-US"/>
        </w:rPr>
        <w:t>TYPE YOUR TEXT HERE</w:t>
      </w:r>
    </w:p>
    <w:permEnd w:id="329991609"/>
    <w:p w14:paraId="72D9FE4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&lt;ESMA_QUESTION_FOTF_20&gt;</w:t>
      </w:r>
    </w:p>
    <w:p w14:paraId="2FFE00CE" w14:textId="77777777" w:rsidR="00C92E09" w:rsidRPr="00C92E09" w:rsidRDefault="00C92E09" w:rsidP="00C92E09">
      <w:pPr>
        <w:spacing w:after="160" w:line="259" w:lineRule="auto"/>
        <w:rPr>
          <w:rFonts w:ascii="Arial" w:eastAsia="Calibri" w:hAnsi="Arial" w:cs="Arial"/>
          <w:sz w:val="22"/>
          <w:szCs w:val="22"/>
          <w:lang w:eastAsia="en-US"/>
        </w:rPr>
      </w:pPr>
    </w:p>
    <w:p w14:paraId="3E71AC16" w14:textId="77777777" w:rsidR="00C92E09" w:rsidRPr="00C92E09" w:rsidRDefault="00C92E09" w:rsidP="00C92E09">
      <w:pPr>
        <w:spacing w:after="250" w:line="276" w:lineRule="auto"/>
        <w:ind w:left="720" w:hanging="360"/>
        <w:contextualSpacing/>
        <w:jc w:val="both"/>
        <w:rPr>
          <w:rFonts w:ascii="Arial" w:hAnsi="Arial" w:cs="Arial"/>
          <w:b/>
          <w:sz w:val="22"/>
          <w:szCs w:val="22"/>
          <w:lang w:val="en-US" w:eastAsia="en-US"/>
        </w:rPr>
      </w:pPr>
      <w:r w:rsidRPr="00C92E09">
        <w:rPr>
          <w:rFonts w:ascii="Arial" w:hAnsi="Arial" w:cs="Arial"/>
          <w:b/>
          <w:sz w:val="22"/>
          <w:szCs w:val="22"/>
          <w:lang w:val="en-US" w:eastAsia="en-US"/>
        </w:rPr>
        <w:t xml:space="preserve">Q21: Do you agree with ESMA’s proposal to clarify that the prohibition of investment firms or market operators operating an MTF to execute client orders against proprietary capital or to engage in matched principal trading only applies to the MTF they operate, in line with the same wording as applicable to regulated markets? </w:t>
      </w:r>
    </w:p>
    <w:p w14:paraId="29E3AC3F"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1E53C814" w14:textId="2985650D" w:rsidR="00C92E09" w:rsidRPr="00C92E09" w:rsidRDefault="00C92E09" w:rsidP="00C92E09">
      <w:pPr>
        <w:spacing w:after="160" w:line="259" w:lineRule="auto"/>
        <w:rPr>
          <w:rFonts w:ascii="Arial" w:eastAsia="Calibri" w:hAnsi="Arial" w:cs="Arial"/>
          <w:sz w:val="22"/>
          <w:szCs w:val="22"/>
          <w:lang w:eastAsia="en-US"/>
        </w:rPr>
      </w:pPr>
      <w:permStart w:id="2095270936" w:edGrp="everyone"/>
      <w:r w:rsidRPr="00C92E09">
        <w:rPr>
          <w:rFonts w:ascii="Arial" w:eastAsia="Calibri" w:hAnsi="Arial" w:cs="Arial"/>
          <w:sz w:val="22"/>
          <w:szCs w:val="22"/>
          <w:lang w:eastAsia="en-US"/>
        </w:rPr>
        <w:t>TYPE YOUR TEXT HERE</w:t>
      </w:r>
    </w:p>
    <w:permEnd w:id="2095270936"/>
    <w:p w14:paraId="0F2F5CEB" w14:textId="77777777" w:rsidR="00C92E09" w:rsidRPr="00C92E09" w:rsidRDefault="00C92E09" w:rsidP="00C92E09">
      <w:pPr>
        <w:spacing w:after="160" w:line="259" w:lineRule="auto"/>
        <w:rPr>
          <w:rFonts w:ascii="Arial" w:eastAsia="Calibri" w:hAnsi="Arial" w:cs="Arial"/>
          <w:sz w:val="22"/>
          <w:szCs w:val="22"/>
          <w:lang w:eastAsia="en-US"/>
        </w:rPr>
      </w:pPr>
      <w:r w:rsidRPr="00C92E09">
        <w:rPr>
          <w:rFonts w:ascii="Arial" w:eastAsia="Calibri" w:hAnsi="Arial" w:cs="Arial"/>
          <w:sz w:val="22"/>
          <w:szCs w:val="22"/>
          <w:lang w:eastAsia="en-US"/>
        </w:rPr>
        <w:t>&lt;ESMA_QUESTION_FOTF_21&gt;</w:t>
      </w:r>
    </w:p>
    <w:p w14:paraId="0FF02D24" w14:textId="77777777" w:rsidR="002156A3" w:rsidRDefault="002156A3" w:rsidP="00C1698A">
      <w:pPr>
        <w:spacing w:line="276" w:lineRule="auto"/>
        <w:rPr>
          <w:rFonts w:asciiTheme="minorHAnsi" w:hAnsiTheme="minorHAnsi" w:cstheme="minorHAnsi"/>
          <w:b/>
          <w:sz w:val="28"/>
          <w:szCs w:val="28"/>
        </w:rPr>
      </w:pPr>
    </w:p>
    <w:sectPr w:rsidR="002156A3" w:rsidSect="00C85C8B">
      <w:headerReference w:type="default" r:id="rId22"/>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BA9591" w14:textId="77777777" w:rsidR="008403F9" w:rsidRDefault="008403F9" w:rsidP="007E7997">
      <w:r>
        <w:separator/>
      </w:r>
    </w:p>
  </w:endnote>
  <w:endnote w:type="continuationSeparator" w:id="0">
    <w:p w14:paraId="691CAFA1" w14:textId="77777777" w:rsidR="008403F9" w:rsidRDefault="008403F9" w:rsidP="007E7997">
      <w:r>
        <w:continuationSeparator/>
      </w:r>
    </w:p>
  </w:endnote>
  <w:endnote w:type="continuationNotice" w:id="1">
    <w:p w14:paraId="3F4A886A" w14:textId="77777777" w:rsidR="008403F9" w:rsidRDefault="008403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D5B4E" w14:textId="77777777" w:rsidR="00E824DB" w:rsidRDefault="00E824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7CC2FC07"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92E09">
      <w:rPr>
        <w:rFonts w:asciiTheme="majorHAnsi" w:hAnsiTheme="majorHAnsi"/>
        <w:color w:val="FFFFFF" w:themeColor="background1"/>
      </w:rPr>
      <w:t>25</w:t>
    </w:r>
    <w:r w:rsidR="00E35FC3" w:rsidRPr="0004778B">
      <w:rPr>
        <w:rFonts w:asciiTheme="majorHAnsi" w:hAnsiTheme="majorHAnsi"/>
        <w:color w:val="FFFFFF" w:themeColor="background1"/>
      </w:rPr>
      <w:t xml:space="preserve"> </w:t>
    </w:r>
    <w:r w:rsidR="00C92E09">
      <w:rPr>
        <w:rFonts w:asciiTheme="majorHAnsi" w:hAnsiTheme="majorHAnsi"/>
        <w:color w:val="FFFFFF" w:themeColor="background1"/>
      </w:rPr>
      <w:t xml:space="preserve">September </w:t>
    </w:r>
    <w:r w:rsidR="00333811" w:rsidRPr="0004778B">
      <w:rPr>
        <w:rFonts w:asciiTheme="majorHAnsi" w:hAnsiTheme="majorHAnsi"/>
        <w:color w:val="FFFFFF" w:themeColor="background1"/>
      </w:rPr>
      <w:t>2020</w:t>
    </w:r>
    <w:r w:rsidR="00E824DB">
      <w:rPr>
        <w:rFonts w:asciiTheme="majorHAnsi" w:hAnsiTheme="majorHAnsi"/>
        <w:color w:val="FFFFFF" w:themeColor="background1"/>
      </w:rPr>
      <w:t xml:space="preserve"> | </w:t>
    </w:r>
    <w:hyperlink r:id="rId1" w:history="1">
      <w:r w:rsidR="00E824DB" w:rsidRPr="001B0B7E">
        <w:rPr>
          <w:rFonts w:asciiTheme="majorHAnsi" w:hAnsiTheme="majorHAnsi"/>
          <w:color w:val="FFFFFF" w:themeColor="background1"/>
        </w:rPr>
        <w:t>ESMA70-156-</w:t>
      </w:r>
      <w:r w:rsidR="00E824DB">
        <w:rPr>
          <w:rFonts w:asciiTheme="majorHAnsi" w:hAnsiTheme="majorHAnsi"/>
          <w:color w:val="FFFFFF" w:themeColor="background1"/>
        </w:rPr>
        <w:t>3844</w:t>
      </w:r>
    </w:hyperlink>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5561C" w14:textId="77777777" w:rsidR="008403F9" w:rsidRDefault="008403F9" w:rsidP="007E7997">
      <w:r>
        <w:separator/>
      </w:r>
    </w:p>
  </w:footnote>
  <w:footnote w:type="continuationSeparator" w:id="0">
    <w:p w14:paraId="14228E4F" w14:textId="77777777" w:rsidR="008403F9" w:rsidRDefault="008403F9" w:rsidP="007E7997">
      <w:r>
        <w:continuationSeparator/>
      </w:r>
    </w:p>
  </w:footnote>
  <w:footnote w:type="continuationNotice" w:id="1">
    <w:p w14:paraId="5F0BE681" w14:textId="77777777" w:rsidR="008403F9" w:rsidRDefault="008403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E78B80" w14:textId="77777777" w:rsidR="00E824DB" w:rsidRDefault="00E824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A8F5D"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7FB04C33"/>
    <w:multiLevelType w:val="hybridMultilevel"/>
    <w:tmpl w:val="64D0E692"/>
    <w:lvl w:ilvl="0" w:tplc="76D67F40">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9"/>
  </w:num>
  <w:num w:numId="4">
    <w:abstractNumId w:val="1"/>
  </w:num>
  <w:num w:numId="5">
    <w:abstractNumId w:val="7"/>
  </w:num>
  <w:num w:numId="6">
    <w:abstractNumId w:val="11"/>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1CA"/>
    <w:rsid w:val="00033934"/>
    <w:rsid w:val="00036C09"/>
    <w:rsid w:val="000372BF"/>
    <w:rsid w:val="00040A52"/>
    <w:rsid w:val="00044C5A"/>
    <w:rsid w:val="00044E0A"/>
    <w:rsid w:val="0004778B"/>
    <w:rsid w:val="00054E00"/>
    <w:rsid w:val="00061B2B"/>
    <w:rsid w:val="0006448C"/>
    <w:rsid w:val="0006449B"/>
    <w:rsid w:val="000655AD"/>
    <w:rsid w:val="00066FD1"/>
    <w:rsid w:val="00072BF9"/>
    <w:rsid w:val="00073DF9"/>
    <w:rsid w:val="0007767E"/>
    <w:rsid w:val="0007796D"/>
    <w:rsid w:val="000830DA"/>
    <w:rsid w:val="00083D28"/>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3DB1"/>
    <w:rsid w:val="000F0169"/>
    <w:rsid w:val="000F0951"/>
    <w:rsid w:val="000F2598"/>
    <w:rsid w:val="000F29C0"/>
    <w:rsid w:val="000F2BE6"/>
    <w:rsid w:val="000F474D"/>
    <w:rsid w:val="000F5C90"/>
    <w:rsid w:val="000F5EA6"/>
    <w:rsid w:val="000F6C2A"/>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58B9"/>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1F792B"/>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1AAA"/>
    <w:rsid w:val="002C2A46"/>
    <w:rsid w:val="002C3048"/>
    <w:rsid w:val="002D2992"/>
    <w:rsid w:val="002D37A0"/>
    <w:rsid w:val="002D5AB5"/>
    <w:rsid w:val="002D6667"/>
    <w:rsid w:val="002D79F3"/>
    <w:rsid w:val="002E0F74"/>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31FE9"/>
    <w:rsid w:val="0033324D"/>
    <w:rsid w:val="00333811"/>
    <w:rsid w:val="0033587C"/>
    <w:rsid w:val="00336BF9"/>
    <w:rsid w:val="003371E8"/>
    <w:rsid w:val="00337471"/>
    <w:rsid w:val="0034151D"/>
    <w:rsid w:val="00342B5B"/>
    <w:rsid w:val="00343532"/>
    <w:rsid w:val="00345469"/>
    <w:rsid w:val="003454ED"/>
    <w:rsid w:val="00345EB9"/>
    <w:rsid w:val="0035030F"/>
    <w:rsid w:val="00350DD1"/>
    <w:rsid w:val="003519DD"/>
    <w:rsid w:val="00353C4B"/>
    <w:rsid w:val="003545A6"/>
    <w:rsid w:val="00356C60"/>
    <w:rsid w:val="003578D1"/>
    <w:rsid w:val="00363639"/>
    <w:rsid w:val="00366D42"/>
    <w:rsid w:val="0036748C"/>
    <w:rsid w:val="00372615"/>
    <w:rsid w:val="00372EA3"/>
    <w:rsid w:val="00373A3C"/>
    <w:rsid w:val="003750F3"/>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6AC2"/>
    <w:rsid w:val="0046150E"/>
    <w:rsid w:val="00461CC8"/>
    <w:rsid w:val="00462B2F"/>
    <w:rsid w:val="00465EAA"/>
    <w:rsid w:val="004708CA"/>
    <w:rsid w:val="004709E7"/>
    <w:rsid w:val="00470ADE"/>
    <w:rsid w:val="004712C7"/>
    <w:rsid w:val="004759EB"/>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3B5D"/>
    <w:rsid w:val="00526E5D"/>
    <w:rsid w:val="00531432"/>
    <w:rsid w:val="00532BC8"/>
    <w:rsid w:val="005333E8"/>
    <w:rsid w:val="00534912"/>
    <w:rsid w:val="005370E7"/>
    <w:rsid w:val="005409B7"/>
    <w:rsid w:val="00545E62"/>
    <w:rsid w:val="005506B0"/>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8799B"/>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4FB4"/>
    <w:rsid w:val="00606683"/>
    <w:rsid w:val="00613BF6"/>
    <w:rsid w:val="00616D27"/>
    <w:rsid w:val="006234FE"/>
    <w:rsid w:val="00623840"/>
    <w:rsid w:val="006255EC"/>
    <w:rsid w:val="00625A25"/>
    <w:rsid w:val="0062736A"/>
    <w:rsid w:val="0063565E"/>
    <w:rsid w:val="00636E02"/>
    <w:rsid w:val="00641DB1"/>
    <w:rsid w:val="00642297"/>
    <w:rsid w:val="00644A34"/>
    <w:rsid w:val="0064714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B7DD1"/>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0C44"/>
    <w:rsid w:val="0073173E"/>
    <w:rsid w:val="007319C3"/>
    <w:rsid w:val="0073454F"/>
    <w:rsid w:val="00735C00"/>
    <w:rsid w:val="007364C6"/>
    <w:rsid w:val="00740BF3"/>
    <w:rsid w:val="00741D5C"/>
    <w:rsid w:val="0074352F"/>
    <w:rsid w:val="00746F46"/>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6BC3"/>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03F9"/>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951B7"/>
    <w:rsid w:val="008A1E27"/>
    <w:rsid w:val="008A2C86"/>
    <w:rsid w:val="008A6000"/>
    <w:rsid w:val="008A70A8"/>
    <w:rsid w:val="008A7FAC"/>
    <w:rsid w:val="008B1D7F"/>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45BBF"/>
    <w:rsid w:val="00960A8B"/>
    <w:rsid w:val="00965128"/>
    <w:rsid w:val="00973F43"/>
    <w:rsid w:val="0097785D"/>
    <w:rsid w:val="0098011D"/>
    <w:rsid w:val="00981912"/>
    <w:rsid w:val="009819C0"/>
    <w:rsid w:val="00982663"/>
    <w:rsid w:val="00987A75"/>
    <w:rsid w:val="00991A8A"/>
    <w:rsid w:val="00992611"/>
    <w:rsid w:val="00994303"/>
    <w:rsid w:val="0099526D"/>
    <w:rsid w:val="00996C8B"/>
    <w:rsid w:val="009A0054"/>
    <w:rsid w:val="009A0F6E"/>
    <w:rsid w:val="009A371D"/>
    <w:rsid w:val="009A5548"/>
    <w:rsid w:val="009B25C1"/>
    <w:rsid w:val="009B7B79"/>
    <w:rsid w:val="009C0383"/>
    <w:rsid w:val="009C145B"/>
    <w:rsid w:val="009C223D"/>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22E7"/>
    <w:rsid w:val="00A02199"/>
    <w:rsid w:val="00A026A4"/>
    <w:rsid w:val="00A03391"/>
    <w:rsid w:val="00A04044"/>
    <w:rsid w:val="00A0779E"/>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A4D70"/>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368"/>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51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2E09"/>
    <w:rsid w:val="00C9545D"/>
    <w:rsid w:val="00C9625C"/>
    <w:rsid w:val="00C978C6"/>
    <w:rsid w:val="00C97F2A"/>
    <w:rsid w:val="00CA112D"/>
    <w:rsid w:val="00CA1F9F"/>
    <w:rsid w:val="00CA2179"/>
    <w:rsid w:val="00CA3D8A"/>
    <w:rsid w:val="00CB4394"/>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47BAA"/>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665BE"/>
    <w:rsid w:val="00D73338"/>
    <w:rsid w:val="00D775F3"/>
    <w:rsid w:val="00D77868"/>
    <w:rsid w:val="00D77F25"/>
    <w:rsid w:val="00D84599"/>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B55FA"/>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0690"/>
    <w:rsid w:val="00E240F5"/>
    <w:rsid w:val="00E30004"/>
    <w:rsid w:val="00E333AC"/>
    <w:rsid w:val="00E3456B"/>
    <w:rsid w:val="00E35C16"/>
    <w:rsid w:val="00E35FC3"/>
    <w:rsid w:val="00E36085"/>
    <w:rsid w:val="00E36813"/>
    <w:rsid w:val="00E42382"/>
    <w:rsid w:val="00E603DF"/>
    <w:rsid w:val="00E63745"/>
    <w:rsid w:val="00E6699F"/>
    <w:rsid w:val="00E67B40"/>
    <w:rsid w:val="00E703AE"/>
    <w:rsid w:val="00E72373"/>
    <w:rsid w:val="00E76AF9"/>
    <w:rsid w:val="00E824DB"/>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14F3"/>
    <w:rsid w:val="00F72AEE"/>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083D28"/>
    <w:pPr>
      <w:numPr>
        <w:numId w:val="18"/>
      </w:numPr>
      <w:tabs>
        <w:tab w:val="left" w:pos="0"/>
        <w:tab w:val="left" w:pos="142"/>
        <w:tab w:val="left" w:pos="284"/>
        <w:tab w:val="left" w:pos="567"/>
      </w:tabs>
      <w:autoSpaceDE w:val="0"/>
      <w:autoSpaceDN w:val="0"/>
      <w:adjustRightInd w:val="0"/>
      <w:spacing w:after="250" w:line="276"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083D28"/>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yperlink" Target="http://www.esma.europa.eu/legal-notice"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esma.europa.eu"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ESMA70-156-3844</_dlc_DocId>
    <TaxCatchAll xmlns="20fbe147-bbda-4e53-b6b1-7e8bbff3fe19">
      <Value>91</Value>
      <Value>662</Value>
      <Value>25</Value>
      <Value>484</Value>
      <Value>434</Value>
    </TaxCatchAll>
    <_dlc_DocIdUrl xmlns="20fbe147-bbda-4e53-b6b1-7e8bbff3fe19">
      <Url>https://sherpa.esma.europa.eu/sites/MKT/SMK/_layouts/15/DocIdRedir.aspx?ID=ESMA70-156-3844</Url>
      <Description>ESMA70-156-3844</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Article 90(1)(a) MiFID-OTF</TermName>
          <TermId xmlns="http://schemas.microsoft.com/office/infopath/2007/PartnerControls">c745e34f-050d-4f13-85b9-fe2a7beb69f9</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2.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2.xml><?xml version="1.0" encoding="utf-8"?>
<ds:datastoreItem xmlns:ds="http://schemas.openxmlformats.org/officeDocument/2006/customXml" ds:itemID="{B50CABC8-D902-4B8B-AEAB-9A94DA170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9D2E6282-FFFE-44FE-8318-6754AC2C0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21</TotalTime>
  <Pages>10</Pages>
  <Words>2330</Words>
  <Characters>13282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cp:lastModifiedBy>Michael</cp:lastModifiedBy>
  <cp:revision>12</cp:revision>
  <cp:lastPrinted>2020-11-25T15:51:00Z</cp:lastPrinted>
  <dcterms:created xsi:type="dcterms:W3CDTF">2020-11-24T14:36:00Z</dcterms:created>
  <dcterms:modified xsi:type="dcterms:W3CDTF">2020-11-25T17:24:00Z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25;#Public|a0c619ff-bd46-48f0-b213-6b7c03fe156d</vt:lpwstr>
  </property>
  <property fmtid="{D5CDD505-2E9C-101B-9397-08002B2CF9AE}" pid="4" name="ContentTypeId">
    <vt:lpwstr>0x01010001BD15C3986B91498E0AE644B715B9EE010D00757D222C6B0DA241B5F74437644107D4</vt:lpwstr>
  </property>
  <property fmtid="{D5CDD505-2E9C-101B-9397-08002B2CF9AE}" pid="5" name="_dlc_DocIdItemGuid">
    <vt:lpwstr>55120559-3b60-4927-9874-309a1b6a4403</vt:lpwstr>
  </property>
  <property fmtid="{D5CDD505-2E9C-101B-9397-08002B2CF9AE}" pid="6" name="DocumentType">
    <vt:lpwstr>91;#Consultation Paper|c6238baf-c3d7-4bb8-8cf2-f28a89601f52</vt:lpwstr>
  </property>
  <property fmtid="{D5CDD505-2E9C-101B-9397-08002B2CF9AE}" pid="7" name="Topic">
    <vt:lpwstr>434;#MiFID reports|3c5cc422-10d2-4956-abed-da9583ea216a</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662;#MiFID reports - Article 90(1)(a) MiFID-OTF|c745e34f-050d-4f13-85b9-fe2a7beb69f9</vt:lpwstr>
  </property>
  <property fmtid="{D5CDD505-2E9C-101B-9397-08002B2CF9AE}" pid="18" name="TeamTopic">
    <vt:lpwstr>87;#Other Work|f1a52b52-917d-42ef-9667-945839604bb2</vt:lpwstr>
  </property>
</Properties>
</file>