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rPr>
        <w:id w:val="-973058580"/>
        <w:docPartObj>
          <w:docPartGallery w:val="Cover Pages"/>
          <w:docPartUnique/>
        </w:docPartObj>
      </w:sdtPr>
      <w:sdtEndPr>
        <w:rPr>
          <w:highlight w:val="yellow"/>
        </w:rPr>
      </w:sdtEndPr>
      <w:sdtContent>
        <w:p w14:paraId="61BFF4B7" w14:textId="77777777" w:rsidR="00AF2EF7" w:rsidRPr="00B8572C" w:rsidRDefault="00AF2EF7" w:rsidP="00AF2EF7">
          <w:pPr>
            <w:spacing w:line="276" w:lineRule="auto"/>
            <w:rPr>
              <w:rFonts w:asciiTheme="minorHAnsi" w:hAnsiTheme="minorHAnsi" w:cstheme="minorHAnsi"/>
              <w:color w:val="FF0000"/>
            </w:rPr>
          </w:pPr>
        </w:p>
        <w:p w14:paraId="1C1BFAE2" w14:textId="77777777" w:rsidR="00AF2EF7" w:rsidRPr="00B8572C" w:rsidRDefault="00AF2EF7" w:rsidP="00AF2EF7">
          <w:pPr>
            <w:spacing w:after="120" w:line="276" w:lineRule="auto"/>
            <w:rPr>
              <w:rFonts w:asciiTheme="minorHAnsi" w:hAnsiTheme="minorHAnsi" w:cstheme="minorHAnsi"/>
            </w:rPr>
          </w:pPr>
        </w:p>
        <w:p w14:paraId="787460E0" w14:textId="77777777" w:rsidR="00AF2EF7" w:rsidRPr="00B8572C" w:rsidRDefault="00AF2EF7" w:rsidP="00AF2EF7">
          <w:pPr>
            <w:spacing w:line="276" w:lineRule="auto"/>
            <w:rPr>
              <w:rFonts w:asciiTheme="minorHAnsi" w:hAnsiTheme="minorHAnsi" w:cstheme="minorHAnsi"/>
            </w:rPr>
          </w:pPr>
        </w:p>
        <w:p w14:paraId="23B57B18" w14:textId="77777777" w:rsidR="00AF2EF7" w:rsidRPr="00B8572C" w:rsidRDefault="00AF2EF7" w:rsidP="00AF2EF7">
          <w:pPr>
            <w:spacing w:line="276" w:lineRule="auto"/>
            <w:rPr>
              <w:rFonts w:asciiTheme="minorHAnsi" w:hAnsiTheme="minorHAnsi" w:cstheme="minorHAnsi"/>
            </w:rPr>
          </w:pPr>
        </w:p>
        <w:p w14:paraId="04401C2B" w14:textId="77777777" w:rsidR="00AF2EF7" w:rsidRPr="00B8572C" w:rsidRDefault="00AF2EF7" w:rsidP="00AF2EF7">
          <w:pPr>
            <w:spacing w:line="276" w:lineRule="auto"/>
            <w:rPr>
              <w:rFonts w:asciiTheme="minorHAnsi" w:hAnsiTheme="minorHAnsi" w:cstheme="minorHAnsi"/>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8572C" w14:paraId="55D8B106" w14:textId="77777777" w:rsidTr="00D13661">
            <w:trPr>
              <w:trHeight w:hRule="exact" w:val="1492"/>
            </w:trPr>
            <w:tc>
              <w:tcPr>
                <w:tcW w:w="10490" w:type="dxa"/>
                <w:vAlign w:val="bottom"/>
              </w:tcPr>
              <w:p w14:paraId="2A8545EF" w14:textId="3CDBB7D7" w:rsidR="00AF2EF7" w:rsidRPr="00B8572C" w:rsidRDefault="00C1698A" w:rsidP="00D13661">
                <w:pPr>
                  <w:pStyle w:val="Title"/>
                  <w:spacing w:line="276" w:lineRule="auto"/>
                  <w:ind w:right="854"/>
                  <w:rPr>
                    <w:rFonts w:asciiTheme="minorHAnsi" w:hAnsiTheme="minorHAnsi" w:cstheme="minorHAnsi"/>
                    <w:sz w:val="48"/>
                    <w:szCs w:val="48"/>
                  </w:rPr>
                </w:pPr>
                <w:r>
                  <w:rPr>
                    <w:rFonts w:asciiTheme="minorHAnsi" w:hAnsiTheme="minorHAnsi" w:cstheme="minorHAnsi"/>
                    <w:sz w:val="48"/>
                    <w:szCs w:val="48"/>
                  </w:rPr>
                  <w:t xml:space="preserve">Response Form to the </w:t>
                </w:r>
                <w:r w:rsidR="008B2AF1">
                  <w:rPr>
                    <w:rFonts w:asciiTheme="minorHAnsi" w:hAnsiTheme="minorHAnsi" w:cstheme="minorHAnsi"/>
                    <w:sz w:val="48"/>
                    <w:szCs w:val="48"/>
                  </w:rPr>
                  <w:t xml:space="preserve">Consultation Paper </w:t>
                </w:r>
              </w:p>
            </w:tc>
          </w:tr>
          <w:tr w:rsidR="00AB6157" w:rsidRPr="00B8572C" w14:paraId="76D253F5" w14:textId="77777777" w:rsidTr="00D13661">
            <w:trPr>
              <w:trHeight w:hRule="exact" w:val="747"/>
            </w:trPr>
            <w:tc>
              <w:tcPr>
                <w:tcW w:w="10490" w:type="dxa"/>
                <w:tcMar>
                  <w:top w:w="142" w:type="dxa"/>
                </w:tcMar>
              </w:tcPr>
              <w:p w14:paraId="788743E8" w14:textId="77777777" w:rsidR="006B391B" w:rsidRPr="002C0C94" w:rsidRDefault="006B391B" w:rsidP="006B391B">
                <w:pPr>
                  <w:rPr>
                    <w:rFonts w:asciiTheme="majorHAnsi" w:eastAsiaTheme="majorEastAsia" w:hAnsiTheme="majorHAnsi" w:cs="Arial"/>
                    <w:b/>
                    <w:sz w:val="28"/>
                    <w:szCs w:val="28"/>
                  </w:rPr>
                </w:pPr>
                <w:r w:rsidRPr="002C0C94">
                  <w:rPr>
                    <w:rFonts w:asciiTheme="majorHAnsi" w:eastAsiaTheme="majorEastAsia" w:hAnsiTheme="majorHAnsi" w:cs="Arial"/>
                    <w:b/>
                    <w:sz w:val="28"/>
                    <w:szCs w:val="28"/>
                  </w:rPr>
                  <w:t xml:space="preserve">Technical standards </w:t>
                </w:r>
                <w:r>
                  <w:rPr>
                    <w:rFonts w:asciiTheme="majorHAnsi" w:eastAsiaTheme="majorEastAsia" w:hAnsiTheme="majorHAnsi" w:cs="Arial"/>
                    <w:b/>
                    <w:sz w:val="28"/>
                    <w:szCs w:val="28"/>
                  </w:rPr>
                  <w:t>for</w:t>
                </w:r>
                <w:r w:rsidRPr="002C0C94">
                  <w:rPr>
                    <w:rFonts w:asciiTheme="majorHAnsi" w:eastAsiaTheme="majorEastAsia" w:hAnsiTheme="majorHAnsi" w:cs="Arial"/>
                    <w:b/>
                    <w:sz w:val="28"/>
                    <w:szCs w:val="28"/>
                  </w:rPr>
                  <w:t xml:space="preserve"> commodity derivatives </w:t>
                </w:r>
              </w:p>
              <w:p w14:paraId="26CF3934" w14:textId="4E35944E" w:rsidR="00AB6157" w:rsidRPr="00B8572C" w:rsidRDefault="00AB6157" w:rsidP="001F23C9">
                <w:pPr>
                  <w:pStyle w:val="Heading2"/>
                  <w:numPr>
                    <w:ilvl w:val="0"/>
                    <w:numId w:val="0"/>
                  </w:numPr>
                  <w:spacing w:before="0"/>
                </w:pPr>
              </w:p>
            </w:tc>
          </w:tr>
        </w:tbl>
        <w:p w14:paraId="7DEBD68F" w14:textId="77777777" w:rsidR="00AF2EF7" w:rsidRPr="00B8572C" w:rsidRDefault="00AF2EF7" w:rsidP="00AF2EF7">
          <w:pPr>
            <w:spacing w:line="276" w:lineRule="auto"/>
            <w:rPr>
              <w:rFonts w:asciiTheme="minorHAnsi" w:hAnsiTheme="minorHAnsi" w:cstheme="minorHAnsi"/>
            </w:rPr>
          </w:pPr>
        </w:p>
        <w:p w14:paraId="5B933631" w14:textId="77777777" w:rsidR="00AF2EF7" w:rsidRPr="00B8572C" w:rsidRDefault="00AF2EF7" w:rsidP="00AF2EF7">
          <w:pPr>
            <w:spacing w:line="276" w:lineRule="auto"/>
            <w:rPr>
              <w:rFonts w:asciiTheme="minorHAnsi" w:hAnsiTheme="minorHAnsi" w:cstheme="minorHAnsi"/>
            </w:rPr>
            <w:sectPr w:rsidR="00AF2EF7" w:rsidRPr="00B8572C"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p>
        <w:p w14:paraId="50F24FB7"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r w:rsidRPr="00B8572C">
            <w:rPr>
              <w:rFonts w:asciiTheme="majorHAnsi" w:eastAsiaTheme="majorEastAsia" w:hAnsiTheme="majorHAnsi" w:cstheme="majorBidi"/>
              <w:b/>
              <w:sz w:val="28"/>
              <w:lang w:eastAsia="en-US"/>
            </w:rPr>
            <w:t xml:space="preserve">Responding to this paper </w:t>
          </w:r>
        </w:p>
        <w:p w14:paraId="46CF9AD5" w14:textId="0973BF25"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invites comments on all matters in this </w:t>
          </w:r>
          <w:r w:rsidR="001F23C9">
            <w:rPr>
              <w:rFonts w:asciiTheme="minorHAnsi" w:eastAsiaTheme="minorEastAsia" w:hAnsiTheme="minorHAnsi" w:cstheme="minorBidi"/>
              <w:sz w:val="22"/>
              <w:szCs w:val="20"/>
              <w:lang w:eastAsia="en-US"/>
            </w:rPr>
            <w:t xml:space="preserve">consultation </w:t>
          </w:r>
          <w:r w:rsidRPr="00AB6157">
            <w:rPr>
              <w:rFonts w:asciiTheme="minorHAnsi" w:eastAsiaTheme="minorEastAsia" w:hAnsiTheme="minorHAnsi" w:cstheme="minorBidi"/>
              <w:sz w:val="22"/>
              <w:szCs w:val="20"/>
              <w:lang w:eastAsia="en-US"/>
            </w:rPr>
            <w:t xml:space="preserve">paper and </w:t>
          </w:r>
          <w:r w:rsidRPr="001F23C9">
            <w:rPr>
              <w:rFonts w:asciiTheme="minorHAnsi" w:eastAsiaTheme="minorEastAsia" w:hAnsiTheme="minorHAnsi" w:cstheme="minorBidi"/>
              <w:sz w:val="22"/>
              <w:szCs w:val="20"/>
              <w:u w:val="dottedHeavy" w:color="BF8F00" w:themeColor="accent4" w:themeShade="BF"/>
              <w:lang w:eastAsia="en-US"/>
            </w:rPr>
            <w:t>in particular on</w:t>
          </w:r>
          <w:r w:rsidRPr="00AB6157">
            <w:rPr>
              <w:rFonts w:asciiTheme="minorHAnsi" w:eastAsiaTheme="minorEastAsia" w:hAnsiTheme="minorHAnsi" w:cstheme="minorBidi"/>
              <w:sz w:val="22"/>
              <w:szCs w:val="20"/>
              <w:lang w:eastAsia="en-US"/>
            </w:rPr>
            <w:t xml:space="preserve"> the specific questions summarised in Annex </w:t>
          </w:r>
          <w:r w:rsidR="00220938" w:rsidRPr="00220938">
            <w:rPr>
              <w:rFonts w:asciiTheme="minorHAnsi" w:eastAsiaTheme="minorEastAsia" w:hAnsiTheme="minorHAnsi" w:cstheme="minorBidi"/>
              <w:sz w:val="22"/>
              <w:szCs w:val="20"/>
              <w:lang w:eastAsia="en-US"/>
            </w:rPr>
            <w:t>I</w:t>
          </w:r>
          <w:r w:rsidRPr="00AB6157">
            <w:rPr>
              <w:rFonts w:asciiTheme="minorHAnsi" w:eastAsiaTheme="minorEastAsia" w:hAnsiTheme="minorHAnsi" w:cstheme="minorBidi"/>
              <w:sz w:val="22"/>
              <w:szCs w:val="20"/>
              <w:lang w:eastAsia="en-US"/>
            </w:rPr>
            <w:t>. Comments are most helpful if they:</w:t>
          </w:r>
        </w:p>
        <w:p w14:paraId="2573C72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respond to the question stated;</w:t>
          </w:r>
        </w:p>
        <w:p w14:paraId="65ACF578"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indicate the specific question to which the comment relates;</w:t>
          </w:r>
        </w:p>
        <w:p w14:paraId="3751DA8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contain a clear rationale; and</w:t>
          </w:r>
        </w:p>
        <w:p w14:paraId="5A3A4AE2"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describe any alternatives ESMA should consider.</w:t>
          </w:r>
        </w:p>
        <w:p w14:paraId="09579D04" w14:textId="2AD13BF0"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will consider all comments received by </w:t>
          </w:r>
          <w:r w:rsidR="004B143D" w:rsidRPr="004B143D">
            <w:rPr>
              <w:rFonts w:asciiTheme="minorHAnsi" w:eastAsiaTheme="minorEastAsia" w:hAnsiTheme="minorHAnsi" w:cstheme="minorBidi"/>
              <w:b/>
              <w:sz w:val="22"/>
              <w:szCs w:val="20"/>
              <w:lang w:eastAsia="en-US"/>
            </w:rPr>
            <w:t>23</w:t>
          </w:r>
          <w:r w:rsidR="006B391B" w:rsidRPr="004B143D">
            <w:rPr>
              <w:rFonts w:asciiTheme="minorHAnsi" w:eastAsiaTheme="minorEastAsia" w:hAnsiTheme="minorHAnsi" w:cstheme="minorBidi"/>
              <w:b/>
              <w:sz w:val="22"/>
              <w:szCs w:val="20"/>
              <w:lang w:eastAsia="en-US"/>
            </w:rPr>
            <w:t xml:space="preserve"> </w:t>
          </w:r>
          <w:r w:rsidR="004B143D" w:rsidRPr="004B143D">
            <w:rPr>
              <w:rFonts w:asciiTheme="minorHAnsi" w:eastAsiaTheme="minorEastAsia" w:hAnsiTheme="minorHAnsi" w:cstheme="minorBidi"/>
              <w:b/>
              <w:sz w:val="22"/>
              <w:szCs w:val="20"/>
              <w:lang w:eastAsia="en-US"/>
            </w:rPr>
            <w:t>July</w:t>
          </w:r>
          <w:r w:rsidR="006B391B" w:rsidRPr="004B143D">
            <w:rPr>
              <w:rFonts w:asciiTheme="minorHAnsi" w:eastAsiaTheme="minorEastAsia" w:hAnsiTheme="minorHAnsi" w:cstheme="minorBidi"/>
              <w:b/>
              <w:sz w:val="22"/>
              <w:szCs w:val="20"/>
              <w:lang w:eastAsia="en-US"/>
            </w:rPr>
            <w:t xml:space="preserve"> 2021</w:t>
          </w:r>
          <w:r w:rsidRPr="004B143D">
            <w:rPr>
              <w:rFonts w:asciiTheme="minorHAnsi" w:eastAsiaTheme="minorEastAsia" w:hAnsiTheme="minorHAnsi" w:cstheme="minorBidi"/>
              <w:b/>
              <w:sz w:val="22"/>
              <w:szCs w:val="20"/>
              <w:lang w:eastAsia="en-US"/>
            </w:rPr>
            <w:t>.</w:t>
          </w:r>
          <w:r w:rsidRPr="00AB6157">
            <w:rPr>
              <w:rFonts w:asciiTheme="minorHAnsi" w:eastAsiaTheme="minorEastAsia" w:hAnsiTheme="minorHAnsi" w:cstheme="minorBidi"/>
              <w:b/>
              <w:sz w:val="22"/>
              <w:szCs w:val="20"/>
              <w:lang w:eastAsia="en-US"/>
            </w:rPr>
            <w:t xml:space="preserve"> </w:t>
          </w:r>
        </w:p>
        <w:p w14:paraId="6ABAAC1F" w14:textId="50B9A93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should be submitted online at </w:t>
          </w:r>
          <w:hyperlink r:id="rId16"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‘Your input - Consultations’. </w:t>
          </w:r>
        </w:p>
        <w:p w14:paraId="71848F2A" w14:textId="77777777" w:rsidR="00C85C8B" w:rsidRPr="00C85C8B" w:rsidRDefault="00C85C8B" w:rsidP="00C85C8B">
          <w:pPr>
            <w:spacing w:after="250" w:line="276" w:lineRule="auto"/>
            <w:jc w:val="both"/>
            <w:rPr>
              <w:rFonts w:asciiTheme="minorHAnsi" w:eastAsiaTheme="minorEastAsia" w:hAnsiTheme="minorHAnsi" w:cstheme="minorBidi"/>
              <w:b/>
              <w:sz w:val="22"/>
              <w:szCs w:val="20"/>
              <w:lang w:eastAsia="en-US"/>
            </w:rPr>
          </w:pPr>
          <w:r w:rsidRPr="00C85C8B">
            <w:rPr>
              <w:rFonts w:asciiTheme="minorHAnsi" w:eastAsiaTheme="minorEastAsia" w:hAnsiTheme="minorHAnsi" w:cstheme="minorBidi"/>
              <w:b/>
              <w:sz w:val="22"/>
              <w:szCs w:val="20"/>
              <w:lang w:eastAsia="en-US"/>
            </w:rPr>
            <w:t>Instructions</w:t>
          </w:r>
        </w:p>
        <w:p w14:paraId="057542CF" w14:textId="77777777"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In order to facilitate analysis of responses to the Consultation Paper, respondents are requested to follow the below steps when preparing and submitting their response:</w:t>
          </w:r>
        </w:p>
        <w:p w14:paraId="1200930E" w14:textId="5BFB56D4" w:rsidR="00C85C8B" w:rsidRPr="00C85C8B" w:rsidRDefault="00C85C8B" w:rsidP="00E7297E">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Insert your responses to the questions in the Consultation Paper in the present response form. </w:t>
          </w:r>
        </w:p>
        <w:p w14:paraId="3B16398E" w14:textId="0ABA1563"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Please do not remove t</w:t>
          </w:r>
          <w:r>
            <w:rPr>
              <w:rFonts w:eastAsiaTheme="minorEastAsia" w:cstheme="minorBidi"/>
              <w:szCs w:val="20"/>
              <w:lang w:eastAsia="en-US"/>
            </w:rPr>
            <w:t>ags of the type &lt;ESMA_QUESTION_</w:t>
          </w:r>
          <w:r w:rsidR="006B391B">
            <w:rPr>
              <w:rFonts w:eastAsiaTheme="minorEastAsia" w:cstheme="minorBidi"/>
              <w:szCs w:val="20"/>
              <w:lang w:eastAsia="en-US"/>
            </w:rPr>
            <w:t>CD</w:t>
          </w:r>
          <w:r w:rsidRPr="00C85C8B">
            <w:rPr>
              <w:rFonts w:eastAsiaTheme="minorEastAsia" w:cstheme="minorBidi"/>
              <w:szCs w:val="20"/>
              <w:lang w:eastAsia="en-US"/>
            </w:rPr>
            <w:t>_1&gt;. Your response to each question has to be framed by the two tags corresponding to the question.</w:t>
          </w:r>
        </w:p>
        <w:p w14:paraId="5CC57030" w14:textId="77777777"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If you do not wish to respond to a given question, please do not delete it but simply leave the text “TYPE YOUR TEXT HERE” between the tags.</w:t>
          </w:r>
        </w:p>
        <w:p w14:paraId="1876A4C8" w14:textId="5AA40AF7"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When you have drafted your response, name your response form according to </w:t>
          </w:r>
          <w:r>
            <w:rPr>
              <w:rFonts w:eastAsiaTheme="minorEastAsia" w:cstheme="minorBidi"/>
              <w:szCs w:val="20"/>
              <w:lang w:eastAsia="en-US"/>
            </w:rPr>
            <w:t>the following convention: ESMA_</w:t>
          </w:r>
          <w:r w:rsidR="001F23C9">
            <w:rPr>
              <w:rFonts w:eastAsiaTheme="minorEastAsia" w:cstheme="minorBidi"/>
              <w:szCs w:val="20"/>
              <w:lang w:eastAsia="en-US"/>
            </w:rPr>
            <w:t>PFG</w:t>
          </w:r>
          <w:r w:rsidRPr="00C85C8B">
            <w:rPr>
              <w:rFonts w:eastAsiaTheme="minorEastAsia" w:cstheme="minorBidi"/>
              <w:szCs w:val="20"/>
              <w:lang w:eastAsia="en-US"/>
            </w:rPr>
            <w:t>_nameofrespondent_RESPONSEFORM. For example, for a respondent named ABCD, the response</w:t>
          </w:r>
          <w:r>
            <w:rPr>
              <w:rFonts w:eastAsiaTheme="minorEastAsia" w:cstheme="minorBidi"/>
              <w:szCs w:val="20"/>
              <w:lang w:eastAsia="en-US"/>
            </w:rPr>
            <w:t xml:space="preserve"> form would be entitled ESMA_</w:t>
          </w:r>
          <w:r w:rsidR="001F23C9">
            <w:rPr>
              <w:rFonts w:eastAsiaTheme="minorEastAsia" w:cstheme="minorBidi"/>
              <w:szCs w:val="20"/>
              <w:lang w:eastAsia="en-US"/>
            </w:rPr>
            <w:t>PFG</w:t>
          </w:r>
          <w:r w:rsidRPr="00C85C8B">
            <w:rPr>
              <w:rFonts w:eastAsiaTheme="minorEastAsia" w:cstheme="minorBidi"/>
              <w:szCs w:val="20"/>
              <w:lang w:eastAsia="en-US"/>
            </w:rPr>
            <w:t>_ABCD_RESPONSEFORM.</w:t>
          </w:r>
        </w:p>
        <w:p w14:paraId="1A9C59D6" w14:textId="34F7EAAE"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Upload the form containing your responses, in Word format, to ESMA’s website (</w:t>
          </w:r>
          <w:hyperlink r:id="rId17" w:history="1">
            <w:r w:rsidRPr="00C85C8B">
              <w:rPr>
                <w:rFonts w:eastAsiaTheme="minorEastAsia" w:cstheme="minorBidi"/>
                <w:szCs w:val="20"/>
                <w:lang w:eastAsia="en-US"/>
              </w:rPr>
              <w:t>www.esma.europa.eu</w:t>
            </w:r>
          </w:hyperlink>
          <w:r w:rsidRPr="00C85C8B">
            <w:rPr>
              <w:rFonts w:eastAsiaTheme="minorEastAsia" w:cstheme="minorBidi"/>
              <w:szCs w:val="20"/>
              <w:lang w:eastAsia="en-US"/>
            </w:rPr>
            <w:t xml:space="preserve"> under the heading “Your input – Open consultations” </w:t>
          </w:r>
          <w:r w:rsidRPr="00C85C8B">
            <w:rPr>
              <w:rFonts w:eastAsiaTheme="minorEastAsia"/>
              <w:lang w:eastAsia="en-US"/>
            </w:rPr>
            <w:sym w:font="Wingdings" w:char="F0E0"/>
          </w:r>
          <w:r w:rsidRPr="00C85C8B">
            <w:rPr>
              <w:rFonts w:eastAsiaTheme="minorEastAsia" w:cstheme="minorBidi"/>
              <w:szCs w:val="20"/>
              <w:lang w:eastAsia="en-US"/>
            </w:rPr>
            <w:t xml:space="preserve"> “Consultation on </w:t>
          </w:r>
          <w:r w:rsidR="00AB6157">
            <w:rPr>
              <w:rFonts w:eastAsiaTheme="minorEastAsia" w:cstheme="minorBidi"/>
              <w:szCs w:val="20"/>
              <w:lang w:eastAsia="en-US"/>
            </w:rPr>
            <w:t>Position limits and position management in commodities derivatives</w:t>
          </w:r>
          <w:r w:rsidRPr="00C85C8B">
            <w:rPr>
              <w:rFonts w:eastAsiaTheme="minorEastAsia" w:cstheme="minorBidi"/>
              <w:szCs w:val="20"/>
              <w:lang w:eastAsia="en-US"/>
            </w:rPr>
            <w:t>”).</w:t>
          </w:r>
        </w:p>
        <w:p w14:paraId="078FF80C" w14:textId="145F522B" w:rsidR="00C85C8B" w:rsidRDefault="00C85C8B" w:rsidP="00AF2EF7">
          <w:pPr>
            <w:spacing w:after="250" w:line="276" w:lineRule="auto"/>
            <w:jc w:val="both"/>
            <w:rPr>
              <w:rFonts w:asciiTheme="minorHAnsi" w:eastAsiaTheme="minorEastAsia" w:hAnsiTheme="minorHAnsi" w:cstheme="minorBidi"/>
              <w:sz w:val="22"/>
              <w:szCs w:val="20"/>
              <w:lang w:eastAsia="en-US"/>
            </w:rPr>
          </w:pPr>
        </w:p>
        <w:p w14:paraId="27DFECB3" w14:textId="3EF3C58E" w:rsidR="00A02199" w:rsidRDefault="00A02199" w:rsidP="00AF2EF7">
          <w:pPr>
            <w:spacing w:after="250" w:line="276" w:lineRule="auto"/>
            <w:jc w:val="both"/>
            <w:rPr>
              <w:rFonts w:asciiTheme="minorHAnsi" w:eastAsiaTheme="minorEastAsia" w:hAnsiTheme="minorHAnsi" w:cstheme="minorBidi"/>
              <w:sz w:val="22"/>
              <w:szCs w:val="20"/>
              <w:lang w:eastAsia="en-US"/>
            </w:rPr>
          </w:pPr>
        </w:p>
        <w:p w14:paraId="28EEA743" w14:textId="77777777" w:rsidR="00A02199" w:rsidRPr="00C1698A" w:rsidRDefault="00A02199" w:rsidP="00AF2EF7">
          <w:pPr>
            <w:spacing w:after="250" w:line="276" w:lineRule="auto"/>
            <w:jc w:val="both"/>
            <w:rPr>
              <w:rFonts w:asciiTheme="minorHAnsi" w:eastAsiaTheme="minorEastAsia" w:hAnsiTheme="minorHAnsi" w:cstheme="minorBidi"/>
              <w:sz w:val="22"/>
              <w:szCs w:val="20"/>
              <w:lang w:eastAsia="en-US"/>
            </w:rPr>
          </w:pPr>
        </w:p>
        <w:p w14:paraId="6BB993D0" w14:textId="77777777"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lastRenderedPageBreak/>
            <w:t>Publication of responses</w:t>
          </w:r>
        </w:p>
        <w:p w14:paraId="214D8BBA"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t>Data protection</w:t>
          </w:r>
        </w:p>
        <w:p w14:paraId="1D46B82F"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Information on data protection can be found at </w:t>
          </w:r>
          <w:hyperlink r:id="rId18"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w:t>
          </w:r>
          <w:hyperlink r:id="rId19" w:history="1">
            <w:r w:rsidRPr="00AB6157">
              <w:rPr>
                <w:rFonts w:asciiTheme="minorHAnsi" w:eastAsiaTheme="minorEastAsia" w:hAnsiTheme="minorHAnsi" w:cstheme="minorBidi"/>
                <w:color w:val="0563C1" w:themeColor="hyperlink"/>
                <w:sz w:val="22"/>
                <w:szCs w:val="20"/>
                <w:u w:val="single"/>
                <w:lang w:eastAsia="en-US"/>
              </w:rPr>
              <w:t>Legal Notice</w:t>
            </w:r>
          </w:hyperlink>
          <w:r w:rsidRPr="00AB6157">
            <w:rPr>
              <w:rFonts w:asciiTheme="minorHAnsi" w:eastAsiaTheme="minorEastAsia" w:hAnsiTheme="minorHAnsi" w:cstheme="minorBidi"/>
              <w:sz w:val="22"/>
              <w:szCs w:val="20"/>
              <w:lang w:eastAsia="en-US"/>
            </w:rPr>
            <w:t>.</w:t>
          </w:r>
        </w:p>
        <w:p w14:paraId="7C02CD7B" w14:textId="77777777" w:rsidR="00AF2EF7" w:rsidRPr="00B8572C" w:rsidRDefault="00AF2EF7" w:rsidP="00AF2EF7">
          <w:pPr>
            <w:spacing w:after="250" w:line="276" w:lineRule="auto"/>
            <w:jc w:val="both"/>
            <w:rPr>
              <w:rFonts w:asciiTheme="minorHAnsi" w:eastAsiaTheme="minorEastAsia" w:hAnsiTheme="minorHAnsi" w:cstheme="minorBidi"/>
              <w:sz w:val="22"/>
              <w:szCs w:val="20"/>
              <w:lang w:eastAsia="en-US"/>
            </w:rPr>
          </w:pPr>
          <w:r w:rsidRPr="00B8572C">
            <w:rPr>
              <w:rFonts w:asciiTheme="minorHAnsi" w:eastAsiaTheme="minorEastAsia" w:hAnsiTheme="minorHAnsi" w:cstheme="minorBidi"/>
              <w:b/>
              <w:sz w:val="22"/>
              <w:szCs w:val="20"/>
              <w:lang w:eastAsia="en-US"/>
            </w:rPr>
            <w:t>Who should read this paper</w:t>
          </w:r>
        </w:p>
        <w:p w14:paraId="14912E5E" w14:textId="5245D1E2" w:rsidR="00AF2EF7" w:rsidRPr="00B8572C" w:rsidRDefault="001F23C9" w:rsidP="001F23C9">
          <w:pPr>
            <w:spacing w:after="250" w:line="276" w:lineRule="auto"/>
            <w:jc w:val="both"/>
            <w:rPr>
              <w:rFonts w:asciiTheme="minorHAnsi" w:hAnsiTheme="minorHAnsi" w:cstheme="minorHAnsi"/>
            </w:rPr>
          </w:pPr>
          <w:r w:rsidRPr="001F23C9">
            <w:rPr>
              <w:rFonts w:ascii="Arial" w:hAnsi="Arial" w:cs="Arial"/>
              <w:sz w:val="22"/>
              <w:szCs w:val="22"/>
              <w:lang w:eastAsia="it-IT"/>
            </w:rPr>
            <w:t>This document will be of interest to asset managers managing retail funds and their trade associations, as well as institutional and retail investors investing into such funds and their associations.</w:t>
          </w:r>
        </w:p>
      </w:sdtContent>
    </w:sdt>
    <w:p w14:paraId="20AC791C" w14:textId="77777777" w:rsidR="00AF2EF7" w:rsidRPr="00B8572C" w:rsidRDefault="00AF2EF7" w:rsidP="00AF2EF7">
      <w:pPr>
        <w:spacing w:after="120" w:line="276" w:lineRule="auto"/>
        <w:rPr>
          <w:rFonts w:asciiTheme="minorHAnsi" w:hAnsiTheme="minorHAnsi" w:cstheme="minorHAnsi"/>
        </w:rPr>
      </w:pPr>
    </w:p>
    <w:p w14:paraId="13AEDA0D" w14:textId="77777777" w:rsidR="00AF2EF7" w:rsidRPr="00B8572C" w:rsidRDefault="00AF2EF7" w:rsidP="00AF2EF7">
      <w:pPr>
        <w:spacing w:after="120" w:line="276" w:lineRule="auto"/>
        <w:rPr>
          <w:rFonts w:asciiTheme="minorHAnsi" w:hAnsiTheme="minorHAnsi" w:cstheme="minorHAnsi"/>
        </w:rPr>
      </w:pPr>
    </w:p>
    <w:p w14:paraId="4F317815" w14:textId="669653C1" w:rsidR="00AF2EF7" w:rsidRPr="00C1698A" w:rsidRDefault="00AF2EF7" w:rsidP="00C1698A">
      <w:pPr>
        <w:pStyle w:val="Heading1"/>
        <w:numPr>
          <w:ilvl w:val="0"/>
          <w:numId w:val="0"/>
        </w:numPr>
        <w:spacing w:line="276" w:lineRule="auto"/>
        <w:rPr>
          <w:rFonts w:asciiTheme="minorHAnsi" w:hAnsiTheme="minorHAnsi" w:cstheme="minorHAnsi"/>
          <w:sz w:val="24"/>
          <w:szCs w:val="24"/>
        </w:rPr>
      </w:pPr>
      <w:r w:rsidRPr="00B8572C">
        <w:rPr>
          <w:rFonts w:asciiTheme="minorHAnsi" w:hAnsiTheme="minorHAnsi" w:cstheme="minorHAnsi"/>
          <w:sz w:val="24"/>
          <w:szCs w:val="24"/>
        </w:rPr>
        <w:br w:type="page"/>
      </w:r>
    </w:p>
    <w:p w14:paraId="54809E84" w14:textId="38073B1E" w:rsidR="00C85C8B" w:rsidRDefault="00C85C8B" w:rsidP="00C1698A">
      <w:pPr>
        <w:spacing w:line="276" w:lineRule="auto"/>
        <w:rPr>
          <w:rFonts w:asciiTheme="minorHAnsi" w:hAnsiTheme="minorHAnsi" w:cstheme="minorHAnsi"/>
          <w:b/>
          <w:sz w:val="28"/>
          <w:szCs w:val="28"/>
        </w:rPr>
      </w:pPr>
      <w:bookmarkStart w:id="0" w:name="_Toc515564428"/>
    </w:p>
    <w:p w14:paraId="0873C4E5" w14:textId="49BAD52B" w:rsidR="00C85C8B" w:rsidRDefault="00C85C8B" w:rsidP="00C1698A">
      <w:pPr>
        <w:spacing w:line="276" w:lineRule="auto"/>
        <w:rPr>
          <w:rFonts w:asciiTheme="minorHAnsi" w:hAnsiTheme="minorHAnsi" w:cstheme="minorHAnsi"/>
          <w:b/>
          <w:sz w:val="28"/>
          <w:szCs w:val="28"/>
        </w:rPr>
      </w:pPr>
    </w:p>
    <w:p w14:paraId="1F90B8D3" w14:textId="77777777" w:rsidR="00C85C8B" w:rsidRDefault="00C85C8B" w:rsidP="00C1698A">
      <w:pPr>
        <w:spacing w:line="276" w:lineRule="auto"/>
        <w:rPr>
          <w:rFonts w:asciiTheme="minorHAnsi" w:hAnsiTheme="minorHAnsi" w:cstheme="minorHAnsi"/>
          <w:b/>
          <w:sz w:val="28"/>
          <w:szCs w:val="28"/>
        </w:rPr>
      </w:pPr>
    </w:p>
    <w:p w14:paraId="622C18E8" w14:textId="77777777" w:rsidR="00C85C8B" w:rsidRPr="00C85C8B" w:rsidRDefault="00C85C8B" w:rsidP="00C85C8B">
      <w:pPr>
        <w:keepNext/>
        <w:keepLines/>
        <w:spacing w:before="320" w:after="250" w:line="276" w:lineRule="auto"/>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C85C8B" w14:paraId="63AA68E2" w14:textId="77777777" w:rsidTr="00B76FB7">
        <w:tc>
          <w:tcPr>
            <w:tcW w:w="3929" w:type="dxa"/>
            <w:shd w:val="clear" w:color="auto" w:fill="auto"/>
          </w:tcPr>
          <w:p w14:paraId="50C47271" w14:textId="77777777" w:rsidR="00C85C8B" w:rsidRPr="00C85C8B" w:rsidRDefault="00C85C8B" w:rsidP="00C85C8B">
            <w:pPr>
              <w:rPr>
                <w:rFonts w:ascii="Arial" w:hAnsi="Arial" w:cs="Arial"/>
                <w:sz w:val="22"/>
                <w:lang w:eastAsia="de-DE"/>
              </w:rPr>
            </w:pPr>
            <w:permStart w:id="108885406" w:edGrp="everyone" w:colFirst="1" w:colLast="1"/>
            <w:r w:rsidRPr="00C85C8B">
              <w:rPr>
                <w:rFonts w:ascii="Arial" w:hAnsi="Arial" w:cs="Arial"/>
                <w:sz w:val="22"/>
                <w:lang w:eastAsia="de-DE"/>
              </w:rPr>
              <w:t>Name of the company / organisation</w:t>
            </w:r>
          </w:p>
        </w:tc>
        <w:sdt>
          <w:sdtPr>
            <w:rPr>
              <w:rFonts w:ascii="Arial" w:hAnsi="Arial" w:cs="Arial"/>
              <w:color w:val="808080"/>
              <w:sz w:val="20"/>
              <w:lang w:eastAsia="de-DE"/>
            </w:rPr>
            <w:id w:val="-1905066999"/>
            <w:text/>
          </w:sdtPr>
          <w:sdtEndPr/>
          <w:sdtContent>
            <w:tc>
              <w:tcPr>
                <w:tcW w:w="5595" w:type="dxa"/>
                <w:shd w:val="clear" w:color="auto" w:fill="auto"/>
              </w:tcPr>
              <w:p w14:paraId="1B67440D" w14:textId="18DFCD99" w:rsidR="00C85C8B" w:rsidRPr="00C85C8B" w:rsidRDefault="00335444" w:rsidP="00C85C8B">
                <w:pPr>
                  <w:rPr>
                    <w:rFonts w:ascii="Arial" w:hAnsi="Arial" w:cs="Arial"/>
                    <w:color w:val="808080"/>
                    <w:sz w:val="20"/>
                    <w:lang w:eastAsia="de-DE"/>
                  </w:rPr>
                </w:pPr>
                <w:r>
                  <w:rPr>
                    <w:rFonts w:ascii="Arial" w:hAnsi="Arial" w:cs="Arial"/>
                    <w:color w:val="808080"/>
                    <w:sz w:val="20"/>
                    <w:lang w:eastAsia="de-DE"/>
                  </w:rPr>
                  <w:t>FIA and ISDA</w:t>
                </w:r>
              </w:p>
            </w:tc>
          </w:sdtContent>
        </w:sdt>
      </w:tr>
      <w:tr w:rsidR="00C85C8B" w:rsidRPr="00C85C8B" w14:paraId="216F3E57" w14:textId="77777777" w:rsidTr="00B76FB7">
        <w:tc>
          <w:tcPr>
            <w:tcW w:w="3929" w:type="dxa"/>
            <w:shd w:val="clear" w:color="auto" w:fill="auto"/>
          </w:tcPr>
          <w:p w14:paraId="1B868EDB" w14:textId="77777777" w:rsidR="00C85C8B" w:rsidRPr="00C85C8B" w:rsidRDefault="00C85C8B" w:rsidP="00C85C8B">
            <w:pPr>
              <w:rPr>
                <w:rFonts w:ascii="Arial" w:hAnsi="Arial" w:cs="Arial"/>
                <w:sz w:val="22"/>
                <w:lang w:eastAsia="de-DE"/>
              </w:rPr>
            </w:pPr>
            <w:permStart w:id="11734600" w:edGrp="everyone" w:colFirst="1" w:colLast="1"/>
            <w:permEnd w:id="108885406"/>
            <w:r w:rsidRPr="00C85C8B">
              <w:rPr>
                <w:rFonts w:ascii="Arial" w:hAnsi="Arial" w:cs="Arial"/>
                <w:sz w:val="22"/>
                <w:lang w:eastAsia="de-DE"/>
              </w:rPr>
              <w:t>Activity</w:t>
            </w:r>
          </w:p>
        </w:tc>
        <w:tc>
          <w:tcPr>
            <w:tcW w:w="5595" w:type="dxa"/>
            <w:shd w:val="clear" w:color="auto" w:fill="auto"/>
          </w:tcPr>
          <w:p w14:paraId="1423187D" w14:textId="7A0EEAD5" w:rsidR="00C85C8B" w:rsidRPr="00C85C8B" w:rsidRDefault="00692575" w:rsidP="00C85C8B">
            <w:pPr>
              <w:rPr>
                <w:rFonts w:ascii="Arial" w:hAnsi="Arial" w:cs="Arial"/>
                <w:sz w:val="20"/>
                <w:lang w:eastAsia="de-DE"/>
              </w:rPr>
            </w:pPr>
            <w:sdt>
              <w:sdtPr>
                <w:rPr>
                  <w:rFonts w:ascii="Arial" w:hAnsi="Arial" w:cs="Arial"/>
                  <w:sz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335444">
                  <w:rPr>
                    <w:rFonts w:ascii="Arial" w:hAnsi="Arial" w:cs="Arial"/>
                    <w:sz w:val="20"/>
                    <w:lang w:eastAsia="de-DE"/>
                  </w:rPr>
                  <w:t>Other Financial service providers</w:t>
                </w:r>
              </w:sdtContent>
            </w:sdt>
          </w:p>
        </w:tc>
      </w:tr>
      <w:tr w:rsidR="00C85C8B" w:rsidRPr="00C85C8B" w14:paraId="0D216581" w14:textId="77777777" w:rsidTr="00B76FB7">
        <w:tc>
          <w:tcPr>
            <w:tcW w:w="3929" w:type="dxa"/>
            <w:shd w:val="clear" w:color="auto" w:fill="auto"/>
          </w:tcPr>
          <w:p w14:paraId="43B75BA8" w14:textId="77777777" w:rsidR="00C85C8B" w:rsidRPr="00C85C8B" w:rsidRDefault="00C85C8B" w:rsidP="00C85C8B">
            <w:pPr>
              <w:rPr>
                <w:rFonts w:ascii="Arial" w:hAnsi="Arial" w:cs="Arial"/>
                <w:sz w:val="22"/>
                <w:lang w:eastAsia="de-DE"/>
              </w:rPr>
            </w:pPr>
            <w:permStart w:id="310511986" w:edGrp="everyone" w:colFirst="1" w:colLast="1"/>
            <w:permEnd w:id="11734600"/>
            <w:r w:rsidRPr="00C85C8B">
              <w:rPr>
                <w:rFonts w:ascii="Arial" w:hAnsi="Arial" w:cs="Arial"/>
                <w:sz w:val="22"/>
                <w:lang w:eastAsia="de-DE"/>
              </w:rPr>
              <w:t>Are you representing an association?</w:t>
            </w:r>
          </w:p>
        </w:tc>
        <w:sdt>
          <w:sdtPr>
            <w:rPr>
              <w:rFonts w:ascii="Arial" w:hAnsi="Arial" w:cs="Arial"/>
              <w:sz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1F9BE26D" w:rsidR="00C85C8B" w:rsidRPr="00C85C8B" w:rsidRDefault="00335444" w:rsidP="00C85C8B">
                <w:pPr>
                  <w:rPr>
                    <w:rFonts w:ascii="Arial" w:hAnsi="Arial" w:cs="Arial"/>
                    <w:sz w:val="20"/>
                    <w:lang w:eastAsia="de-DE"/>
                  </w:rPr>
                </w:pPr>
                <w:r>
                  <w:rPr>
                    <w:rFonts w:ascii="MS Gothic" w:eastAsia="MS Gothic" w:hAnsi="MS Gothic" w:cs="Arial" w:hint="eastAsia"/>
                    <w:sz w:val="20"/>
                    <w:lang w:eastAsia="de-DE"/>
                  </w:rPr>
                  <w:t>☒</w:t>
                </w:r>
              </w:p>
            </w:tc>
          </w:sdtContent>
        </w:sdt>
      </w:tr>
      <w:tr w:rsidR="00C85C8B" w:rsidRPr="00C85C8B" w14:paraId="41DA9EA6" w14:textId="77777777" w:rsidTr="00B76FB7">
        <w:tc>
          <w:tcPr>
            <w:tcW w:w="3929" w:type="dxa"/>
            <w:shd w:val="clear" w:color="auto" w:fill="auto"/>
          </w:tcPr>
          <w:p w14:paraId="553FB597" w14:textId="77777777" w:rsidR="00C85C8B" w:rsidRPr="00C85C8B" w:rsidRDefault="00C85C8B" w:rsidP="00C85C8B">
            <w:pPr>
              <w:rPr>
                <w:rFonts w:ascii="Arial" w:hAnsi="Arial" w:cs="Arial"/>
                <w:sz w:val="22"/>
                <w:lang w:eastAsia="de-DE"/>
              </w:rPr>
            </w:pPr>
            <w:permStart w:id="1269442871" w:edGrp="everyone" w:colFirst="1" w:colLast="1"/>
            <w:permEnd w:id="310511986"/>
            <w:r w:rsidRPr="00C85C8B">
              <w:rPr>
                <w:rFonts w:ascii="Arial" w:hAnsi="Arial" w:cs="Arial"/>
                <w:sz w:val="22"/>
                <w:lang w:eastAsia="de-DE"/>
              </w:rPr>
              <w:t>Country/Region</w:t>
            </w:r>
          </w:p>
        </w:tc>
        <w:sdt>
          <w:sdtPr>
            <w:rPr>
              <w:rFonts w:ascii="Arial" w:hAnsi="Arial" w:cs="Arial"/>
              <w:sz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520AAD17" w:rsidR="00C85C8B" w:rsidRPr="00C85C8B" w:rsidRDefault="00335444" w:rsidP="00C85C8B">
                <w:pPr>
                  <w:rPr>
                    <w:rFonts w:ascii="Arial" w:hAnsi="Arial" w:cs="Arial"/>
                    <w:sz w:val="20"/>
                    <w:lang w:eastAsia="de-DE"/>
                  </w:rPr>
                </w:pPr>
                <w:r>
                  <w:rPr>
                    <w:rFonts w:ascii="Arial" w:hAnsi="Arial" w:cs="Arial"/>
                    <w:sz w:val="20"/>
                    <w:lang w:eastAsia="de-DE"/>
                  </w:rPr>
                  <w:t>International</w:t>
                </w:r>
              </w:p>
            </w:tc>
          </w:sdtContent>
        </w:sdt>
      </w:tr>
      <w:permEnd w:id="1269442871"/>
    </w:tbl>
    <w:p w14:paraId="7B052828"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FE28F47"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19F5D4E"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59CB29E3" w14:textId="77777777" w:rsidR="00C85C8B" w:rsidRPr="00C85C8B" w:rsidRDefault="00C85C8B" w:rsidP="00C85C8B">
      <w:pPr>
        <w:keepNext/>
        <w:keepLines/>
        <w:spacing w:before="320" w:after="250" w:line="276" w:lineRule="auto"/>
        <w:ind w:left="431" w:hanging="431"/>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Introduction</w:t>
      </w:r>
    </w:p>
    <w:p w14:paraId="6212DE47" w14:textId="77777777" w:rsidR="00C85C8B" w:rsidRPr="00C85C8B" w:rsidRDefault="00C85C8B" w:rsidP="00C85C8B">
      <w:pPr>
        <w:spacing w:after="250" w:line="276" w:lineRule="auto"/>
        <w:jc w:val="both"/>
        <w:rPr>
          <w:rFonts w:asciiTheme="minorHAnsi" w:eastAsiaTheme="minorEastAsia" w:hAnsiTheme="minorHAnsi" w:cstheme="minorBidi"/>
          <w:b/>
          <w:bCs/>
          <w:i/>
          <w:iCs/>
          <w:sz w:val="22"/>
          <w:szCs w:val="20"/>
          <w:lang w:eastAsia="en-US"/>
        </w:rPr>
      </w:pPr>
      <w:r w:rsidRPr="00C85C8B">
        <w:rPr>
          <w:rFonts w:asciiTheme="minorHAnsi" w:eastAsiaTheme="minorEastAsia" w:hAnsiTheme="minorHAnsi" w:cstheme="minorBidi"/>
          <w:b/>
          <w:bCs/>
          <w:i/>
          <w:iCs/>
          <w:sz w:val="22"/>
          <w:szCs w:val="20"/>
          <w:lang w:eastAsia="en-US"/>
        </w:rPr>
        <w:t>Please make your introductory comments below, if any</w:t>
      </w:r>
    </w:p>
    <w:p w14:paraId="08E635EB" w14:textId="1BEA8881"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6B391B">
        <w:rPr>
          <w:rFonts w:asciiTheme="minorHAnsi" w:eastAsiaTheme="minorEastAsia" w:hAnsiTheme="minorHAnsi" w:cstheme="minorBidi"/>
          <w:sz w:val="22"/>
          <w:szCs w:val="20"/>
          <w:lang w:eastAsia="en-US"/>
        </w:rPr>
        <w:t>CD</w:t>
      </w:r>
      <w:r w:rsidRPr="00C85C8B">
        <w:rPr>
          <w:rFonts w:asciiTheme="minorHAnsi" w:eastAsiaTheme="minorEastAsia" w:hAnsiTheme="minorHAnsi" w:cstheme="minorBidi"/>
          <w:sz w:val="22"/>
          <w:szCs w:val="20"/>
          <w:lang w:eastAsia="en-US"/>
        </w:rPr>
        <w:t>_</w:t>
      </w:r>
      <w:r w:rsidR="00D378C9">
        <w:rPr>
          <w:rFonts w:asciiTheme="minorHAnsi" w:eastAsiaTheme="minorEastAsia" w:hAnsiTheme="minorHAnsi" w:cstheme="minorBidi"/>
          <w:sz w:val="22"/>
          <w:szCs w:val="20"/>
          <w:lang w:eastAsia="en-US"/>
        </w:rPr>
        <w:t>0</w:t>
      </w:r>
      <w:r w:rsidR="006B391B">
        <w:rPr>
          <w:rFonts w:asciiTheme="minorHAnsi" w:eastAsiaTheme="minorEastAsia" w:hAnsiTheme="minorHAnsi" w:cstheme="minorBidi"/>
          <w:sz w:val="22"/>
          <w:szCs w:val="20"/>
          <w:lang w:eastAsia="en-US"/>
        </w:rPr>
        <w:t>0</w:t>
      </w:r>
      <w:r w:rsidRPr="00C85C8B">
        <w:rPr>
          <w:rFonts w:asciiTheme="minorHAnsi" w:eastAsiaTheme="minorEastAsia" w:hAnsiTheme="minorHAnsi" w:cstheme="minorBidi"/>
          <w:sz w:val="22"/>
          <w:szCs w:val="20"/>
          <w:lang w:eastAsia="en-US"/>
        </w:rPr>
        <w:t>&gt;</w:t>
      </w:r>
    </w:p>
    <w:p w14:paraId="11783B2A" w14:textId="30B321E0" w:rsidR="00E852BD" w:rsidRPr="00511F33" w:rsidRDefault="00E852BD" w:rsidP="00E852BD">
      <w:pPr>
        <w:jc w:val="both"/>
      </w:pPr>
      <w:bookmarkStart w:id="1" w:name="_Hlk77849081"/>
      <w:permStart w:id="885457707" w:edGrp="everyone"/>
      <w:r w:rsidRPr="00511F33">
        <w:t xml:space="preserve">FIA and ISDA </w:t>
      </w:r>
      <w:r w:rsidR="001C37F0">
        <w:t xml:space="preserve">(the Associations) </w:t>
      </w:r>
      <w:r w:rsidRPr="00511F33">
        <w:t>appreciate the opportunity to comment on ESMA’s technical standards relating to position limits following the review of MiFID II.</w:t>
      </w:r>
    </w:p>
    <w:p w14:paraId="4C827826" w14:textId="77777777" w:rsidR="00E852BD" w:rsidRPr="00511F33" w:rsidRDefault="00E852BD" w:rsidP="00E852BD">
      <w:pPr>
        <w:jc w:val="both"/>
      </w:pPr>
    </w:p>
    <w:p w14:paraId="444824FE" w14:textId="77777777" w:rsidR="00E852BD" w:rsidRPr="00511F33" w:rsidRDefault="00E852BD" w:rsidP="00E852BD">
      <w:pPr>
        <w:jc w:val="both"/>
      </w:pPr>
      <w:r w:rsidRPr="00511F33">
        <w:t xml:space="preserve">Our members are largely supportive of the proposals and believe they will improve the current position </w:t>
      </w:r>
      <w:r w:rsidRPr="00511F33">
        <w:rPr>
          <w:lang w:val="en-US"/>
        </w:rPr>
        <w:t>limits regime</w:t>
      </w:r>
      <w:r w:rsidRPr="00511F33">
        <w:t>.</w:t>
      </w:r>
    </w:p>
    <w:p w14:paraId="1EC0004A" w14:textId="77777777" w:rsidR="00E852BD" w:rsidRPr="00511F33" w:rsidRDefault="00E852BD" w:rsidP="00E852BD">
      <w:pPr>
        <w:jc w:val="both"/>
      </w:pPr>
    </w:p>
    <w:p w14:paraId="46D7CC75" w14:textId="77777777" w:rsidR="00E852BD" w:rsidRPr="00511F33" w:rsidRDefault="00E852BD" w:rsidP="00E852BD">
      <w:pPr>
        <w:jc w:val="both"/>
      </w:pPr>
      <w:r w:rsidRPr="00511F33">
        <w:t xml:space="preserve">However, there are some areas that have raised concerns, more specifically, the proposals around the scenario where deliverable supply is substantially higher than open interest. We disagree with the proposals made in the consultation paper as we believe they would </w:t>
      </w:r>
      <w:proofErr w:type="gramStart"/>
      <w:r w:rsidRPr="00511F33">
        <w:t>unduly  constrict</w:t>
      </w:r>
      <w:proofErr w:type="gramEnd"/>
      <w:r w:rsidRPr="00511F33">
        <w:t xml:space="preserve"> the development of contracts and we would like to draw your attention to our response to Questions 9 and 13 for further details. </w:t>
      </w:r>
    </w:p>
    <w:p w14:paraId="5FCB7979" w14:textId="77777777" w:rsidR="00E852BD" w:rsidRPr="00511F33" w:rsidRDefault="00E852BD" w:rsidP="00E852BD">
      <w:pPr>
        <w:jc w:val="both"/>
      </w:pPr>
    </w:p>
    <w:p w14:paraId="02AF2FF9" w14:textId="3D752D8F" w:rsidR="00C85C8B" w:rsidRPr="00E852BD" w:rsidRDefault="00E852BD" w:rsidP="00E852BD">
      <w:pPr>
        <w:jc w:val="both"/>
      </w:pPr>
      <w:r w:rsidRPr="00511F33">
        <w:t>Another area of concern are the proposals relating to position management, which we believe would benefit greatly from increased flexibility for trading venues to avoid substantial burden on both the venue and market participants. We refer to our response to Questions 16, 17 as well as Questions 6 and 7 of the Cost Benefit Analysis.</w:t>
      </w:r>
      <w:bookmarkEnd w:id="1"/>
    </w:p>
    <w:permEnd w:id="885457707"/>
    <w:p w14:paraId="15D00E65" w14:textId="0F837A3C"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6B391B">
        <w:rPr>
          <w:rFonts w:asciiTheme="minorHAnsi" w:eastAsiaTheme="minorEastAsia" w:hAnsiTheme="minorHAnsi" w:cs="Arial"/>
          <w:sz w:val="22"/>
          <w:szCs w:val="20"/>
          <w:lang w:eastAsia="en-US"/>
        </w:rPr>
        <w:t>CD</w:t>
      </w:r>
      <w:r w:rsidRPr="00C85C8B">
        <w:rPr>
          <w:rFonts w:asciiTheme="minorHAnsi" w:eastAsiaTheme="minorEastAsia" w:hAnsiTheme="minorHAnsi" w:cstheme="minorBidi"/>
          <w:sz w:val="22"/>
          <w:szCs w:val="20"/>
          <w:lang w:eastAsia="en-US"/>
        </w:rPr>
        <w:t>_</w:t>
      </w:r>
      <w:r w:rsidR="00D378C9">
        <w:rPr>
          <w:rFonts w:asciiTheme="minorHAnsi" w:eastAsiaTheme="minorEastAsia" w:hAnsiTheme="minorHAnsi" w:cstheme="minorBidi"/>
          <w:sz w:val="22"/>
          <w:szCs w:val="20"/>
          <w:lang w:eastAsia="en-US"/>
        </w:rPr>
        <w:t>0</w:t>
      </w:r>
      <w:r w:rsidR="006B391B">
        <w:rPr>
          <w:rFonts w:asciiTheme="minorHAnsi" w:eastAsiaTheme="minorEastAsia" w:hAnsiTheme="minorHAnsi" w:cstheme="minorBidi"/>
          <w:sz w:val="22"/>
          <w:szCs w:val="20"/>
          <w:lang w:eastAsia="en-US"/>
        </w:rPr>
        <w:t>0</w:t>
      </w:r>
      <w:r w:rsidRPr="00C85C8B">
        <w:rPr>
          <w:rFonts w:asciiTheme="minorHAnsi" w:eastAsiaTheme="minorEastAsia" w:hAnsiTheme="minorHAnsi" w:cstheme="minorBidi"/>
          <w:sz w:val="22"/>
          <w:szCs w:val="20"/>
          <w:lang w:eastAsia="en-US"/>
        </w:rPr>
        <w:t>&gt;</w:t>
      </w:r>
    </w:p>
    <w:p w14:paraId="58C2F704" w14:textId="77777777" w:rsidR="00C85C8B" w:rsidRDefault="00C85C8B" w:rsidP="00C1698A">
      <w:pPr>
        <w:spacing w:line="276" w:lineRule="auto"/>
        <w:rPr>
          <w:rFonts w:asciiTheme="minorHAnsi" w:hAnsiTheme="minorHAnsi" w:cstheme="minorHAnsi"/>
          <w:b/>
          <w:sz w:val="28"/>
          <w:szCs w:val="28"/>
        </w:rPr>
      </w:pPr>
    </w:p>
    <w:p w14:paraId="4218CA54" w14:textId="77777777" w:rsidR="00C85C8B" w:rsidRDefault="00C85C8B" w:rsidP="00C1698A">
      <w:pPr>
        <w:spacing w:line="276" w:lineRule="auto"/>
        <w:rPr>
          <w:rFonts w:asciiTheme="minorHAnsi" w:hAnsiTheme="minorHAnsi" w:cstheme="minorHAnsi"/>
          <w:b/>
          <w:sz w:val="28"/>
          <w:szCs w:val="28"/>
        </w:rPr>
      </w:pPr>
    </w:p>
    <w:p w14:paraId="0CE5A6A7" w14:textId="77777777" w:rsidR="00C85C8B" w:rsidRDefault="00C85C8B" w:rsidP="00C1698A">
      <w:pPr>
        <w:spacing w:line="276" w:lineRule="auto"/>
        <w:rPr>
          <w:rFonts w:asciiTheme="minorHAnsi" w:hAnsiTheme="minorHAnsi" w:cstheme="minorHAnsi"/>
          <w:b/>
          <w:sz w:val="28"/>
          <w:szCs w:val="28"/>
        </w:rPr>
      </w:pPr>
    </w:p>
    <w:p w14:paraId="0D73DA59" w14:textId="77777777" w:rsidR="00C85C8B" w:rsidRDefault="00C85C8B" w:rsidP="00C1698A">
      <w:pPr>
        <w:spacing w:line="276" w:lineRule="auto"/>
        <w:rPr>
          <w:rFonts w:asciiTheme="minorHAnsi" w:hAnsiTheme="minorHAnsi" w:cstheme="minorHAnsi"/>
          <w:b/>
          <w:sz w:val="28"/>
          <w:szCs w:val="28"/>
        </w:rPr>
      </w:pPr>
    </w:p>
    <w:p w14:paraId="0C037628" w14:textId="77777777" w:rsidR="00C85C8B" w:rsidRDefault="00C85C8B" w:rsidP="00C1698A">
      <w:pPr>
        <w:spacing w:line="276" w:lineRule="auto"/>
        <w:rPr>
          <w:rFonts w:asciiTheme="minorHAnsi" w:hAnsiTheme="minorHAnsi" w:cstheme="minorHAnsi"/>
          <w:b/>
          <w:sz w:val="28"/>
          <w:szCs w:val="28"/>
        </w:rPr>
      </w:pPr>
    </w:p>
    <w:p w14:paraId="1D0DAFF5" w14:textId="77777777" w:rsidR="00C85C8B" w:rsidRDefault="00C85C8B">
      <w:pPr>
        <w:spacing w:after="120" w:line="264" w:lineRule="auto"/>
        <w:rPr>
          <w:rFonts w:asciiTheme="minorHAnsi" w:hAnsiTheme="minorHAnsi" w:cstheme="minorHAnsi"/>
          <w:b/>
          <w:sz w:val="28"/>
          <w:szCs w:val="28"/>
        </w:rPr>
      </w:pPr>
      <w:r>
        <w:rPr>
          <w:rFonts w:asciiTheme="minorHAnsi" w:hAnsiTheme="minorHAnsi" w:cstheme="minorHAnsi"/>
          <w:b/>
          <w:sz w:val="28"/>
          <w:szCs w:val="28"/>
        </w:rPr>
        <w:br w:type="page"/>
      </w:r>
    </w:p>
    <w:p w14:paraId="005F1C41" w14:textId="21C1F329" w:rsidR="00C1698A" w:rsidRDefault="00C1698A" w:rsidP="00C1698A">
      <w:pPr>
        <w:spacing w:line="276" w:lineRule="auto"/>
        <w:rPr>
          <w:rFonts w:asciiTheme="minorHAnsi" w:hAnsiTheme="minorHAnsi" w:cstheme="minorHAnsi"/>
          <w:b/>
          <w:sz w:val="28"/>
          <w:szCs w:val="28"/>
        </w:rPr>
      </w:pPr>
      <w:r w:rsidRPr="00C1698A">
        <w:rPr>
          <w:rFonts w:asciiTheme="minorHAnsi" w:hAnsiTheme="minorHAnsi" w:cstheme="minorHAnsi"/>
          <w:b/>
          <w:sz w:val="28"/>
          <w:szCs w:val="28"/>
        </w:rPr>
        <w:lastRenderedPageBreak/>
        <w:t xml:space="preserve">Questions </w:t>
      </w:r>
    </w:p>
    <w:p w14:paraId="289A1E31" w14:textId="6515C9EB" w:rsidR="00AB6157" w:rsidRDefault="00AB6157" w:rsidP="00C1698A">
      <w:pPr>
        <w:spacing w:line="276" w:lineRule="auto"/>
        <w:rPr>
          <w:rFonts w:asciiTheme="minorHAnsi" w:hAnsiTheme="minorHAnsi" w:cstheme="minorHAnsi"/>
          <w:b/>
          <w:sz w:val="28"/>
          <w:szCs w:val="28"/>
        </w:rPr>
      </w:pPr>
    </w:p>
    <w:p w14:paraId="0449067B" w14:textId="662BB4B0" w:rsidR="001F23C9" w:rsidRDefault="001F23C9" w:rsidP="001F23C9">
      <w:pPr>
        <w:pStyle w:val="Questionstyle"/>
        <w:numPr>
          <w:ilvl w:val="0"/>
          <w:numId w:val="9"/>
        </w:numPr>
        <w:spacing w:after="250" w:line="276" w:lineRule="auto"/>
      </w:pPr>
      <w:r>
        <w:t xml:space="preserve">: </w:t>
      </w:r>
      <w:r w:rsidR="006B391B" w:rsidRPr="006B391B">
        <w:t>Do you agree with ESMA’s proposal regarding the impact of the new hedging exemption on the aggregation of positions? If not, please elaborate.</w:t>
      </w:r>
    </w:p>
    <w:p w14:paraId="008A4A78" w14:textId="5B7F4999"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1&gt;</w:t>
      </w:r>
    </w:p>
    <w:p w14:paraId="6FBA52AA" w14:textId="77777777" w:rsidR="005B05DF" w:rsidRDefault="005B05DF" w:rsidP="001F23C9">
      <w:pPr>
        <w:rPr>
          <w:rFonts w:ascii="Calibri" w:hAnsi="Calibri"/>
          <w:sz w:val="22"/>
          <w:szCs w:val="22"/>
        </w:rPr>
      </w:pPr>
      <w:permStart w:id="87702194" w:edGrp="everyone"/>
      <w:r>
        <w:rPr>
          <w:rFonts w:ascii="Calibri" w:hAnsi="Calibri"/>
          <w:sz w:val="22"/>
          <w:szCs w:val="22"/>
        </w:rPr>
        <w:t>We agree with this proposal.</w:t>
      </w:r>
    </w:p>
    <w:permEnd w:id="87702194"/>
    <w:p w14:paraId="3E4B5260" w14:textId="7BD32EE0"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1&gt;</w:t>
      </w:r>
    </w:p>
    <w:p w14:paraId="6AA41074" w14:textId="77777777" w:rsidR="001F23C9" w:rsidRDefault="001F23C9" w:rsidP="001F23C9">
      <w:pPr>
        <w:rPr>
          <w:rFonts w:ascii="Arial" w:hAnsi="Arial" w:cs="Arial"/>
        </w:rPr>
      </w:pPr>
    </w:p>
    <w:p w14:paraId="33181B57" w14:textId="57D6D58C" w:rsidR="001F23C9" w:rsidRDefault="001F23C9" w:rsidP="001F23C9">
      <w:pPr>
        <w:pStyle w:val="Questionstyle"/>
        <w:numPr>
          <w:ilvl w:val="0"/>
          <w:numId w:val="9"/>
        </w:numPr>
        <w:spacing w:after="250" w:line="276" w:lineRule="auto"/>
      </w:pPr>
      <w:r>
        <w:t xml:space="preserve">: </w:t>
      </w:r>
      <w:r w:rsidR="006B391B" w:rsidRPr="006B391B">
        <w:t>Do you agree with ESMA’s proposal for positions qualifying as risk-reducing? If not, please elaborate and provide an alternative proposal.</w:t>
      </w:r>
    </w:p>
    <w:p w14:paraId="3EDDB358" w14:textId="7238A1B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2&gt;</w:t>
      </w:r>
    </w:p>
    <w:p w14:paraId="26D9B43A" w14:textId="77777777" w:rsidR="005B05DF" w:rsidRDefault="005B05DF" w:rsidP="001F23C9">
      <w:pPr>
        <w:rPr>
          <w:rFonts w:ascii="Calibri" w:hAnsi="Calibri"/>
          <w:sz w:val="22"/>
          <w:szCs w:val="22"/>
        </w:rPr>
      </w:pPr>
      <w:permStart w:id="1839020708" w:edGrp="everyone"/>
      <w:r>
        <w:rPr>
          <w:rFonts w:ascii="Calibri" w:hAnsi="Calibri"/>
          <w:sz w:val="22"/>
          <w:szCs w:val="22"/>
        </w:rPr>
        <w:t>We agree with this proposal.</w:t>
      </w:r>
    </w:p>
    <w:permEnd w:id="1839020708"/>
    <w:p w14:paraId="66FEC911" w14:textId="061676D6"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2&gt;</w:t>
      </w:r>
    </w:p>
    <w:p w14:paraId="57748A42" w14:textId="77777777" w:rsidR="001F23C9" w:rsidRDefault="001F23C9" w:rsidP="001F23C9">
      <w:pPr>
        <w:rPr>
          <w:rFonts w:ascii="Arial" w:hAnsi="Arial" w:cs="Arial"/>
        </w:rPr>
      </w:pPr>
    </w:p>
    <w:p w14:paraId="2CE8F433" w14:textId="7DCDEC99"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 on the application procedure for financial entities?? If not, please elaborate and provide an alternative proposal.</w:t>
      </w:r>
    </w:p>
    <w:p w14:paraId="7FED036B" w14:textId="0F36C648"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03</w:t>
      </w:r>
      <w:r>
        <w:rPr>
          <w:rFonts w:ascii="Arial" w:hAnsi="Arial" w:cs="Arial"/>
        </w:rPr>
        <w:t>&gt;</w:t>
      </w:r>
    </w:p>
    <w:p w14:paraId="1E1169B3" w14:textId="77777777" w:rsidR="009B6C4C" w:rsidRDefault="009B6C4C" w:rsidP="001F23C9">
      <w:pPr>
        <w:rPr>
          <w:rFonts w:ascii="Calibri" w:hAnsi="Calibri"/>
          <w:sz w:val="22"/>
          <w:szCs w:val="22"/>
        </w:rPr>
      </w:pPr>
      <w:permStart w:id="1383364894" w:edGrp="everyone"/>
      <w:r>
        <w:rPr>
          <w:rFonts w:ascii="Calibri" w:hAnsi="Calibri"/>
          <w:sz w:val="22"/>
          <w:szCs w:val="22"/>
        </w:rPr>
        <w:t>We support this proposal.</w:t>
      </w:r>
    </w:p>
    <w:permEnd w:id="1383364894"/>
    <w:p w14:paraId="6BED19E8" w14:textId="4D85B8DA"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3&gt;</w:t>
      </w:r>
    </w:p>
    <w:p w14:paraId="0207D391" w14:textId="77777777" w:rsidR="001F23C9" w:rsidRDefault="001F23C9" w:rsidP="001F23C9">
      <w:pPr>
        <w:rPr>
          <w:rFonts w:ascii="Arial" w:hAnsi="Arial" w:cs="Arial"/>
        </w:rPr>
      </w:pPr>
    </w:p>
    <w:p w14:paraId="014C25F1" w14:textId="377335BC"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 on the application procedure for mandatory liquidity provision exemption? If not, please elaborate and provide an alternative proposal.</w:t>
      </w:r>
    </w:p>
    <w:p w14:paraId="61582DDF" w14:textId="3D8685D1"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4&gt;</w:t>
      </w:r>
    </w:p>
    <w:p w14:paraId="2FEBBE26" w14:textId="77777777" w:rsidR="009B6C4C" w:rsidRDefault="009B6C4C" w:rsidP="001F23C9">
      <w:pPr>
        <w:rPr>
          <w:rFonts w:ascii="Calibri" w:hAnsi="Calibri"/>
          <w:color w:val="000000" w:themeColor="text1"/>
          <w:sz w:val="22"/>
          <w:szCs w:val="22"/>
          <w:lang w:val="en-US"/>
        </w:rPr>
      </w:pPr>
      <w:permStart w:id="1723492748" w:edGrp="everyone"/>
      <w:r>
        <w:rPr>
          <w:rFonts w:ascii="Calibri" w:hAnsi="Calibri"/>
          <w:color w:val="000000" w:themeColor="text1"/>
          <w:sz w:val="22"/>
          <w:szCs w:val="22"/>
          <w:lang w:val="en-US"/>
        </w:rPr>
        <w:t>We agree with this proposal.</w:t>
      </w:r>
    </w:p>
    <w:permEnd w:id="1723492748"/>
    <w:p w14:paraId="768D899B" w14:textId="797C4839"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4&gt;</w:t>
      </w:r>
    </w:p>
    <w:p w14:paraId="2EE4F6D2" w14:textId="77777777" w:rsidR="001F23C9" w:rsidRDefault="001F23C9" w:rsidP="001F23C9">
      <w:pPr>
        <w:rPr>
          <w:rFonts w:ascii="Arial" w:hAnsi="Arial" w:cs="Arial"/>
        </w:rPr>
      </w:pPr>
    </w:p>
    <w:p w14:paraId="20DDA557" w14:textId="092F6A61"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 on qualifying positions? If not, please elaborate and provide an alternative proposal.</w:t>
      </w:r>
    </w:p>
    <w:p w14:paraId="721CC648" w14:textId="671569F2"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5&gt;</w:t>
      </w:r>
    </w:p>
    <w:p w14:paraId="34C40264" w14:textId="77777777" w:rsidR="009B6C4C" w:rsidRDefault="009B6C4C" w:rsidP="001F23C9">
      <w:pPr>
        <w:rPr>
          <w:rFonts w:ascii="Calibri" w:hAnsi="Calibri"/>
          <w:sz w:val="22"/>
          <w:szCs w:val="22"/>
        </w:rPr>
      </w:pPr>
      <w:permStart w:id="377302903" w:edGrp="everyone"/>
      <w:r>
        <w:rPr>
          <w:rFonts w:ascii="Calibri" w:hAnsi="Calibri"/>
          <w:sz w:val="22"/>
          <w:szCs w:val="22"/>
        </w:rPr>
        <w:t>We agree with this proposal.</w:t>
      </w:r>
    </w:p>
    <w:permEnd w:id="377302903"/>
    <w:p w14:paraId="08615720" w14:textId="1F41A783"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5&gt;</w:t>
      </w:r>
    </w:p>
    <w:p w14:paraId="19581B61" w14:textId="77777777" w:rsidR="001F23C9" w:rsidRDefault="001F23C9" w:rsidP="001F23C9">
      <w:pPr>
        <w:rPr>
          <w:rFonts w:ascii="Arial" w:hAnsi="Arial" w:cs="Arial"/>
        </w:rPr>
      </w:pPr>
    </w:p>
    <w:p w14:paraId="641F06EB" w14:textId="62863B24"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proposed definition of financial entities? If not, please elaborate.</w:t>
      </w:r>
    </w:p>
    <w:p w14:paraId="1559456F" w14:textId="6EE870CE"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6&gt;</w:t>
      </w:r>
    </w:p>
    <w:p w14:paraId="026F69E2" w14:textId="77777777" w:rsidR="009B6C4C" w:rsidRDefault="009B6C4C" w:rsidP="001F23C9">
      <w:pPr>
        <w:rPr>
          <w:rFonts w:ascii="Calibri" w:hAnsi="Calibri"/>
          <w:color w:val="000000" w:themeColor="text1"/>
          <w:sz w:val="22"/>
          <w:szCs w:val="22"/>
          <w:lang w:val="en-US"/>
        </w:rPr>
      </w:pPr>
      <w:permStart w:id="1290170203" w:edGrp="everyone"/>
      <w:r>
        <w:rPr>
          <w:rFonts w:ascii="Calibri" w:hAnsi="Calibri"/>
          <w:color w:val="000000" w:themeColor="text1"/>
          <w:sz w:val="22"/>
          <w:szCs w:val="22"/>
          <w:lang w:val="en-US"/>
        </w:rPr>
        <w:t>We agree with this proposal.</w:t>
      </w:r>
    </w:p>
    <w:permEnd w:id="1290170203"/>
    <w:p w14:paraId="74B06132" w14:textId="0F5D1EB3"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6&gt;</w:t>
      </w:r>
    </w:p>
    <w:p w14:paraId="2D8DA87C" w14:textId="77777777" w:rsidR="001F23C9" w:rsidRDefault="001F23C9" w:rsidP="001F23C9">
      <w:pPr>
        <w:rPr>
          <w:rFonts w:ascii="Arial" w:hAnsi="Arial" w:cs="Arial"/>
        </w:rPr>
      </w:pPr>
    </w:p>
    <w:p w14:paraId="2E85777D" w14:textId="34F39C40" w:rsidR="001F23C9" w:rsidRPr="00175CFB" w:rsidRDefault="001F23C9" w:rsidP="001F23C9">
      <w:pPr>
        <w:pStyle w:val="Questionstyle"/>
        <w:numPr>
          <w:ilvl w:val="0"/>
          <w:numId w:val="9"/>
        </w:numPr>
        <w:spacing w:after="250" w:line="276" w:lineRule="auto"/>
      </w:pPr>
      <w:r>
        <w:t xml:space="preserve">: </w:t>
      </w:r>
      <w:r w:rsidR="006B391B" w:rsidRPr="006B391B">
        <w:t>Do you agree with ESMA’s proposal regarding the aggregation and netting of positions in a commodity derivative? If not, please elaborate and provide an alternative proposal where available.</w:t>
      </w:r>
    </w:p>
    <w:p w14:paraId="5145B31A" w14:textId="1FDF315A" w:rsidR="001F23C9" w:rsidRDefault="001F23C9" w:rsidP="001F23C9">
      <w:pPr>
        <w:rPr>
          <w:rFonts w:ascii="Arial" w:hAnsi="Arial" w:cs="Arial"/>
        </w:rPr>
      </w:pPr>
      <w:r>
        <w:rPr>
          <w:rFonts w:ascii="Arial" w:hAnsi="Arial" w:cs="Arial"/>
        </w:rPr>
        <w:lastRenderedPageBreak/>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7&gt;</w:t>
      </w:r>
    </w:p>
    <w:p w14:paraId="4736DDB7" w14:textId="22F2FEAA" w:rsidR="009B6C4C" w:rsidRDefault="009B6C4C" w:rsidP="001F23C9">
      <w:pPr>
        <w:rPr>
          <w:rFonts w:ascii="Calibri" w:hAnsi="Calibri"/>
          <w:color w:val="000000" w:themeColor="text1"/>
          <w:sz w:val="22"/>
          <w:szCs w:val="22"/>
          <w:lang w:val="en-US"/>
        </w:rPr>
      </w:pPr>
      <w:permStart w:id="463824392" w:edGrp="everyone"/>
      <w:r>
        <w:rPr>
          <w:rFonts w:ascii="Calibri" w:hAnsi="Calibri"/>
          <w:color w:val="000000" w:themeColor="text1"/>
          <w:sz w:val="22"/>
          <w:szCs w:val="22"/>
          <w:lang w:val="en-US"/>
        </w:rPr>
        <w:t xml:space="preserve">The Associations agree with the deletion of the reference to “the same commodity derivative” and the treatment of minis and </w:t>
      </w:r>
      <w:proofErr w:type="spellStart"/>
      <w:r>
        <w:rPr>
          <w:rFonts w:ascii="Calibri" w:hAnsi="Calibri"/>
          <w:color w:val="000000" w:themeColor="text1"/>
          <w:sz w:val="22"/>
          <w:szCs w:val="22"/>
          <w:lang w:val="en-US"/>
        </w:rPr>
        <w:t>balmos</w:t>
      </w:r>
      <w:proofErr w:type="spellEnd"/>
      <w:r>
        <w:rPr>
          <w:rFonts w:ascii="Calibri" w:hAnsi="Calibri"/>
          <w:color w:val="000000" w:themeColor="text1"/>
          <w:sz w:val="22"/>
          <w:szCs w:val="22"/>
          <w:lang w:val="en-US"/>
        </w:rPr>
        <w:t>.</w:t>
      </w:r>
    </w:p>
    <w:p w14:paraId="5F207422" w14:textId="77777777" w:rsidR="009B6C4C" w:rsidRDefault="009B6C4C" w:rsidP="001F23C9">
      <w:pPr>
        <w:rPr>
          <w:rFonts w:ascii="Calibri" w:hAnsi="Calibri"/>
          <w:color w:val="000000" w:themeColor="text1"/>
          <w:sz w:val="22"/>
          <w:szCs w:val="22"/>
          <w:lang w:val="en-US"/>
        </w:rPr>
      </w:pPr>
    </w:p>
    <w:p w14:paraId="667D6E23" w14:textId="4E6F67EE" w:rsidR="009B6C4C" w:rsidRDefault="009B6C4C" w:rsidP="001F23C9">
      <w:pPr>
        <w:rPr>
          <w:rFonts w:ascii="Calibri" w:hAnsi="Calibri"/>
          <w:color w:val="000000" w:themeColor="text1"/>
          <w:sz w:val="22"/>
          <w:szCs w:val="22"/>
          <w:lang w:val="en-US"/>
        </w:rPr>
      </w:pPr>
      <w:r>
        <w:rPr>
          <w:rFonts w:ascii="Calibri" w:hAnsi="Calibri"/>
          <w:color w:val="000000" w:themeColor="text1"/>
          <w:sz w:val="22"/>
          <w:szCs w:val="22"/>
          <w:lang w:val="en-US"/>
        </w:rPr>
        <w:t>However, our members believe that there is no need for a</w:t>
      </w:r>
      <w:r>
        <w:rPr>
          <w:rFonts w:ascii="Calibri" w:hAnsi="Calibri"/>
          <w:sz w:val="22"/>
          <w:szCs w:val="22"/>
          <w:lang w:val="en-US"/>
        </w:rPr>
        <w:t xml:space="preserve"> specific reference to “spread contracts”. </w:t>
      </w:r>
      <w:r w:rsidRPr="00EF626B">
        <w:rPr>
          <w:rFonts w:ascii="Calibri" w:hAnsi="Calibri"/>
          <w:color w:val="000000" w:themeColor="text1"/>
          <w:sz w:val="22"/>
          <w:szCs w:val="22"/>
          <w:lang w:val="en-US"/>
        </w:rPr>
        <w:t>The spread contracts are not actual outright contracts but rather trading strategies whereby</w:t>
      </w:r>
      <w:r>
        <w:rPr>
          <w:rFonts w:ascii="Calibri" w:hAnsi="Calibri"/>
          <w:color w:val="000000" w:themeColor="text1"/>
          <w:sz w:val="22"/>
          <w:szCs w:val="22"/>
          <w:lang w:val="en-US"/>
        </w:rPr>
        <w:t xml:space="preserve"> the two legs consist of outright contracts that are executed at the same time. Each of the legs already falls under the position limit for the outright contract. Consequently, we recommend removing the reference to spreads in Art. 3 (2) or RTS 21a.</w:t>
      </w:r>
    </w:p>
    <w:permEnd w:id="463824392"/>
    <w:p w14:paraId="3F2567A8" w14:textId="6CA313AE"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7&gt;</w:t>
      </w:r>
    </w:p>
    <w:p w14:paraId="19066DFA" w14:textId="77777777" w:rsidR="001F23C9" w:rsidRDefault="001F23C9" w:rsidP="001F23C9">
      <w:pPr>
        <w:rPr>
          <w:rFonts w:ascii="Arial" w:hAnsi="Arial" w:cs="Arial"/>
        </w:rPr>
      </w:pPr>
    </w:p>
    <w:p w14:paraId="26B5D069" w14:textId="5F98A79A" w:rsidR="001F23C9" w:rsidRPr="00175CFB" w:rsidRDefault="001F23C9" w:rsidP="001F23C9">
      <w:pPr>
        <w:pStyle w:val="Questionstyle"/>
        <w:numPr>
          <w:ilvl w:val="0"/>
          <w:numId w:val="9"/>
        </w:numPr>
        <w:spacing w:after="250" w:line="276" w:lineRule="auto"/>
      </w:pPr>
      <w:r>
        <w:t xml:space="preserve">: </w:t>
      </w:r>
      <w:r w:rsidR="006B391B" w:rsidRPr="006B391B">
        <w:t>Do you agree with ESMA’s proposal for significant volumes? If not, please elaborate.</w:t>
      </w:r>
    </w:p>
    <w:p w14:paraId="280915A7" w14:textId="7E73B0F5"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8&gt;</w:t>
      </w:r>
    </w:p>
    <w:p w14:paraId="0C71779B" w14:textId="22991330" w:rsidR="00E44DEA" w:rsidRDefault="00E44DEA" w:rsidP="001F23C9">
      <w:pPr>
        <w:rPr>
          <w:rFonts w:ascii="Arial" w:hAnsi="Arial" w:cs="Arial"/>
        </w:rPr>
      </w:pPr>
      <w:permStart w:id="71388718" w:edGrp="everyone"/>
      <w:r>
        <w:rPr>
          <w:rFonts w:ascii="Calibri" w:hAnsi="Calibri"/>
          <w:sz w:val="22"/>
          <w:szCs w:val="22"/>
          <w:lang w:val="en-US"/>
        </w:rPr>
        <w:t>We agree with this proposal.</w:t>
      </w:r>
    </w:p>
    <w:permEnd w:id="71388718"/>
    <w:p w14:paraId="611C3F91" w14:textId="6E13E628"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8&gt;</w:t>
      </w:r>
    </w:p>
    <w:p w14:paraId="13BF8D66" w14:textId="77777777" w:rsidR="001F23C9" w:rsidRDefault="001F23C9" w:rsidP="001F23C9">
      <w:pPr>
        <w:rPr>
          <w:rFonts w:ascii="Arial" w:hAnsi="Arial" w:cs="Arial"/>
        </w:rPr>
      </w:pPr>
    </w:p>
    <w:p w14:paraId="36A02EDD" w14:textId="6925CDC1"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 If not, please elaborate and provide an alternative proposal where available.</w:t>
      </w:r>
      <w:r w:rsidRPr="000F104A">
        <w:t xml:space="preserve"> </w:t>
      </w:r>
    </w:p>
    <w:p w14:paraId="3A329F97" w14:textId="29544F9C"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9&gt;</w:t>
      </w:r>
    </w:p>
    <w:p w14:paraId="4483F848" w14:textId="1C8022F0" w:rsidR="00E44DEA" w:rsidRDefault="00E44DEA" w:rsidP="001F23C9">
      <w:pPr>
        <w:rPr>
          <w:rFonts w:ascii="Calibri" w:hAnsi="Calibri"/>
          <w:sz w:val="22"/>
          <w:szCs w:val="22"/>
          <w:lang w:val="en-US"/>
        </w:rPr>
      </w:pPr>
      <w:permStart w:id="819753946" w:edGrp="everyone"/>
      <w:r>
        <w:rPr>
          <w:rFonts w:ascii="Calibri" w:hAnsi="Calibri"/>
          <w:sz w:val="22"/>
          <w:szCs w:val="22"/>
          <w:lang w:val="en-US"/>
        </w:rPr>
        <w:t xml:space="preserve">FIA and ISDA Members strongly disagree with this proposal. We believe that deliverable supply is the appropriate proxy to look at someone’s ability to corner a market. Open interest, on the other hand, is not. It is crucial that the baseline of the position limit is a proper reflection of a position holder’s ability to corner market. </w:t>
      </w:r>
    </w:p>
    <w:p w14:paraId="7AC90748" w14:textId="77777777" w:rsidR="00E44DEA" w:rsidRDefault="00E44DEA" w:rsidP="001F23C9">
      <w:pPr>
        <w:rPr>
          <w:rFonts w:ascii="Calibri" w:hAnsi="Calibri"/>
          <w:sz w:val="22"/>
          <w:szCs w:val="22"/>
          <w:lang w:val="en-US"/>
        </w:rPr>
      </w:pPr>
    </w:p>
    <w:p w14:paraId="0619F642" w14:textId="2259CC48" w:rsidR="00E44DEA" w:rsidRDefault="00E44DEA" w:rsidP="001F23C9">
      <w:pPr>
        <w:rPr>
          <w:rFonts w:ascii="Calibri" w:hAnsi="Calibri"/>
          <w:sz w:val="22"/>
          <w:szCs w:val="22"/>
          <w:lang w:val="en-US"/>
        </w:rPr>
      </w:pPr>
      <w:r>
        <w:rPr>
          <w:rFonts w:ascii="Calibri" w:hAnsi="Calibri"/>
          <w:sz w:val="22"/>
          <w:szCs w:val="22"/>
          <w:lang w:val="en-US"/>
        </w:rPr>
        <w:t xml:space="preserve">We also note that markets for which deliverable supply is substantially higher than open interest are typically small markets for which exchange trading has not been fully developed yet and hence more trading is taking place outside that market. We are concerned that using open interest could hamper the development of that exchange traded market, without providing any regulatory benefits, especially as there is no increased risk of market cornering. </w:t>
      </w:r>
    </w:p>
    <w:p w14:paraId="69FE9D3A" w14:textId="77777777" w:rsidR="00E44DEA" w:rsidRDefault="00E44DEA" w:rsidP="001F23C9">
      <w:pPr>
        <w:rPr>
          <w:rFonts w:ascii="Calibri" w:hAnsi="Calibri"/>
          <w:sz w:val="22"/>
          <w:szCs w:val="22"/>
          <w:lang w:val="en-US"/>
        </w:rPr>
      </w:pPr>
    </w:p>
    <w:p w14:paraId="0F6EAC50" w14:textId="67E2A750" w:rsidR="00E44DEA" w:rsidRDefault="00E44DEA" w:rsidP="001F23C9">
      <w:pPr>
        <w:rPr>
          <w:rFonts w:ascii="Calibri" w:hAnsi="Calibri"/>
          <w:sz w:val="22"/>
          <w:szCs w:val="22"/>
        </w:rPr>
      </w:pPr>
      <w:r w:rsidRPr="00212597">
        <w:rPr>
          <w:rFonts w:ascii="Calibri" w:hAnsi="Calibri"/>
          <w:sz w:val="22"/>
          <w:szCs w:val="22"/>
        </w:rPr>
        <w:t>Furthermore, we believe it would ensure consistency as well as legal certainty should RTS21 refer to the definition of agricultural derivative contracts set out in the so-called MiFID II “quick fix”, instead of “derivative contracts with an underlying that qualifies as food intended for human consumption”. The MiFID II “quick fix” defines agricultural commodity derivatives as “derivative contracts relating to products listed in Article 1 of, and Annex I, Parts I to XX and XXIV/1, to, Regulation (EU) No 1308/2013 of the European Parliament and of the Council (*), as well as to products listed in Annex I to Regulation (EU) No 1379/2013 of the European Parliament and of the Council (**).</w:t>
      </w:r>
    </w:p>
    <w:p w14:paraId="7D39A1D1" w14:textId="5F91B07A" w:rsidR="00E44DEA" w:rsidRDefault="00E44DEA" w:rsidP="001F23C9">
      <w:pPr>
        <w:rPr>
          <w:rFonts w:ascii="Calibri" w:hAnsi="Calibri"/>
          <w:sz w:val="22"/>
          <w:szCs w:val="22"/>
        </w:rPr>
      </w:pPr>
    </w:p>
    <w:p w14:paraId="69B09804" w14:textId="77777777" w:rsidR="00E44DEA" w:rsidRPr="00212597" w:rsidRDefault="00E44DEA" w:rsidP="00E44DEA">
      <w:pPr>
        <w:jc w:val="both"/>
        <w:rPr>
          <w:rFonts w:ascii="Calibri" w:hAnsi="Calibri"/>
          <w:sz w:val="22"/>
          <w:szCs w:val="22"/>
        </w:rPr>
      </w:pPr>
      <w:r w:rsidRPr="00212597">
        <w:rPr>
          <w:rFonts w:ascii="Calibri" w:hAnsi="Calibri"/>
          <w:sz w:val="22"/>
          <w:szCs w:val="22"/>
        </w:rPr>
        <w:t xml:space="preserve">(*) Regulation (EU) No 1308/2013 of the European Parliament and of the Council of 17 December 2013 establishing a common organisation of the markets in agricultural products and repealing Council Regulations (EEC) No 922/72, (EEC) No 234/79, (EC) No 1037/2001 and (EC) No 1234/2007 (OJ L 347, 20.12.2013, p. 671). </w:t>
      </w:r>
    </w:p>
    <w:p w14:paraId="36C4BFE6" w14:textId="77777777" w:rsidR="00E44DEA" w:rsidRPr="00212597" w:rsidRDefault="00E44DEA" w:rsidP="00E44DEA">
      <w:pPr>
        <w:jc w:val="both"/>
        <w:rPr>
          <w:rFonts w:ascii="Calibri" w:hAnsi="Calibri"/>
          <w:sz w:val="22"/>
          <w:szCs w:val="22"/>
        </w:rPr>
      </w:pPr>
    </w:p>
    <w:p w14:paraId="732C3200" w14:textId="3D0D7CB6" w:rsidR="00E44DEA" w:rsidRDefault="00E44DEA" w:rsidP="00E44DEA">
      <w:pPr>
        <w:rPr>
          <w:rFonts w:ascii="Calibri" w:hAnsi="Calibri"/>
          <w:sz w:val="22"/>
          <w:szCs w:val="22"/>
          <w:lang w:val="en-US"/>
        </w:rPr>
      </w:pPr>
      <w:r w:rsidRPr="00212597">
        <w:rPr>
          <w:rFonts w:ascii="Calibri" w:hAnsi="Calibri"/>
          <w:sz w:val="22"/>
          <w:szCs w:val="22"/>
        </w:rPr>
        <w:t>(**) Regulation (EU) No 1379/2013 of the European Parliament and of the Council of 11 December 2013 on the common organisation of the markets in fishery and aquaculture products, amending Council Regulations (EC) No 1184/2006 and (EC</w:t>
      </w:r>
      <w:r>
        <w:rPr>
          <w:rFonts w:ascii="Calibri" w:hAnsi="Calibri"/>
          <w:sz w:val="22"/>
          <w:szCs w:val="22"/>
        </w:rPr>
        <w:t>).</w:t>
      </w:r>
    </w:p>
    <w:permEnd w:id="819753946"/>
    <w:p w14:paraId="6AB0A535" w14:textId="4AB46881"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9&gt;</w:t>
      </w:r>
    </w:p>
    <w:p w14:paraId="15BEDAE4" w14:textId="77777777" w:rsidR="001F23C9" w:rsidRDefault="001F23C9" w:rsidP="001F23C9">
      <w:pPr>
        <w:rPr>
          <w:rFonts w:ascii="Arial" w:hAnsi="Arial" w:cs="Arial"/>
        </w:rPr>
      </w:pPr>
    </w:p>
    <w:p w14:paraId="55E0213D" w14:textId="6D383982" w:rsidR="001F23C9" w:rsidRPr="00175CFB" w:rsidRDefault="006B391B" w:rsidP="001F23C9">
      <w:pPr>
        <w:pStyle w:val="Questionstyle"/>
        <w:numPr>
          <w:ilvl w:val="0"/>
          <w:numId w:val="9"/>
        </w:numPr>
        <w:spacing w:after="250" w:line="276" w:lineRule="auto"/>
      </w:pPr>
      <w:r>
        <w:lastRenderedPageBreak/>
        <w:t xml:space="preserve">: </w:t>
      </w:r>
      <w:r w:rsidRPr="006B391B">
        <w:t>Do you agree with ESMA’s proposal? If not, please elaborate.</w:t>
      </w:r>
    </w:p>
    <w:p w14:paraId="1267F4C9" w14:textId="33C2A909"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_10&gt;</w:t>
      </w:r>
    </w:p>
    <w:p w14:paraId="11F34AF4" w14:textId="4FF956FF" w:rsidR="001F23C9" w:rsidRDefault="000B2B43" w:rsidP="001F23C9">
      <w:pPr>
        <w:rPr>
          <w:rFonts w:ascii="Arial" w:hAnsi="Arial" w:cs="Arial"/>
        </w:rPr>
      </w:pPr>
      <w:permStart w:id="89662115" w:edGrp="everyone"/>
      <w:r>
        <w:rPr>
          <w:rFonts w:ascii="Calibri" w:hAnsi="Calibri"/>
          <w:sz w:val="22"/>
          <w:szCs w:val="22"/>
          <w:lang w:val="en-US"/>
        </w:rPr>
        <w:t xml:space="preserve">To ensure the approach works for all asset classes, including agriculture, we strongly recommend taking the same approach as is being proposed for determining the open interest figure in Article 14 of draft RTS 21a, </w:t>
      </w:r>
      <w:proofErr w:type="gramStart"/>
      <w:r>
        <w:rPr>
          <w:rFonts w:ascii="Calibri" w:hAnsi="Calibri"/>
          <w:sz w:val="22"/>
          <w:szCs w:val="22"/>
          <w:lang w:val="en-US"/>
        </w:rPr>
        <w:t>i.e.</w:t>
      </w:r>
      <w:proofErr w:type="gramEnd"/>
      <w:r>
        <w:rPr>
          <w:rFonts w:ascii="Calibri" w:hAnsi="Calibri"/>
          <w:sz w:val="22"/>
          <w:szCs w:val="22"/>
          <w:lang w:val="en-US"/>
        </w:rPr>
        <w:t xml:space="preserve"> the NCAs calculates deliverable supply </w:t>
      </w:r>
      <w:r w:rsidRPr="00F76CA6">
        <w:rPr>
          <w:rFonts w:ascii="Calibri" w:hAnsi="Calibri"/>
          <w:sz w:val="22"/>
          <w:szCs w:val="22"/>
          <w:lang w:val="en-US"/>
        </w:rPr>
        <w:t>"over a representative period of time" which would depend on the characteristics of the commodity derivative</w:t>
      </w:r>
      <w:r>
        <w:rPr>
          <w:rFonts w:ascii="Calibri" w:hAnsi="Calibri"/>
          <w:sz w:val="22"/>
          <w:szCs w:val="22"/>
          <w:lang w:val="en-US"/>
        </w:rPr>
        <w:t xml:space="preserve">. </w:t>
      </w:r>
      <w:permEnd w:id="89662115"/>
      <w:r w:rsidR="001F23C9">
        <w:rPr>
          <w:rFonts w:ascii="Arial" w:hAnsi="Arial" w:cs="Arial"/>
        </w:rPr>
        <w:t>&lt;ESMA_QUESTION_</w:t>
      </w:r>
      <w:r w:rsidR="006B391B">
        <w:rPr>
          <w:rFonts w:ascii="Arial" w:hAnsi="Arial" w:cs="Arial"/>
        </w:rPr>
        <w:t>CD</w:t>
      </w:r>
      <w:r w:rsidR="001F23C9">
        <w:rPr>
          <w:rFonts w:ascii="Arial" w:hAnsi="Arial" w:cs="Arial"/>
        </w:rPr>
        <w:t>_10&gt;</w:t>
      </w:r>
    </w:p>
    <w:p w14:paraId="3D8F21C5" w14:textId="77777777" w:rsidR="001F23C9" w:rsidRDefault="001F23C9" w:rsidP="001F23C9">
      <w:pPr>
        <w:rPr>
          <w:rFonts w:ascii="Arial" w:hAnsi="Arial" w:cs="Arial"/>
        </w:rPr>
      </w:pPr>
    </w:p>
    <w:p w14:paraId="370F6612" w14:textId="3EA30A61"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proposals regarding Article 14 of RTS 21a? If not, please elaborate and provide alternative proposals.</w:t>
      </w:r>
    </w:p>
    <w:p w14:paraId="64CBA2C5" w14:textId="41E6770F"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_11&gt;</w:t>
      </w:r>
    </w:p>
    <w:p w14:paraId="4512854E" w14:textId="77777777" w:rsidR="00053918" w:rsidRPr="00212597" w:rsidRDefault="00053918" w:rsidP="00383251">
      <w:pPr>
        <w:pStyle w:val="NormalWeb"/>
        <w:jc w:val="both"/>
        <w:rPr>
          <w:rFonts w:ascii="Calibri" w:hAnsi="Calibri"/>
          <w:sz w:val="22"/>
          <w:szCs w:val="22"/>
          <w:lang w:val="en-US"/>
        </w:rPr>
      </w:pPr>
      <w:bookmarkStart w:id="2" w:name="_Hlk74566736"/>
      <w:permStart w:id="1905472427" w:edGrp="everyone"/>
      <w:r w:rsidRPr="00212597">
        <w:rPr>
          <w:rFonts w:ascii="Calibri" w:hAnsi="Calibri"/>
          <w:sz w:val="22"/>
          <w:szCs w:val="22"/>
          <w:lang w:val="en-US"/>
        </w:rPr>
        <w:t>FIA and ISDA members support the proposal to calculate open interest "over a representative period of time" which would depend on the characteristics of the commodity derivative. However, we believe the same flexibility is needed in special circumstances, as outlined in Art. 14 par. 2.</w:t>
      </w:r>
      <w:bookmarkEnd w:id="2"/>
    </w:p>
    <w:p w14:paraId="00F9CFDB" w14:textId="77777777" w:rsidR="00053918" w:rsidRDefault="00053918" w:rsidP="001F23C9">
      <w:pPr>
        <w:rPr>
          <w:rFonts w:ascii="Calibri" w:hAnsi="Calibri"/>
          <w:sz w:val="22"/>
          <w:szCs w:val="22"/>
          <w:lang w:val="en-US"/>
        </w:rPr>
      </w:pPr>
      <w:r w:rsidRPr="00212597">
        <w:rPr>
          <w:rFonts w:ascii="Calibri" w:hAnsi="Calibri"/>
          <w:sz w:val="22"/>
          <w:szCs w:val="22"/>
          <w:lang w:val="en-US"/>
        </w:rPr>
        <w:t xml:space="preserve">We disagree with the use of position reporting data insofar as it relates to reported economically equivalent OTC positions. The Associations are not aware of any EEOTC contract having been identified by a NCA or ESMA due to the narrow definition of EEOTC. </w:t>
      </w:r>
      <w:proofErr w:type="gramStart"/>
      <w:r w:rsidRPr="00212597">
        <w:rPr>
          <w:rFonts w:ascii="Calibri" w:hAnsi="Calibri"/>
          <w:sz w:val="22"/>
          <w:szCs w:val="22"/>
          <w:lang w:val="en-US"/>
        </w:rPr>
        <w:t>Thus</w:t>
      </w:r>
      <w:proofErr w:type="gramEnd"/>
      <w:r w:rsidRPr="00212597">
        <w:rPr>
          <w:rFonts w:ascii="Calibri" w:hAnsi="Calibri"/>
          <w:sz w:val="22"/>
          <w:szCs w:val="22"/>
          <w:lang w:val="en-US"/>
        </w:rPr>
        <w:t xml:space="preserve"> using position reports based on the interpretation of the definition by a very small minority of market participants should not be taken as evidence of EEOTC and thus not used as basis for inclusion in the open interest calculation</w:t>
      </w:r>
      <w:r>
        <w:rPr>
          <w:rFonts w:ascii="Calibri" w:hAnsi="Calibri"/>
          <w:sz w:val="22"/>
          <w:szCs w:val="22"/>
          <w:lang w:val="en-US"/>
        </w:rPr>
        <w:t xml:space="preserve">. </w:t>
      </w:r>
    </w:p>
    <w:permEnd w:id="1905472427"/>
    <w:p w14:paraId="1CD7B3CA" w14:textId="1C40E765"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_11&gt;</w:t>
      </w:r>
    </w:p>
    <w:p w14:paraId="1A191E48" w14:textId="77777777" w:rsidR="001F23C9" w:rsidRDefault="001F23C9" w:rsidP="001F23C9">
      <w:pPr>
        <w:rPr>
          <w:rFonts w:ascii="Arial" w:hAnsi="Arial" w:cs="Arial"/>
        </w:rPr>
      </w:pPr>
    </w:p>
    <w:p w14:paraId="50AB7816" w14:textId="3BEB9D4E" w:rsidR="001F23C9" w:rsidRPr="00175CFB" w:rsidRDefault="001F23C9" w:rsidP="001F23C9">
      <w:pPr>
        <w:pStyle w:val="Questionstyle"/>
        <w:numPr>
          <w:ilvl w:val="0"/>
          <w:numId w:val="9"/>
        </w:numPr>
        <w:spacing w:after="250" w:line="276" w:lineRule="auto"/>
      </w:pPr>
      <w:r>
        <w:t>:</w:t>
      </w:r>
      <w:r w:rsidRPr="000F104A">
        <w:t xml:space="preserve"> </w:t>
      </w:r>
      <w:r w:rsidR="00EC15D5" w:rsidRPr="00EC15D5">
        <w:t>Do you see merit in the new approach considered by ESMA for new and less liquid agricultural commodity derivatives? If not, please elaborate and provide an alternative proposal.</w:t>
      </w:r>
    </w:p>
    <w:p w14:paraId="5D2ACC37" w14:textId="43C95BBB"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_12&gt;</w:t>
      </w:r>
    </w:p>
    <w:p w14:paraId="41C50F77" w14:textId="77777777" w:rsidR="00F657A0" w:rsidRDefault="00F657A0" w:rsidP="001F23C9">
      <w:pPr>
        <w:rPr>
          <w:rFonts w:ascii="Arial" w:hAnsi="Arial" w:cs="Arial"/>
        </w:rPr>
      </w:pPr>
      <w:permStart w:id="436235028" w:edGrp="everyone"/>
      <w:r>
        <w:rPr>
          <w:rFonts w:ascii="Calibri" w:hAnsi="Calibri"/>
          <w:sz w:val="22"/>
          <w:szCs w:val="22"/>
          <w:lang w:val="en-US"/>
        </w:rPr>
        <w:t>Our members are supporting the ESMA proposal and believe that this proposal is essential for less liquid contracts to develop.</w:t>
      </w:r>
      <w:r>
        <w:rPr>
          <w:rFonts w:ascii="Arial" w:hAnsi="Arial" w:cs="Arial"/>
        </w:rPr>
        <w:t xml:space="preserve"> </w:t>
      </w:r>
    </w:p>
    <w:permEnd w:id="436235028"/>
    <w:p w14:paraId="0A44451F" w14:textId="44671608"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_12&gt;</w:t>
      </w:r>
    </w:p>
    <w:p w14:paraId="781C7FB0" w14:textId="77777777" w:rsidR="001F23C9" w:rsidRDefault="001F23C9" w:rsidP="001F23C9">
      <w:pPr>
        <w:rPr>
          <w:rFonts w:ascii="Arial" w:hAnsi="Arial" w:cs="Arial"/>
        </w:rPr>
      </w:pPr>
    </w:p>
    <w:p w14:paraId="785B8370" w14:textId="43FDA918" w:rsidR="001F23C9" w:rsidRPr="00175CFB" w:rsidRDefault="001F23C9" w:rsidP="001F23C9">
      <w:pPr>
        <w:pStyle w:val="Questionstyle"/>
        <w:numPr>
          <w:ilvl w:val="0"/>
          <w:numId w:val="9"/>
        </w:numPr>
        <w:spacing w:after="250" w:line="276" w:lineRule="auto"/>
      </w:pPr>
      <w:r>
        <w:t>:</w:t>
      </w:r>
      <w:r w:rsidRPr="00C64A98">
        <w:t xml:space="preserve"> </w:t>
      </w:r>
      <w:r w:rsidR="00EC15D5" w:rsidRPr="00EC15D5">
        <w:t>Do you agree with ESMA’s proposal regarding Article 19 of RTS 21a? If not, please elaborate.</w:t>
      </w:r>
    </w:p>
    <w:p w14:paraId="69CE4D4E" w14:textId="33146815"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_13&gt;</w:t>
      </w:r>
    </w:p>
    <w:p w14:paraId="331EEABC" w14:textId="77777777" w:rsidR="00F657A0" w:rsidRDefault="00F657A0" w:rsidP="001F23C9">
      <w:pPr>
        <w:rPr>
          <w:rFonts w:ascii="Calibri" w:hAnsi="Calibri" w:cs="Arial"/>
          <w:color w:val="000000" w:themeColor="text1"/>
          <w:sz w:val="22"/>
          <w:szCs w:val="22"/>
          <w:lang w:val="en-US"/>
        </w:rPr>
      </w:pPr>
      <w:permStart w:id="1785143847" w:edGrp="everyone"/>
      <w:r>
        <w:rPr>
          <w:rFonts w:ascii="Calibri" w:hAnsi="Calibri" w:cs="Arial"/>
          <w:color w:val="000000" w:themeColor="text1"/>
          <w:sz w:val="22"/>
          <w:szCs w:val="22"/>
          <w:lang w:val="en-US"/>
        </w:rPr>
        <w:t>The Associations are supportive of clarifying in Art. 19 par. 3 that where</w:t>
      </w:r>
      <w:r w:rsidRPr="005C66FE">
        <w:rPr>
          <w:rFonts w:ascii="Calibri" w:hAnsi="Calibri" w:cs="Arial"/>
          <w:color w:val="000000" w:themeColor="text1"/>
          <w:sz w:val="22"/>
          <w:szCs w:val="22"/>
          <w:lang w:val="en-US"/>
        </w:rPr>
        <w:t xml:space="preserve"> the open interest is significantly lower than the deliverable supply, </w:t>
      </w:r>
      <w:r>
        <w:rPr>
          <w:rFonts w:ascii="Calibri" w:hAnsi="Calibri" w:cs="Arial"/>
          <w:color w:val="000000" w:themeColor="text1"/>
          <w:sz w:val="22"/>
          <w:szCs w:val="22"/>
          <w:lang w:val="en-US"/>
        </w:rPr>
        <w:t>NCAs shall adjust the other months’ position limit upwards</w:t>
      </w:r>
      <w:r w:rsidRPr="005C66FE">
        <w:rPr>
          <w:rFonts w:ascii="Calibri" w:hAnsi="Calibri" w:cs="Arial"/>
          <w:color w:val="000000" w:themeColor="text1"/>
          <w:sz w:val="22"/>
          <w:szCs w:val="22"/>
          <w:lang w:val="en-US"/>
        </w:rPr>
        <w:t xml:space="preserve"> to avoid the risk of unduly constraining trading</w:t>
      </w:r>
      <w:r>
        <w:rPr>
          <w:rFonts w:ascii="Calibri" w:hAnsi="Calibri" w:cs="Arial"/>
          <w:color w:val="000000" w:themeColor="text1"/>
          <w:sz w:val="22"/>
          <w:szCs w:val="22"/>
          <w:lang w:val="en-US"/>
        </w:rPr>
        <w:t>. However, as mentioned before (see our answer to Q9), we do not see an increased risk of market manipulation and hence we do not see the need to adjust the spot month position limit downwards in this case. S</w:t>
      </w:r>
      <w:r w:rsidRPr="00E74202">
        <w:rPr>
          <w:rFonts w:ascii="Calibri" w:hAnsi="Calibri" w:cs="Arial"/>
          <w:color w:val="000000" w:themeColor="text1"/>
          <w:sz w:val="22"/>
          <w:szCs w:val="22"/>
          <w:lang w:val="en-US"/>
        </w:rPr>
        <w:t xml:space="preserve">uch a situation is inherent to markets for which exchange-trading has not much developed yet. </w:t>
      </w:r>
      <w:r>
        <w:rPr>
          <w:rFonts w:ascii="Calibri" w:hAnsi="Calibri" w:cs="Arial"/>
          <w:color w:val="000000" w:themeColor="text1"/>
          <w:sz w:val="22"/>
          <w:szCs w:val="22"/>
          <w:lang w:val="en-US"/>
        </w:rPr>
        <w:t>T</w:t>
      </w:r>
      <w:r w:rsidRPr="00E74202">
        <w:rPr>
          <w:rFonts w:ascii="Calibri" w:hAnsi="Calibri" w:cs="Arial"/>
          <w:color w:val="000000" w:themeColor="text1"/>
          <w:sz w:val="22"/>
          <w:szCs w:val="22"/>
          <w:lang w:val="en-US"/>
        </w:rPr>
        <w:t>he proposal would again hamper such illiquid markets to further develop</w:t>
      </w:r>
      <w:r>
        <w:rPr>
          <w:rFonts w:ascii="Calibri" w:hAnsi="Calibri" w:cs="Arial"/>
          <w:color w:val="000000" w:themeColor="text1"/>
          <w:sz w:val="22"/>
          <w:szCs w:val="22"/>
          <w:lang w:val="en-US"/>
        </w:rPr>
        <w:t xml:space="preserve"> without providing any benefit.</w:t>
      </w:r>
    </w:p>
    <w:permEnd w:id="1785143847"/>
    <w:p w14:paraId="709175DF" w14:textId="3BAE91DF"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_13&gt;</w:t>
      </w:r>
    </w:p>
    <w:p w14:paraId="1763F2A9" w14:textId="77777777" w:rsidR="001F23C9" w:rsidRDefault="001F23C9" w:rsidP="001F23C9">
      <w:pPr>
        <w:rPr>
          <w:rFonts w:ascii="Arial" w:hAnsi="Arial" w:cs="Arial"/>
        </w:rPr>
      </w:pPr>
    </w:p>
    <w:p w14:paraId="7061009A" w14:textId="6E769AB8" w:rsidR="001F23C9" w:rsidRPr="00175CFB" w:rsidRDefault="001F23C9" w:rsidP="001F23C9">
      <w:pPr>
        <w:pStyle w:val="Questionstyle"/>
        <w:numPr>
          <w:ilvl w:val="0"/>
          <w:numId w:val="9"/>
        </w:numPr>
        <w:spacing w:after="250" w:line="276" w:lineRule="auto"/>
      </w:pPr>
      <w:r>
        <w:t>:</w:t>
      </w:r>
      <w:r w:rsidRPr="000F104A">
        <w:t xml:space="preserve"> </w:t>
      </w:r>
      <w:r w:rsidR="00EC15D5" w:rsidRPr="00EC15D5">
        <w:t xml:space="preserve">Do you agree with ESMA’ proposal regarding the upward adjustment factor to be used in case of a small number of market participants or less than three investment </w:t>
      </w:r>
      <w:r w:rsidR="00EC15D5" w:rsidRPr="00EC15D5">
        <w:lastRenderedPageBreak/>
        <w:t>firms acting as market makers? If not, please elaborate and provide an alternative proposal.</w:t>
      </w:r>
    </w:p>
    <w:p w14:paraId="54611186" w14:textId="08B7B3AF"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_14&gt;</w:t>
      </w:r>
    </w:p>
    <w:p w14:paraId="59BC7B2D" w14:textId="77777777" w:rsidR="00CF4B2F" w:rsidRDefault="00CF4B2F" w:rsidP="001F23C9">
      <w:pPr>
        <w:rPr>
          <w:rFonts w:ascii="Arial" w:hAnsi="Arial" w:cs="Arial"/>
        </w:rPr>
      </w:pPr>
      <w:permStart w:id="1033585913" w:edGrp="everyone"/>
      <w:r>
        <w:rPr>
          <w:rFonts w:ascii="Calibri" w:hAnsi="Calibri"/>
          <w:sz w:val="22"/>
          <w:szCs w:val="22"/>
          <w:lang w:val="en-US"/>
        </w:rPr>
        <w:t>We agree with the proposal.</w:t>
      </w:r>
      <w:r>
        <w:rPr>
          <w:rFonts w:ascii="Arial" w:hAnsi="Arial" w:cs="Arial"/>
        </w:rPr>
        <w:t xml:space="preserve"> </w:t>
      </w:r>
    </w:p>
    <w:permEnd w:id="1033585913"/>
    <w:p w14:paraId="74A6F289" w14:textId="180D8538"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_14&gt;</w:t>
      </w:r>
    </w:p>
    <w:p w14:paraId="43B3593F" w14:textId="77777777" w:rsidR="001F23C9" w:rsidRDefault="001F23C9" w:rsidP="001F23C9">
      <w:pPr>
        <w:rPr>
          <w:rFonts w:ascii="Arial" w:hAnsi="Arial" w:cs="Arial"/>
        </w:rPr>
      </w:pPr>
    </w:p>
    <w:p w14:paraId="527399E1" w14:textId="546F740F" w:rsidR="001F23C9" w:rsidRPr="00175CFB" w:rsidRDefault="001F23C9" w:rsidP="001F23C9">
      <w:pPr>
        <w:pStyle w:val="Questionstyle"/>
        <w:numPr>
          <w:ilvl w:val="0"/>
          <w:numId w:val="9"/>
        </w:numPr>
        <w:spacing w:after="250" w:line="276" w:lineRule="auto"/>
      </w:pPr>
      <w:r>
        <w:t>:</w:t>
      </w:r>
      <w:r w:rsidRPr="000F104A">
        <w:t xml:space="preserve"> </w:t>
      </w:r>
      <w:r w:rsidR="00EC15D5" w:rsidRPr="00EC15D5">
        <w:t>Do you agree with ESMA’s proposed amendments to ITS 4? If not, please elaborate.</w:t>
      </w:r>
    </w:p>
    <w:p w14:paraId="37E33E55" w14:textId="6C39E03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_15&gt;</w:t>
      </w:r>
    </w:p>
    <w:p w14:paraId="3BBE12CB" w14:textId="77777777" w:rsidR="00CF4B2F" w:rsidRPr="00CF4B2F" w:rsidRDefault="00CF4B2F" w:rsidP="001F23C9">
      <w:pPr>
        <w:rPr>
          <w:rFonts w:ascii="Calibri" w:hAnsi="Calibri" w:cs="Arial"/>
          <w:sz w:val="22"/>
          <w:szCs w:val="22"/>
          <w:lang w:val="en-US"/>
        </w:rPr>
      </w:pPr>
      <w:permStart w:id="360059141" w:edGrp="everyone"/>
      <w:r w:rsidRPr="00CF4B2F">
        <w:rPr>
          <w:rFonts w:ascii="Calibri" w:hAnsi="Calibri" w:cs="Arial"/>
          <w:sz w:val="22"/>
          <w:szCs w:val="22"/>
          <w:lang w:val="en-US"/>
        </w:rPr>
        <w:t>We agree with the proposal to delete securitized derivatives from ITS 4.</w:t>
      </w:r>
    </w:p>
    <w:permEnd w:id="360059141"/>
    <w:p w14:paraId="24463A6B" w14:textId="1C59CA99"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_15&gt;</w:t>
      </w:r>
    </w:p>
    <w:p w14:paraId="353BECC5" w14:textId="77777777" w:rsidR="001F23C9" w:rsidRDefault="001F23C9" w:rsidP="001F23C9">
      <w:pPr>
        <w:rPr>
          <w:rFonts w:ascii="Arial" w:hAnsi="Arial" w:cs="Arial"/>
        </w:rPr>
      </w:pPr>
    </w:p>
    <w:p w14:paraId="56F7097F" w14:textId="19394B90" w:rsidR="001F23C9" w:rsidRPr="00175CFB" w:rsidRDefault="001F23C9" w:rsidP="001F23C9">
      <w:pPr>
        <w:pStyle w:val="Questionstyle"/>
        <w:numPr>
          <w:ilvl w:val="0"/>
          <w:numId w:val="9"/>
        </w:numPr>
        <w:spacing w:after="250" w:line="276" w:lineRule="auto"/>
      </w:pPr>
      <w:r>
        <w:t xml:space="preserve">: </w:t>
      </w:r>
      <w:r w:rsidR="00EC15D5" w:rsidRPr="00EC15D5">
        <w:t>Do you agree with ESMA’s suggestion to introduce such ongoing position monitoring requirement in the draft RTS? If not, please elaborate.</w:t>
      </w:r>
    </w:p>
    <w:p w14:paraId="5E34355C" w14:textId="546C10C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_16&gt;</w:t>
      </w:r>
    </w:p>
    <w:p w14:paraId="3430FD06" w14:textId="73B52B56" w:rsidR="00CF4B2F" w:rsidRDefault="00CF4B2F" w:rsidP="001F23C9">
      <w:pPr>
        <w:rPr>
          <w:rFonts w:ascii="Arial" w:hAnsi="Arial" w:cs="Arial"/>
        </w:rPr>
      </w:pPr>
      <w:permStart w:id="1365146390" w:edGrp="everyone"/>
      <w:r>
        <w:rPr>
          <w:rFonts w:ascii="Calibri" w:hAnsi="Calibri" w:cs="Arial"/>
          <w:color w:val="000000" w:themeColor="text1"/>
          <w:sz w:val="22"/>
          <w:szCs w:val="22"/>
          <w:lang w:val="en-US"/>
        </w:rPr>
        <w:t>FIA and ISDA support the proposal for trading venues to have arrangements in place for the ongoing monitoring of positions.</w:t>
      </w:r>
      <w:r>
        <w:rPr>
          <w:rFonts w:ascii="Arial" w:hAnsi="Arial" w:cs="Arial"/>
        </w:rPr>
        <w:t xml:space="preserve"> </w:t>
      </w:r>
    </w:p>
    <w:p w14:paraId="084C6D65" w14:textId="77777777" w:rsidR="00CF4B2F" w:rsidRDefault="00CF4B2F" w:rsidP="001F23C9">
      <w:pPr>
        <w:rPr>
          <w:rFonts w:ascii="Arial" w:hAnsi="Arial" w:cs="Arial"/>
        </w:rPr>
      </w:pPr>
    </w:p>
    <w:p w14:paraId="7B0037F5" w14:textId="28C39EF0" w:rsidR="00CF4B2F" w:rsidRDefault="00CF4B2F" w:rsidP="001F23C9">
      <w:pPr>
        <w:rPr>
          <w:rFonts w:ascii="Arial" w:hAnsi="Arial" w:cs="Arial"/>
        </w:rPr>
      </w:pPr>
      <w:r w:rsidRPr="00865643">
        <w:rPr>
          <w:rFonts w:ascii="Calibri" w:hAnsi="Calibri" w:cs="Arial"/>
          <w:color w:val="000000" w:themeColor="text1"/>
          <w:sz w:val="22"/>
          <w:szCs w:val="22"/>
        </w:rPr>
        <w:t>However, the level at which</w:t>
      </w:r>
      <w:r>
        <w:rPr>
          <w:rFonts w:ascii="Calibri" w:hAnsi="Calibri" w:cs="Arial"/>
          <w:color w:val="000000" w:themeColor="text1"/>
          <w:sz w:val="22"/>
          <w:szCs w:val="22"/>
        </w:rPr>
        <w:t xml:space="preserve"> </w:t>
      </w:r>
      <w:r w:rsidRPr="005F3EB6">
        <w:rPr>
          <w:rFonts w:ascii="Calibri" w:hAnsi="Calibri" w:cs="Arial"/>
          <w:color w:val="000000" w:themeColor="text1"/>
          <w:sz w:val="22"/>
          <w:szCs w:val="22"/>
          <w:lang w:val="en-US"/>
        </w:rPr>
        <w:t>monitoring requirements and accountability levels should apply</w:t>
      </w:r>
      <w:r w:rsidRPr="00865643">
        <w:rPr>
          <w:rFonts w:ascii="Calibri" w:hAnsi="Calibri" w:cs="Arial"/>
          <w:color w:val="000000" w:themeColor="text1"/>
          <w:sz w:val="22"/>
          <w:szCs w:val="22"/>
        </w:rPr>
        <w:t xml:space="preserve">, </w:t>
      </w:r>
      <w:proofErr w:type="gramStart"/>
      <w:r w:rsidRPr="00865643">
        <w:rPr>
          <w:rFonts w:ascii="Calibri" w:hAnsi="Calibri" w:cs="Arial"/>
          <w:color w:val="000000" w:themeColor="text1"/>
          <w:sz w:val="22"/>
          <w:szCs w:val="22"/>
        </w:rPr>
        <w:t>i.e.</w:t>
      </w:r>
      <w:proofErr w:type="gramEnd"/>
      <w:r w:rsidRPr="00865643">
        <w:rPr>
          <w:rFonts w:ascii="Calibri" w:hAnsi="Calibri" w:cs="Arial"/>
          <w:color w:val="000000" w:themeColor="text1"/>
          <w:sz w:val="22"/>
          <w:szCs w:val="22"/>
        </w:rPr>
        <w:t xml:space="preserve"> persons with close links, is a foreign concept for EU commodity derivative trading venues, which have no access to such information. It is therefore highly recommended that ESMA uses the existing reporting formats which includes information on end position holder and parent undertaking</w:t>
      </w:r>
      <w:r>
        <w:rPr>
          <w:rFonts w:ascii="Calibri" w:hAnsi="Calibri" w:cs="Arial"/>
          <w:color w:val="000000" w:themeColor="text1"/>
          <w:sz w:val="22"/>
          <w:szCs w:val="22"/>
        </w:rPr>
        <w:t>.</w:t>
      </w:r>
    </w:p>
    <w:permEnd w:id="1365146390"/>
    <w:p w14:paraId="78E3242B" w14:textId="7EF911E8"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_16&gt;</w:t>
      </w:r>
    </w:p>
    <w:p w14:paraId="3CEF756A" w14:textId="77777777" w:rsidR="001F23C9" w:rsidRDefault="001F23C9" w:rsidP="001F23C9">
      <w:pPr>
        <w:rPr>
          <w:rFonts w:ascii="Arial" w:hAnsi="Arial" w:cs="Arial"/>
        </w:rPr>
      </w:pPr>
    </w:p>
    <w:p w14:paraId="49783DA5" w14:textId="5F4873AE" w:rsidR="001F23C9" w:rsidRPr="00175CFB" w:rsidRDefault="001F23C9" w:rsidP="001F23C9">
      <w:pPr>
        <w:pStyle w:val="Questionstyle"/>
        <w:numPr>
          <w:ilvl w:val="0"/>
          <w:numId w:val="9"/>
        </w:numPr>
        <w:spacing w:after="250" w:line="276" w:lineRule="auto"/>
      </w:pPr>
      <w:r>
        <w:t>:</w:t>
      </w:r>
      <w:r w:rsidR="00EC15D5">
        <w:t xml:space="preserve"> </w:t>
      </w:r>
      <w:r w:rsidR="00EC15D5" w:rsidRPr="00EC15D5">
        <w:t>Do you agree with ESMA’s suggestion to introduce accountability levels as part of position management controls? Do you agree with ESMA’s assessment that accountability levels would be of particular relevance for physically settled commodity derivatives? If not, please elaborate and provide alternative proposals.</w:t>
      </w:r>
    </w:p>
    <w:p w14:paraId="24E1D07D" w14:textId="052BA2BD"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_17&gt;</w:t>
      </w:r>
    </w:p>
    <w:p w14:paraId="5CEB0BEE" w14:textId="40359CB3" w:rsidR="00CF4B2F" w:rsidRDefault="00CF4B2F" w:rsidP="001F23C9">
      <w:pPr>
        <w:rPr>
          <w:rFonts w:ascii="Calibri" w:hAnsi="Calibri" w:cs="Arial"/>
          <w:color w:val="000000" w:themeColor="text1"/>
          <w:sz w:val="22"/>
          <w:szCs w:val="22"/>
          <w:lang w:val="en-US"/>
        </w:rPr>
      </w:pPr>
      <w:permStart w:id="1933463559" w:edGrp="everyone"/>
      <w:r>
        <w:rPr>
          <w:rFonts w:ascii="Calibri" w:hAnsi="Calibri" w:cs="Arial"/>
          <w:color w:val="000000" w:themeColor="text1"/>
          <w:sz w:val="22"/>
          <w:szCs w:val="22"/>
          <w:lang w:val="en-US"/>
        </w:rPr>
        <w:t xml:space="preserve">While FIA and ISDA members are supportive of trading venues having position management in place, they are concerned the current proposal will create considerable burdens for both the trading venues and market participants. </w:t>
      </w:r>
    </w:p>
    <w:p w14:paraId="63C966CD" w14:textId="031AB2A9" w:rsidR="00CF4B2F" w:rsidRDefault="00CF4B2F" w:rsidP="001F23C9">
      <w:pPr>
        <w:rPr>
          <w:rFonts w:ascii="Calibri" w:hAnsi="Calibri" w:cs="Arial"/>
          <w:color w:val="000000" w:themeColor="text1"/>
          <w:sz w:val="22"/>
          <w:szCs w:val="22"/>
          <w:lang w:val="en-US"/>
        </w:rPr>
      </w:pPr>
    </w:p>
    <w:p w14:paraId="32449D64" w14:textId="695E1CF8" w:rsidR="00CF4B2F" w:rsidRDefault="00CF4B2F" w:rsidP="001F23C9">
      <w:pPr>
        <w:rPr>
          <w:rFonts w:ascii="Calibri" w:hAnsi="Calibri"/>
          <w:color w:val="000000" w:themeColor="text1"/>
          <w:sz w:val="22"/>
          <w:szCs w:val="22"/>
          <w:lang w:val="en-US"/>
        </w:rPr>
      </w:pPr>
      <w:r>
        <w:rPr>
          <w:rFonts w:ascii="Calibri" w:hAnsi="Calibri" w:cs="Arial"/>
          <w:color w:val="000000" w:themeColor="text1"/>
          <w:sz w:val="22"/>
          <w:szCs w:val="22"/>
          <w:lang w:val="en-US"/>
        </w:rPr>
        <w:t xml:space="preserve">It is important to note that positions are already monitored and investigated as part of sophisticated market surveillance arrangements, for example under MAR and Remit. </w:t>
      </w:r>
      <w:r w:rsidRPr="002F7060">
        <w:rPr>
          <w:rFonts w:ascii="Calibri" w:hAnsi="Calibri"/>
          <w:color w:val="000000" w:themeColor="text1"/>
          <w:sz w:val="22"/>
          <w:szCs w:val="22"/>
          <w:lang w:val="en-US"/>
        </w:rPr>
        <w:t xml:space="preserve">Therefore, we caution ESMA to stipulate a highly prescriptive process with little room for trading venues’ discretion. We believe that the only way for the accountability levels to properly function would be on the condition that discretion is given to the trading venue to determine on which contracts to set those accountability levels, when to actively monitor them (spot month and/or other month or even closer to delivery) and whether indeed to request additional information if an accountability level is exceeded. If not, the position management controls </w:t>
      </w:r>
      <w:r>
        <w:rPr>
          <w:rFonts w:ascii="Calibri" w:hAnsi="Calibri"/>
          <w:color w:val="000000" w:themeColor="text1"/>
          <w:sz w:val="22"/>
          <w:szCs w:val="22"/>
          <w:lang w:val="en-US"/>
        </w:rPr>
        <w:t>will</w:t>
      </w:r>
      <w:r w:rsidRPr="002F7060">
        <w:rPr>
          <w:rFonts w:ascii="Calibri" w:hAnsi="Calibri"/>
          <w:color w:val="000000" w:themeColor="text1"/>
          <w:sz w:val="22"/>
          <w:szCs w:val="22"/>
          <w:lang w:val="en-US"/>
        </w:rPr>
        <w:t xml:space="preserve"> put a heavy burden on both the exchanges’ market surveillance departments and trading participants’ compliance departments</w:t>
      </w:r>
      <w:r>
        <w:rPr>
          <w:rFonts w:ascii="Calibri" w:hAnsi="Calibri"/>
          <w:color w:val="000000" w:themeColor="text1"/>
          <w:sz w:val="22"/>
          <w:szCs w:val="22"/>
          <w:lang w:val="en-US"/>
        </w:rPr>
        <w:t>.</w:t>
      </w:r>
    </w:p>
    <w:p w14:paraId="5A8A34BA" w14:textId="2A048884" w:rsidR="00CF4B2F" w:rsidRDefault="00CF4B2F" w:rsidP="001F23C9">
      <w:pPr>
        <w:rPr>
          <w:rFonts w:ascii="Calibri" w:hAnsi="Calibri"/>
          <w:color w:val="000000" w:themeColor="text1"/>
          <w:sz w:val="22"/>
          <w:szCs w:val="22"/>
          <w:lang w:val="en-US"/>
        </w:rPr>
      </w:pPr>
    </w:p>
    <w:p w14:paraId="0AF5EB73" w14:textId="0771CF57" w:rsidR="00CF4B2F" w:rsidRDefault="00737C17" w:rsidP="001F23C9">
      <w:pPr>
        <w:rPr>
          <w:rFonts w:ascii="Calibri" w:hAnsi="Calibri"/>
          <w:color w:val="000000" w:themeColor="text1"/>
          <w:sz w:val="22"/>
          <w:szCs w:val="22"/>
          <w:lang w:val="en-US"/>
        </w:rPr>
      </w:pPr>
      <w:r>
        <w:rPr>
          <w:rFonts w:ascii="Calibri" w:hAnsi="Calibri"/>
          <w:color w:val="000000" w:themeColor="text1"/>
          <w:sz w:val="22"/>
          <w:szCs w:val="22"/>
          <w:lang w:val="en-US"/>
        </w:rPr>
        <w:t>We therefore recommend that in</w:t>
      </w:r>
      <w:r w:rsidRPr="00420213">
        <w:rPr>
          <w:rFonts w:ascii="Calibri" w:hAnsi="Calibri"/>
          <w:color w:val="000000" w:themeColor="text1"/>
          <w:sz w:val="22"/>
          <w:szCs w:val="22"/>
          <w:lang w:val="en-US"/>
        </w:rPr>
        <w:t xml:space="preserve"> </w:t>
      </w:r>
      <w:r>
        <w:rPr>
          <w:rFonts w:ascii="Calibri" w:hAnsi="Calibri"/>
          <w:color w:val="000000" w:themeColor="text1"/>
          <w:sz w:val="22"/>
          <w:szCs w:val="22"/>
          <w:lang w:val="en-US"/>
        </w:rPr>
        <w:t>Art. 2 par. 1</w:t>
      </w:r>
      <w:r w:rsidRPr="00420213">
        <w:rPr>
          <w:rFonts w:ascii="Calibri" w:hAnsi="Calibri"/>
          <w:color w:val="000000" w:themeColor="text1"/>
          <w:sz w:val="22"/>
          <w:szCs w:val="22"/>
          <w:lang w:val="en-US"/>
        </w:rPr>
        <w:t>, 2 and 3</w:t>
      </w:r>
      <w:r>
        <w:rPr>
          <w:rFonts w:ascii="Calibri" w:hAnsi="Calibri"/>
          <w:color w:val="000000" w:themeColor="text1"/>
          <w:sz w:val="22"/>
          <w:szCs w:val="22"/>
          <w:lang w:val="en-US"/>
        </w:rPr>
        <w:t xml:space="preserve">, as well as </w:t>
      </w:r>
      <w:r w:rsidRPr="00420213">
        <w:rPr>
          <w:rFonts w:ascii="Calibri" w:hAnsi="Calibri"/>
          <w:color w:val="000000" w:themeColor="text1"/>
          <w:sz w:val="22"/>
          <w:szCs w:val="22"/>
          <w:lang w:val="en-US"/>
        </w:rPr>
        <w:t>the second part of paragraph 4</w:t>
      </w:r>
      <w:r>
        <w:rPr>
          <w:rFonts w:ascii="Calibri" w:hAnsi="Calibri"/>
          <w:color w:val="000000" w:themeColor="text1"/>
          <w:sz w:val="22"/>
          <w:szCs w:val="22"/>
          <w:lang w:val="en-US"/>
        </w:rPr>
        <w:t xml:space="preserve">, the words </w:t>
      </w:r>
      <w:r w:rsidRPr="00420213">
        <w:rPr>
          <w:rFonts w:ascii="Calibri" w:hAnsi="Calibri"/>
          <w:color w:val="000000" w:themeColor="text1"/>
          <w:sz w:val="22"/>
          <w:szCs w:val="22"/>
          <w:lang w:val="en-US"/>
        </w:rPr>
        <w:t xml:space="preserve">“shall” </w:t>
      </w:r>
      <w:proofErr w:type="gramStart"/>
      <w:r>
        <w:rPr>
          <w:rFonts w:ascii="Calibri" w:hAnsi="Calibri"/>
          <w:color w:val="000000" w:themeColor="text1"/>
          <w:sz w:val="22"/>
          <w:szCs w:val="22"/>
          <w:lang w:val="en-US"/>
        </w:rPr>
        <w:t>are</w:t>
      </w:r>
      <w:proofErr w:type="gramEnd"/>
      <w:r>
        <w:rPr>
          <w:rFonts w:ascii="Calibri" w:hAnsi="Calibri"/>
          <w:color w:val="000000" w:themeColor="text1"/>
          <w:sz w:val="22"/>
          <w:szCs w:val="22"/>
          <w:lang w:val="en-US"/>
        </w:rPr>
        <w:t xml:space="preserve"> replaced by </w:t>
      </w:r>
      <w:r w:rsidRPr="00420213">
        <w:rPr>
          <w:rFonts w:ascii="Calibri" w:hAnsi="Calibri"/>
          <w:color w:val="000000" w:themeColor="text1"/>
          <w:sz w:val="22"/>
          <w:szCs w:val="22"/>
          <w:lang w:val="en-US"/>
        </w:rPr>
        <w:t>“may”</w:t>
      </w:r>
      <w:r>
        <w:rPr>
          <w:rFonts w:ascii="Calibri" w:hAnsi="Calibri"/>
          <w:color w:val="000000" w:themeColor="text1"/>
          <w:sz w:val="22"/>
          <w:szCs w:val="22"/>
          <w:lang w:val="en-US"/>
        </w:rPr>
        <w:t>.</w:t>
      </w:r>
    </w:p>
    <w:p w14:paraId="342C03DD" w14:textId="40C9DC42" w:rsidR="00737C17" w:rsidRDefault="00737C17" w:rsidP="001F23C9">
      <w:pPr>
        <w:rPr>
          <w:rFonts w:ascii="Calibri" w:hAnsi="Calibri"/>
          <w:color w:val="000000" w:themeColor="text1"/>
          <w:sz w:val="22"/>
          <w:szCs w:val="22"/>
          <w:lang w:val="en-US"/>
        </w:rPr>
      </w:pPr>
    </w:p>
    <w:p w14:paraId="1B13A3D3" w14:textId="19D4412C" w:rsidR="00737C17" w:rsidRDefault="00737C17" w:rsidP="001F23C9">
      <w:pPr>
        <w:rPr>
          <w:rFonts w:ascii="Calibri" w:hAnsi="Calibri" w:cs="Arial"/>
          <w:color w:val="000000" w:themeColor="text1"/>
          <w:sz w:val="22"/>
          <w:szCs w:val="22"/>
          <w:lang w:val="en-US"/>
        </w:rPr>
      </w:pPr>
      <w:r>
        <w:rPr>
          <w:rFonts w:ascii="Calibri" w:hAnsi="Calibri"/>
          <w:color w:val="000000" w:themeColor="text1"/>
          <w:sz w:val="22"/>
          <w:szCs w:val="22"/>
          <w:lang w:val="en-US"/>
        </w:rPr>
        <w:lastRenderedPageBreak/>
        <w:t>Providing the trading venues with the discretion to set those accountability levels as they deem it necessary and appropriate would be in line with the CFTC rulemaking on position management controls, as well as with MiFID II Art. 57 par. 8 which lays down the powers for trading venues to establish position management controls.</w:t>
      </w:r>
    </w:p>
    <w:permEnd w:id="1933463559"/>
    <w:p w14:paraId="7F003725" w14:textId="5F806D39"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_17&gt;</w:t>
      </w:r>
    </w:p>
    <w:p w14:paraId="465090D5" w14:textId="77777777" w:rsidR="001F23C9" w:rsidRDefault="001F23C9" w:rsidP="001F23C9">
      <w:pPr>
        <w:rPr>
          <w:rFonts w:ascii="Arial" w:hAnsi="Arial" w:cs="Arial"/>
        </w:rPr>
      </w:pPr>
    </w:p>
    <w:p w14:paraId="1BD1281A" w14:textId="3F93B6EA" w:rsidR="001F23C9" w:rsidRPr="00175CFB" w:rsidRDefault="001F23C9" w:rsidP="001F23C9">
      <w:pPr>
        <w:pStyle w:val="Questionstyle"/>
        <w:numPr>
          <w:ilvl w:val="0"/>
          <w:numId w:val="9"/>
        </w:numPr>
        <w:spacing w:after="250" w:line="276" w:lineRule="auto"/>
      </w:pPr>
      <w:r>
        <w:t>:</w:t>
      </w:r>
      <w:r w:rsidRPr="000F104A">
        <w:t xml:space="preserve"> </w:t>
      </w:r>
      <w:r w:rsidR="00EC15D5" w:rsidRPr="00EC15D5">
        <w:t>In your view, how should accountability levels be set for the spot month and the other months? Based on which methodology or criteria? Should all types of positions count towards the accountability levels?</w:t>
      </w:r>
    </w:p>
    <w:p w14:paraId="41FC366D" w14:textId="7942F802"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_18&gt;</w:t>
      </w:r>
    </w:p>
    <w:p w14:paraId="02043C15" w14:textId="6A6CC7BD" w:rsidR="009C2B58" w:rsidRDefault="009C2B58" w:rsidP="001F23C9">
      <w:pPr>
        <w:rPr>
          <w:rFonts w:ascii="Arial" w:hAnsi="Arial" w:cs="Arial"/>
        </w:rPr>
      </w:pPr>
      <w:permStart w:id="1388730375" w:edGrp="everyone"/>
      <w:r>
        <w:rPr>
          <w:rFonts w:ascii="Calibri" w:hAnsi="Calibri" w:cs="Arial"/>
          <w:color w:val="000000" w:themeColor="text1"/>
          <w:sz w:val="22"/>
          <w:szCs w:val="22"/>
          <w:lang w:val="en-US"/>
        </w:rPr>
        <w:t>Please see our response to Q17.</w:t>
      </w:r>
    </w:p>
    <w:permEnd w:id="1388730375"/>
    <w:p w14:paraId="161D58CB" w14:textId="4B57CA99"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_18&gt;</w:t>
      </w:r>
    </w:p>
    <w:p w14:paraId="7EE42A66" w14:textId="77777777" w:rsidR="001F23C9" w:rsidRDefault="001F23C9" w:rsidP="001F23C9">
      <w:pPr>
        <w:rPr>
          <w:rFonts w:ascii="Arial" w:hAnsi="Arial" w:cs="Arial"/>
        </w:rPr>
      </w:pPr>
    </w:p>
    <w:p w14:paraId="4A21C8B1" w14:textId="28DFFBC5" w:rsidR="00EC15D5" w:rsidRPr="00EC15D5" w:rsidRDefault="001F23C9" w:rsidP="00EC15D5">
      <w:pPr>
        <w:pStyle w:val="Questionstyle"/>
        <w:numPr>
          <w:ilvl w:val="0"/>
          <w:numId w:val="9"/>
        </w:numPr>
        <w:spacing w:after="250" w:line="276" w:lineRule="auto"/>
      </w:pPr>
      <w:r>
        <w:t>:</w:t>
      </w:r>
      <w:r w:rsidRPr="000F104A">
        <w:t xml:space="preserve"> </w:t>
      </w:r>
      <w:r w:rsidR="00EC15D5" w:rsidRPr="00EC15D5">
        <w:t>Do you agree with ESMA’s suggestion to introduce requirements for the review of accountability levels? Do you also agree with ESMA’s proposal regarding reporting requirements to the NCA on accountability levels? If not, please elaborate.</w:t>
      </w:r>
    </w:p>
    <w:p w14:paraId="0D1D11BC" w14:textId="77777777" w:rsidR="00EC15D5" w:rsidRPr="00EC15D5" w:rsidRDefault="00EC15D5" w:rsidP="00EC15D5">
      <w:pPr>
        <w:rPr>
          <w:rFonts w:ascii="Arial" w:hAnsi="Arial" w:cs="Arial"/>
        </w:rPr>
      </w:pPr>
      <w:r w:rsidRPr="00EC15D5">
        <w:rPr>
          <w:rFonts w:ascii="Arial" w:hAnsi="Arial" w:cs="Arial"/>
        </w:rPr>
        <w:t>&lt;ESMA_QUESTION_CD_19&gt;</w:t>
      </w:r>
    </w:p>
    <w:p w14:paraId="42792D2F" w14:textId="77777777" w:rsidR="00737C17" w:rsidRDefault="00737C17" w:rsidP="00EC15D5">
      <w:pPr>
        <w:rPr>
          <w:rFonts w:ascii="Arial" w:hAnsi="Arial" w:cs="Arial"/>
        </w:rPr>
      </w:pPr>
      <w:permStart w:id="1252535276" w:edGrp="everyone"/>
      <w:r>
        <w:rPr>
          <w:rFonts w:ascii="Calibri" w:hAnsi="Calibri" w:cs="Arial"/>
          <w:color w:val="000000" w:themeColor="text1"/>
          <w:sz w:val="22"/>
          <w:szCs w:val="22"/>
          <w:lang w:val="en-US"/>
        </w:rPr>
        <w:t>We agree with the proposal.</w:t>
      </w:r>
      <w:r w:rsidRPr="00EC15D5">
        <w:rPr>
          <w:rFonts w:ascii="Arial" w:hAnsi="Arial" w:cs="Arial"/>
        </w:rPr>
        <w:t xml:space="preserve"> </w:t>
      </w:r>
    </w:p>
    <w:permEnd w:id="1252535276"/>
    <w:p w14:paraId="7AB37724" w14:textId="6938C8B8" w:rsidR="00EC15D5" w:rsidRPr="00EC15D5" w:rsidRDefault="00EC15D5" w:rsidP="00EC15D5">
      <w:pPr>
        <w:rPr>
          <w:rFonts w:ascii="Arial" w:hAnsi="Arial" w:cs="Arial"/>
        </w:rPr>
      </w:pPr>
      <w:r w:rsidRPr="00EC15D5">
        <w:rPr>
          <w:rFonts w:ascii="Arial" w:hAnsi="Arial" w:cs="Arial"/>
        </w:rPr>
        <w:t>&lt;ESMA_QUESTION_CD_19&gt;</w:t>
      </w:r>
    </w:p>
    <w:p w14:paraId="2C0C1CF1" w14:textId="77777777" w:rsidR="00EC15D5" w:rsidRDefault="00EC15D5" w:rsidP="00EC15D5">
      <w:pPr>
        <w:pStyle w:val="Questionstyle"/>
        <w:numPr>
          <w:ilvl w:val="0"/>
          <w:numId w:val="0"/>
        </w:numPr>
        <w:spacing w:after="250" w:line="276" w:lineRule="auto"/>
      </w:pPr>
    </w:p>
    <w:p w14:paraId="28FFF90C" w14:textId="7A73FDE8" w:rsidR="00EC15D5" w:rsidRDefault="00EC15D5" w:rsidP="00EC15D5">
      <w:pPr>
        <w:pStyle w:val="Questionstyle"/>
        <w:numPr>
          <w:ilvl w:val="0"/>
          <w:numId w:val="9"/>
        </w:numPr>
        <w:spacing w:after="250" w:line="276" w:lineRule="auto"/>
      </w:pPr>
      <w:r>
        <w:t xml:space="preserve">: </w:t>
      </w:r>
      <w:r w:rsidRPr="00EC15D5">
        <w:t>In your view, what other types of position management controls could be further specified in the draft RTS?</w:t>
      </w:r>
    </w:p>
    <w:p w14:paraId="7F5A0F42" w14:textId="0AFFA951"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20</w:t>
      </w:r>
      <w:r w:rsidRPr="00EC15D5">
        <w:rPr>
          <w:rFonts w:ascii="Arial" w:hAnsi="Arial" w:cs="Arial"/>
        </w:rPr>
        <w:t>&gt;</w:t>
      </w:r>
    </w:p>
    <w:p w14:paraId="6AC6C29D" w14:textId="77777777" w:rsidR="00737C17" w:rsidRDefault="00737C17" w:rsidP="00EC15D5">
      <w:pPr>
        <w:rPr>
          <w:rFonts w:ascii="Calibri" w:hAnsi="Calibri" w:cs="Arial"/>
          <w:color w:val="000000" w:themeColor="text1"/>
          <w:sz w:val="22"/>
          <w:szCs w:val="22"/>
          <w:lang w:val="en-US"/>
        </w:rPr>
      </w:pPr>
      <w:permStart w:id="133526605" w:edGrp="everyone"/>
      <w:r>
        <w:rPr>
          <w:rFonts w:ascii="Calibri" w:hAnsi="Calibri" w:cs="Arial"/>
          <w:color w:val="000000" w:themeColor="text1"/>
          <w:sz w:val="22"/>
          <w:szCs w:val="22"/>
          <w:lang w:val="en-US"/>
        </w:rPr>
        <w:t>We do not believe that any position management controls beyond those proposed should be set by ESMA. Rather, trading venues should have the discretion to introduce relevant measures, where necessary.</w:t>
      </w:r>
    </w:p>
    <w:permEnd w:id="133526605"/>
    <w:p w14:paraId="0CC67D21" w14:textId="74E0AFD7" w:rsidR="00EC15D5" w:rsidRDefault="00EC15D5" w:rsidP="00EC15D5">
      <w:pPr>
        <w:rPr>
          <w:rFonts w:ascii="Arial" w:hAnsi="Arial" w:cs="Arial"/>
        </w:rPr>
      </w:pPr>
      <w:r w:rsidRPr="00EC15D5">
        <w:rPr>
          <w:rFonts w:ascii="Arial" w:hAnsi="Arial" w:cs="Arial"/>
        </w:rPr>
        <w:t>&lt;ESMA_QUESTION_CD_</w:t>
      </w:r>
      <w:r>
        <w:rPr>
          <w:rFonts w:ascii="Arial" w:hAnsi="Arial" w:cs="Arial"/>
        </w:rPr>
        <w:t>20</w:t>
      </w:r>
      <w:r w:rsidRPr="00EC15D5">
        <w:rPr>
          <w:rFonts w:ascii="Arial" w:hAnsi="Arial" w:cs="Arial"/>
        </w:rPr>
        <w:t>&gt;</w:t>
      </w:r>
    </w:p>
    <w:p w14:paraId="65667D94" w14:textId="27EC7E65" w:rsidR="00EC15D5" w:rsidRPr="00EC15D5" w:rsidRDefault="00EC15D5" w:rsidP="00EC15D5">
      <w:pPr>
        <w:rPr>
          <w:rFonts w:asciiTheme="minorHAnsi" w:hAnsiTheme="minorHAnsi" w:cstheme="minorHAnsi"/>
        </w:rPr>
      </w:pPr>
    </w:p>
    <w:p w14:paraId="36B9A42F" w14:textId="2AD988F9" w:rsidR="00EC15D5" w:rsidRPr="00EC15D5" w:rsidRDefault="00EC15D5" w:rsidP="00EC15D5">
      <w:pPr>
        <w:rPr>
          <w:rFonts w:asciiTheme="minorHAnsi" w:hAnsiTheme="minorHAnsi" w:cstheme="minorHAnsi"/>
          <w:b/>
          <w:bCs/>
        </w:rPr>
      </w:pPr>
      <w:r w:rsidRPr="00EC15D5">
        <w:rPr>
          <w:rFonts w:asciiTheme="minorHAnsi" w:hAnsiTheme="minorHAnsi" w:cstheme="minorHAnsi"/>
          <w:b/>
          <w:bCs/>
        </w:rPr>
        <w:t>Cost Benefit Analysis</w:t>
      </w:r>
    </w:p>
    <w:p w14:paraId="766888B4" w14:textId="77777777" w:rsidR="00EC15D5" w:rsidRPr="00EC15D5" w:rsidRDefault="00EC15D5" w:rsidP="00EC15D5">
      <w:pPr>
        <w:rPr>
          <w:rFonts w:ascii="Arial" w:hAnsi="Arial" w:cs="Arial"/>
        </w:rPr>
      </w:pPr>
    </w:p>
    <w:p w14:paraId="0535C89F" w14:textId="7B5E2917" w:rsidR="00EC15D5" w:rsidRDefault="00EC15D5" w:rsidP="00EC15D5"/>
    <w:p w14:paraId="40A59261" w14:textId="1578C3A6" w:rsidR="00EC15D5" w:rsidRDefault="00EC15D5" w:rsidP="00EC15D5">
      <w:pPr>
        <w:pStyle w:val="Questionstyle"/>
        <w:numPr>
          <w:ilvl w:val="0"/>
          <w:numId w:val="0"/>
        </w:numPr>
        <w:spacing w:after="250" w:line="276" w:lineRule="auto"/>
        <w:ind w:left="360"/>
      </w:pPr>
      <w:r w:rsidRPr="00EC15D5">
        <w:rPr>
          <w:b/>
          <w:bCs/>
        </w:rPr>
        <w:t>CBA Q1</w:t>
      </w:r>
      <w:r>
        <w:t xml:space="preserve">: </w:t>
      </w:r>
      <w:r w:rsidRPr="00EC15D5">
        <w:t>This first question aims at identifying the category of firm/entity you belong to. Please provide the total notional amount traded in commodity derivatives traded on a trading venue (and EEOTC contracts where relevant in 2020 in thousand euros and the related total number of trades in the relevant boxes).</w:t>
      </w:r>
    </w:p>
    <w:p w14:paraId="2AED79D1" w14:textId="25F50871"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21</w:t>
      </w:r>
      <w:r w:rsidRPr="00EC15D5">
        <w:rPr>
          <w:rFonts w:ascii="Arial" w:hAnsi="Arial" w:cs="Arial"/>
        </w:rPr>
        <w:t>&gt;</w:t>
      </w:r>
    </w:p>
    <w:p w14:paraId="2FD986BD" w14:textId="72778A75" w:rsidR="00EC15D5" w:rsidRDefault="00EC15D5" w:rsidP="00EC15D5">
      <w:pPr>
        <w:rPr>
          <w:rFonts w:ascii="Arial" w:hAnsi="Arial" w:cs="Arial"/>
        </w:rPr>
      </w:pPr>
      <w:permStart w:id="1900831222" w:edGrp="everyone"/>
      <w:r w:rsidRPr="00EC15D5">
        <w:rPr>
          <w:rFonts w:ascii="Arial" w:hAnsi="Arial" w:cs="Arial"/>
        </w:rPr>
        <w:t>TYPE YOUR TEXT HERE</w:t>
      </w:r>
    </w:p>
    <w:tbl>
      <w:tblPr>
        <w:tblStyle w:val="TableGrid"/>
        <w:tblpPr w:leftFromText="141" w:rightFromText="141" w:vertAnchor="text" w:tblpXSpec="center" w:tblpY="1"/>
        <w:tblOverlap w:val="never"/>
        <w:tblW w:w="0" w:type="auto"/>
        <w:jc w:val="center"/>
        <w:tblLook w:val="04A0" w:firstRow="1" w:lastRow="0" w:firstColumn="1" w:lastColumn="0" w:noHBand="0" w:noVBand="1"/>
      </w:tblPr>
      <w:tblGrid>
        <w:gridCol w:w="2265"/>
        <w:gridCol w:w="2265"/>
        <w:gridCol w:w="2265"/>
        <w:gridCol w:w="2265"/>
      </w:tblGrid>
      <w:tr w:rsidR="00EC15D5" w14:paraId="55865BF6" w14:textId="77777777" w:rsidTr="008F530D">
        <w:trPr>
          <w:jc w:val="center"/>
        </w:trPr>
        <w:tc>
          <w:tcPr>
            <w:tcW w:w="2265" w:type="dxa"/>
          </w:tcPr>
          <w:p w14:paraId="04128C5C" w14:textId="77777777" w:rsidR="00EC15D5" w:rsidRDefault="00EC15D5" w:rsidP="008F530D">
            <w:r>
              <w:t xml:space="preserve">Category </w:t>
            </w:r>
          </w:p>
        </w:tc>
        <w:tc>
          <w:tcPr>
            <w:tcW w:w="2265" w:type="dxa"/>
          </w:tcPr>
          <w:p w14:paraId="569F603D" w14:textId="77777777" w:rsidR="00EC15D5" w:rsidRDefault="00EC15D5" w:rsidP="008F530D">
            <w:r>
              <w:t>Number of employees</w:t>
            </w:r>
          </w:p>
        </w:tc>
        <w:tc>
          <w:tcPr>
            <w:tcW w:w="2266" w:type="dxa"/>
          </w:tcPr>
          <w:p w14:paraId="3B3BF48E" w14:textId="77777777" w:rsidR="00EC15D5" w:rsidRDefault="00EC15D5" w:rsidP="008F530D">
            <w:r>
              <w:t xml:space="preserve">Total notional amount traded in 2020 in thousand euros </w:t>
            </w:r>
          </w:p>
        </w:tc>
        <w:tc>
          <w:tcPr>
            <w:tcW w:w="2266" w:type="dxa"/>
          </w:tcPr>
          <w:p w14:paraId="0621B0C0" w14:textId="77777777" w:rsidR="00EC15D5" w:rsidRDefault="00EC15D5" w:rsidP="008F530D">
            <w:r>
              <w:t>Number of trades in 2020</w:t>
            </w:r>
          </w:p>
        </w:tc>
      </w:tr>
      <w:tr w:rsidR="00EC15D5" w14:paraId="70C9B542" w14:textId="77777777" w:rsidTr="008F530D">
        <w:trPr>
          <w:jc w:val="center"/>
        </w:trPr>
        <w:tc>
          <w:tcPr>
            <w:tcW w:w="2265" w:type="dxa"/>
            <w:vMerge w:val="restart"/>
            <w:vAlign w:val="center"/>
          </w:tcPr>
          <w:p w14:paraId="1E82DEA3" w14:textId="77777777" w:rsidR="00EC15D5" w:rsidRDefault="00EC15D5" w:rsidP="008F530D">
            <w:r>
              <w:t>Trading venue</w:t>
            </w:r>
          </w:p>
        </w:tc>
        <w:tc>
          <w:tcPr>
            <w:tcW w:w="2265" w:type="dxa"/>
          </w:tcPr>
          <w:p w14:paraId="1DA3C6C5" w14:textId="77777777" w:rsidR="00EC15D5" w:rsidRDefault="00EC15D5" w:rsidP="008F530D">
            <w:r>
              <w:t>[1-50]</w:t>
            </w:r>
          </w:p>
        </w:tc>
        <w:tc>
          <w:tcPr>
            <w:tcW w:w="2266" w:type="dxa"/>
          </w:tcPr>
          <w:p w14:paraId="2F0D25D8" w14:textId="77777777" w:rsidR="00EC15D5" w:rsidRDefault="00EC15D5" w:rsidP="008F530D"/>
        </w:tc>
        <w:tc>
          <w:tcPr>
            <w:tcW w:w="2266" w:type="dxa"/>
          </w:tcPr>
          <w:p w14:paraId="2671A4BD" w14:textId="77777777" w:rsidR="00EC15D5" w:rsidRDefault="00EC15D5" w:rsidP="008F530D"/>
        </w:tc>
      </w:tr>
      <w:tr w:rsidR="00EC15D5" w14:paraId="5C95F789" w14:textId="77777777" w:rsidTr="008F530D">
        <w:trPr>
          <w:jc w:val="center"/>
        </w:trPr>
        <w:tc>
          <w:tcPr>
            <w:tcW w:w="2265" w:type="dxa"/>
            <w:vMerge/>
            <w:vAlign w:val="center"/>
          </w:tcPr>
          <w:p w14:paraId="053B9393" w14:textId="77777777" w:rsidR="00EC15D5" w:rsidRDefault="00EC15D5" w:rsidP="008F530D"/>
        </w:tc>
        <w:tc>
          <w:tcPr>
            <w:tcW w:w="2265" w:type="dxa"/>
          </w:tcPr>
          <w:p w14:paraId="599925C6" w14:textId="77777777" w:rsidR="00EC15D5" w:rsidRDefault="00EC15D5" w:rsidP="008F530D">
            <w:r>
              <w:t>[51-250]</w:t>
            </w:r>
          </w:p>
        </w:tc>
        <w:tc>
          <w:tcPr>
            <w:tcW w:w="2266" w:type="dxa"/>
          </w:tcPr>
          <w:p w14:paraId="634AFFAF" w14:textId="77777777" w:rsidR="00EC15D5" w:rsidRDefault="00EC15D5" w:rsidP="008F530D"/>
        </w:tc>
        <w:tc>
          <w:tcPr>
            <w:tcW w:w="2266" w:type="dxa"/>
          </w:tcPr>
          <w:p w14:paraId="4F3FC5D9" w14:textId="77777777" w:rsidR="00EC15D5" w:rsidRDefault="00EC15D5" w:rsidP="008F530D"/>
        </w:tc>
      </w:tr>
      <w:tr w:rsidR="00EC15D5" w14:paraId="772E7F95" w14:textId="77777777" w:rsidTr="008F530D">
        <w:trPr>
          <w:jc w:val="center"/>
        </w:trPr>
        <w:tc>
          <w:tcPr>
            <w:tcW w:w="2265" w:type="dxa"/>
            <w:vMerge/>
            <w:vAlign w:val="center"/>
          </w:tcPr>
          <w:p w14:paraId="00463D95" w14:textId="77777777" w:rsidR="00EC15D5" w:rsidRDefault="00EC15D5" w:rsidP="008F530D"/>
        </w:tc>
        <w:tc>
          <w:tcPr>
            <w:tcW w:w="2265" w:type="dxa"/>
          </w:tcPr>
          <w:p w14:paraId="21B52571" w14:textId="77777777" w:rsidR="00EC15D5" w:rsidRDefault="00EC15D5" w:rsidP="008F530D">
            <w:r>
              <w:t>[251-500]</w:t>
            </w:r>
          </w:p>
        </w:tc>
        <w:tc>
          <w:tcPr>
            <w:tcW w:w="2266" w:type="dxa"/>
          </w:tcPr>
          <w:p w14:paraId="3D6A2F40" w14:textId="77777777" w:rsidR="00EC15D5" w:rsidRDefault="00EC15D5" w:rsidP="008F530D"/>
        </w:tc>
        <w:tc>
          <w:tcPr>
            <w:tcW w:w="2266" w:type="dxa"/>
          </w:tcPr>
          <w:p w14:paraId="2DA39240" w14:textId="77777777" w:rsidR="00EC15D5" w:rsidRDefault="00EC15D5" w:rsidP="008F530D"/>
        </w:tc>
      </w:tr>
      <w:tr w:rsidR="00EC15D5" w14:paraId="54FB1C17" w14:textId="77777777" w:rsidTr="008F530D">
        <w:trPr>
          <w:jc w:val="center"/>
        </w:trPr>
        <w:tc>
          <w:tcPr>
            <w:tcW w:w="2265" w:type="dxa"/>
            <w:vMerge/>
            <w:vAlign w:val="center"/>
          </w:tcPr>
          <w:p w14:paraId="4DE16B44" w14:textId="77777777" w:rsidR="00EC15D5" w:rsidRDefault="00EC15D5" w:rsidP="008F530D"/>
        </w:tc>
        <w:tc>
          <w:tcPr>
            <w:tcW w:w="2265" w:type="dxa"/>
          </w:tcPr>
          <w:p w14:paraId="5BDCFE85" w14:textId="77777777" w:rsidR="00EC15D5" w:rsidRDefault="00EC15D5" w:rsidP="008F530D">
            <w:r>
              <w:t>&gt;500</w:t>
            </w:r>
          </w:p>
        </w:tc>
        <w:tc>
          <w:tcPr>
            <w:tcW w:w="2266" w:type="dxa"/>
          </w:tcPr>
          <w:p w14:paraId="481D26F5" w14:textId="77777777" w:rsidR="00EC15D5" w:rsidRDefault="00EC15D5" w:rsidP="008F530D"/>
        </w:tc>
        <w:tc>
          <w:tcPr>
            <w:tcW w:w="2266" w:type="dxa"/>
          </w:tcPr>
          <w:p w14:paraId="216C5B66" w14:textId="77777777" w:rsidR="00EC15D5" w:rsidRDefault="00EC15D5" w:rsidP="008F530D"/>
        </w:tc>
      </w:tr>
      <w:tr w:rsidR="00EC15D5" w14:paraId="44F5443C" w14:textId="77777777" w:rsidTr="008F530D">
        <w:trPr>
          <w:jc w:val="center"/>
        </w:trPr>
        <w:tc>
          <w:tcPr>
            <w:tcW w:w="2265" w:type="dxa"/>
            <w:vMerge w:val="restart"/>
            <w:vAlign w:val="center"/>
          </w:tcPr>
          <w:p w14:paraId="4071757F" w14:textId="77777777" w:rsidR="00EC15D5" w:rsidRDefault="00EC15D5" w:rsidP="008F530D">
            <w:r>
              <w:lastRenderedPageBreak/>
              <w:t xml:space="preserve">Financial entity </w:t>
            </w:r>
          </w:p>
        </w:tc>
        <w:tc>
          <w:tcPr>
            <w:tcW w:w="2265" w:type="dxa"/>
          </w:tcPr>
          <w:p w14:paraId="5BB56C7E" w14:textId="77777777" w:rsidR="00EC15D5" w:rsidRDefault="00EC15D5" w:rsidP="008F530D">
            <w:r>
              <w:t>[1-50]</w:t>
            </w:r>
          </w:p>
        </w:tc>
        <w:tc>
          <w:tcPr>
            <w:tcW w:w="2266" w:type="dxa"/>
          </w:tcPr>
          <w:p w14:paraId="5A0FF211" w14:textId="77777777" w:rsidR="00EC15D5" w:rsidRDefault="00EC15D5" w:rsidP="008F530D"/>
        </w:tc>
        <w:tc>
          <w:tcPr>
            <w:tcW w:w="2266" w:type="dxa"/>
          </w:tcPr>
          <w:p w14:paraId="30C65D47" w14:textId="77777777" w:rsidR="00EC15D5" w:rsidRDefault="00EC15D5" w:rsidP="008F530D"/>
        </w:tc>
      </w:tr>
      <w:tr w:rsidR="00EC15D5" w14:paraId="6BA0F3F9" w14:textId="77777777" w:rsidTr="008F530D">
        <w:trPr>
          <w:jc w:val="center"/>
        </w:trPr>
        <w:tc>
          <w:tcPr>
            <w:tcW w:w="2265" w:type="dxa"/>
            <w:vMerge/>
            <w:vAlign w:val="center"/>
          </w:tcPr>
          <w:p w14:paraId="10478AAA" w14:textId="77777777" w:rsidR="00EC15D5" w:rsidRDefault="00EC15D5" w:rsidP="008F530D"/>
        </w:tc>
        <w:tc>
          <w:tcPr>
            <w:tcW w:w="2265" w:type="dxa"/>
          </w:tcPr>
          <w:p w14:paraId="239F5F92" w14:textId="77777777" w:rsidR="00EC15D5" w:rsidRDefault="00EC15D5" w:rsidP="008F530D">
            <w:r>
              <w:t>[51-250]</w:t>
            </w:r>
          </w:p>
        </w:tc>
        <w:tc>
          <w:tcPr>
            <w:tcW w:w="2266" w:type="dxa"/>
          </w:tcPr>
          <w:p w14:paraId="34222647" w14:textId="77777777" w:rsidR="00EC15D5" w:rsidRDefault="00EC15D5" w:rsidP="008F530D"/>
        </w:tc>
        <w:tc>
          <w:tcPr>
            <w:tcW w:w="2266" w:type="dxa"/>
          </w:tcPr>
          <w:p w14:paraId="1D233B26" w14:textId="77777777" w:rsidR="00EC15D5" w:rsidRDefault="00EC15D5" w:rsidP="008F530D"/>
        </w:tc>
      </w:tr>
      <w:tr w:rsidR="00EC15D5" w14:paraId="525A394A" w14:textId="77777777" w:rsidTr="008F530D">
        <w:trPr>
          <w:jc w:val="center"/>
        </w:trPr>
        <w:tc>
          <w:tcPr>
            <w:tcW w:w="2265" w:type="dxa"/>
            <w:vMerge/>
            <w:vAlign w:val="center"/>
          </w:tcPr>
          <w:p w14:paraId="18BC8920" w14:textId="77777777" w:rsidR="00EC15D5" w:rsidRDefault="00EC15D5" w:rsidP="008F530D"/>
        </w:tc>
        <w:tc>
          <w:tcPr>
            <w:tcW w:w="2265" w:type="dxa"/>
          </w:tcPr>
          <w:p w14:paraId="13E5593C" w14:textId="77777777" w:rsidR="00EC15D5" w:rsidRDefault="00EC15D5" w:rsidP="008F530D">
            <w:r>
              <w:t>[251-500]</w:t>
            </w:r>
          </w:p>
        </w:tc>
        <w:tc>
          <w:tcPr>
            <w:tcW w:w="2266" w:type="dxa"/>
          </w:tcPr>
          <w:p w14:paraId="609D06A5" w14:textId="77777777" w:rsidR="00EC15D5" w:rsidRDefault="00EC15D5" w:rsidP="008F530D"/>
        </w:tc>
        <w:tc>
          <w:tcPr>
            <w:tcW w:w="2266" w:type="dxa"/>
          </w:tcPr>
          <w:p w14:paraId="0314DC75" w14:textId="77777777" w:rsidR="00EC15D5" w:rsidRDefault="00EC15D5" w:rsidP="008F530D"/>
        </w:tc>
      </w:tr>
      <w:tr w:rsidR="00EC15D5" w14:paraId="0093DA04" w14:textId="77777777" w:rsidTr="008F530D">
        <w:trPr>
          <w:jc w:val="center"/>
        </w:trPr>
        <w:tc>
          <w:tcPr>
            <w:tcW w:w="2265" w:type="dxa"/>
            <w:vMerge/>
            <w:vAlign w:val="center"/>
          </w:tcPr>
          <w:p w14:paraId="6A549BFB" w14:textId="77777777" w:rsidR="00EC15D5" w:rsidRDefault="00EC15D5" w:rsidP="008F530D"/>
        </w:tc>
        <w:tc>
          <w:tcPr>
            <w:tcW w:w="2265" w:type="dxa"/>
          </w:tcPr>
          <w:p w14:paraId="4AF0E3B2" w14:textId="77777777" w:rsidR="00EC15D5" w:rsidRDefault="00EC15D5" w:rsidP="008F530D">
            <w:r>
              <w:t>&gt;500</w:t>
            </w:r>
          </w:p>
        </w:tc>
        <w:tc>
          <w:tcPr>
            <w:tcW w:w="2266" w:type="dxa"/>
          </w:tcPr>
          <w:p w14:paraId="165BF2A4" w14:textId="77777777" w:rsidR="00EC15D5" w:rsidRDefault="00EC15D5" w:rsidP="008F530D"/>
        </w:tc>
        <w:tc>
          <w:tcPr>
            <w:tcW w:w="2266" w:type="dxa"/>
          </w:tcPr>
          <w:p w14:paraId="60784249" w14:textId="77777777" w:rsidR="00EC15D5" w:rsidRDefault="00EC15D5" w:rsidP="008F530D"/>
        </w:tc>
      </w:tr>
      <w:tr w:rsidR="00EC15D5" w14:paraId="606B1F68" w14:textId="77777777" w:rsidTr="008F530D">
        <w:trPr>
          <w:jc w:val="center"/>
        </w:trPr>
        <w:tc>
          <w:tcPr>
            <w:tcW w:w="2265" w:type="dxa"/>
            <w:vMerge w:val="restart"/>
            <w:vAlign w:val="center"/>
          </w:tcPr>
          <w:p w14:paraId="431F89B8" w14:textId="77777777" w:rsidR="00EC15D5" w:rsidRDefault="00EC15D5" w:rsidP="008F530D">
            <w:r>
              <w:t>Non-financial entity</w:t>
            </w:r>
          </w:p>
        </w:tc>
        <w:tc>
          <w:tcPr>
            <w:tcW w:w="2265" w:type="dxa"/>
          </w:tcPr>
          <w:p w14:paraId="2BF32F83" w14:textId="77777777" w:rsidR="00EC15D5" w:rsidRDefault="00EC15D5" w:rsidP="008F530D">
            <w:r>
              <w:t>[1-50]</w:t>
            </w:r>
          </w:p>
        </w:tc>
        <w:tc>
          <w:tcPr>
            <w:tcW w:w="2266" w:type="dxa"/>
          </w:tcPr>
          <w:p w14:paraId="2B728776" w14:textId="77777777" w:rsidR="00EC15D5" w:rsidRDefault="00EC15D5" w:rsidP="008F530D"/>
        </w:tc>
        <w:tc>
          <w:tcPr>
            <w:tcW w:w="2266" w:type="dxa"/>
          </w:tcPr>
          <w:p w14:paraId="63C38FA9" w14:textId="77777777" w:rsidR="00EC15D5" w:rsidRDefault="00EC15D5" w:rsidP="008F530D"/>
        </w:tc>
      </w:tr>
      <w:tr w:rsidR="00EC15D5" w14:paraId="5497FC94" w14:textId="77777777" w:rsidTr="008F530D">
        <w:trPr>
          <w:jc w:val="center"/>
        </w:trPr>
        <w:tc>
          <w:tcPr>
            <w:tcW w:w="2265" w:type="dxa"/>
            <w:vMerge/>
          </w:tcPr>
          <w:p w14:paraId="08A0D0E5" w14:textId="77777777" w:rsidR="00EC15D5" w:rsidRDefault="00EC15D5" w:rsidP="008F530D"/>
        </w:tc>
        <w:tc>
          <w:tcPr>
            <w:tcW w:w="2265" w:type="dxa"/>
          </w:tcPr>
          <w:p w14:paraId="1C7A9B30" w14:textId="77777777" w:rsidR="00EC15D5" w:rsidRDefault="00EC15D5" w:rsidP="008F530D">
            <w:r>
              <w:t>[51-250]</w:t>
            </w:r>
          </w:p>
        </w:tc>
        <w:tc>
          <w:tcPr>
            <w:tcW w:w="2266" w:type="dxa"/>
          </w:tcPr>
          <w:p w14:paraId="26A04A8B" w14:textId="77777777" w:rsidR="00EC15D5" w:rsidRDefault="00EC15D5" w:rsidP="008F530D"/>
        </w:tc>
        <w:tc>
          <w:tcPr>
            <w:tcW w:w="2266" w:type="dxa"/>
          </w:tcPr>
          <w:p w14:paraId="6E58829F" w14:textId="77777777" w:rsidR="00EC15D5" w:rsidRDefault="00EC15D5" w:rsidP="008F530D"/>
        </w:tc>
      </w:tr>
      <w:tr w:rsidR="00EC15D5" w14:paraId="77387BBF" w14:textId="77777777" w:rsidTr="008F530D">
        <w:trPr>
          <w:jc w:val="center"/>
        </w:trPr>
        <w:tc>
          <w:tcPr>
            <w:tcW w:w="2265" w:type="dxa"/>
            <w:vMerge/>
          </w:tcPr>
          <w:p w14:paraId="65C1AC7B" w14:textId="77777777" w:rsidR="00EC15D5" w:rsidRDefault="00EC15D5" w:rsidP="008F530D"/>
        </w:tc>
        <w:tc>
          <w:tcPr>
            <w:tcW w:w="2265" w:type="dxa"/>
          </w:tcPr>
          <w:p w14:paraId="5202C80B" w14:textId="77777777" w:rsidR="00EC15D5" w:rsidRDefault="00EC15D5" w:rsidP="008F530D">
            <w:r>
              <w:t>[251-500]</w:t>
            </w:r>
          </w:p>
        </w:tc>
        <w:tc>
          <w:tcPr>
            <w:tcW w:w="2266" w:type="dxa"/>
          </w:tcPr>
          <w:p w14:paraId="4FC13446" w14:textId="77777777" w:rsidR="00EC15D5" w:rsidRDefault="00EC15D5" w:rsidP="008F530D"/>
        </w:tc>
        <w:tc>
          <w:tcPr>
            <w:tcW w:w="2266" w:type="dxa"/>
          </w:tcPr>
          <w:p w14:paraId="41FF38F2" w14:textId="77777777" w:rsidR="00EC15D5" w:rsidRDefault="00EC15D5" w:rsidP="008F530D"/>
        </w:tc>
      </w:tr>
      <w:tr w:rsidR="00EC15D5" w14:paraId="63D63D99" w14:textId="77777777" w:rsidTr="008F530D">
        <w:trPr>
          <w:jc w:val="center"/>
        </w:trPr>
        <w:tc>
          <w:tcPr>
            <w:tcW w:w="2265" w:type="dxa"/>
            <w:vMerge/>
          </w:tcPr>
          <w:p w14:paraId="4CF03470" w14:textId="77777777" w:rsidR="00EC15D5" w:rsidRDefault="00EC15D5" w:rsidP="008F530D"/>
        </w:tc>
        <w:tc>
          <w:tcPr>
            <w:tcW w:w="2265" w:type="dxa"/>
          </w:tcPr>
          <w:p w14:paraId="361895D0" w14:textId="77777777" w:rsidR="00EC15D5" w:rsidRDefault="00EC15D5" w:rsidP="008F530D">
            <w:r>
              <w:t>&gt;500</w:t>
            </w:r>
          </w:p>
        </w:tc>
        <w:tc>
          <w:tcPr>
            <w:tcW w:w="2266" w:type="dxa"/>
          </w:tcPr>
          <w:p w14:paraId="68382055" w14:textId="77777777" w:rsidR="00EC15D5" w:rsidRDefault="00EC15D5" w:rsidP="008F530D"/>
        </w:tc>
        <w:tc>
          <w:tcPr>
            <w:tcW w:w="2266" w:type="dxa"/>
          </w:tcPr>
          <w:p w14:paraId="4C3D3991" w14:textId="77777777" w:rsidR="00EC15D5" w:rsidRDefault="00EC15D5" w:rsidP="008F530D"/>
        </w:tc>
      </w:tr>
    </w:tbl>
    <w:p w14:paraId="5F7F2B7B" w14:textId="77777777" w:rsidR="00EC15D5" w:rsidRPr="00EC15D5" w:rsidRDefault="00EC15D5" w:rsidP="00EC15D5">
      <w:pPr>
        <w:rPr>
          <w:rFonts w:ascii="Arial" w:hAnsi="Arial" w:cs="Arial"/>
        </w:rPr>
      </w:pPr>
    </w:p>
    <w:permEnd w:id="1900831222"/>
    <w:p w14:paraId="547546FD" w14:textId="07E2E738"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21</w:t>
      </w:r>
      <w:r w:rsidRPr="00EC15D5">
        <w:rPr>
          <w:rFonts w:ascii="Arial" w:hAnsi="Arial" w:cs="Arial"/>
        </w:rPr>
        <w:t>&gt;</w:t>
      </w:r>
    </w:p>
    <w:p w14:paraId="665B536F" w14:textId="570F137E" w:rsidR="00EC15D5" w:rsidRDefault="00EC15D5" w:rsidP="00EC15D5"/>
    <w:p w14:paraId="786BB09F" w14:textId="5663BA86" w:rsidR="00EC15D5" w:rsidRDefault="00EC15D5" w:rsidP="00EC15D5"/>
    <w:p w14:paraId="68D7178E" w14:textId="1E25AFB2" w:rsidR="00EC15D5" w:rsidRDefault="00EC15D5" w:rsidP="00EC15D5">
      <w:pPr>
        <w:pStyle w:val="Questionstyle"/>
        <w:numPr>
          <w:ilvl w:val="0"/>
          <w:numId w:val="0"/>
        </w:numPr>
        <w:spacing w:after="250" w:line="276" w:lineRule="auto"/>
        <w:ind w:left="360"/>
      </w:pPr>
      <w:r w:rsidRPr="00EC15D5">
        <w:rPr>
          <w:b/>
          <w:bCs/>
        </w:rPr>
        <w:t>CBA Q</w:t>
      </w:r>
      <w:r>
        <w:rPr>
          <w:b/>
          <w:bCs/>
        </w:rPr>
        <w:t>2</w:t>
      </w:r>
      <w:r>
        <w:t xml:space="preserve">: </w:t>
      </w:r>
      <w:r w:rsidRPr="00EC15D5">
        <w:t>for Financial entities: Do you intend to apply for an exemption for risk-reducing positions related to the commercial activities of the commercial entity of the group? What percentage of your positions do these risk-reducing positions account for?</w:t>
      </w:r>
    </w:p>
    <w:p w14:paraId="1EAF88B7" w14:textId="3CC474FF"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22</w:t>
      </w:r>
      <w:r w:rsidRPr="00EC15D5">
        <w:rPr>
          <w:rFonts w:ascii="Arial" w:hAnsi="Arial" w:cs="Arial"/>
        </w:rPr>
        <w:t>&gt;</w:t>
      </w:r>
    </w:p>
    <w:p w14:paraId="4F1C9E0F" w14:textId="77777777" w:rsidR="00EC15D5" w:rsidRPr="00EC15D5" w:rsidRDefault="00EC15D5" w:rsidP="00EC15D5">
      <w:pPr>
        <w:rPr>
          <w:rFonts w:ascii="Arial" w:hAnsi="Arial" w:cs="Arial"/>
        </w:rPr>
      </w:pPr>
      <w:permStart w:id="476319685" w:edGrp="everyone"/>
      <w:r w:rsidRPr="00EC15D5">
        <w:rPr>
          <w:rFonts w:ascii="Arial" w:hAnsi="Arial" w:cs="Arial"/>
        </w:rPr>
        <w:t>TYPE YOUR TEXT HERE</w:t>
      </w:r>
    </w:p>
    <w:permEnd w:id="476319685"/>
    <w:p w14:paraId="17E88D87" w14:textId="5C2B86C9"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22</w:t>
      </w:r>
      <w:r w:rsidRPr="00EC15D5">
        <w:rPr>
          <w:rFonts w:ascii="Arial" w:hAnsi="Arial" w:cs="Arial"/>
        </w:rPr>
        <w:t>&gt;</w:t>
      </w:r>
    </w:p>
    <w:p w14:paraId="4AF77CC6" w14:textId="36752559" w:rsidR="00EC15D5" w:rsidRDefault="00EC15D5" w:rsidP="00EC15D5"/>
    <w:p w14:paraId="209E6A05" w14:textId="5E82A89F" w:rsidR="00EC15D5" w:rsidRDefault="00EC15D5" w:rsidP="00EC15D5">
      <w:pPr>
        <w:pStyle w:val="Questionstyle"/>
        <w:numPr>
          <w:ilvl w:val="0"/>
          <w:numId w:val="0"/>
        </w:numPr>
        <w:spacing w:after="250" w:line="276" w:lineRule="auto"/>
        <w:ind w:left="720" w:hanging="360"/>
      </w:pPr>
      <w:r w:rsidRPr="00EC15D5">
        <w:rPr>
          <w:b/>
          <w:bCs/>
        </w:rPr>
        <w:t>CBA Q</w:t>
      </w:r>
      <w:r>
        <w:rPr>
          <w:b/>
          <w:bCs/>
        </w:rPr>
        <w:t>3</w:t>
      </w:r>
      <w:r>
        <w:t xml:space="preserve">: </w:t>
      </w:r>
      <w:r w:rsidRPr="00EC15D5">
        <w:t>Do you intend to apply for an exemption for positions resulting from transactions undertaken to fulfil mandatory liquidity provision? What percentage of your positions do these positions account for?</w:t>
      </w:r>
    </w:p>
    <w:p w14:paraId="785603E6" w14:textId="42E12AEC"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23</w:t>
      </w:r>
      <w:r w:rsidRPr="00EC15D5">
        <w:rPr>
          <w:rFonts w:ascii="Arial" w:hAnsi="Arial" w:cs="Arial"/>
        </w:rPr>
        <w:t>&gt;</w:t>
      </w:r>
    </w:p>
    <w:p w14:paraId="16E096B4" w14:textId="77777777" w:rsidR="00EC15D5" w:rsidRPr="00EC15D5" w:rsidRDefault="00EC15D5" w:rsidP="00EC15D5">
      <w:pPr>
        <w:rPr>
          <w:rFonts w:ascii="Arial" w:hAnsi="Arial" w:cs="Arial"/>
        </w:rPr>
      </w:pPr>
      <w:permStart w:id="237008053" w:edGrp="everyone"/>
      <w:r w:rsidRPr="00EC15D5">
        <w:rPr>
          <w:rFonts w:ascii="Arial" w:hAnsi="Arial" w:cs="Arial"/>
        </w:rPr>
        <w:t>TYPE YOUR TEXT HERE</w:t>
      </w:r>
    </w:p>
    <w:permEnd w:id="237008053"/>
    <w:p w14:paraId="41022C84" w14:textId="379A19B7"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23</w:t>
      </w:r>
      <w:r w:rsidRPr="00EC15D5">
        <w:rPr>
          <w:rFonts w:ascii="Arial" w:hAnsi="Arial" w:cs="Arial"/>
        </w:rPr>
        <w:t>&gt;</w:t>
      </w:r>
    </w:p>
    <w:p w14:paraId="47268C0B" w14:textId="7B8A9345" w:rsidR="00EC15D5" w:rsidRDefault="00EC15D5" w:rsidP="00EC15D5"/>
    <w:p w14:paraId="056A7946" w14:textId="6E9BBD5C" w:rsidR="00EC15D5" w:rsidRDefault="00833000" w:rsidP="00833000">
      <w:pPr>
        <w:pStyle w:val="Questionstyle"/>
        <w:numPr>
          <w:ilvl w:val="0"/>
          <w:numId w:val="0"/>
        </w:numPr>
        <w:spacing w:after="250" w:line="276" w:lineRule="auto"/>
        <w:ind w:left="360"/>
      </w:pPr>
      <w:r w:rsidRPr="00EC15D5">
        <w:rPr>
          <w:b/>
          <w:bCs/>
        </w:rPr>
        <w:t>CBA Q</w:t>
      </w:r>
      <w:r>
        <w:rPr>
          <w:b/>
          <w:bCs/>
        </w:rPr>
        <w:t>4</w:t>
      </w:r>
      <w:r w:rsidR="00EC15D5">
        <w:t xml:space="preserve">: </w:t>
      </w:r>
      <w:r w:rsidRPr="00833000">
        <w:t>Is there any specific provision in draft RTS 21a that you would expect to be a source of significant cost? If so, please elaborate.</w:t>
      </w:r>
    </w:p>
    <w:p w14:paraId="60BB1C2A" w14:textId="2768F55E"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4</w:t>
      </w:r>
      <w:r w:rsidRPr="00EC15D5">
        <w:rPr>
          <w:rFonts w:ascii="Arial" w:hAnsi="Arial" w:cs="Arial"/>
        </w:rPr>
        <w:t>&gt;</w:t>
      </w:r>
    </w:p>
    <w:p w14:paraId="053457C5" w14:textId="77777777" w:rsidR="00EC15D5" w:rsidRPr="00EC15D5" w:rsidRDefault="00EC15D5" w:rsidP="00EC15D5">
      <w:pPr>
        <w:rPr>
          <w:rFonts w:ascii="Arial" w:hAnsi="Arial" w:cs="Arial"/>
        </w:rPr>
      </w:pPr>
      <w:permStart w:id="91757252" w:edGrp="everyone"/>
      <w:r w:rsidRPr="00EC15D5">
        <w:rPr>
          <w:rFonts w:ascii="Arial" w:hAnsi="Arial" w:cs="Arial"/>
        </w:rPr>
        <w:t>TYPE YOUR TEXT HERE</w:t>
      </w:r>
    </w:p>
    <w:permEnd w:id="91757252"/>
    <w:p w14:paraId="4417D23E" w14:textId="27D6C419"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4</w:t>
      </w:r>
      <w:r w:rsidRPr="00EC15D5">
        <w:rPr>
          <w:rFonts w:ascii="Arial" w:hAnsi="Arial" w:cs="Arial"/>
        </w:rPr>
        <w:t>&gt;</w:t>
      </w:r>
    </w:p>
    <w:p w14:paraId="0E40BAAD" w14:textId="77777777" w:rsidR="00EC15D5" w:rsidRDefault="00EC15D5" w:rsidP="00EC15D5"/>
    <w:p w14:paraId="3629423B" w14:textId="1744D40F" w:rsidR="00EC15D5" w:rsidRDefault="00833000" w:rsidP="00833000">
      <w:pPr>
        <w:pStyle w:val="Questionstyle"/>
        <w:numPr>
          <w:ilvl w:val="0"/>
          <w:numId w:val="0"/>
        </w:numPr>
        <w:spacing w:after="250" w:line="276" w:lineRule="auto"/>
        <w:ind w:left="360"/>
      </w:pPr>
      <w:r w:rsidRPr="00EC15D5">
        <w:rPr>
          <w:b/>
          <w:bCs/>
        </w:rPr>
        <w:t>CBA Q</w:t>
      </w:r>
      <w:r>
        <w:rPr>
          <w:b/>
          <w:bCs/>
        </w:rPr>
        <w:t>5</w:t>
      </w:r>
      <w:r w:rsidR="00EC15D5">
        <w:t xml:space="preserve">: </w:t>
      </w:r>
      <w:r w:rsidRPr="00833000">
        <w:t>Taking into account the size of your firm, would you qualify overall compliance costs with draft RTS 21a as low, medium or high?</w:t>
      </w:r>
    </w:p>
    <w:p w14:paraId="67DEAFC4" w14:textId="78B6BB6E"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5</w:t>
      </w:r>
      <w:r w:rsidRPr="00EC15D5">
        <w:rPr>
          <w:rFonts w:ascii="Arial" w:hAnsi="Arial" w:cs="Arial"/>
        </w:rPr>
        <w:t>&gt;</w:t>
      </w:r>
    </w:p>
    <w:p w14:paraId="6509E657" w14:textId="77777777" w:rsidR="00EC15D5" w:rsidRPr="00EC15D5" w:rsidRDefault="00EC15D5" w:rsidP="00EC15D5">
      <w:pPr>
        <w:rPr>
          <w:rFonts w:ascii="Arial" w:hAnsi="Arial" w:cs="Arial"/>
        </w:rPr>
      </w:pPr>
      <w:permStart w:id="1524712210" w:edGrp="everyone"/>
      <w:r w:rsidRPr="00EC15D5">
        <w:rPr>
          <w:rFonts w:ascii="Arial" w:hAnsi="Arial" w:cs="Arial"/>
        </w:rPr>
        <w:t>TYPE YOUR TEXT HERE</w:t>
      </w:r>
    </w:p>
    <w:permEnd w:id="1524712210"/>
    <w:p w14:paraId="47D68646" w14:textId="0A7C7337"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5</w:t>
      </w:r>
      <w:r w:rsidRPr="00EC15D5">
        <w:rPr>
          <w:rFonts w:ascii="Arial" w:hAnsi="Arial" w:cs="Arial"/>
        </w:rPr>
        <w:t>&gt;</w:t>
      </w:r>
    </w:p>
    <w:p w14:paraId="1BDA3D00" w14:textId="7F8D5302" w:rsidR="00EC15D5" w:rsidRDefault="00EC15D5" w:rsidP="00EC15D5"/>
    <w:p w14:paraId="3DAF850B" w14:textId="2CA4D48C" w:rsidR="00EC15D5" w:rsidRDefault="00833000" w:rsidP="00833000">
      <w:pPr>
        <w:pStyle w:val="Questionstyle"/>
        <w:numPr>
          <w:ilvl w:val="0"/>
          <w:numId w:val="0"/>
        </w:numPr>
        <w:spacing w:after="250" w:line="276" w:lineRule="auto"/>
        <w:ind w:left="720" w:hanging="360"/>
      </w:pPr>
      <w:r w:rsidRPr="00EC15D5">
        <w:rPr>
          <w:b/>
          <w:bCs/>
        </w:rPr>
        <w:t>CBA Q</w:t>
      </w:r>
      <w:r>
        <w:rPr>
          <w:b/>
          <w:bCs/>
        </w:rPr>
        <w:t>6</w:t>
      </w:r>
      <w:r w:rsidR="00EC15D5">
        <w:t xml:space="preserve">: </w:t>
      </w:r>
      <w:r w:rsidRPr="00833000">
        <w:t>Is there any specific provision in the draft RTS on position management controls that you would expect to be a source of significant cost? If so, please elaborate.</w:t>
      </w:r>
    </w:p>
    <w:p w14:paraId="118FD0B0" w14:textId="7656DB19"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6</w:t>
      </w:r>
      <w:r w:rsidRPr="00EC15D5">
        <w:rPr>
          <w:rFonts w:ascii="Arial" w:hAnsi="Arial" w:cs="Arial"/>
        </w:rPr>
        <w:t>&gt;</w:t>
      </w:r>
    </w:p>
    <w:p w14:paraId="328735F5" w14:textId="708C2980" w:rsidR="005D4B64" w:rsidRDefault="005D4B64" w:rsidP="00EC15D5">
      <w:pPr>
        <w:rPr>
          <w:rFonts w:ascii="Calibri" w:hAnsi="Calibri"/>
          <w:sz w:val="22"/>
          <w:szCs w:val="22"/>
          <w:lang w:val="en-US"/>
        </w:rPr>
      </w:pPr>
      <w:permStart w:id="448079908" w:edGrp="everyone"/>
      <w:r w:rsidRPr="00691FBB">
        <w:rPr>
          <w:rFonts w:ascii="Calibri" w:hAnsi="Calibri"/>
          <w:sz w:val="22"/>
          <w:szCs w:val="22"/>
          <w:lang w:val="en-US"/>
        </w:rPr>
        <w:t xml:space="preserve">Yes, we believe that the absence of sufficient discretion for the exchange to implement the position management controls in an appropriate manner and the extension of the position management </w:t>
      </w:r>
      <w:r w:rsidRPr="00691FBB">
        <w:rPr>
          <w:rFonts w:ascii="Calibri" w:hAnsi="Calibri"/>
          <w:sz w:val="22"/>
          <w:szCs w:val="22"/>
          <w:lang w:val="en-US"/>
        </w:rPr>
        <w:lastRenderedPageBreak/>
        <w:t>controls to cover ‘persons with close links’ is likely to result in a significant cost to exchanges and market participants</w:t>
      </w:r>
      <w:r>
        <w:rPr>
          <w:rFonts w:ascii="Calibri" w:hAnsi="Calibri"/>
          <w:sz w:val="22"/>
          <w:szCs w:val="22"/>
          <w:lang w:val="en-US"/>
        </w:rPr>
        <w:t xml:space="preserve">. </w:t>
      </w:r>
    </w:p>
    <w:p w14:paraId="4C21149A" w14:textId="77777777" w:rsidR="005D4B64" w:rsidRDefault="005D4B64" w:rsidP="00EC15D5">
      <w:pPr>
        <w:rPr>
          <w:rFonts w:ascii="Calibri" w:hAnsi="Calibri"/>
          <w:sz w:val="22"/>
          <w:szCs w:val="22"/>
          <w:lang w:val="en-US"/>
        </w:rPr>
      </w:pPr>
    </w:p>
    <w:p w14:paraId="7FF0FFB1" w14:textId="7B8C3266" w:rsidR="005D4B64" w:rsidRDefault="005D4B64" w:rsidP="00EC15D5">
      <w:pPr>
        <w:rPr>
          <w:rFonts w:ascii="Calibri" w:hAnsi="Calibri"/>
          <w:sz w:val="22"/>
          <w:szCs w:val="22"/>
          <w:lang w:val="en-US"/>
        </w:rPr>
      </w:pPr>
      <w:r w:rsidRPr="00691FBB">
        <w:rPr>
          <w:rFonts w:ascii="Calibri" w:hAnsi="Calibri"/>
          <w:sz w:val="22"/>
          <w:szCs w:val="22"/>
          <w:lang w:val="en-US"/>
        </w:rPr>
        <w:t>Any breach of an accountability level would require the exchange to investigate and obtain a substantial amount of information from market participants. Exchanges may have to hire additional market surveillance staff to handle all investigations prompted by alerts and market participants may have to hire additional compliance staff to respond to all information requests</w:t>
      </w:r>
      <w:r>
        <w:rPr>
          <w:rFonts w:ascii="Calibri" w:hAnsi="Calibri"/>
          <w:sz w:val="22"/>
          <w:szCs w:val="22"/>
          <w:lang w:val="en-US"/>
        </w:rPr>
        <w:t>.</w:t>
      </w:r>
    </w:p>
    <w:p w14:paraId="4C767B20" w14:textId="26A60B12" w:rsidR="005D4B64" w:rsidRDefault="005D4B64" w:rsidP="00EC15D5">
      <w:pPr>
        <w:rPr>
          <w:rFonts w:ascii="Calibri" w:hAnsi="Calibri"/>
          <w:sz w:val="22"/>
          <w:szCs w:val="22"/>
          <w:lang w:val="en-US"/>
        </w:rPr>
      </w:pPr>
    </w:p>
    <w:p w14:paraId="4B036610" w14:textId="2771A7CD" w:rsidR="005D4B64" w:rsidRDefault="005D4B64" w:rsidP="00EC15D5">
      <w:pPr>
        <w:rPr>
          <w:rFonts w:ascii="Calibri" w:hAnsi="Calibri"/>
          <w:sz w:val="22"/>
          <w:szCs w:val="22"/>
          <w:lang w:val="en-US"/>
        </w:rPr>
      </w:pPr>
      <w:r w:rsidRPr="00691FBB">
        <w:rPr>
          <w:rFonts w:ascii="Calibri" w:hAnsi="Calibri"/>
          <w:sz w:val="22"/>
          <w:szCs w:val="22"/>
          <w:lang w:val="en-US"/>
        </w:rPr>
        <w:t>The extension of the scope of the position management controls to cover ‘persons with close links’ would require new daily reporting arrangements between the exchange and their clients to be developed, as the information about affiliates covered under the ‘persons with close links’ requirement is not covered in existing MiFID II position reporting requirements</w:t>
      </w:r>
      <w:r>
        <w:rPr>
          <w:rFonts w:ascii="Calibri" w:hAnsi="Calibri"/>
          <w:sz w:val="22"/>
          <w:szCs w:val="22"/>
          <w:lang w:val="en-US"/>
        </w:rPr>
        <w:t>.</w:t>
      </w:r>
    </w:p>
    <w:permEnd w:id="448079908"/>
    <w:p w14:paraId="6E0AAF1D" w14:textId="45ED0FE2"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6</w:t>
      </w:r>
      <w:r w:rsidRPr="00EC15D5">
        <w:rPr>
          <w:rFonts w:ascii="Arial" w:hAnsi="Arial" w:cs="Arial"/>
        </w:rPr>
        <w:t>&gt;</w:t>
      </w:r>
    </w:p>
    <w:p w14:paraId="6BB66371" w14:textId="1437F4BC" w:rsidR="00EC15D5" w:rsidRDefault="00EC15D5" w:rsidP="00EC15D5"/>
    <w:p w14:paraId="75BC0E5D" w14:textId="109BB750" w:rsidR="00EC15D5" w:rsidRDefault="00833000" w:rsidP="00833000">
      <w:pPr>
        <w:pStyle w:val="Questionstyle"/>
        <w:numPr>
          <w:ilvl w:val="0"/>
          <w:numId w:val="0"/>
        </w:numPr>
        <w:spacing w:after="250" w:line="276" w:lineRule="auto"/>
        <w:ind w:left="720" w:hanging="360"/>
      </w:pPr>
      <w:r w:rsidRPr="00EC15D5">
        <w:rPr>
          <w:b/>
          <w:bCs/>
        </w:rPr>
        <w:t>CBA Q</w:t>
      </w:r>
      <w:r>
        <w:rPr>
          <w:b/>
          <w:bCs/>
        </w:rPr>
        <w:t>7</w:t>
      </w:r>
      <w:r w:rsidR="00EC15D5">
        <w:t xml:space="preserve">: </w:t>
      </w:r>
      <w:r w:rsidRPr="00833000">
        <w:t>Taking into account the size of your firm, would you qualify overall compliance costs with amended the draft RTS on position management controls as low, medium or high?</w:t>
      </w:r>
    </w:p>
    <w:p w14:paraId="4A7FEA57" w14:textId="02A17CA7"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7</w:t>
      </w:r>
      <w:r w:rsidRPr="00EC15D5">
        <w:rPr>
          <w:rFonts w:ascii="Arial" w:hAnsi="Arial" w:cs="Arial"/>
        </w:rPr>
        <w:t>&gt;</w:t>
      </w:r>
    </w:p>
    <w:p w14:paraId="230C989B" w14:textId="77777777" w:rsidR="0062087F" w:rsidRPr="00E71FF7" w:rsidRDefault="0062087F" w:rsidP="0062087F">
      <w:pPr>
        <w:pStyle w:val="NormalWeb"/>
        <w:jc w:val="both"/>
        <w:rPr>
          <w:rFonts w:ascii="Calibri" w:hAnsi="Calibri"/>
          <w:sz w:val="22"/>
          <w:szCs w:val="22"/>
          <w:lang w:val="en-US"/>
        </w:rPr>
      </w:pPr>
      <w:permStart w:id="1125347083" w:edGrp="everyone"/>
      <w:r w:rsidRPr="00691FBB">
        <w:rPr>
          <w:rFonts w:ascii="Calibri" w:hAnsi="Calibri"/>
          <w:sz w:val="22"/>
          <w:szCs w:val="22"/>
          <w:lang w:val="en-US"/>
        </w:rPr>
        <w:t>We would qualify the estimated compliance costs with the draft RTS on position management controls as unreasonably high</w:t>
      </w:r>
      <w:r w:rsidRPr="00691FBB">
        <w:t xml:space="preserve"> </w:t>
      </w:r>
      <w:r w:rsidRPr="00691FBB">
        <w:rPr>
          <w:rFonts w:ascii="Calibri" w:hAnsi="Calibri"/>
          <w:sz w:val="22"/>
          <w:szCs w:val="22"/>
          <w:lang w:val="en-US"/>
        </w:rPr>
        <w:t>and disproportionate.</w:t>
      </w:r>
    </w:p>
    <w:permEnd w:id="1125347083"/>
    <w:p w14:paraId="4E0F279B" w14:textId="5D0A1E83"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7</w:t>
      </w:r>
      <w:r w:rsidRPr="00EC15D5">
        <w:rPr>
          <w:rFonts w:ascii="Arial" w:hAnsi="Arial" w:cs="Arial"/>
        </w:rPr>
        <w:t>&gt;</w:t>
      </w:r>
    </w:p>
    <w:p w14:paraId="41B4893E" w14:textId="17897BA7" w:rsidR="00EC15D5" w:rsidRDefault="00EC15D5" w:rsidP="00EC15D5"/>
    <w:p w14:paraId="105968D9" w14:textId="77777777" w:rsidR="00EC15D5" w:rsidRDefault="00EC15D5" w:rsidP="00EC15D5"/>
    <w:p w14:paraId="522F804D" w14:textId="77777777" w:rsidR="00EC15D5" w:rsidRPr="00EC15D5" w:rsidRDefault="00EC15D5" w:rsidP="00EC15D5"/>
    <w:p w14:paraId="31F640C7" w14:textId="77777777" w:rsidR="002156A3" w:rsidRPr="00EC15D5" w:rsidRDefault="002156A3" w:rsidP="00EC15D5">
      <w:pPr>
        <w:pStyle w:val="Questionstyle"/>
        <w:numPr>
          <w:ilvl w:val="0"/>
          <w:numId w:val="0"/>
        </w:numPr>
        <w:spacing w:after="250" w:line="276" w:lineRule="auto"/>
        <w:ind w:left="720" w:hanging="360"/>
      </w:pPr>
    </w:p>
    <w:bookmarkEnd w:id="0"/>
    <w:p w14:paraId="0FF02D24" w14:textId="77777777" w:rsidR="002156A3" w:rsidRDefault="002156A3" w:rsidP="00C1698A">
      <w:pPr>
        <w:spacing w:line="276" w:lineRule="auto"/>
        <w:rPr>
          <w:rFonts w:asciiTheme="minorHAnsi" w:hAnsiTheme="minorHAnsi" w:cstheme="minorHAnsi"/>
          <w:b/>
          <w:sz w:val="28"/>
          <w:szCs w:val="28"/>
        </w:rPr>
      </w:pPr>
    </w:p>
    <w:sectPr w:rsidR="002156A3"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21116" w14:textId="77777777" w:rsidR="00692575" w:rsidRDefault="00692575" w:rsidP="007E7997">
      <w:r>
        <w:separator/>
      </w:r>
    </w:p>
  </w:endnote>
  <w:endnote w:type="continuationSeparator" w:id="0">
    <w:p w14:paraId="4E47F3DA" w14:textId="77777777" w:rsidR="00692575" w:rsidRDefault="00692575" w:rsidP="007E7997">
      <w:r>
        <w:continuationSeparator/>
      </w:r>
    </w:p>
  </w:endnote>
  <w:endnote w:type="continuationNotice" w:id="1">
    <w:p w14:paraId="21CF3DB0" w14:textId="77777777" w:rsidR="00692575" w:rsidRDefault="006925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10BE29B0"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5B467C">
      <w:rPr>
        <w:rFonts w:asciiTheme="majorHAnsi" w:hAnsiTheme="majorHAnsi"/>
        <w:color w:val="FFFFFF" w:themeColor="background1"/>
      </w:rPr>
      <w:t>1</w:t>
    </w:r>
    <w:r w:rsidR="006B391B">
      <w:rPr>
        <w:rFonts w:asciiTheme="majorHAnsi" w:hAnsiTheme="majorHAnsi"/>
        <w:color w:val="FFFFFF" w:themeColor="background1"/>
      </w:rPr>
      <w:t>1</w:t>
    </w:r>
    <w:r w:rsidR="00AB6157">
      <w:rPr>
        <w:rFonts w:asciiTheme="majorHAnsi" w:hAnsiTheme="majorHAnsi"/>
        <w:color w:val="FFFFFF" w:themeColor="background1"/>
      </w:rPr>
      <w:t xml:space="preserve"> </w:t>
    </w:r>
    <w:r w:rsidR="006B391B">
      <w:rPr>
        <w:rFonts w:asciiTheme="majorHAnsi" w:hAnsiTheme="majorHAnsi"/>
        <w:color w:val="FFFFFF" w:themeColor="background1"/>
      </w:rPr>
      <w:t>May</w:t>
    </w:r>
    <w:r w:rsidR="00AB6157">
      <w:rPr>
        <w:rFonts w:asciiTheme="majorHAnsi" w:hAnsiTheme="majorHAnsi"/>
        <w:color w:val="FFFFFF" w:themeColor="background1"/>
      </w:rPr>
      <w:t xml:space="preserve"> 20</w:t>
    </w:r>
    <w:r w:rsidR="006B391B">
      <w:rPr>
        <w:rFonts w:asciiTheme="majorHAnsi" w:hAnsiTheme="majorHAnsi"/>
        <w:color w:val="FFFFFF" w:themeColor="background1"/>
      </w:rPr>
      <w:t>21</w:t>
    </w:r>
    <w:r w:rsidR="00FF6930">
      <w:rPr>
        <w:rFonts w:asciiTheme="majorHAnsi" w:hAnsiTheme="majorHAnsi"/>
        <w:color w:val="FFFFFF" w:themeColor="background1"/>
      </w:rPr>
      <w:t xml:space="preserve"> </w:t>
    </w:r>
    <w:r w:rsidR="00FF6930" w:rsidRPr="005B467C">
      <w:rPr>
        <w:rFonts w:asciiTheme="majorHAnsi" w:hAnsiTheme="majorHAnsi"/>
        <w:color w:val="FFFFFF" w:themeColor="background1"/>
      </w:rPr>
      <w:t>ESMA</w:t>
    </w:r>
    <w:r w:rsidR="006B391B">
      <w:rPr>
        <w:rFonts w:asciiTheme="majorHAnsi" w:hAnsiTheme="majorHAnsi"/>
        <w:color w:val="FFFFFF" w:themeColor="background1"/>
      </w:rPr>
      <w:t xml:space="preserve"> | </w:t>
    </w:r>
    <w:hyperlink r:id="rId1" w:tgtFrame="_blank" w:history="1">
      <w:r w:rsidR="006B391B" w:rsidRPr="002702C7">
        <w:rPr>
          <w:rFonts w:asciiTheme="majorHAnsi" w:hAnsiTheme="majorHAnsi"/>
          <w:color w:val="FFFFFF" w:themeColor="background1"/>
        </w:rPr>
        <w:t>ESMA</w:t>
      </w:r>
      <w:r w:rsidR="006B391B">
        <w:rPr>
          <w:rFonts w:asciiTheme="majorHAnsi" w:hAnsiTheme="majorHAnsi"/>
          <w:color w:val="FFFFFF" w:themeColor="background1"/>
        </w:rPr>
        <w:t>70</w:t>
      </w:r>
    </w:hyperlink>
    <w:r w:rsidR="006B391B">
      <w:rPr>
        <w:rFonts w:asciiTheme="majorHAnsi" w:hAnsiTheme="majorHAnsi"/>
        <w:color w:val="FFFFFF" w:themeColor="background1"/>
      </w:rPr>
      <w:t>-156-4067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85444" w14:textId="77777777" w:rsidR="00692575" w:rsidRDefault="00692575" w:rsidP="007E7997">
      <w:r>
        <w:separator/>
      </w:r>
    </w:p>
  </w:footnote>
  <w:footnote w:type="continuationSeparator" w:id="0">
    <w:p w14:paraId="5859F5B3" w14:textId="77777777" w:rsidR="00692575" w:rsidRDefault="00692575" w:rsidP="007E7997">
      <w:r>
        <w:continuationSeparator/>
      </w:r>
    </w:p>
  </w:footnote>
  <w:footnote w:type="continuationNotice" w:id="1">
    <w:p w14:paraId="732E4673" w14:textId="77777777" w:rsidR="00692575" w:rsidRDefault="006925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7777777" w:rsidR="00E36813" w:rsidRDefault="00E36813">
    <w:pPr>
      <w:pStyle w:val="Header"/>
    </w:pPr>
    <w:r>
      <w:rPr>
        <w:noProof/>
      </w:rPr>
      <w:drawing>
        <wp:anchor distT="0" distB="0" distL="114300" distR="114300" simplePos="0" relativeHeight="25165875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62336"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498370" id="Line 16"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1E4219F2"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7216"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52232B"/>
    <w:multiLevelType w:val="hybridMultilevel"/>
    <w:tmpl w:val="BA944B8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D76F3F"/>
    <w:multiLevelType w:val="hybridMultilevel"/>
    <w:tmpl w:val="221AC284"/>
    <w:lvl w:ilvl="0" w:tplc="E0F01CF2">
      <w:start w:val="1"/>
      <w:numFmt w:val="decimal"/>
      <w:pStyle w:val="Questionstyle"/>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19"/>
  </w:num>
  <w:num w:numId="4">
    <w:abstractNumId w:val="3"/>
  </w:num>
  <w:num w:numId="5">
    <w:abstractNumId w:val="11"/>
  </w:num>
  <w:num w:numId="6">
    <w:abstractNumId w:val="21"/>
  </w:num>
  <w:num w:numId="7">
    <w:abstractNumId w:val="10"/>
  </w:num>
  <w:num w:numId="8">
    <w:abstractNumId w:val="4"/>
  </w:num>
  <w:num w:numId="9">
    <w:abstractNumId w:val="7"/>
  </w:num>
  <w:num w:numId="10">
    <w:abstractNumId w:val="6"/>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6"/>
  </w:num>
  <w:num w:numId="16">
    <w:abstractNumId w:val="20"/>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21"/>
  </w:num>
  <w:num w:numId="20">
    <w:abstractNumId w:val="9"/>
  </w:num>
  <w:num w:numId="21">
    <w:abstractNumId w:val="18"/>
  </w:num>
  <w:num w:numId="22">
    <w:abstractNumId w:val="12"/>
  </w:num>
  <w:num w:numId="23">
    <w:abstractNumId w:val="15"/>
  </w:num>
  <w:num w:numId="24">
    <w:abstractNumId w:val="0"/>
  </w:num>
  <w:num w:numId="25">
    <w:abstractNumId w:val="14"/>
  </w:num>
  <w:num w:numId="26">
    <w:abstractNumId w:val="13"/>
  </w:num>
  <w:num w:numId="27">
    <w:abstractNumId w:val="8"/>
  </w:num>
  <w:num w:numId="28">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qMSn174yPGdF0fTsKoESCCeXSm1qSIFoCvEVL6ZmW+DaJbh6rrpnvsGUVjLF37zBw/A0o7r28KzOkCibZRNcCQ==" w:salt="5nK5aPihRfzKiJhhkvExQg=="/>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3918"/>
    <w:rsid w:val="00054E00"/>
    <w:rsid w:val="00061B2B"/>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B43"/>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37F0"/>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12C"/>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F6279"/>
    <w:rsid w:val="003013B7"/>
    <w:rsid w:val="00301993"/>
    <w:rsid w:val="00301E55"/>
    <w:rsid w:val="00307397"/>
    <w:rsid w:val="003101EF"/>
    <w:rsid w:val="00312BDD"/>
    <w:rsid w:val="00314117"/>
    <w:rsid w:val="00317EDF"/>
    <w:rsid w:val="003279E7"/>
    <w:rsid w:val="00327B62"/>
    <w:rsid w:val="00331FE9"/>
    <w:rsid w:val="0033324D"/>
    <w:rsid w:val="00335444"/>
    <w:rsid w:val="0033587C"/>
    <w:rsid w:val="00336BF9"/>
    <w:rsid w:val="003371E8"/>
    <w:rsid w:val="00337471"/>
    <w:rsid w:val="0034151D"/>
    <w:rsid w:val="00342B5B"/>
    <w:rsid w:val="00343532"/>
    <w:rsid w:val="00345469"/>
    <w:rsid w:val="003454ED"/>
    <w:rsid w:val="00345EB9"/>
    <w:rsid w:val="0035030F"/>
    <w:rsid w:val="003519DD"/>
    <w:rsid w:val="00353C4B"/>
    <w:rsid w:val="003545A6"/>
    <w:rsid w:val="00356C60"/>
    <w:rsid w:val="003578D1"/>
    <w:rsid w:val="00363639"/>
    <w:rsid w:val="00366D42"/>
    <w:rsid w:val="0036748C"/>
    <w:rsid w:val="00372615"/>
    <w:rsid w:val="00372EA3"/>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50B7"/>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AAC"/>
    <w:rsid w:val="00595F08"/>
    <w:rsid w:val="00595FBE"/>
    <w:rsid w:val="005A1C55"/>
    <w:rsid w:val="005B05DF"/>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4B64"/>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087F"/>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2D03"/>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2575"/>
    <w:rsid w:val="00695AF2"/>
    <w:rsid w:val="00696A2B"/>
    <w:rsid w:val="00696BD5"/>
    <w:rsid w:val="006A04AE"/>
    <w:rsid w:val="006A0AE4"/>
    <w:rsid w:val="006A23F3"/>
    <w:rsid w:val="006A2CF3"/>
    <w:rsid w:val="006A5047"/>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21256"/>
    <w:rsid w:val="007217AD"/>
    <w:rsid w:val="00723BA1"/>
    <w:rsid w:val="00724A1B"/>
    <w:rsid w:val="0073173E"/>
    <w:rsid w:val="007319C3"/>
    <w:rsid w:val="0073454F"/>
    <w:rsid w:val="00735C00"/>
    <w:rsid w:val="007364C6"/>
    <w:rsid w:val="00737C17"/>
    <w:rsid w:val="00740BF3"/>
    <w:rsid w:val="00741D5C"/>
    <w:rsid w:val="0074352F"/>
    <w:rsid w:val="00747C5E"/>
    <w:rsid w:val="00750210"/>
    <w:rsid w:val="00754B57"/>
    <w:rsid w:val="0075671D"/>
    <w:rsid w:val="0076002F"/>
    <w:rsid w:val="0076038B"/>
    <w:rsid w:val="00761744"/>
    <w:rsid w:val="00764582"/>
    <w:rsid w:val="00765FA3"/>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3059"/>
    <w:rsid w:val="008157C8"/>
    <w:rsid w:val="008173E2"/>
    <w:rsid w:val="008201C3"/>
    <w:rsid w:val="00820422"/>
    <w:rsid w:val="00820655"/>
    <w:rsid w:val="008227D7"/>
    <w:rsid w:val="008249A1"/>
    <w:rsid w:val="00825D43"/>
    <w:rsid w:val="0082632D"/>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4610D"/>
    <w:rsid w:val="00960A8B"/>
    <w:rsid w:val="00965128"/>
    <w:rsid w:val="00973F43"/>
    <w:rsid w:val="0097785D"/>
    <w:rsid w:val="0098011D"/>
    <w:rsid w:val="00981912"/>
    <w:rsid w:val="009819C0"/>
    <w:rsid w:val="00987A75"/>
    <w:rsid w:val="00991A8A"/>
    <w:rsid w:val="00992611"/>
    <w:rsid w:val="00994303"/>
    <w:rsid w:val="0099526D"/>
    <w:rsid w:val="00996C8B"/>
    <w:rsid w:val="009A0054"/>
    <w:rsid w:val="009A0F6E"/>
    <w:rsid w:val="009A5548"/>
    <w:rsid w:val="009B25C1"/>
    <w:rsid w:val="009B6C4C"/>
    <w:rsid w:val="009B7B79"/>
    <w:rsid w:val="009C0383"/>
    <w:rsid w:val="009C145B"/>
    <w:rsid w:val="009C2B58"/>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11D0C"/>
    <w:rsid w:val="00A16579"/>
    <w:rsid w:val="00A24843"/>
    <w:rsid w:val="00A26D48"/>
    <w:rsid w:val="00A31C7C"/>
    <w:rsid w:val="00A367AA"/>
    <w:rsid w:val="00A378DF"/>
    <w:rsid w:val="00A37AC6"/>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4B2F"/>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3DEA"/>
    <w:rsid w:val="00DB40BD"/>
    <w:rsid w:val="00DB4B8E"/>
    <w:rsid w:val="00DB4F4B"/>
    <w:rsid w:val="00DC070F"/>
    <w:rsid w:val="00DC3858"/>
    <w:rsid w:val="00DC3A57"/>
    <w:rsid w:val="00DC7A95"/>
    <w:rsid w:val="00DD461F"/>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44DEA"/>
    <w:rsid w:val="00E603DF"/>
    <w:rsid w:val="00E63745"/>
    <w:rsid w:val="00E6699F"/>
    <w:rsid w:val="00E67B40"/>
    <w:rsid w:val="00E703AE"/>
    <w:rsid w:val="00E72373"/>
    <w:rsid w:val="00E76AF9"/>
    <w:rsid w:val="00E84EF0"/>
    <w:rsid w:val="00E852BD"/>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57A0"/>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F77851"/>
    <w:pPr>
      <w:numPr>
        <w:numId w:val="6"/>
      </w:numPr>
      <w:contextualSpacing/>
      <w:jc w:val="both"/>
    </w:pPr>
    <w:rPr>
      <w:rFonts w:asciiTheme="minorHAnsi" w:hAnsiTheme="minorHAnsi" w:cstheme="minorHAnsi"/>
      <w:sz w:val="22"/>
      <w:szCs w:val="22"/>
    </w:rPr>
  </w:style>
  <w:style w:type="character" w:customStyle="1" w:styleId="QuestionstyleChar">
    <w:name w:val="Question style Char"/>
    <w:basedOn w:val="DefaultParagraphFont"/>
    <w:link w:val="Questionstyle"/>
    <w:rsid w:val="00F77851"/>
    <w:rPr>
      <w:rFonts w:eastAsia="Times New Roman" w:cstheme="minorHAnsi"/>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60d58daf62131746c3ac1b9b4e2bb79e">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784e366caaeed31c75d3039e996262f4"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14;#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ESMA70-156-4577</_dlc_DocId>
    <TaxCatchAll xmlns="20fbe147-bbda-4e53-b6b1-7e8bbff3fe19">
      <Value>48</Value>
      <Value>5</Value>
      <Value>14</Value>
      <Value>12</Value>
      <Value>384</Value>
    </TaxCatchAll>
    <_dlc_DocIdUrl xmlns="20fbe147-bbda-4e53-b6b1-7e8bbff3fe19">
      <Url>https://sherpa.esma.europa.eu/sites/MKT/SMK/_layouts/15/DocIdRedir.aspx?ID=ESMA70-156-4577</Url>
      <Description>ESMA70-156-4577</Description>
    </_dlc_DocIdUrl>
    <Year xmlns="20fbe147-bbda-4e53-b6b1-7e8bbff3fe19">2020</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Commodity</TermName>
          <TermId xmlns="http://schemas.microsoft.com/office/infopath/2007/PartnerControls">729cc5dc-fc40-4e6f-89b7-0bed773f437e</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Secondary Markets</TermName>
          <TermId xmlns="http://schemas.microsoft.com/office/infopath/2007/PartnerControls">64c18f63-8e0f-46d8-84d6-b5a5f7a39938</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Commodity - Amendment RTS 21</TermName>
          <TermId xmlns="http://schemas.microsoft.com/office/infopath/2007/PartnerControls">57d21c49-400b-4151-a958-bb4978c24367</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2.xml><?xml version="1.0" encoding="utf-8"?>
<ds:datastoreItem xmlns:ds="http://schemas.openxmlformats.org/officeDocument/2006/customXml" ds:itemID="{DA66DDF4-AF59-4802-B20A-1D51C1856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5.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189</TotalTime>
  <Pages>11</Pages>
  <Words>2793</Words>
  <Characters>15926</Characters>
  <Application>Microsoft Office Word</Application>
  <DocSecurity>8</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18682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Christiane Leuthier</cp:lastModifiedBy>
  <cp:revision>16</cp:revision>
  <cp:lastPrinted>2017-07-24T14:47:00Z</cp:lastPrinted>
  <dcterms:created xsi:type="dcterms:W3CDTF">2021-07-22T11:21:00Z</dcterms:created>
  <dcterms:modified xsi:type="dcterms:W3CDTF">2021-07-22T14:47:00Z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0x01010001BD15C3986B91498E0AE644B715B9EE010D00757D222C6B0DA241B5F74437644107D4</vt:lpwstr>
  </property>
  <property fmtid="{D5CDD505-2E9C-101B-9397-08002B2CF9AE}" pid="5" name="_dlc_DocIdItemGuid">
    <vt:lpwstr>5b95199f-719f-4c46-9786-4f9cd391e66a</vt:lpwstr>
  </property>
  <property fmtid="{D5CDD505-2E9C-101B-9397-08002B2CF9AE}" pid="6" name="DocumentType">
    <vt:lpwstr>12;#Report|78753201-1e9e-4a21-a088-6ff602b5c999</vt:lpwstr>
  </property>
  <property fmtid="{D5CDD505-2E9C-101B-9397-08002B2CF9AE}" pid="7" name="Topic">
    <vt:lpwstr>48;#Commodity|729cc5dc-fc40-4e6f-89b7-0bed773f437e</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384;#Commodity - Amendment RTS 21|57d21c49-400b-4151-a958-bb4978c24367</vt:lpwstr>
  </property>
  <property fmtid="{D5CDD505-2E9C-101B-9397-08002B2CF9AE}" pid="18" name="TeamTopic">
    <vt:lpwstr>87;#Other Work|f1a52b52-917d-42ef-9667-945839604bb2</vt:lpwstr>
  </property>
</Properties>
</file>