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el"/>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Kop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Kop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3F44431A" w:rsidR="00C85C8B" w:rsidRPr="00B16706" w:rsidRDefault="00F02CE5" w:rsidP="00C85C8B">
                <w:pPr>
                  <w:rPr>
                    <w:rFonts w:ascii="Arial" w:hAnsi="Arial" w:cs="Arial"/>
                    <w:color w:val="808080"/>
                    <w:sz w:val="16"/>
                    <w:szCs w:val="20"/>
                    <w:lang w:eastAsia="de-DE"/>
                  </w:rPr>
                </w:pPr>
                <w:proofErr w:type="spellStart"/>
                <w:r>
                  <w:rPr>
                    <w:rFonts w:ascii="Arial" w:hAnsi="Arial" w:cs="Arial"/>
                    <w:color w:val="808080"/>
                    <w:sz w:val="16"/>
                    <w:szCs w:val="20"/>
                    <w:lang w:eastAsia="de-DE"/>
                  </w:rPr>
                  <w:t>Eumedion</w:t>
                </w:r>
                <w:proofErr w:type="spellEnd"/>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665BCA76" w:rsidR="00C85C8B" w:rsidRPr="00B16706" w:rsidRDefault="003F26D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45116">
                  <w:rPr>
                    <w:rFonts w:ascii="Arial" w:hAnsi="Arial" w:cs="Arial"/>
                    <w:sz w:val="16"/>
                    <w:szCs w:val="20"/>
                    <w:lang w:eastAsia="de-DE"/>
                  </w:rPr>
                  <w:t>Other Financial service providers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285D7341" w:rsidR="00C85C8B" w:rsidRPr="00B16706" w:rsidRDefault="00A81D3F"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44B99D28" w:rsidR="00C85C8B" w:rsidRPr="00B16706" w:rsidRDefault="00A81D3F" w:rsidP="00C85C8B">
                <w:pPr>
                  <w:rPr>
                    <w:rFonts w:ascii="Arial" w:hAnsi="Arial" w:cs="Arial"/>
                    <w:sz w:val="16"/>
                    <w:szCs w:val="20"/>
                    <w:lang w:eastAsia="de-DE"/>
                  </w:rPr>
                </w:pPr>
                <w:r>
                  <w:rPr>
                    <w:rFonts w:ascii="Arial" w:hAnsi="Arial" w:cs="Arial"/>
                    <w:sz w:val="16"/>
                    <w:szCs w:val="20"/>
                    <w:lang w:eastAsia="de-DE"/>
                  </w:rPr>
                  <w:t>Netherlands</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0E253E3C" w14:textId="62D4693A" w:rsidR="00D02884" w:rsidRDefault="00D548D8" w:rsidP="00D02884">
      <w:permStart w:id="1632727143" w:edGrp="everyone"/>
      <w:proofErr w:type="spellStart"/>
      <w:r w:rsidRPr="00D548D8">
        <w:t>Eumedion</w:t>
      </w:r>
      <w:proofErr w:type="spellEnd"/>
      <w:r w:rsidRPr="00D548D8">
        <w:t xml:space="preserve"> welcomes the opportunity to respond to your consultation paper on</w:t>
      </w:r>
      <w:r>
        <w:t xml:space="preserve"> </w:t>
      </w:r>
      <w:r w:rsidRPr="00D548D8">
        <w:t xml:space="preserve">the review of certain aspects of the Short Selling Regulation (hereafter: consultation paper). By way of background, </w:t>
      </w:r>
      <w:proofErr w:type="spellStart"/>
      <w:r w:rsidRPr="00D548D8">
        <w:t>Eumedion</w:t>
      </w:r>
      <w:proofErr w:type="spellEnd"/>
      <w:r w:rsidRPr="00D548D8">
        <w:t xml:space="preserve"> is the Dutch based corporate governance and sustainability forum for institutional investors. Our </w:t>
      </w:r>
      <w:r w:rsidR="00E47C13">
        <w:t>53</w:t>
      </w:r>
      <w:r w:rsidRPr="00D548D8">
        <w:t xml:space="preserve"> Dutch and non-Dutch </w:t>
      </w:r>
      <w:r w:rsidR="00B70E99">
        <w:t>member</w:t>
      </w:r>
      <w:r w:rsidRPr="00D548D8">
        <w:t xml:space="preserve">s represent more than € </w:t>
      </w:r>
      <w:r w:rsidR="003F26D0">
        <w:t>8</w:t>
      </w:r>
      <w:r w:rsidRPr="00D548D8">
        <w:t xml:space="preserve"> trillion assets under management. </w:t>
      </w:r>
      <w:r w:rsidR="00B70E99">
        <w:t>Member</w:t>
      </w:r>
      <w:r w:rsidRPr="00D548D8">
        <w:t>s include a wide range of institutional investors; pension funds, mutual funds, asset managers and insurance companies.</w:t>
      </w:r>
      <w:r w:rsidR="00B43D0E">
        <w:t xml:space="preserve"> </w:t>
      </w:r>
      <w:r w:rsidR="008012B4" w:rsidRPr="008012B4">
        <w:t xml:space="preserve">Some of the topics raised in the consultation paper fall outside the scope of </w:t>
      </w:r>
      <w:proofErr w:type="spellStart"/>
      <w:r w:rsidR="008012B4" w:rsidRPr="008012B4">
        <w:t>Eumedion</w:t>
      </w:r>
      <w:proofErr w:type="spellEnd"/>
      <w:r w:rsidR="008012B4" w:rsidRPr="008012B4">
        <w:t xml:space="preserve">. Therefore, we have confined our response to the topics that are the most relevant for </w:t>
      </w:r>
      <w:proofErr w:type="spellStart"/>
      <w:r w:rsidR="008012B4" w:rsidRPr="008012B4">
        <w:t>Eumedion</w:t>
      </w:r>
      <w:proofErr w:type="spellEnd"/>
      <w:r w:rsidR="008012B4" w:rsidRPr="008012B4">
        <w:t xml:space="preserve"> and its </w:t>
      </w:r>
      <w:r w:rsidR="00145865">
        <w:t>member</w:t>
      </w:r>
      <w:r w:rsidR="008012B4" w:rsidRPr="008012B4">
        <w:t xml:space="preserve">s; 1) </w:t>
      </w:r>
      <w:r w:rsidR="00BF2B7E">
        <w:t xml:space="preserve">the </w:t>
      </w:r>
      <w:r w:rsidR="004C2860">
        <w:t>scope of</w:t>
      </w:r>
      <w:r w:rsidR="00145865">
        <w:t xml:space="preserve"> the rules with respect to</w:t>
      </w:r>
      <w:r w:rsidR="004C2860">
        <w:t xml:space="preserve"> </w:t>
      </w:r>
      <w:r w:rsidR="008012B4">
        <w:t xml:space="preserve">long </w:t>
      </w:r>
      <w:r w:rsidR="00375A1D">
        <w:t xml:space="preserve">and short </w:t>
      </w:r>
      <w:r w:rsidR="008012B4">
        <w:t>term bans</w:t>
      </w:r>
      <w:r w:rsidR="00C403E3">
        <w:t xml:space="preserve">, </w:t>
      </w:r>
      <w:r w:rsidR="00DD580C">
        <w:t>2</w:t>
      </w:r>
      <w:r w:rsidR="00C403E3">
        <w:t>)</w:t>
      </w:r>
      <w:r w:rsidR="00BF2B7E">
        <w:t xml:space="preserve"> the</w:t>
      </w:r>
      <w:r w:rsidR="00C403E3">
        <w:t xml:space="preserve"> sanctions for ‘naked’ short sellin</w:t>
      </w:r>
      <w:r w:rsidR="00DF65C6">
        <w:t>g 3</w:t>
      </w:r>
      <w:r w:rsidR="008012B4" w:rsidRPr="008012B4">
        <w:t xml:space="preserve">) </w:t>
      </w:r>
      <w:r w:rsidR="00BF2B7E">
        <w:t xml:space="preserve">the </w:t>
      </w:r>
      <w:r w:rsidR="008012B4" w:rsidRPr="008012B4">
        <w:t>transparency of net short positions and reporting requirements. Below you will find the answers to the questions raised in the consultation paper with respect to the aforementioned topics.</w:t>
      </w:r>
    </w:p>
    <w:permEnd w:id="1632727143"/>
    <w:p w14:paraId="45D13BD8" w14:textId="77777777" w:rsidR="00D02884" w:rsidRDefault="00D02884" w:rsidP="00D02884">
      <w:r>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7D72EA6D" w14:textId="77777777" w:rsidR="00D02884" w:rsidRDefault="00D02884" w:rsidP="00D02884">
      <w:permStart w:id="1927289032" w:edGrp="everyone"/>
      <w:r>
        <w:t>TYPE YOUR TEXT HERE</w:t>
      </w:r>
    </w:p>
    <w:permEnd w:id="1927289032"/>
    <w:p w14:paraId="3C9859F9" w14:textId="77777777"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3C5FDDC3" w14:textId="3CA908E1" w:rsidR="00D02884" w:rsidRDefault="0077193D" w:rsidP="00D02884">
      <w:permStart w:id="707614466" w:edGrp="everyone"/>
      <w:r>
        <w:t xml:space="preserve">We agree with the proposal of ESMA to amend </w:t>
      </w:r>
      <w:r w:rsidR="003E186F">
        <w:t>a</w:t>
      </w:r>
      <w:r>
        <w:t xml:space="preserve">rticle 2(1)(j) </w:t>
      </w:r>
      <w:r w:rsidR="00CD63FD">
        <w:t>of the Short Selling Regulation (</w:t>
      </w:r>
      <w:r>
        <w:t>SSR</w:t>
      </w:r>
      <w:r w:rsidR="00CD63FD">
        <w:t>)</w:t>
      </w:r>
      <w:r>
        <w:t xml:space="preserve"> by replacing the reference to Delegated Regulation 1287/2006 with a reference to RTS 22 for the sake of legal clarity.</w:t>
      </w:r>
      <w:r w:rsidR="00CD63FD">
        <w:t xml:space="preserve"> </w:t>
      </w:r>
      <w:r w:rsidR="008F1BC6">
        <w:t xml:space="preserve">We also concur with ESMA’s </w:t>
      </w:r>
      <w:r w:rsidR="00485CC1">
        <w:t xml:space="preserve">proposed clarification in </w:t>
      </w:r>
      <w:r w:rsidR="003E186F">
        <w:t>a</w:t>
      </w:r>
      <w:r w:rsidR="008F1BC6">
        <w:t xml:space="preserve">rticle 2(1)(j) of </w:t>
      </w:r>
      <w:r w:rsidR="003E186F">
        <w:t xml:space="preserve">the </w:t>
      </w:r>
      <w:r w:rsidR="008F1BC6">
        <w:t xml:space="preserve">SSR to specify the definition of </w:t>
      </w:r>
      <w:r w:rsidR="000E3A92">
        <w:t>Relevant Competent Authority (</w:t>
      </w:r>
      <w:r w:rsidR="008F1BC6">
        <w:t>RCA</w:t>
      </w:r>
      <w:r w:rsidR="000E3A92">
        <w:t>)</w:t>
      </w:r>
      <w:r w:rsidR="008F1BC6">
        <w:t xml:space="preserve"> in the context of emergency measures</w:t>
      </w:r>
      <w:r w:rsidR="00485CC1">
        <w:t xml:space="preserve">. </w:t>
      </w:r>
      <w:r w:rsidR="003C730E">
        <w:t xml:space="preserve">The consultation paper (p. 21) states that in case of </w:t>
      </w:r>
      <w:r w:rsidR="005016EF">
        <w:t xml:space="preserve">a </w:t>
      </w:r>
      <w:r w:rsidR="003C730E">
        <w:t xml:space="preserve">ban of short positions on a share that can be built through a variety of instruments (as opposed to the case of a simple short sale ban on a specific instruments), the current definition may not be seen as clear in determining the RCA for the instruments considered in the calculation of the </w:t>
      </w:r>
      <w:proofErr w:type="spellStart"/>
      <w:r w:rsidR="00F910A4">
        <w:t>netto</w:t>
      </w:r>
      <w:proofErr w:type="spellEnd"/>
      <w:r w:rsidR="00F910A4">
        <w:t xml:space="preserve"> short position (</w:t>
      </w:r>
      <w:r w:rsidR="003C730E">
        <w:t>NSP</w:t>
      </w:r>
      <w:r w:rsidR="00F910A4">
        <w:t>)</w:t>
      </w:r>
      <w:r w:rsidR="003C730E">
        <w:t xml:space="preserve"> on that share.</w:t>
      </w:r>
      <w:r w:rsidR="005B1455">
        <w:t xml:space="preserve"> </w:t>
      </w:r>
      <w:r w:rsidR="007A0303">
        <w:t xml:space="preserve">We believe that </w:t>
      </w:r>
      <w:r w:rsidR="003F21AE">
        <w:t>this might create uncertainties over the instruments covered by a ban and the necessary steps for its adoption.</w:t>
      </w:r>
      <w:r w:rsidR="00124B71">
        <w:t xml:space="preserve"> Given the above we </w:t>
      </w:r>
      <w:r w:rsidR="00166C86">
        <w:t xml:space="preserve">concur with the proposal of ESMA to make explicit that the RCA that is competent for the ‘target’ financial instrument is also competent for all those instruments which confer a </w:t>
      </w:r>
      <w:r w:rsidR="00166C86">
        <w:lastRenderedPageBreak/>
        <w:t>financial advantage in the event of a decrease in the price or value of the ‘target’ instrument.</w:t>
      </w:r>
      <w:r w:rsidR="001868DB">
        <w:t xml:space="preserve"> </w:t>
      </w:r>
      <w:r w:rsidR="00DE160C">
        <w:t>We agree with ESMA that this approach provides additional legal certainty that an RCA can issue a ban for a target financial instrument with effects on all the instruments used in the calculation of NSPs for that target instrument</w:t>
      </w:r>
      <w:r w:rsidR="00D566F8">
        <w:t xml:space="preserve">. </w:t>
      </w:r>
      <w:r w:rsidR="00205D00">
        <w:t xml:space="preserve">For the sake of completeness, the scope of the ban should in our view be subject to exclusions or limitations in relation to indices, baskets of instruments and ETFs. We refer to our answer to question </w:t>
      </w:r>
      <w:r>
        <w:t>4.</w:t>
      </w:r>
    </w:p>
    <w:permEnd w:id="707614466"/>
    <w:p w14:paraId="44CB5E14" w14:textId="77777777"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58225D34" w14:textId="6B028A0E" w:rsidR="005B24BC" w:rsidRDefault="00046240" w:rsidP="00D02884">
      <w:permStart w:id="1750483000" w:edGrp="everyone"/>
      <w:r>
        <w:t xml:space="preserve">ESMA proposes to clarify that, where the relevant conditions contained in </w:t>
      </w:r>
      <w:r w:rsidR="003E186F">
        <w:t>a</w:t>
      </w:r>
      <w:r>
        <w:t xml:space="preserve">rticle 20 of </w:t>
      </w:r>
      <w:r w:rsidR="003E186F">
        <w:t xml:space="preserve">the </w:t>
      </w:r>
      <w:r>
        <w:t xml:space="preserve">SSR are met, RCAs may adopt either one or both of the measures contained in point (a) and (b) of </w:t>
      </w:r>
      <w:r w:rsidR="003E186F">
        <w:t>a</w:t>
      </w:r>
      <w:r>
        <w:t>rticle 20(2) of</w:t>
      </w:r>
      <w:r w:rsidR="003E186F">
        <w:t xml:space="preserve"> the</w:t>
      </w:r>
      <w:r>
        <w:t xml:space="preserve"> SSR. We agree with</w:t>
      </w:r>
      <w:r w:rsidR="005B24BC">
        <w:t xml:space="preserve"> </w:t>
      </w:r>
      <w:r>
        <w:t>that</w:t>
      </w:r>
      <w:r w:rsidR="008B0065">
        <w:t>.</w:t>
      </w:r>
      <w:r w:rsidR="005B24BC">
        <w:t xml:space="preserve"> </w:t>
      </w:r>
      <w:r w:rsidR="004A6B2F">
        <w:t xml:space="preserve">We believe that </w:t>
      </w:r>
      <w:r w:rsidR="005B24BC">
        <w:t>RCAs</w:t>
      </w:r>
      <w:r w:rsidR="00987C1A">
        <w:t xml:space="preserve"> need to </w:t>
      </w:r>
      <w:r w:rsidR="005B24BC">
        <w:t>be sufficiently flexible to tackle emergency situations.</w:t>
      </w:r>
    </w:p>
    <w:permEnd w:id="1750483000"/>
    <w:p w14:paraId="6FFFFA18" w14:textId="196BD04A"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285F2F6C" w14:textId="03C38A54" w:rsidR="00441D40" w:rsidRDefault="00F730E1" w:rsidP="00441D40">
      <w:permStart w:id="1744045598" w:edGrp="everyone"/>
      <w:r>
        <w:t xml:space="preserve">Indices, baskets of instruments and ETFs are currently included in the calculation of the NSP in a share to the extent to which the underlying shares are included in the indices, baskets of instruments and in the ETF. </w:t>
      </w:r>
      <w:r w:rsidR="001115A0">
        <w:t>The consultation paper (p. 29) correctly states that</w:t>
      </w:r>
      <w:r>
        <w:t xml:space="preserve">, unless expressly exempted by an RCA, those instruments are included in the scope of long-term bans under </w:t>
      </w:r>
      <w:r w:rsidR="003E186F">
        <w:t>a</w:t>
      </w:r>
      <w:r>
        <w:t>rticle 20 of the SSR</w:t>
      </w:r>
      <w:r w:rsidR="001115A0">
        <w:t xml:space="preserve">. </w:t>
      </w:r>
      <w:r w:rsidR="000341D1">
        <w:t>ESMA p</w:t>
      </w:r>
      <w:r w:rsidR="0051671E">
        <w:t xml:space="preserve">oints out that a) those instruments would less likely be used by market participants to take an NSP in a single share, b) </w:t>
      </w:r>
      <w:r w:rsidR="009C5945">
        <w:t xml:space="preserve">the inclusion of such instruments was designed for the purposes of the calculation of NSPs in the context of transparency obligations under the SSR, whilst there would be little merit in including them within the scope of an emergency measure and c) </w:t>
      </w:r>
      <w:r w:rsidR="002A4D49">
        <w:t xml:space="preserve">more than one ban may apply to the same instrument at the same time. Against this background we agree with the proposal of ESMA </w:t>
      </w:r>
    </w:p>
    <w:p w14:paraId="37375C55" w14:textId="0619D529" w:rsidR="002A4D49" w:rsidRDefault="00FB257B" w:rsidP="00D02884">
      <w:r>
        <w:t>that indices, baskets and ETFs should be excluded from the scope of the long term bans.</w:t>
      </w:r>
      <w:r w:rsidR="002A4D49">
        <w:t xml:space="preserve"> We also concur that it is</w:t>
      </w:r>
      <w:r w:rsidR="000341D1">
        <w:t xml:space="preserve"> worthwhile clarifying that any trading in indices, baskets and ETFs, in a manner that clearly demonstrates that it is intending to circumvent the ban, should be prohibited at all times.</w:t>
      </w:r>
    </w:p>
    <w:permEnd w:id="1744045598"/>
    <w:p w14:paraId="57197F9A" w14:textId="04E09817" w:rsidR="00D02884" w:rsidRDefault="00D02884" w:rsidP="00D02884">
      <w:r>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08DE1E0E" w14:textId="77777777" w:rsidR="00D02884" w:rsidRDefault="00D02884" w:rsidP="00D02884">
      <w:permStart w:id="505167219" w:edGrp="everyone"/>
      <w:r>
        <w:t>TYPE YOUR TEXT HERE</w:t>
      </w:r>
    </w:p>
    <w:permEnd w:id="505167219"/>
    <w:p w14:paraId="4C33B9E7" w14:textId="77777777"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46F6584B" w14:textId="77777777" w:rsidR="00D02884" w:rsidRDefault="00D02884" w:rsidP="00D02884">
      <w:permStart w:id="2039760976" w:edGrp="everyone"/>
      <w:r>
        <w:lastRenderedPageBreak/>
        <w:t>TYPE YOUR TEXT HERE</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6E58A8F1" w14:textId="1C21A657" w:rsidR="007B5A3F" w:rsidRDefault="0012171D" w:rsidP="007B5A3F">
      <w:permStart w:id="1121714453" w:edGrp="everyone"/>
      <w:r>
        <w:t xml:space="preserve">Partly. </w:t>
      </w:r>
      <w:r w:rsidR="007B5A3F">
        <w:t xml:space="preserve">Before answering this question we would like to make a more general remark. </w:t>
      </w:r>
      <w:r w:rsidR="00766918">
        <w:t>ESMA’s Final Report on the Technical Advice on the evaluation of certain elements of the Short Selling Regulation (21 December 2017) states among other things th</w:t>
      </w:r>
      <w:r w:rsidR="00137367">
        <w:t xml:space="preserve">e following </w:t>
      </w:r>
      <w:r w:rsidR="00137367" w:rsidRPr="003E1BAD">
        <w:rPr>
          <w:i/>
          <w:iCs/>
        </w:rPr>
        <w:t>“The majority of the respondents to the consultation suggested that the power of NCAs to adopt short-term bans should be altogether eliminated”</w:t>
      </w:r>
      <w:r w:rsidR="00137367">
        <w:t>. As already mentioned in our response to</w:t>
      </w:r>
      <w:r w:rsidR="00684048" w:rsidRPr="00684048">
        <w:t xml:space="preserve"> the consultation paper of ESMA on the evaluation of certain elements of the Short Selling Regulation (</w:t>
      </w:r>
      <w:r w:rsidR="002813D7">
        <w:t>2017</w:t>
      </w:r>
      <w:r w:rsidR="00684048" w:rsidRPr="00684048">
        <w:t>)</w:t>
      </w:r>
      <w:r w:rsidR="00684048">
        <w:t xml:space="preserve"> w</w:t>
      </w:r>
      <w:r w:rsidR="007B5A3F">
        <w:t>e believe that ESMA should seriously consider that. Especially, since there is no sufficient supportive evidence for regulatory interference in this area. At the same time such bans can seriously harm market liquidity and investor’s confidence in EU markets. If it is decided that the current regime under article 23</w:t>
      </w:r>
      <w:r w:rsidR="00240A41">
        <w:t xml:space="preserve"> of the</w:t>
      </w:r>
      <w:r w:rsidR="007B5A3F">
        <w:t xml:space="preserve"> </w:t>
      </w:r>
      <w:r w:rsidR="009A5091">
        <w:t>SSR</w:t>
      </w:r>
      <w:r w:rsidR="007B5A3F">
        <w:t xml:space="preserve"> needs to be preserved instead of eliminated, we would like to make the following remarks</w:t>
      </w:r>
      <w:r w:rsidR="003E1BAD">
        <w:t xml:space="preserve"> with respect to the proposals of ESMA</w:t>
      </w:r>
      <w:r w:rsidR="00EF42E0">
        <w:t xml:space="preserve"> which are mentioned on p. </w:t>
      </w:r>
      <w:r w:rsidR="001A6C33">
        <w:t>36/37 of the consultation paper</w:t>
      </w:r>
      <w:r w:rsidR="007B5A3F">
        <w:t xml:space="preserve">. </w:t>
      </w:r>
    </w:p>
    <w:p w14:paraId="2640731D" w14:textId="77777777" w:rsidR="001A6C33" w:rsidRDefault="001A6C33" w:rsidP="007B5A3F">
      <w:pPr>
        <w:rPr>
          <w:b/>
          <w:bCs/>
          <w:i/>
          <w:iCs/>
        </w:rPr>
      </w:pPr>
    </w:p>
    <w:p w14:paraId="5EDD347C" w14:textId="45E611AA" w:rsidR="006B0BF4" w:rsidRPr="006B0BF4" w:rsidRDefault="00F310ED" w:rsidP="007B5A3F">
      <w:pPr>
        <w:rPr>
          <w:b/>
          <w:bCs/>
          <w:i/>
          <w:iCs/>
        </w:rPr>
      </w:pPr>
      <w:r w:rsidRPr="006B0BF4">
        <w:rPr>
          <w:b/>
          <w:bCs/>
          <w:i/>
          <w:iCs/>
        </w:rPr>
        <w:t xml:space="preserve">Proposal </w:t>
      </w:r>
      <w:r w:rsidR="00EF42E0">
        <w:rPr>
          <w:b/>
          <w:bCs/>
          <w:i/>
          <w:iCs/>
        </w:rPr>
        <w:t>a</w:t>
      </w:r>
      <w:r w:rsidRPr="006B0BF4">
        <w:rPr>
          <w:b/>
          <w:bCs/>
          <w:i/>
          <w:iCs/>
        </w:rPr>
        <w:t xml:space="preserve">: </w:t>
      </w:r>
    </w:p>
    <w:p w14:paraId="3CA5CB87" w14:textId="46AC3A46" w:rsidR="008F3E39" w:rsidRDefault="007B5A3F" w:rsidP="007B5A3F">
      <w:r>
        <w:t xml:space="preserve">Currently, the competent authority of the trading venue where a fall in price of a financial instrument has taken place can adopt a short term ban on short selling that applies to that jurisdiction only. In turn, other competent authorities may decide to adopt similar restrictions in their own jurisdiction, take no action in their own jurisdiction or oppose the measure. As a consequence, short term bans on short selling may differ per Member State. For investors with cross-border investments, it is costly and time-consuming to get familiar with and meet the different short term bans on short selling. Against this background, we support the proposal of ESMA to change the procedure of article 23 </w:t>
      </w:r>
      <w:r w:rsidR="00240A41">
        <w:t xml:space="preserve">of the </w:t>
      </w:r>
      <w:r w:rsidR="00E17765">
        <w:t>SSR</w:t>
      </w:r>
      <w:r>
        <w:t xml:space="preserve"> in order to provide that only the </w:t>
      </w:r>
      <w:r w:rsidR="00944CD9">
        <w:t>RCA</w:t>
      </w:r>
      <w:r>
        <w:t xml:space="preserve"> </w:t>
      </w:r>
      <w:r w:rsidR="00944CD9" w:rsidRPr="00944CD9">
        <w:t>of the most relevant market in terms of liquidity for the instrument</w:t>
      </w:r>
      <w:r>
        <w:t xml:space="preserve"> can adopt a short term ban with respect to that instrument that is effective in all Member States. However, that competent authority should be reluctant to use this power and should in our view not use it if there is a reason which justifies the drop in the prices (e.g. unexpected bad financial results). </w:t>
      </w:r>
    </w:p>
    <w:p w14:paraId="2301F090" w14:textId="77777777" w:rsidR="008F3E39" w:rsidRDefault="008F3E39" w:rsidP="007B5A3F"/>
    <w:p w14:paraId="5BA9C3BB" w14:textId="77777777" w:rsidR="00EF42E0" w:rsidRDefault="00715FAA" w:rsidP="007B5A3F">
      <w:r w:rsidRPr="00EF42E0">
        <w:rPr>
          <w:b/>
          <w:bCs/>
          <w:i/>
          <w:iCs/>
        </w:rPr>
        <w:t>Proposal b</w:t>
      </w:r>
      <w:r>
        <w:t xml:space="preserve">: </w:t>
      </w:r>
    </w:p>
    <w:p w14:paraId="4EA731BF" w14:textId="538FA4EA" w:rsidR="00715FAA" w:rsidRDefault="00EF42E0" w:rsidP="007B5A3F">
      <w:r>
        <w:t>T</w:t>
      </w:r>
      <w:r w:rsidR="00715FAA">
        <w:t xml:space="preserve">his proposal falls outside the activities of </w:t>
      </w:r>
      <w:proofErr w:type="spellStart"/>
      <w:r w:rsidR="00715FAA">
        <w:t>Eumedion</w:t>
      </w:r>
      <w:proofErr w:type="spellEnd"/>
      <w:r w:rsidR="00715FAA">
        <w:t>.</w:t>
      </w:r>
    </w:p>
    <w:p w14:paraId="63BF4C03" w14:textId="77777777" w:rsidR="00715FAA" w:rsidRDefault="00715FAA" w:rsidP="007B5A3F"/>
    <w:p w14:paraId="5D436C30" w14:textId="7E9A537D" w:rsidR="001A6C33" w:rsidRDefault="008F3E39" w:rsidP="007B5A3F">
      <w:r w:rsidRPr="001A6C33">
        <w:rPr>
          <w:b/>
          <w:bCs/>
          <w:i/>
          <w:iCs/>
        </w:rPr>
        <w:t>Proposal c</w:t>
      </w:r>
      <w:r w:rsidR="001A6C33">
        <w:rPr>
          <w:b/>
          <w:bCs/>
          <w:i/>
          <w:iCs/>
        </w:rPr>
        <w:t>:</w:t>
      </w:r>
      <w:r>
        <w:t xml:space="preserve"> </w:t>
      </w:r>
    </w:p>
    <w:p w14:paraId="39309990" w14:textId="0FAF0A17" w:rsidR="00715FAA" w:rsidRDefault="007B5A3F" w:rsidP="007B5A3F">
      <w:r>
        <w:t xml:space="preserve">Given the short duration of the ban, we agree that </w:t>
      </w:r>
      <w:r w:rsidR="001A6C33">
        <w:t>other RCAs should not have any power to oppose the short term measure and that the ban should be effective in all Member States upon publication on the website of the adopting RCA</w:t>
      </w:r>
      <w:r>
        <w:t xml:space="preserve">. </w:t>
      </w:r>
    </w:p>
    <w:p w14:paraId="00A7109F" w14:textId="77777777" w:rsidR="00715FAA" w:rsidRDefault="00715FAA" w:rsidP="007B5A3F"/>
    <w:p w14:paraId="716B0909" w14:textId="77777777" w:rsidR="00BC56B1" w:rsidRDefault="00715FAA" w:rsidP="007B5A3F">
      <w:r w:rsidRPr="00BC56B1">
        <w:rPr>
          <w:b/>
          <w:bCs/>
          <w:i/>
          <w:iCs/>
        </w:rPr>
        <w:t>Proposal d</w:t>
      </w:r>
      <w:r>
        <w:t xml:space="preserve">:  </w:t>
      </w:r>
    </w:p>
    <w:p w14:paraId="3C584521" w14:textId="78FE5891" w:rsidR="005D3486" w:rsidRDefault="0012171D" w:rsidP="007B5A3F">
      <w:r>
        <w:t xml:space="preserve">We disagree with the </w:t>
      </w:r>
      <w:r w:rsidR="005D3486" w:rsidRPr="005D3486">
        <w:t>proposal to change the scope from a ban on short selling on a trading venue into a ban on entering into or increasing NSPs.</w:t>
      </w:r>
      <w:r w:rsidR="001625E3">
        <w:t xml:space="preserve"> </w:t>
      </w:r>
      <w:r w:rsidR="001625E3" w:rsidRPr="001625E3">
        <w:t xml:space="preserve">In practice market participants holding short positions use specific entities for hedging the exposures of other entities within their group. As a result short </w:t>
      </w:r>
      <w:proofErr w:type="spellStart"/>
      <w:r w:rsidR="001625E3" w:rsidRPr="001625E3">
        <w:t>positons</w:t>
      </w:r>
      <w:proofErr w:type="spellEnd"/>
      <w:r w:rsidR="001625E3" w:rsidRPr="001625E3">
        <w:t xml:space="preserve"> are often covered at the level of the group instead of the level of an individual legal entity and are not resulting in impermissible uncovered short positions.  </w:t>
      </w:r>
      <w:r w:rsidR="001625E3" w:rsidRPr="001625E3">
        <w:lastRenderedPageBreak/>
        <w:t xml:space="preserve">A ban on taking or increasing net short positions instead of a ban on short selling would have profound practical implications for the aforementioned market participants. It would involve significant complexity in terms of calculation and would result in additional investments in IT systems. Besides that we believe that a ban on taking or increasing net short positions would be at odds with the objectives of the </w:t>
      </w:r>
      <w:r w:rsidR="00FA08A6">
        <w:t>SSR</w:t>
      </w:r>
      <w:r w:rsidR="001625E3" w:rsidRPr="001625E3">
        <w:t xml:space="preserve">. Recital 28 of that Regulation reads as follows </w:t>
      </w:r>
      <w:r w:rsidR="001625E3" w:rsidRPr="003E7655">
        <w:rPr>
          <w:i/>
          <w:iCs/>
        </w:rPr>
        <w:t>“As this Regulation addresses only restrictions on short selling and credit default swaps to prevent a disorderly decline in the price of a financial instrument, the need for other types of restrictions such as position limits or restrictions on products, which may give rise to serious investor protection concerns, are more appropriately considered in the context of the Commission’s revision of Directive 2004/39/EC”</w:t>
      </w:r>
      <w:r w:rsidR="001625E3" w:rsidRPr="001625E3">
        <w:t xml:space="preserve">. Against this background we believe that the current scope of article 23 </w:t>
      </w:r>
      <w:r w:rsidR="00240A41">
        <w:t xml:space="preserve">of the </w:t>
      </w:r>
      <w:r w:rsidR="00BA61CD">
        <w:t>SSR</w:t>
      </w:r>
      <w:r w:rsidR="001625E3" w:rsidRPr="001625E3">
        <w:t xml:space="preserve"> should be preserved.</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79840AA2" w14:textId="1CDE89E3" w:rsidR="00D02884" w:rsidRDefault="00727644" w:rsidP="00D02884">
      <w:permStart w:id="814236590" w:edGrp="everyone"/>
      <w:r>
        <w:t>We agree with recital 12 of the SSR that t</w:t>
      </w:r>
      <w:r>
        <w:rPr>
          <w:lang w:val="en-US"/>
        </w:rPr>
        <w:t xml:space="preserve">he calculation of short or long positions should take into account any form of economic interest which a natural or legal person has in relation to the issued share capital of a company. </w:t>
      </w:r>
      <w:r>
        <w:t xml:space="preserve">The SSR already rightfully includes the delta exposure of positions in options written or bought from market participants. Although we acknowledge that there is a legal difference between options written or bought from market participants and subscription rights issued by a listed entity; we agree with the remark in the consultation paper that </w:t>
      </w:r>
      <w:r>
        <w:rPr>
          <w:lang w:val="en-US"/>
        </w:rPr>
        <w:t xml:space="preserve">from an economic standpoint subscription rights could be deemed equivalent to call options. However, currently call options are included in the calculation of NSPs, but subscription rights are not. In view of the above we see </w:t>
      </w:r>
      <w:r>
        <w:t xml:space="preserve">no justification why subscription rights should be treated differently in this respect. </w:t>
      </w:r>
      <w:proofErr w:type="spellStart"/>
      <w:r>
        <w:t>Eumedion</w:t>
      </w:r>
      <w:proofErr w:type="spellEnd"/>
      <w:r>
        <w:t xml:space="preserve"> is confident that the objective of the SSR is best met if the delta exposure of not only </w:t>
      </w:r>
      <w:r w:rsidR="002964FC">
        <w:t xml:space="preserve">call </w:t>
      </w:r>
      <w:r>
        <w:t>options but also subscription rights are included in the calculation of the NSP. This calculation method should in our view be mandatory; we are not in favour of allowing market participants a choice on whether to include subscription rights in the calculation or not.</w:t>
      </w:r>
    </w:p>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773520B0" w14:textId="77777777" w:rsidR="00D02884" w:rsidRDefault="00D02884" w:rsidP="00D02884">
      <w:permStart w:id="837683724" w:edGrp="everyone"/>
      <w:r>
        <w:t>TYPE YOUR TEXT HERE</w:t>
      </w:r>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4FF6BDB8" w14:textId="77777777" w:rsidR="00D02884" w:rsidRDefault="00D02884" w:rsidP="00D02884">
      <w:permStart w:id="1011105196" w:edGrp="everyone"/>
      <w:r>
        <w:t>TYPE YOUR TEXT HERE</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0367FDED" w14:textId="25AE4923" w:rsidR="00D02884" w:rsidRDefault="005F13C4" w:rsidP="00D02884">
      <w:permStart w:id="605506472" w:edGrp="everyone"/>
      <w:r>
        <w:t xml:space="preserve">We agree with the remark on p. </w:t>
      </w:r>
      <w:r w:rsidR="00DB29BD">
        <w:t xml:space="preserve">48 of the consultation paper that it is necessary to ensure that the sanctions for breaches of </w:t>
      </w:r>
      <w:r w:rsidR="00204783">
        <w:t>a</w:t>
      </w:r>
      <w:r w:rsidR="00DB29BD">
        <w:t xml:space="preserve">rticle 12 </w:t>
      </w:r>
      <w:r w:rsidR="00240A41">
        <w:t xml:space="preserve">of the </w:t>
      </w:r>
      <w:r w:rsidR="00DB29BD">
        <w:t xml:space="preserve">SSR have a sufficient deterrent effect across the EU. </w:t>
      </w:r>
      <w:r w:rsidR="00C72A86">
        <w:t xml:space="preserve">We </w:t>
      </w:r>
      <w:r w:rsidR="00C5218C">
        <w:t>concur that SSR guidelines might not be sufficient in this respect since (as correctly stated in the consultation paper</w:t>
      </w:r>
      <w:r w:rsidR="004C10B5">
        <w:t>)</w:t>
      </w:r>
      <w:r w:rsidR="00C5218C">
        <w:t xml:space="preserve"> </w:t>
      </w:r>
      <w:r w:rsidR="00C47C12">
        <w:t>sanctions are set by law in most EEA countries</w:t>
      </w:r>
      <w:r w:rsidR="004C10B5">
        <w:t xml:space="preserve">. Against this background we agree that a further degree of harmonisation should be imposed in the SSR to ensure that the maximum pecuniary administrative sanctions on short sellers breaching </w:t>
      </w:r>
      <w:r w:rsidR="003E186F">
        <w:t>a</w:t>
      </w:r>
      <w:r w:rsidR="004C10B5">
        <w:t xml:space="preserve">rticle 12(1)(c) </w:t>
      </w:r>
      <w:r w:rsidR="003E186F">
        <w:t xml:space="preserve">of the </w:t>
      </w:r>
      <w:r w:rsidR="004C10B5">
        <w:t>SSR are more aligned and effective in the EU.</w:t>
      </w:r>
      <w:r w:rsidR="00031485">
        <w:t xml:space="preserve"> We concur with the proposal of ESMA to </w:t>
      </w:r>
      <w:r w:rsidR="00300360">
        <w:t xml:space="preserve">revise the sanction regime in line with the current text of </w:t>
      </w:r>
      <w:r w:rsidR="003E186F">
        <w:t>a</w:t>
      </w:r>
      <w:r w:rsidR="00300360">
        <w:t>rticle 30(2)(</w:t>
      </w:r>
      <w:proofErr w:type="spellStart"/>
      <w:r w:rsidR="00300360">
        <w:t>i</w:t>
      </w:r>
      <w:proofErr w:type="spellEnd"/>
      <w:r w:rsidR="00300360">
        <w:t xml:space="preserve">) and (j) of MAR, establishing the minimum amount that must be imposed under the maximum administrative pecuniary sanctions in the event of the infringement of </w:t>
      </w:r>
      <w:r w:rsidR="00952AC5">
        <w:t>a</w:t>
      </w:r>
      <w:r w:rsidR="00300360">
        <w:t>rticle 12(1) of the SSR.</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1727AD40" w14:textId="77777777" w:rsidR="00D02884" w:rsidRDefault="00D02884" w:rsidP="00D02884">
      <w:permStart w:id="1582846376" w:edGrp="everyone"/>
      <w:r>
        <w:t>TYPE YOUR TEXT HERE</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593B0ABF" w14:textId="77777777" w:rsidR="00D02884" w:rsidRDefault="00D02884" w:rsidP="00D02884">
      <w:permStart w:id="1861689712" w:edGrp="everyone"/>
      <w:r>
        <w:t>TYPE YOUR TEXT HERE</w:t>
      </w:r>
    </w:p>
    <w:permEnd w:id="1861689712"/>
    <w:p w14:paraId="49182EB5" w14:textId="77777777"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36E7B227" w14:textId="3E1DF75F" w:rsidR="007E2323" w:rsidRDefault="00095444" w:rsidP="00D02884">
      <w:permStart w:id="1477983117" w:edGrp="everyone"/>
      <w:r w:rsidRPr="00095444">
        <w:t>Yes. As already mentioned in our response to the ESMA’s Call for evidence on the evaluation of the Regulation on short selling and certain aspects of credit default swaps (2013)</w:t>
      </w:r>
      <w:r w:rsidR="00912EAB">
        <w:t xml:space="preserve"> and our response to </w:t>
      </w:r>
      <w:r w:rsidR="00F74206" w:rsidRPr="001A5389">
        <w:t xml:space="preserve">ESMA’s </w:t>
      </w:r>
      <w:r w:rsidR="00F74206">
        <w:t xml:space="preserve">consultation paper </w:t>
      </w:r>
      <w:r w:rsidR="00F74206" w:rsidRPr="00C15989">
        <w:t>on the evaluation of certain elements of the Short Selling Regulation</w:t>
      </w:r>
      <w:r w:rsidR="00F74206">
        <w:t xml:space="preserve"> (</w:t>
      </w:r>
      <w:r w:rsidR="00F74206" w:rsidRPr="001A5389">
        <w:t>201</w:t>
      </w:r>
      <w:r w:rsidR="00F74206">
        <w:t>7</w:t>
      </w:r>
      <w:r w:rsidR="00F74206" w:rsidRPr="001A5389">
        <w:t>)</w:t>
      </w:r>
      <w:r w:rsidR="00F74206">
        <w:t>,</w:t>
      </w:r>
      <w:r w:rsidRPr="00095444">
        <w:t xml:space="preserve"> </w:t>
      </w:r>
      <w:proofErr w:type="spellStart"/>
      <w:r w:rsidRPr="00095444">
        <w:t>Eumedion</w:t>
      </w:r>
      <w:proofErr w:type="spellEnd"/>
      <w:r w:rsidRPr="00095444">
        <w:t xml:space="preserve"> generally supports the current levels of the initial thresholds for net short positions in shares. However, we still doubt whether the requirement to report all changes (upwards and downwards) of net short positions at increments of 0.1% is appropriate and results in meaningful information for both market participants and regulators. Against this background and in order to avoid disproportionate compliance costs for notifying market participants, we advise ESMA to consider removing the </w:t>
      </w:r>
      <w:r w:rsidR="0049312D">
        <w:t>odd</w:t>
      </w:r>
      <w:r w:rsidRPr="00095444">
        <w:t xml:space="preserve"> incremental thresholds. </w:t>
      </w:r>
      <w:r w:rsidR="0072111B">
        <w:t xml:space="preserve">That means that changes of positions should no longer be required to be reported to the </w:t>
      </w:r>
      <w:r w:rsidR="0072111B">
        <w:lastRenderedPageBreak/>
        <w:t>market at 0.7%, 0.9% and 1.1%, etc.</w:t>
      </w:r>
      <w:r w:rsidR="0072111B" w:rsidRPr="00095444">
        <w:t xml:space="preserve"> </w:t>
      </w:r>
      <w:r w:rsidRPr="00095444">
        <w:t>This would result in wider reporting bands and as a consequence in notifications and disclosures which reflect a more meaningful change in the size of a net short position.</w:t>
      </w:r>
    </w:p>
    <w:p w14:paraId="77C3869F" w14:textId="535DD49F" w:rsidR="007073A2" w:rsidRDefault="007073A2" w:rsidP="00D02884"/>
    <w:p w14:paraId="51B2C84E" w14:textId="1F675CB2" w:rsidR="007073A2" w:rsidRDefault="00B912AA" w:rsidP="00D02884">
      <w:r>
        <w:t>We also would like to ask you</w:t>
      </w:r>
      <w:r w:rsidR="00D94F77">
        <w:t>r</w:t>
      </w:r>
      <w:r>
        <w:t xml:space="preserve"> attention for the following point. </w:t>
      </w:r>
      <w:r w:rsidR="006B5ACA">
        <w:t>S</w:t>
      </w:r>
      <w:r w:rsidR="007073A2" w:rsidRPr="007073A2">
        <w:t xml:space="preserve">ome of our </w:t>
      </w:r>
      <w:r w:rsidR="006B5ACA">
        <w:t>members</w:t>
      </w:r>
      <w:r w:rsidR="007073A2" w:rsidRPr="007073A2">
        <w:t xml:space="preserve"> consider it a very burdensome task to constantly monitor and calculate (using publicly available information) net positions regarding a share, where it is one of many in an index, basket or ETF. </w:t>
      </w:r>
      <w:r w:rsidR="006B5ACA" w:rsidRPr="007073A2">
        <w:t>As already mentioned in our response to ESMA’s Call for evidence on the evaluation of the Regulation on short selling and certain aspects of credit default swaps (2013)</w:t>
      </w:r>
      <w:r w:rsidR="006B5ACA">
        <w:t xml:space="preserve"> and our response to </w:t>
      </w:r>
      <w:r w:rsidR="006B5ACA" w:rsidRPr="001A5389">
        <w:t xml:space="preserve">ESMA’s </w:t>
      </w:r>
      <w:r w:rsidR="006B5ACA">
        <w:t xml:space="preserve">consultation paper </w:t>
      </w:r>
      <w:r w:rsidR="006B5ACA" w:rsidRPr="00C15989">
        <w:t>on the evaluation of certain elements of the Short Selling Regulation</w:t>
      </w:r>
      <w:r w:rsidR="006B5ACA">
        <w:t xml:space="preserve"> (</w:t>
      </w:r>
      <w:r w:rsidR="006B5ACA" w:rsidRPr="001A5389">
        <w:t>201</w:t>
      </w:r>
      <w:r w:rsidR="006B5ACA">
        <w:t>7</w:t>
      </w:r>
      <w:r w:rsidR="006B5ACA" w:rsidRPr="001A5389">
        <w:t>)</w:t>
      </w:r>
      <w:r w:rsidR="006B5ACA" w:rsidRPr="007073A2">
        <w:t xml:space="preserve">, </w:t>
      </w:r>
      <w:r w:rsidR="007073A2" w:rsidRPr="007073A2">
        <w:t xml:space="preserve">we are of the opinion that the </w:t>
      </w:r>
      <w:r>
        <w:t xml:space="preserve">SSR </w:t>
      </w:r>
      <w:r w:rsidR="007073A2" w:rsidRPr="007073A2">
        <w:t>should be amended in such a way that indices, baskets and ETFs are only included in the calculation of net positions insofar as a set threshold is crossed.</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0C2A1B61" w14:textId="16BE2A77" w:rsidR="00AB1BB1" w:rsidRDefault="000E5E40" w:rsidP="00D02884">
      <w:permStart w:id="316369119" w:edGrp="everyone"/>
      <w:r w:rsidRPr="000E5E40">
        <w:t xml:space="preserve">Just like ESMA, we see benefits in the introduction of a new requirement for competent national authorities to publish anonymised aggregated </w:t>
      </w:r>
      <w:r w:rsidR="00595CA1">
        <w:t>NSPs</w:t>
      </w:r>
      <w:r w:rsidRPr="000E5E40">
        <w:t xml:space="preserve"> in the shares of issuers on a regular basis. Those aggregated posit</w:t>
      </w:r>
      <w:r w:rsidR="0055414E">
        <w:t>i</w:t>
      </w:r>
      <w:r w:rsidRPr="000E5E40">
        <w:t xml:space="preserve">ons could be based on the public and non-public notifications received by the competent national authorities. As a result, investors would have better information on the extent to which short selling in the shares of a specific issuer is used and could use that information to base their investment decisions on. </w:t>
      </w:r>
      <w:r w:rsidR="00FB79DA">
        <w:t>We agree with ESMA that the publication of aggregated NSPs could be made by means of a centralised notification and publication system</w:t>
      </w:r>
      <w:r w:rsidR="00E03A7B">
        <w:t xml:space="preserve">. In terms of frequency, we </w:t>
      </w:r>
      <w:r w:rsidR="00AC1703">
        <w:t xml:space="preserve">believe that </w:t>
      </w:r>
      <w:r w:rsidR="00D76CAA">
        <w:t xml:space="preserve">the anonymised aggregated </w:t>
      </w:r>
      <w:r w:rsidR="005340C0">
        <w:t>NSPs</w:t>
      </w:r>
      <w:r w:rsidR="00D76CAA">
        <w:t xml:space="preserve"> should </w:t>
      </w:r>
      <w:r w:rsidR="00C27425">
        <w:t>– by derogation of the advice of ESMA</w:t>
      </w:r>
      <w:r w:rsidR="009B3EFA">
        <w:t xml:space="preserve"> to publish those position at least every two weeks – </w:t>
      </w:r>
      <w:r w:rsidR="00D76CAA">
        <w:t xml:space="preserve">be published </w:t>
      </w:r>
      <w:r w:rsidR="002E4034">
        <w:t>at least every week</w:t>
      </w:r>
      <w:r w:rsidR="00C27425">
        <w:t>.</w:t>
      </w:r>
    </w:p>
    <w:permEnd w:id="316369119"/>
    <w:p w14:paraId="2D413980" w14:textId="2473DE76"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59AD9957" w14:textId="77777777" w:rsidR="00D02884" w:rsidRDefault="00D02884" w:rsidP="00D02884">
      <w:permStart w:id="1955013049" w:edGrp="everyone"/>
      <w:r>
        <w:t>TYPE YOUR TEXT HERE</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78093A5E" w14:textId="06173B65" w:rsidR="00033B0F" w:rsidRDefault="001E7A58" w:rsidP="00D02884">
      <w:permStart w:id="1440757531" w:edGrp="everyone"/>
      <w:r>
        <w:t xml:space="preserve">Currently, the process for registration and for submitting notifications is not harmonised across the </w:t>
      </w:r>
      <w:r w:rsidR="00CD0EAF">
        <w:t xml:space="preserve">European </w:t>
      </w:r>
      <w:r>
        <w:t xml:space="preserve">Union. For institutional investors with </w:t>
      </w:r>
      <w:r w:rsidR="0023619B">
        <w:t>NSPs</w:t>
      </w:r>
      <w:r>
        <w:t xml:space="preserve"> in different Member States, it is costly and time-consuming to meet all these different requirements. </w:t>
      </w:r>
      <w:r w:rsidR="001A5389" w:rsidRPr="001A5389">
        <w:t xml:space="preserve">As already mentioned </w:t>
      </w:r>
      <w:r w:rsidR="001A5389" w:rsidRPr="001A5389">
        <w:lastRenderedPageBreak/>
        <w:t xml:space="preserve">in our response to the ESMA’s </w:t>
      </w:r>
      <w:r w:rsidR="00F74206">
        <w:t xml:space="preserve">consultation paper </w:t>
      </w:r>
      <w:r w:rsidR="00C15989" w:rsidRPr="00C15989">
        <w:t>on the evaluation of certain elements of the Short Selling Regulation</w:t>
      </w:r>
      <w:r w:rsidR="00C15989">
        <w:t xml:space="preserve"> (</w:t>
      </w:r>
      <w:r w:rsidR="001A5389" w:rsidRPr="001A5389">
        <w:t>201</w:t>
      </w:r>
      <w:r w:rsidR="001A5389">
        <w:t>7</w:t>
      </w:r>
      <w:r w:rsidR="001A5389" w:rsidRPr="001A5389">
        <w:t>)</w:t>
      </w:r>
      <w:r w:rsidR="00C15989">
        <w:t xml:space="preserve"> </w:t>
      </w:r>
      <w:r>
        <w:t xml:space="preserve">we are in favour of a pan-European notification and publication system. Such a </w:t>
      </w:r>
      <w:r w:rsidR="00D04929">
        <w:t xml:space="preserve">central, publicly accessible, free-of-cost European </w:t>
      </w:r>
      <w:r>
        <w:t xml:space="preserve">system would save institutional investors a lot of time and money and can contribute to achieving the overall aim of </w:t>
      </w:r>
      <w:r w:rsidR="00CD0EAF">
        <w:t>the SSR</w:t>
      </w:r>
      <w:r>
        <w:t>: uniform application throughout the European Union of the obligations stemming from that regulation.</w:t>
      </w:r>
    </w:p>
    <w:permEnd w:id="1440757531"/>
    <w:p w14:paraId="27740E58" w14:textId="5ED6F887" w:rsidR="00D02884" w:rsidRDefault="00D02884" w:rsidP="00D02884">
      <w:r>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B8E5E" w14:textId="77777777" w:rsidR="00E100BF" w:rsidRDefault="00E100BF" w:rsidP="007E7997">
      <w:r>
        <w:separator/>
      </w:r>
    </w:p>
  </w:endnote>
  <w:endnote w:type="continuationSeparator" w:id="0">
    <w:p w14:paraId="3685F3C1" w14:textId="77777777" w:rsidR="00E100BF" w:rsidRDefault="00E100BF" w:rsidP="007E7997">
      <w:r>
        <w:continuationSeparator/>
      </w:r>
    </w:p>
  </w:endnote>
  <w:endnote w:type="continuationNotice" w:id="1">
    <w:p w14:paraId="2985A879" w14:textId="77777777" w:rsidR="00E100BF" w:rsidRDefault="00E100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Voettekst"/>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CB001EE" w:rsidR="00E36813" w:rsidRDefault="00E36813" w:rsidP="007A160F">
    <w:pPr>
      <w:pStyle w:val="Voettekst"/>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Voettekst"/>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1147A" w14:textId="77777777" w:rsidR="00E100BF" w:rsidRDefault="00E100BF" w:rsidP="007E7997">
      <w:r>
        <w:separator/>
      </w:r>
    </w:p>
  </w:footnote>
  <w:footnote w:type="continuationSeparator" w:id="0">
    <w:p w14:paraId="5614AE8D" w14:textId="77777777" w:rsidR="00E100BF" w:rsidRDefault="00E100BF" w:rsidP="007E7997">
      <w:r>
        <w:continuationSeparator/>
      </w:r>
    </w:p>
  </w:footnote>
  <w:footnote w:type="continuationNotice" w:id="1">
    <w:p w14:paraId="2F1C9BD2" w14:textId="77777777" w:rsidR="00E100BF" w:rsidRDefault="00E100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Koptekst"/>
    </w:pPr>
  </w:p>
  <w:p w14:paraId="59FA3C9D" w14:textId="77777777" w:rsidR="00E36813" w:rsidRDefault="00E3681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Koptekst"/>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1"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3"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Koptekst"/>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AAECC"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Koptekst"/>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Koptekst"/>
      <w:jc w:val="right"/>
      <w:rPr>
        <w:color w:val="2F5496" w:themeColor="accent5" w:themeShade="BF"/>
        <w:sz w:val="20"/>
      </w:rPr>
    </w:pPr>
  </w:p>
  <w:p w14:paraId="5EAB6EC6" w14:textId="77777777" w:rsidR="00E36813" w:rsidRPr="00B50534" w:rsidRDefault="00E36813" w:rsidP="00B50534">
    <w:pPr>
      <w:pStyle w:val="Koptekst"/>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Kop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jstalinea"/>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Kop1"/>
      <w:lvlText w:val="%1."/>
      <w:lvlJc w:val="righ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2E4A"/>
    <w:rsid w:val="0000380B"/>
    <w:rsid w:val="00005505"/>
    <w:rsid w:val="00006275"/>
    <w:rsid w:val="00006971"/>
    <w:rsid w:val="00011F6C"/>
    <w:rsid w:val="0001249B"/>
    <w:rsid w:val="00012D68"/>
    <w:rsid w:val="000142BB"/>
    <w:rsid w:val="0001633D"/>
    <w:rsid w:val="00016504"/>
    <w:rsid w:val="0001726F"/>
    <w:rsid w:val="00020098"/>
    <w:rsid w:val="00020300"/>
    <w:rsid w:val="00021A9A"/>
    <w:rsid w:val="00022ADA"/>
    <w:rsid w:val="00026327"/>
    <w:rsid w:val="00027EC9"/>
    <w:rsid w:val="00031485"/>
    <w:rsid w:val="00033934"/>
    <w:rsid w:val="00033B0F"/>
    <w:rsid w:val="000341D1"/>
    <w:rsid w:val="00036C09"/>
    <w:rsid w:val="000372BF"/>
    <w:rsid w:val="00040A52"/>
    <w:rsid w:val="00044C5A"/>
    <w:rsid w:val="00044E0A"/>
    <w:rsid w:val="00046240"/>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95444"/>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06E"/>
    <w:rsid w:val="000D11A9"/>
    <w:rsid w:val="000D2D7B"/>
    <w:rsid w:val="000D5D00"/>
    <w:rsid w:val="000E00EC"/>
    <w:rsid w:val="000E2232"/>
    <w:rsid w:val="000E3A92"/>
    <w:rsid w:val="000E3DB1"/>
    <w:rsid w:val="000E5E40"/>
    <w:rsid w:val="000F0169"/>
    <w:rsid w:val="000F0951"/>
    <w:rsid w:val="000F2598"/>
    <w:rsid w:val="000F29C0"/>
    <w:rsid w:val="000F2BE6"/>
    <w:rsid w:val="000F474D"/>
    <w:rsid w:val="000F5C90"/>
    <w:rsid w:val="000F5EA6"/>
    <w:rsid w:val="000F7998"/>
    <w:rsid w:val="001000D7"/>
    <w:rsid w:val="00100ADC"/>
    <w:rsid w:val="0010429A"/>
    <w:rsid w:val="00104B1E"/>
    <w:rsid w:val="00105424"/>
    <w:rsid w:val="001075EC"/>
    <w:rsid w:val="001115A0"/>
    <w:rsid w:val="00113D82"/>
    <w:rsid w:val="00120F0D"/>
    <w:rsid w:val="001214DA"/>
    <w:rsid w:val="0012171D"/>
    <w:rsid w:val="00124B71"/>
    <w:rsid w:val="0012722A"/>
    <w:rsid w:val="00130EF9"/>
    <w:rsid w:val="001319C7"/>
    <w:rsid w:val="00133436"/>
    <w:rsid w:val="001355E6"/>
    <w:rsid w:val="0013644A"/>
    <w:rsid w:val="00137367"/>
    <w:rsid w:val="00140BA6"/>
    <w:rsid w:val="00141946"/>
    <w:rsid w:val="00143CC7"/>
    <w:rsid w:val="00143DCA"/>
    <w:rsid w:val="00144AAD"/>
    <w:rsid w:val="001455E7"/>
    <w:rsid w:val="00145865"/>
    <w:rsid w:val="0014624E"/>
    <w:rsid w:val="001608B2"/>
    <w:rsid w:val="00160FE0"/>
    <w:rsid w:val="001625E3"/>
    <w:rsid w:val="00163AB3"/>
    <w:rsid w:val="00164A08"/>
    <w:rsid w:val="00165047"/>
    <w:rsid w:val="00165FF8"/>
    <w:rsid w:val="0016669F"/>
    <w:rsid w:val="00166C86"/>
    <w:rsid w:val="00170AD6"/>
    <w:rsid w:val="001735B8"/>
    <w:rsid w:val="00177AA7"/>
    <w:rsid w:val="00180917"/>
    <w:rsid w:val="00180E53"/>
    <w:rsid w:val="00181CB7"/>
    <w:rsid w:val="001862A5"/>
    <w:rsid w:val="001868DB"/>
    <w:rsid w:val="00186A70"/>
    <w:rsid w:val="00191035"/>
    <w:rsid w:val="001918E5"/>
    <w:rsid w:val="00192A7A"/>
    <w:rsid w:val="001A1EF4"/>
    <w:rsid w:val="001A5389"/>
    <w:rsid w:val="001A54FE"/>
    <w:rsid w:val="001A6C33"/>
    <w:rsid w:val="001A7046"/>
    <w:rsid w:val="001A710D"/>
    <w:rsid w:val="001A7E6F"/>
    <w:rsid w:val="001B0A77"/>
    <w:rsid w:val="001B0C21"/>
    <w:rsid w:val="001B1727"/>
    <w:rsid w:val="001B2151"/>
    <w:rsid w:val="001B3CFF"/>
    <w:rsid w:val="001B4957"/>
    <w:rsid w:val="001B4996"/>
    <w:rsid w:val="001C0E59"/>
    <w:rsid w:val="001C432D"/>
    <w:rsid w:val="001C469E"/>
    <w:rsid w:val="001C56C3"/>
    <w:rsid w:val="001C5D8C"/>
    <w:rsid w:val="001C7E0A"/>
    <w:rsid w:val="001D0112"/>
    <w:rsid w:val="001D0F3F"/>
    <w:rsid w:val="001D19F5"/>
    <w:rsid w:val="001D385A"/>
    <w:rsid w:val="001D465B"/>
    <w:rsid w:val="001D6B39"/>
    <w:rsid w:val="001E1ECD"/>
    <w:rsid w:val="001E3E0D"/>
    <w:rsid w:val="001E4A45"/>
    <w:rsid w:val="001E5E30"/>
    <w:rsid w:val="001E7A58"/>
    <w:rsid w:val="001F0479"/>
    <w:rsid w:val="001F105E"/>
    <w:rsid w:val="001F1F10"/>
    <w:rsid w:val="001F23C9"/>
    <w:rsid w:val="001F3999"/>
    <w:rsid w:val="001F3D9D"/>
    <w:rsid w:val="001F4AC8"/>
    <w:rsid w:val="00200894"/>
    <w:rsid w:val="00202138"/>
    <w:rsid w:val="00202333"/>
    <w:rsid w:val="00202FA8"/>
    <w:rsid w:val="002034B8"/>
    <w:rsid w:val="00204783"/>
    <w:rsid w:val="00205922"/>
    <w:rsid w:val="00205D00"/>
    <w:rsid w:val="00206FB8"/>
    <w:rsid w:val="0020766F"/>
    <w:rsid w:val="00207A07"/>
    <w:rsid w:val="00210498"/>
    <w:rsid w:val="0021147A"/>
    <w:rsid w:val="00213BFB"/>
    <w:rsid w:val="002156A3"/>
    <w:rsid w:val="00217478"/>
    <w:rsid w:val="00220702"/>
    <w:rsid w:val="00220938"/>
    <w:rsid w:val="00224806"/>
    <w:rsid w:val="00232F8E"/>
    <w:rsid w:val="00233071"/>
    <w:rsid w:val="00235E99"/>
    <w:rsid w:val="0023619B"/>
    <w:rsid w:val="00240A41"/>
    <w:rsid w:val="0024299F"/>
    <w:rsid w:val="002449D8"/>
    <w:rsid w:val="00244B86"/>
    <w:rsid w:val="00244C97"/>
    <w:rsid w:val="0024512F"/>
    <w:rsid w:val="00245406"/>
    <w:rsid w:val="002455D7"/>
    <w:rsid w:val="00245D2E"/>
    <w:rsid w:val="00246E1D"/>
    <w:rsid w:val="002472F6"/>
    <w:rsid w:val="0025020D"/>
    <w:rsid w:val="00254CC2"/>
    <w:rsid w:val="00254EBC"/>
    <w:rsid w:val="002574D1"/>
    <w:rsid w:val="00261CCB"/>
    <w:rsid w:val="002630C0"/>
    <w:rsid w:val="0026332A"/>
    <w:rsid w:val="002645A8"/>
    <w:rsid w:val="0026493B"/>
    <w:rsid w:val="00265566"/>
    <w:rsid w:val="00265F44"/>
    <w:rsid w:val="002665E3"/>
    <w:rsid w:val="0027199C"/>
    <w:rsid w:val="00272C4E"/>
    <w:rsid w:val="00273132"/>
    <w:rsid w:val="002751FC"/>
    <w:rsid w:val="002753BD"/>
    <w:rsid w:val="002813D7"/>
    <w:rsid w:val="00282B3A"/>
    <w:rsid w:val="00282D38"/>
    <w:rsid w:val="00282FBE"/>
    <w:rsid w:val="00284AF2"/>
    <w:rsid w:val="0028536B"/>
    <w:rsid w:val="00285CED"/>
    <w:rsid w:val="00285EB5"/>
    <w:rsid w:val="00287C8F"/>
    <w:rsid w:val="00290893"/>
    <w:rsid w:val="002917B9"/>
    <w:rsid w:val="00291A55"/>
    <w:rsid w:val="0029394C"/>
    <w:rsid w:val="002964FC"/>
    <w:rsid w:val="002A0637"/>
    <w:rsid w:val="002A13B0"/>
    <w:rsid w:val="002A2C91"/>
    <w:rsid w:val="002A4D49"/>
    <w:rsid w:val="002A6C21"/>
    <w:rsid w:val="002A780E"/>
    <w:rsid w:val="002B144C"/>
    <w:rsid w:val="002B53F3"/>
    <w:rsid w:val="002C03FD"/>
    <w:rsid w:val="002C044D"/>
    <w:rsid w:val="002C1AA5"/>
    <w:rsid w:val="002C2A46"/>
    <w:rsid w:val="002C3048"/>
    <w:rsid w:val="002D2992"/>
    <w:rsid w:val="002D37A0"/>
    <w:rsid w:val="002D5AB5"/>
    <w:rsid w:val="002D5E6D"/>
    <w:rsid w:val="002D6667"/>
    <w:rsid w:val="002D79F3"/>
    <w:rsid w:val="002E1C11"/>
    <w:rsid w:val="002E3D0B"/>
    <w:rsid w:val="002E3E7D"/>
    <w:rsid w:val="002E4034"/>
    <w:rsid w:val="002E6A8E"/>
    <w:rsid w:val="002F6279"/>
    <w:rsid w:val="002F7820"/>
    <w:rsid w:val="00300360"/>
    <w:rsid w:val="003013B7"/>
    <w:rsid w:val="00301993"/>
    <w:rsid w:val="00301E55"/>
    <w:rsid w:val="00307397"/>
    <w:rsid w:val="003101EF"/>
    <w:rsid w:val="00312BDD"/>
    <w:rsid w:val="00314117"/>
    <w:rsid w:val="003153C8"/>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080"/>
    <w:rsid w:val="003578D1"/>
    <w:rsid w:val="00363639"/>
    <w:rsid w:val="00365593"/>
    <w:rsid w:val="00366D42"/>
    <w:rsid w:val="0036748C"/>
    <w:rsid w:val="00372615"/>
    <w:rsid w:val="00372EA3"/>
    <w:rsid w:val="00373A3C"/>
    <w:rsid w:val="00375A1D"/>
    <w:rsid w:val="00376233"/>
    <w:rsid w:val="0037718E"/>
    <w:rsid w:val="00380B30"/>
    <w:rsid w:val="00381784"/>
    <w:rsid w:val="00381EB0"/>
    <w:rsid w:val="00382A72"/>
    <w:rsid w:val="00382EBA"/>
    <w:rsid w:val="0038331A"/>
    <w:rsid w:val="0039135B"/>
    <w:rsid w:val="003954A8"/>
    <w:rsid w:val="00397DB2"/>
    <w:rsid w:val="003A14B9"/>
    <w:rsid w:val="003A34E7"/>
    <w:rsid w:val="003A3CB1"/>
    <w:rsid w:val="003A3D55"/>
    <w:rsid w:val="003A73A4"/>
    <w:rsid w:val="003B102E"/>
    <w:rsid w:val="003B4E3D"/>
    <w:rsid w:val="003C167E"/>
    <w:rsid w:val="003C481D"/>
    <w:rsid w:val="003C4EB5"/>
    <w:rsid w:val="003C730E"/>
    <w:rsid w:val="003D2CED"/>
    <w:rsid w:val="003D344A"/>
    <w:rsid w:val="003D3BB8"/>
    <w:rsid w:val="003D599E"/>
    <w:rsid w:val="003D7C07"/>
    <w:rsid w:val="003E13FD"/>
    <w:rsid w:val="003E186F"/>
    <w:rsid w:val="003E1BAD"/>
    <w:rsid w:val="003E1C24"/>
    <w:rsid w:val="003E61FC"/>
    <w:rsid w:val="003E7655"/>
    <w:rsid w:val="003E77BC"/>
    <w:rsid w:val="003F0EDF"/>
    <w:rsid w:val="003F20C7"/>
    <w:rsid w:val="003F21AE"/>
    <w:rsid w:val="003F26D0"/>
    <w:rsid w:val="003F39B1"/>
    <w:rsid w:val="00400D9C"/>
    <w:rsid w:val="00400FBE"/>
    <w:rsid w:val="004022CF"/>
    <w:rsid w:val="004029B1"/>
    <w:rsid w:val="004038F1"/>
    <w:rsid w:val="00404282"/>
    <w:rsid w:val="0040743A"/>
    <w:rsid w:val="00407623"/>
    <w:rsid w:val="00407A74"/>
    <w:rsid w:val="004114D5"/>
    <w:rsid w:val="00413C7B"/>
    <w:rsid w:val="00414210"/>
    <w:rsid w:val="004159DB"/>
    <w:rsid w:val="00420FD4"/>
    <w:rsid w:val="00421986"/>
    <w:rsid w:val="004242B3"/>
    <w:rsid w:val="0042598C"/>
    <w:rsid w:val="00426D62"/>
    <w:rsid w:val="00427A89"/>
    <w:rsid w:val="00430C5B"/>
    <w:rsid w:val="00431968"/>
    <w:rsid w:val="00433936"/>
    <w:rsid w:val="0043475E"/>
    <w:rsid w:val="00435FE9"/>
    <w:rsid w:val="00436279"/>
    <w:rsid w:val="0044199E"/>
    <w:rsid w:val="00441D40"/>
    <w:rsid w:val="0044206D"/>
    <w:rsid w:val="00444803"/>
    <w:rsid w:val="00445696"/>
    <w:rsid w:val="00446E5F"/>
    <w:rsid w:val="00450C4E"/>
    <w:rsid w:val="00455152"/>
    <w:rsid w:val="00455577"/>
    <w:rsid w:val="00456795"/>
    <w:rsid w:val="00456E84"/>
    <w:rsid w:val="0046150E"/>
    <w:rsid w:val="00461CC8"/>
    <w:rsid w:val="00462B2F"/>
    <w:rsid w:val="00462E09"/>
    <w:rsid w:val="00465EAA"/>
    <w:rsid w:val="004708CA"/>
    <w:rsid w:val="00470959"/>
    <w:rsid w:val="004709E7"/>
    <w:rsid w:val="00470ADE"/>
    <w:rsid w:val="004712C7"/>
    <w:rsid w:val="004759EB"/>
    <w:rsid w:val="00477919"/>
    <w:rsid w:val="004821C1"/>
    <w:rsid w:val="00482611"/>
    <w:rsid w:val="00482A27"/>
    <w:rsid w:val="00485CC1"/>
    <w:rsid w:val="00487DCE"/>
    <w:rsid w:val="00492701"/>
    <w:rsid w:val="0049312D"/>
    <w:rsid w:val="004950B7"/>
    <w:rsid w:val="00495626"/>
    <w:rsid w:val="00497FEA"/>
    <w:rsid w:val="004A6B2F"/>
    <w:rsid w:val="004A72D1"/>
    <w:rsid w:val="004A75F5"/>
    <w:rsid w:val="004B07B2"/>
    <w:rsid w:val="004B0955"/>
    <w:rsid w:val="004B143D"/>
    <w:rsid w:val="004B1842"/>
    <w:rsid w:val="004B25D0"/>
    <w:rsid w:val="004B3553"/>
    <w:rsid w:val="004B5E92"/>
    <w:rsid w:val="004C0A30"/>
    <w:rsid w:val="004C10B5"/>
    <w:rsid w:val="004C2860"/>
    <w:rsid w:val="004C338C"/>
    <w:rsid w:val="004C357C"/>
    <w:rsid w:val="004C3D18"/>
    <w:rsid w:val="004D1D42"/>
    <w:rsid w:val="004D42B1"/>
    <w:rsid w:val="004D49CA"/>
    <w:rsid w:val="004D526F"/>
    <w:rsid w:val="004E19C0"/>
    <w:rsid w:val="004E1C54"/>
    <w:rsid w:val="004E2C37"/>
    <w:rsid w:val="004E5285"/>
    <w:rsid w:val="004F0CF3"/>
    <w:rsid w:val="004F5740"/>
    <w:rsid w:val="004F58C9"/>
    <w:rsid w:val="005016EF"/>
    <w:rsid w:val="005028B9"/>
    <w:rsid w:val="00505E17"/>
    <w:rsid w:val="00511A59"/>
    <w:rsid w:val="00511C3B"/>
    <w:rsid w:val="00514440"/>
    <w:rsid w:val="005166C3"/>
    <w:rsid w:val="0051671E"/>
    <w:rsid w:val="00520F7C"/>
    <w:rsid w:val="00522B06"/>
    <w:rsid w:val="00523974"/>
    <w:rsid w:val="00524828"/>
    <w:rsid w:val="00526E5D"/>
    <w:rsid w:val="00527517"/>
    <w:rsid w:val="00531432"/>
    <w:rsid w:val="00532BC8"/>
    <w:rsid w:val="005333E8"/>
    <w:rsid w:val="005340C0"/>
    <w:rsid w:val="00534912"/>
    <w:rsid w:val="005370E7"/>
    <w:rsid w:val="005401B1"/>
    <w:rsid w:val="0054039D"/>
    <w:rsid w:val="005409B7"/>
    <w:rsid w:val="00545E62"/>
    <w:rsid w:val="00551070"/>
    <w:rsid w:val="00552C8A"/>
    <w:rsid w:val="0055414E"/>
    <w:rsid w:val="00555156"/>
    <w:rsid w:val="0055535B"/>
    <w:rsid w:val="00556566"/>
    <w:rsid w:val="00560A96"/>
    <w:rsid w:val="005619CB"/>
    <w:rsid w:val="00561B71"/>
    <w:rsid w:val="00561F98"/>
    <w:rsid w:val="00564607"/>
    <w:rsid w:val="00565193"/>
    <w:rsid w:val="005725BD"/>
    <w:rsid w:val="005730B0"/>
    <w:rsid w:val="00575DCC"/>
    <w:rsid w:val="0058023C"/>
    <w:rsid w:val="005821B0"/>
    <w:rsid w:val="0059175F"/>
    <w:rsid w:val="005919ED"/>
    <w:rsid w:val="00591AAC"/>
    <w:rsid w:val="00595CA1"/>
    <w:rsid w:val="00595F08"/>
    <w:rsid w:val="00595FBE"/>
    <w:rsid w:val="005A1C55"/>
    <w:rsid w:val="005A3E1A"/>
    <w:rsid w:val="005B1455"/>
    <w:rsid w:val="005B169D"/>
    <w:rsid w:val="005B24BC"/>
    <w:rsid w:val="005B43B8"/>
    <w:rsid w:val="005B467C"/>
    <w:rsid w:val="005B4ACA"/>
    <w:rsid w:val="005B4BE0"/>
    <w:rsid w:val="005B6B12"/>
    <w:rsid w:val="005C19E9"/>
    <w:rsid w:val="005C2DBC"/>
    <w:rsid w:val="005C5F13"/>
    <w:rsid w:val="005C65F9"/>
    <w:rsid w:val="005C6B0E"/>
    <w:rsid w:val="005C76FB"/>
    <w:rsid w:val="005C7E1F"/>
    <w:rsid w:val="005D1B9E"/>
    <w:rsid w:val="005D1F6B"/>
    <w:rsid w:val="005D2DE7"/>
    <w:rsid w:val="005D331C"/>
    <w:rsid w:val="005D3486"/>
    <w:rsid w:val="005D6355"/>
    <w:rsid w:val="005D7AAF"/>
    <w:rsid w:val="005E0C59"/>
    <w:rsid w:val="005E18DE"/>
    <w:rsid w:val="005E1DA3"/>
    <w:rsid w:val="005E306B"/>
    <w:rsid w:val="005E53D0"/>
    <w:rsid w:val="005E5785"/>
    <w:rsid w:val="005E6098"/>
    <w:rsid w:val="005E7969"/>
    <w:rsid w:val="005F0C93"/>
    <w:rsid w:val="005F13C4"/>
    <w:rsid w:val="005F3CEF"/>
    <w:rsid w:val="005F3F22"/>
    <w:rsid w:val="005F4FC0"/>
    <w:rsid w:val="005F540F"/>
    <w:rsid w:val="005F5491"/>
    <w:rsid w:val="005F6144"/>
    <w:rsid w:val="005F6573"/>
    <w:rsid w:val="00601541"/>
    <w:rsid w:val="0060361E"/>
    <w:rsid w:val="00604A25"/>
    <w:rsid w:val="00606683"/>
    <w:rsid w:val="00613BF6"/>
    <w:rsid w:val="00613C4D"/>
    <w:rsid w:val="00616D27"/>
    <w:rsid w:val="006234FE"/>
    <w:rsid w:val="00623840"/>
    <w:rsid w:val="006255EC"/>
    <w:rsid w:val="00625A25"/>
    <w:rsid w:val="0062736A"/>
    <w:rsid w:val="0063565E"/>
    <w:rsid w:val="00636E02"/>
    <w:rsid w:val="00641DB1"/>
    <w:rsid w:val="00642297"/>
    <w:rsid w:val="00644A34"/>
    <w:rsid w:val="0064631D"/>
    <w:rsid w:val="00654824"/>
    <w:rsid w:val="00661766"/>
    <w:rsid w:val="006626C7"/>
    <w:rsid w:val="00662882"/>
    <w:rsid w:val="0066298C"/>
    <w:rsid w:val="00663008"/>
    <w:rsid w:val="00663093"/>
    <w:rsid w:val="00665A7C"/>
    <w:rsid w:val="00665B0B"/>
    <w:rsid w:val="006705CD"/>
    <w:rsid w:val="00671363"/>
    <w:rsid w:val="0067248E"/>
    <w:rsid w:val="00672780"/>
    <w:rsid w:val="00672842"/>
    <w:rsid w:val="00676CFC"/>
    <w:rsid w:val="00677133"/>
    <w:rsid w:val="00681482"/>
    <w:rsid w:val="0068370F"/>
    <w:rsid w:val="00684048"/>
    <w:rsid w:val="00687BF0"/>
    <w:rsid w:val="006904CF"/>
    <w:rsid w:val="006912FB"/>
    <w:rsid w:val="00693DDA"/>
    <w:rsid w:val="00695AF2"/>
    <w:rsid w:val="00696A2B"/>
    <w:rsid w:val="00696BD5"/>
    <w:rsid w:val="006A04AE"/>
    <w:rsid w:val="006A0AE4"/>
    <w:rsid w:val="006A23F3"/>
    <w:rsid w:val="006A2CF3"/>
    <w:rsid w:val="006A5047"/>
    <w:rsid w:val="006A7A10"/>
    <w:rsid w:val="006B0BF4"/>
    <w:rsid w:val="006B0DA4"/>
    <w:rsid w:val="006B1B6B"/>
    <w:rsid w:val="006B2C57"/>
    <w:rsid w:val="006B391B"/>
    <w:rsid w:val="006B5ACA"/>
    <w:rsid w:val="006B79E0"/>
    <w:rsid w:val="006C0B2D"/>
    <w:rsid w:val="006C1633"/>
    <w:rsid w:val="006C5BF8"/>
    <w:rsid w:val="006C7CCB"/>
    <w:rsid w:val="006D3978"/>
    <w:rsid w:val="006D6009"/>
    <w:rsid w:val="006D7D41"/>
    <w:rsid w:val="006E2F4D"/>
    <w:rsid w:val="006E3FDD"/>
    <w:rsid w:val="006E56A8"/>
    <w:rsid w:val="006E58FB"/>
    <w:rsid w:val="006E5D82"/>
    <w:rsid w:val="006E66B2"/>
    <w:rsid w:val="006E6C50"/>
    <w:rsid w:val="006E7A69"/>
    <w:rsid w:val="006E7DE4"/>
    <w:rsid w:val="006F1733"/>
    <w:rsid w:val="006F53E8"/>
    <w:rsid w:val="006F5FB8"/>
    <w:rsid w:val="0070017B"/>
    <w:rsid w:val="0070098E"/>
    <w:rsid w:val="0070427E"/>
    <w:rsid w:val="00704D53"/>
    <w:rsid w:val="007056C3"/>
    <w:rsid w:val="00706072"/>
    <w:rsid w:val="007073A2"/>
    <w:rsid w:val="00713644"/>
    <w:rsid w:val="007148CC"/>
    <w:rsid w:val="00715FAA"/>
    <w:rsid w:val="007210BB"/>
    <w:rsid w:val="0072111B"/>
    <w:rsid w:val="00721256"/>
    <w:rsid w:val="007217AD"/>
    <w:rsid w:val="00721DB4"/>
    <w:rsid w:val="00723BA1"/>
    <w:rsid w:val="00724A1B"/>
    <w:rsid w:val="00727644"/>
    <w:rsid w:val="00727F7E"/>
    <w:rsid w:val="0073173E"/>
    <w:rsid w:val="007319C3"/>
    <w:rsid w:val="0073454F"/>
    <w:rsid w:val="00735C00"/>
    <w:rsid w:val="007364C6"/>
    <w:rsid w:val="00740BF3"/>
    <w:rsid w:val="00741D5C"/>
    <w:rsid w:val="0074352F"/>
    <w:rsid w:val="00747C5E"/>
    <w:rsid w:val="007501B1"/>
    <w:rsid w:val="00750210"/>
    <w:rsid w:val="007531B4"/>
    <w:rsid w:val="00754B57"/>
    <w:rsid w:val="0075671D"/>
    <w:rsid w:val="0076002F"/>
    <w:rsid w:val="0076038B"/>
    <w:rsid w:val="00761744"/>
    <w:rsid w:val="00764582"/>
    <w:rsid w:val="00765FA3"/>
    <w:rsid w:val="00766918"/>
    <w:rsid w:val="00766961"/>
    <w:rsid w:val="00766B5A"/>
    <w:rsid w:val="00770C33"/>
    <w:rsid w:val="0077193D"/>
    <w:rsid w:val="007741C3"/>
    <w:rsid w:val="007779DF"/>
    <w:rsid w:val="00777BE0"/>
    <w:rsid w:val="00780923"/>
    <w:rsid w:val="00780ACE"/>
    <w:rsid w:val="0078131F"/>
    <w:rsid w:val="007844C6"/>
    <w:rsid w:val="007876EF"/>
    <w:rsid w:val="00790306"/>
    <w:rsid w:val="00790FF6"/>
    <w:rsid w:val="00792098"/>
    <w:rsid w:val="00792E20"/>
    <w:rsid w:val="0079364C"/>
    <w:rsid w:val="007942B9"/>
    <w:rsid w:val="00796C7F"/>
    <w:rsid w:val="00797E0C"/>
    <w:rsid w:val="007A0303"/>
    <w:rsid w:val="007A160F"/>
    <w:rsid w:val="007A2F88"/>
    <w:rsid w:val="007A48BC"/>
    <w:rsid w:val="007B0BC1"/>
    <w:rsid w:val="007B354B"/>
    <w:rsid w:val="007B4FC3"/>
    <w:rsid w:val="007B5A3F"/>
    <w:rsid w:val="007B73F3"/>
    <w:rsid w:val="007B7EE5"/>
    <w:rsid w:val="007C1C28"/>
    <w:rsid w:val="007C27FF"/>
    <w:rsid w:val="007C2A2C"/>
    <w:rsid w:val="007C3577"/>
    <w:rsid w:val="007C5E08"/>
    <w:rsid w:val="007D0002"/>
    <w:rsid w:val="007D7A59"/>
    <w:rsid w:val="007E0E75"/>
    <w:rsid w:val="007E2323"/>
    <w:rsid w:val="007E53F5"/>
    <w:rsid w:val="007E6E9E"/>
    <w:rsid w:val="007E7637"/>
    <w:rsid w:val="007E77E2"/>
    <w:rsid w:val="007E7997"/>
    <w:rsid w:val="007F014A"/>
    <w:rsid w:val="007F04EF"/>
    <w:rsid w:val="007F0763"/>
    <w:rsid w:val="007F1DE9"/>
    <w:rsid w:val="007F25C2"/>
    <w:rsid w:val="007F4F88"/>
    <w:rsid w:val="007F5822"/>
    <w:rsid w:val="007F5B86"/>
    <w:rsid w:val="00800A7F"/>
    <w:rsid w:val="008012B4"/>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485"/>
    <w:rsid w:val="00832500"/>
    <w:rsid w:val="00832787"/>
    <w:rsid w:val="00833000"/>
    <w:rsid w:val="00835805"/>
    <w:rsid w:val="0083595F"/>
    <w:rsid w:val="008372B6"/>
    <w:rsid w:val="00843A1A"/>
    <w:rsid w:val="00846433"/>
    <w:rsid w:val="008472C2"/>
    <w:rsid w:val="00850720"/>
    <w:rsid w:val="00850B43"/>
    <w:rsid w:val="008510D9"/>
    <w:rsid w:val="00851EE3"/>
    <w:rsid w:val="00853121"/>
    <w:rsid w:val="008555E4"/>
    <w:rsid w:val="00857610"/>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96462"/>
    <w:rsid w:val="008A1E27"/>
    <w:rsid w:val="008A2C86"/>
    <w:rsid w:val="008A6000"/>
    <w:rsid w:val="008A6B3E"/>
    <w:rsid w:val="008A70A8"/>
    <w:rsid w:val="008A7FAC"/>
    <w:rsid w:val="008B0065"/>
    <w:rsid w:val="008B0A93"/>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26F"/>
    <w:rsid w:val="008D5C28"/>
    <w:rsid w:val="008E2D26"/>
    <w:rsid w:val="008E4076"/>
    <w:rsid w:val="008E7DBA"/>
    <w:rsid w:val="008F1993"/>
    <w:rsid w:val="008F1BC6"/>
    <w:rsid w:val="008F3386"/>
    <w:rsid w:val="008F3AD9"/>
    <w:rsid w:val="008F3E39"/>
    <w:rsid w:val="008F4642"/>
    <w:rsid w:val="008F4E00"/>
    <w:rsid w:val="008F761D"/>
    <w:rsid w:val="00900D44"/>
    <w:rsid w:val="00902520"/>
    <w:rsid w:val="00906DC4"/>
    <w:rsid w:val="00912EAB"/>
    <w:rsid w:val="0091457F"/>
    <w:rsid w:val="009145CE"/>
    <w:rsid w:val="0091729E"/>
    <w:rsid w:val="0093261E"/>
    <w:rsid w:val="0094008E"/>
    <w:rsid w:val="00941C0C"/>
    <w:rsid w:val="009437F2"/>
    <w:rsid w:val="00944CD9"/>
    <w:rsid w:val="0094528B"/>
    <w:rsid w:val="00952AC5"/>
    <w:rsid w:val="00960A8B"/>
    <w:rsid w:val="00965128"/>
    <w:rsid w:val="00973F43"/>
    <w:rsid w:val="0097785D"/>
    <w:rsid w:val="0098011D"/>
    <w:rsid w:val="00981912"/>
    <w:rsid w:val="009819C0"/>
    <w:rsid w:val="009835AD"/>
    <w:rsid w:val="00987A75"/>
    <w:rsid w:val="00987C1A"/>
    <w:rsid w:val="00991A8A"/>
    <w:rsid w:val="00992611"/>
    <w:rsid w:val="00994303"/>
    <w:rsid w:val="0099526D"/>
    <w:rsid w:val="00996C8B"/>
    <w:rsid w:val="009A0054"/>
    <w:rsid w:val="009A0F6E"/>
    <w:rsid w:val="009A5091"/>
    <w:rsid w:val="009A5548"/>
    <w:rsid w:val="009B25C1"/>
    <w:rsid w:val="009B3EFA"/>
    <w:rsid w:val="009B7B79"/>
    <w:rsid w:val="009C0383"/>
    <w:rsid w:val="009C145B"/>
    <w:rsid w:val="009C3E04"/>
    <w:rsid w:val="009C4E00"/>
    <w:rsid w:val="009C4FB0"/>
    <w:rsid w:val="009C5945"/>
    <w:rsid w:val="009C75D1"/>
    <w:rsid w:val="009C7694"/>
    <w:rsid w:val="009D021E"/>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499A"/>
    <w:rsid w:val="009F5500"/>
    <w:rsid w:val="00A02199"/>
    <w:rsid w:val="00A026A4"/>
    <w:rsid w:val="00A04044"/>
    <w:rsid w:val="00A11D0C"/>
    <w:rsid w:val="00A16579"/>
    <w:rsid w:val="00A24843"/>
    <w:rsid w:val="00A26D48"/>
    <w:rsid w:val="00A31C7C"/>
    <w:rsid w:val="00A363BB"/>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2CF9"/>
    <w:rsid w:val="00A63249"/>
    <w:rsid w:val="00A6691F"/>
    <w:rsid w:val="00A67E6A"/>
    <w:rsid w:val="00A70F49"/>
    <w:rsid w:val="00A72203"/>
    <w:rsid w:val="00A7281F"/>
    <w:rsid w:val="00A73949"/>
    <w:rsid w:val="00A76707"/>
    <w:rsid w:val="00A7697E"/>
    <w:rsid w:val="00A76E20"/>
    <w:rsid w:val="00A81D3F"/>
    <w:rsid w:val="00A8284E"/>
    <w:rsid w:val="00A870EE"/>
    <w:rsid w:val="00A91D91"/>
    <w:rsid w:val="00A932D6"/>
    <w:rsid w:val="00A96F81"/>
    <w:rsid w:val="00A9709D"/>
    <w:rsid w:val="00AA054E"/>
    <w:rsid w:val="00AA0794"/>
    <w:rsid w:val="00AA0A10"/>
    <w:rsid w:val="00AA2094"/>
    <w:rsid w:val="00AA2947"/>
    <w:rsid w:val="00AB1894"/>
    <w:rsid w:val="00AB1BB1"/>
    <w:rsid w:val="00AB22DF"/>
    <w:rsid w:val="00AB30EA"/>
    <w:rsid w:val="00AB458B"/>
    <w:rsid w:val="00AB45E4"/>
    <w:rsid w:val="00AB6157"/>
    <w:rsid w:val="00AB7542"/>
    <w:rsid w:val="00AC022D"/>
    <w:rsid w:val="00AC0629"/>
    <w:rsid w:val="00AC1703"/>
    <w:rsid w:val="00AC1DB0"/>
    <w:rsid w:val="00AC70C7"/>
    <w:rsid w:val="00AC79E0"/>
    <w:rsid w:val="00AD32CE"/>
    <w:rsid w:val="00AD5187"/>
    <w:rsid w:val="00AD6B11"/>
    <w:rsid w:val="00AD6B34"/>
    <w:rsid w:val="00AD6F90"/>
    <w:rsid w:val="00AE0286"/>
    <w:rsid w:val="00AE0A1F"/>
    <w:rsid w:val="00AE247F"/>
    <w:rsid w:val="00AE34C4"/>
    <w:rsid w:val="00AE4A24"/>
    <w:rsid w:val="00AE4FC7"/>
    <w:rsid w:val="00AF01E3"/>
    <w:rsid w:val="00AF0AB5"/>
    <w:rsid w:val="00AF0D87"/>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3D0E"/>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0E99"/>
    <w:rsid w:val="00B73FF2"/>
    <w:rsid w:val="00B74CBA"/>
    <w:rsid w:val="00B74ED3"/>
    <w:rsid w:val="00B768CF"/>
    <w:rsid w:val="00B778A4"/>
    <w:rsid w:val="00B81A44"/>
    <w:rsid w:val="00B86BB5"/>
    <w:rsid w:val="00B91072"/>
    <w:rsid w:val="00B912AA"/>
    <w:rsid w:val="00B91B6E"/>
    <w:rsid w:val="00B94B2C"/>
    <w:rsid w:val="00B96F7D"/>
    <w:rsid w:val="00B970D0"/>
    <w:rsid w:val="00BA49F4"/>
    <w:rsid w:val="00BA5C41"/>
    <w:rsid w:val="00BA61CD"/>
    <w:rsid w:val="00BA6ACA"/>
    <w:rsid w:val="00BA7232"/>
    <w:rsid w:val="00BA7809"/>
    <w:rsid w:val="00BB449C"/>
    <w:rsid w:val="00BB44D7"/>
    <w:rsid w:val="00BC2561"/>
    <w:rsid w:val="00BC3E3E"/>
    <w:rsid w:val="00BC422A"/>
    <w:rsid w:val="00BC5128"/>
    <w:rsid w:val="00BC5308"/>
    <w:rsid w:val="00BC5608"/>
    <w:rsid w:val="00BC56B1"/>
    <w:rsid w:val="00BD04C9"/>
    <w:rsid w:val="00BD3536"/>
    <w:rsid w:val="00BD35B8"/>
    <w:rsid w:val="00BD37FD"/>
    <w:rsid w:val="00BD7F6D"/>
    <w:rsid w:val="00BE0B46"/>
    <w:rsid w:val="00BE208D"/>
    <w:rsid w:val="00BE225E"/>
    <w:rsid w:val="00BE237E"/>
    <w:rsid w:val="00BE3703"/>
    <w:rsid w:val="00BE567F"/>
    <w:rsid w:val="00BF0A29"/>
    <w:rsid w:val="00BF25CD"/>
    <w:rsid w:val="00BF2B7E"/>
    <w:rsid w:val="00BF5553"/>
    <w:rsid w:val="00BF75CD"/>
    <w:rsid w:val="00C00F1C"/>
    <w:rsid w:val="00C0346D"/>
    <w:rsid w:val="00C0358F"/>
    <w:rsid w:val="00C03BB0"/>
    <w:rsid w:val="00C041CF"/>
    <w:rsid w:val="00C059B9"/>
    <w:rsid w:val="00C0696A"/>
    <w:rsid w:val="00C07152"/>
    <w:rsid w:val="00C11692"/>
    <w:rsid w:val="00C12034"/>
    <w:rsid w:val="00C1396B"/>
    <w:rsid w:val="00C15989"/>
    <w:rsid w:val="00C1698A"/>
    <w:rsid w:val="00C17E6C"/>
    <w:rsid w:val="00C249CC"/>
    <w:rsid w:val="00C24E5F"/>
    <w:rsid w:val="00C255B6"/>
    <w:rsid w:val="00C26F3A"/>
    <w:rsid w:val="00C27425"/>
    <w:rsid w:val="00C2770B"/>
    <w:rsid w:val="00C30296"/>
    <w:rsid w:val="00C3170E"/>
    <w:rsid w:val="00C31947"/>
    <w:rsid w:val="00C40053"/>
    <w:rsid w:val="00C403E3"/>
    <w:rsid w:val="00C4294D"/>
    <w:rsid w:val="00C444C8"/>
    <w:rsid w:val="00C45116"/>
    <w:rsid w:val="00C452DD"/>
    <w:rsid w:val="00C45856"/>
    <w:rsid w:val="00C46603"/>
    <w:rsid w:val="00C47C12"/>
    <w:rsid w:val="00C51AB4"/>
    <w:rsid w:val="00C5218C"/>
    <w:rsid w:val="00C54316"/>
    <w:rsid w:val="00C55208"/>
    <w:rsid w:val="00C5527D"/>
    <w:rsid w:val="00C61B1A"/>
    <w:rsid w:val="00C62A53"/>
    <w:rsid w:val="00C70753"/>
    <w:rsid w:val="00C709F9"/>
    <w:rsid w:val="00C72A86"/>
    <w:rsid w:val="00C73A00"/>
    <w:rsid w:val="00C73A70"/>
    <w:rsid w:val="00C753B2"/>
    <w:rsid w:val="00C76054"/>
    <w:rsid w:val="00C779A2"/>
    <w:rsid w:val="00C80546"/>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3D8A"/>
    <w:rsid w:val="00CB4B3E"/>
    <w:rsid w:val="00CB50EF"/>
    <w:rsid w:val="00CB54AD"/>
    <w:rsid w:val="00CB58B0"/>
    <w:rsid w:val="00CB623F"/>
    <w:rsid w:val="00CB791A"/>
    <w:rsid w:val="00CB7D1B"/>
    <w:rsid w:val="00CC11DF"/>
    <w:rsid w:val="00CC1A6E"/>
    <w:rsid w:val="00CC3F62"/>
    <w:rsid w:val="00CC536E"/>
    <w:rsid w:val="00CC59DD"/>
    <w:rsid w:val="00CC7FC6"/>
    <w:rsid w:val="00CD0EAF"/>
    <w:rsid w:val="00CD47B2"/>
    <w:rsid w:val="00CD5AFD"/>
    <w:rsid w:val="00CD63FD"/>
    <w:rsid w:val="00CD74EB"/>
    <w:rsid w:val="00CE49F8"/>
    <w:rsid w:val="00CE4E1E"/>
    <w:rsid w:val="00CE66B5"/>
    <w:rsid w:val="00CF52DF"/>
    <w:rsid w:val="00CF5832"/>
    <w:rsid w:val="00CF5911"/>
    <w:rsid w:val="00CF7221"/>
    <w:rsid w:val="00CF724E"/>
    <w:rsid w:val="00D02884"/>
    <w:rsid w:val="00D039B6"/>
    <w:rsid w:val="00D04929"/>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8D8"/>
    <w:rsid w:val="00D54FC4"/>
    <w:rsid w:val="00D566F8"/>
    <w:rsid w:val="00D574C1"/>
    <w:rsid w:val="00D57615"/>
    <w:rsid w:val="00D577C9"/>
    <w:rsid w:val="00D606B7"/>
    <w:rsid w:val="00D60DF0"/>
    <w:rsid w:val="00D61A94"/>
    <w:rsid w:val="00D62282"/>
    <w:rsid w:val="00D6356C"/>
    <w:rsid w:val="00D64A32"/>
    <w:rsid w:val="00D6553A"/>
    <w:rsid w:val="00D657CA"/>
    <w:rsid w:val="00D73338"/>
    <w:rsid w:val="00D76CAA"/>
    <w:rsid w:val="00D775F3"/>
    <w:rsid w:val="00D77868"/>
    <w:rsid w:val="00D77F25"/>
    <w:rsid w:val="00D818F8"/>
    <w:rsid w:val="00D84C2A"/>
    <w:rsid w:val="00D9064B"/>
    <w:rsid w:val="00D94F77"/>
    <w:rsid w:val="00D978C6"/>
    <w:rsid w:val="00DA03F6"/>
    <w:rsid w:val="00DA134A"/>
    <w:rsid w:val="00DA1A2E"/>
    <w:rsid w:val="00DA3413"/>
    <w:rsid w:val="00DA3762"/>
    <w:rsid w:val="00DA426E"/>
    <w:rsid w:val="00DA4339"/>
    <w:rsid w:val="00DA4B1B"/>
    <w:rsid w:val="00DA4EFC"/>
    <w:rsid w:val="00DA648D"/>
    <w:rsid w:val="00DA726D"/>
    <w:rsid w:val="00DB29BD"/>
    <w:rsid w:val="00DB3DEA"/>
    <w:rsid w:val="00DB40BD"/>
    <w:rsid w:val="00DB4B8E"/>
    <w:rsid w:val="00DB4F4B"/>
    <w:rsid w:val="00DC0175"/>
    <w:rsid w:val="00DC070F"/>
    <w:rsid w:val="00DC3858"/>
    <w:rsid w:val="00DC3A57"/>
    <w:rsid w:val="00DC7A95"/>
    <w:rsid w:val="00DD55C2"/>
    <w:rsid w:val="00DD580C"/>
    <w:rsid w:val="00DD759E"/>
    <w:rsid w:val="00DE160C"/>
    <w:rsid w:val="00DE314E"/>
    <w:rsid w:val="00DE4CFB"/>
    <w:rsid w:val="00DF045B"/>
    <w:rsid w:val="00DF1ED8"/>
    <w:rsid w:val="00DF3785"/>
    <w:rsid w:val="00DF3D27"/>
    <w:rsid w:val="00DF4117"/>
    <w:rsid w:val="00DF6059"/>
    <w:rsid w:val="00DF6074"/>
    <w:rsid w:val="00DF65C6"/>
    <w:rsid w:val="00E02239"/>
    <w:rsid w:val="00E03A7B"/>
    <w:rsid w:val="00E047EC"/>
    <w:rsid w:val="00E05D00"/>
    <w:rsid w:val="00E07D42"/>
    <w:rsid w:val="00E100BF"/>
    <w:rsid w:val="00E163E9"/>
    <w:rsid w:val="00E17765"/>
    <w:rsid w:val="00E240F5"/>
    <w:rsid w:val="00E30004"/>
    <w:rsid w:val="00E333AC"/>
    <w:rsid w:val="00E3456B"/>
    <w:rsid w:val="00E35C16"/>
    <w:rsid w:val="00E36085"/>
    <w:rsid w:val="00E36813"/>
    <w:rsid w:val="00E42382"/>
    <w:rsid w:val="00E47C13"/>
    <w:rsid w:val="00E51175"/>
    <w:rsid w:val="00E603DF"/>
    <w:rsid w:val="00E6204E"/>
    <w:rsid w:val="00E63745"/>
    <w:rsid w:val="00E6699F"/>
    <w:rsid w:val="00E67B40"/>
    <w:rsid w:val="00E703AE"/>
    <w:rsid w:val="00E72373"/>
    <w:rsid w:val="00E76AF9"/>
    <w:rsid w:val="00E84EF0"/>
    <w:rsid w:val="00E8649C"/>
    <w:rsid w:val="00E87886"/>
    <w:rsid w:val="00E87C69"/>
    <w:rsid w:val="00E87CDE"/>
    <w:rsid w:val="00E91FC1"/>
    <w:rsid w:val="00E92D54"/>
    <w:rsid w:val="00E9323C"/>
    <w:rsid w:val="00E95FD8"/>
    <w:rsid w:val="00EA0283"/>
    <w:rsid w:val="00EA5DE1"/>
    <w:rsid w:val="00EB0C86"/>
    <w:rsid w:val="00EB0E16"/>
    <w:rsid w:val="00EB1A57"/>
    <w:rsid w:val="00EB236F"/>
    <w:rsid w:val="00EB237E"/>
    <w:rsid w:val="00EB4F53"/>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2E0"/>
    <w:rsid w:val="00EF4370"/>
    <w:rsid w:val="00EF5AD7"/>
    <w:rsid w:val="00F02CE5"/>
    <w:rsid w:val="00F03FA7"/>
    <w:rsid w:val="00F048EF"/>
    <w:rsid w:val="00F06AAD"/>
    <w:rsid w:val="00F146BE"/>
    <w:rsid w:val="00F22013"/>
    <w:rsid w:val="00F22356"/>
    <w:rsid w:val="00F226E0"/>
    <w:rsid w:val="00F2522F"/>
    <w:rsid w:val="00F30180"/>
    <w:rsid w:val="00F310ED"/>
    <w:rsid w:val="00F31A29"/>
    <w:rsid w:val="00F3279A"/>
    <w:rsid w:val="00F32C76"/>
    <w:rsid w:val="00F37236"/>
    <w:rsid w:val="00F44634"/>
    <w:rsid w:val="00F505EC"/>
    <w:rsid w:val="00F5088F"/>
    <w:rsid w:val="00F51657"/>
    <w:rsid w:val="00F5223C"/>
    <w:rsid w:val="00F57787"/>
    <w:rsid w:val="00F61E82"/>
    <w:rsid w:val="00F6243A"/>
    <w:rsid w:val="00F627E0"/>
    <w:rsid w:val="00F63323"/>
    <w:rsid w:val="00F636FE"/>
    <w:rsid w:val="00F648B2"/>
    <w:rsid w:val="00F67EBD"/>
    <w:rsid w:val="00F707ED"/>
    <w:rsid w:val="00F70EA4"/>
    <w:rsid w:val="00F730E1"/>
    <w:rsid w:val="00F74206"/>
    <w:rsid w:val="00F77851"/>
    <w:rsid w:val="00F80FAB"/>
    <w:rsid w:val="00F81E3B"/>
    <w:rsid w:val="00F827E1"/>
    <w:rsid w:val="00F910A4"/>
    <w:rsid w:val="00F927B5"/>
    <w:rsid w:val="00F94BD0"/>
    <w:rsid w:val="00F95403"/>
    <w:rsid w:val="00F96705"/>
    <w:rsid w:val="00F96750"/>
    <w:rsid w:val="00F9704D"/>
    <w:rsid w:val="00FA0166"/>
    <w:rsid w:val="00FA08A6"/>
    <w:rsid w:val="00FA2400"/>
    <w:rsid w:val="00FA33E9"/>
    <w:rsid w:val="00FA55C8"/>
    <w:rsid w:val="00FA74C6"/>
    <w:rsid w:val="00FB24ED"/>
    <w:rsid w:val="00FB257B"/>
    <w:rsid w:val="00FB29AF"/>
    <w:rsid w:val="00FB313D"/>
    <w:rsid w:val="00FB4003"/>
    <w:rsid w:val="00FB4EBA"/>
    <w:rsid w:val="00FB7086"/>
    <w:rsid w:val="00FB79DA"/>
    <w:rsid w:val="00FC0DBF"/>
    <w:rsid w:val="00FC3713"/>
    <w:rsid w:val="00FC6733"/>
    <w:rsid w:val="00FD2677"/>
    <w:rsid w:val="00FD28B8"/>
    <w:rsid w:val="00FE0BD8"/>
    <w:rsid w:val="00FE11A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Kop1">
    <w:name w:val="heading 1"/>
    <w:basedOn w:val="Standaard"/>
    <w:next w:val="Standaard"/>
    <w:link w:val="Kop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Kop3">
    <w:name w:val="heading 3"/>
    <w:basedOn w:val="Standaard"/>
    <w:next w:val="Standaard"/>
    <w:link w:val="Kop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Kop4">
    <w:name w:val="heading 4"/>
    <w:basedOn w:val="Standaard"/>
    <w:next w:val="Standaard"/>
    <w:link w:val="Kop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Kop5">
    <w:name w:val="heading 5"/>
    <w:basedOn w:val="Standaard"/>
    <w:next w:val="Standaard"/>
    <w:link w:val="Kop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Kop6">
    <w:name w:val="heading 6"/>
    <w:basedOn w:val="Standaard"/>
    <w:next w:val="Standaard"/>
    <w:link w:val="Kop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Kop8">
    <w:name w:val="heading 8"/>
    <w:basedOn w:val="Standaard"/>
    <w:next w:val="Standaard"/>
    <w:link w:val="Kop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5B6B12"/>
    <w:pPr>
      <w:spacing w:after="0" w:line="240" w:lineRule="auto"/>
    </w:pPr>
    <w:rPr>
      <w:lang w:val="en-GB"/>
    </w:rPr>
  </w:style>
  <w:style w:type="character" w:customStyle="1" w:styleId="Kop4Char">
    <w:name w:val="Kop 4 Char"/>
    <w:basedOn w:val="Standaardalinea-lettertype"/>
    <w:link w:val="Kop4"/>
    <w:rsid w:val="00020300"/>
    <w:rPr>
      <w:rFonts w:asciiTheme="majorHAnsi" w:eastAsiaTheme="majorEastAsia" w:hAnsiTheme="majorHAnsi" w:cstheme="majorBidi"/>
      <w:sz w:val="24"/>
      <w:szCs w:val="22"/>
      <w:lang w:val="en-GB" w:eastAsia="en-GB"/>
    </w:rPr>
  </w:style>
  <w:style w:type="character" w:customStyle="1" w:styleId="Kop3Char">
    <w:name w:val="Kop 3 Char"/>
    <w:basedOn w:val="Standaardalinea-lettertype"/>
    <w:link w:val="Kop3"/>
    <w:rsid w:val="00020300"/>
    <w:rPr>
      <w:rFonts w:asciiTheme="majorHAnsi" w:eastAsiaTheme="majorEastAsia" w:hAnsiTheme="majorHAnsi" w:cstheme="majorBidi"/>
      <w:sz w:val="24"/>
      <w:szCs w:val="24"/>
      <w:lang w:val="en-GB" w:eastAsia="en-GB"/>
    </w:rPr>
  </w:style>
  <w:style w:type="character" w:customStyle="1" w:styleId="Kop1Char">
    <w:name w:val="Kop 1 Char"/>
    <w:basedOn w:val="Standaardalinea-lettertype"/>
    <w:link w:val="Kop1"/>
    <w:rsid w:val="00FE0BD8"/>
    <w:rPr>
      <w:rFonts w:asciiTheme="majorHAnsi" w:eastAsiaTheme="majorEastAsia" w:hAnsiTheme="majorHAnsi" w:cstheme="majorBidi"/>
      <w:b/>
      <w:sz w:val="32"/>
      <w:szCs w:val="32"/>
      <w:lang w:val="en-GB" w:eastAsia="en-GB"/>
    </w:rPr>
  </w:style>
  <w:style w:type="character" w:customStyle="1" w:styleId="Kop2Char">
    <w:name w:val="Kop 2 Char"/>
    <w:basedOn w:val="Standaardalinea-lettertype"/>
    <w:link w:val="Kop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ard"/>
    <w:link w:val="Subtitle1Char"/>
    <w:autoRedefine/>
    <w:rsid w:val="003C4EB5"/>
    <w:pPr>
      <w:tabs>
        <w:tab w:val="left" w:pos="414"/>
      </w:tabs>
    </w:pPr>
    <w:rPr>
      <w:b/>
    </w:rPr>
  </w:style>
  <w:style w:type="character" w:customStyle="1" w:styleId="Subtitle1Char">
    <w:name w:val="Subtitle1 Char"/>
    <w:basedOn w:val="Standaardalinea-lettertype"/>
    <w:link w:val="Subtitle1"/>
    <w:rsid w:val="003C4EB5"/>
    <w:rPr>
      <w:rFonts w:cs="Times New Roman"/>
      <w:b/>
      <w:sz w:val="20"/>
      <w:szCs w:val="24"/>
      <w:lang w:val="en-GB" w:eastAsia="de-DE"/>
    </w:rPr>
  </w:style>
  <w:style w:type="paragraph" w:customStyle="1" w:styleId="Title1">
    <w:name w:val="Title 1"/>
    <w:basedOn w:val="Lijstalinea"/>
    <w:link w:val="Title1Char"/>
    <w:autoRedefine/>
    <w:rsid w:val="002574D1"/>
    <w:pPr>
      <w:numPr>
        <w:numId w:val="2"/>
      </w:numPr>
    </w:pPr>
    <w:rPr>
      <w:b/>
      <w:sz w:val="28"/>
    </w:rPr>
  </w:style>
  <w:style w:type="character" w:customStyle="1" w:styleId="Title1Char">
    <w:name w:val="Title 1 Char"/>
    <w:basedOn w:val="Standaardalinea-lettertype"/>
    <w:link w:val="Title1"/>
    <w:rsid w:val="003C4EB5"/>
    <w:rPr>
      <w:rFonts w:eastAsiaTheme="majorEastAsia" w:cstheme="minorHAnsi"/>
      <w:b/>
      <w:sz w:val="28"/>
      <w:szCs w:val="22"/>
      <w:lang w:val="en-GB" w:eastAsia="en-GB"/>
    </w:rPr>
  </w:style>
  <w:style w:type="paragraph" w:styleId="Lijstalinea">
    <w:name w:val="List Paragraph"/>
    <w:aliases w:val="Paragraphe EI,Paragraphe de liste1,EC,Paragraphe de liste,Normal Nivel 1,List Paragraph Main,List first level,List Paragraph_Sections"/>
    <w:basedOn w:val="Standaard"/>
    <w:link w:val="Lijstalinea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jstalinea"/>
    <w:link w:val="Title3Char"/>
    <w:autoRedefine/>
    <w:rsid w:val="002574D1"/>
    <w:pPr>
      <w:numPr>
        <w:ilvl w:val="3"/>
        <w:numId w:val="2"/>
      </w:numPr>
    </w:pPr>
  </w:style>
  <w:style w:type="character" w:customStyle="1" w:styleId="Title3Char">
    <w:name w:val="Title 3 Char"/>
    <w:basedOn w:val="Standaardalinea-lettertype"/>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Standaardalinea-lettertype"/>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Standaardalinea-lettertype"/>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Standaardalinea-lettertype"/>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Standaardalinea-lettertype"/>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Standaardalinea-lettertype"/>
    <w:link w:val="Introductionheading"/>
    <w:rsid w:val="00044C5A"/>
    <w:rPr>
      <w:rFonts w:ascii="Arial" w:eastAsia="Times New Roman" w:hAnsi="Arial" w:cs="Times New Roman"/>
      <w:b/>
      <w:sz w:val="28"/>
      <w:szCs w:val="24"/>
      <w:lang w:val="en-GB" w:eastAsia="de-DE"/>
    </w:rPr>
  </w:style>
  <w:style w:type="character" w:customStyle="1" w:styleId="Kop5Char">
    <w:name w:val="Kop 5 Char"/>
    <w:basedOn w:val="Standaardalinea-lettertype"/>
    <w:link w:val="Kop5"/>
    <w:uiPriority w:val="9"/>
    <w:rsid w:val="007E7997"/>
    <w:rPr>
      <w:rFonts w:asciiTheme="majorHAnsi" w:eastAsiaTheme="majorEastAsia" w:hAnsiTheme="majorHAnsi" w:cstheme="majorBidi"/>
      <w:sz w:val="24"/>
      <w:szCs w:val="22"/>
      <w:lang w:val="en-GB" w:eastAsia="en-GB"/>
    </w:rPr>
  </w:style>
  <w:style w:type="paragraph" w:styleId="Plattetekst">
    <w:name w:val="Body Text"/>
    <w:basedOn w:val="Standaard"/>
    <w:link w:val="PlattetekstChar"/>
    <w:uiPriority w:val="99"/>
    <w:semiHidden/>
    <w:unhideWhenUsed/>
    <w:rsid w:val="00044C5A"/>
  </w:style>
  <w:style w:type="character" w:customStyle="1" w:styleId="PlattetekstChar">
    <w:name w:val="Platte tekst Char"/>
    <w:basedOn w:val="Standaardalinea-lettertype"/>
    <w:link w:val="Plattetekst"/>
    <w:uiPriority w:val="99"/>
    <w:semiHidden/>
    <w:rsid w:val="00044C5A"/>
    <w:rPr>
      <w:rFonts w:ascii="Arial" w:eastAsiaTheme="minorEastAsia" w:hAnsi="Arial"/>
    </w:rPr>
  </w:style>
  <w:style w:type="paragraph" w:styleId="Platteteksteersteinspringing">
    <w:name w:val="Body Text First Indent"/>
    <w:basedOn w:val="Plattetekst"/>
    <w:link w:val="PlatteteksteersteinspringingChar"/>
    <w:uiPriority w:val="99"/>
    <w:semiHidden/>
    <w:unhideWhenUsed/>
    <w:rsid w:val="00044C5A"/>
    <w:pPr>
      <w:ind w:firstLine="360"/>
    </w:pPr>
  </w:style>
  <w:style w:type="character" w:customStyle="1" w:styleId="PlatteteksteersteinspringingChar">
    <w:name w:val="Platte tekst eerste inspringing Char"/>
    <w:basedOn w:val="PlattetekstChar"/>
    <w:link w:val="Platteteksteersteinspringing"/>
    <w:uiPriority w:val="99"/>
    <w:semiHidden/>
    <w:rsid w:val="00044C5A"/>
    <w:rPr>
      <w:rFonts w:ascii="Arial" w:eastAsiaTheme="minorEastAsia" w:hAnsi="Arial"/>
    </w:rPr>
  </w:style>
  <w:style w:type="character" w:customStyle="1" w:styleId="Kop6Char">
    <w:name w:val="Kop 6 Char"/>
    <w:basedOn w:val="Standaardalinea-lettertype"/>
    <w:link w:val="Kop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ard"/>
    <w:next w:val="Standaard"/>
    <w:link w:val="Titel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Char">
    <w:name w:val="Titel Char"/>
    <w:basedOn w:val="Standaardalinea-lettertype"/>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Ondertitel">
    <w:name w:val="Subtitle"/>
    <w:basedOn w:val="Standaard"/>
    <w:next w:val="Standaard"/>
    <w:link w:val="OndertitelChar"/>
    <w:uiPriority w:val="11"/>
    <w:qFormat/>
    <w:rsid w:val="00366D42"/>
    <w:pPr>
      <w:numPr>
        <w:ilvl w:val="1"/>
      </w:numPr>
    </w:pPr>
    <w:rPr>
      <w:rFonts w:asciiTheme="majorHAnsi" w:eastAsiaTheme="majorEastAsia" w:hAnsiTheme="majorHAnsi" w:cstheme="majorBidi"/>
      <w:b/>
      <w:sz w:val="28"/>
    </w:rPr>
  </w:style>
  <w:style w:type="character" w:customStyle="1" w:styleId="OndertitelChar">
    <w:name w:val="Ondertitel Char"/>
    <w:basedOn w:val="Standaardalinea-lettertype"/>
    <w:link w:val="Ondertitel"/>
    <w:uiPriority w:val="11"/>
    <w:rsid w:val="00366D42"/>
    <w:rPr>
      <w:rFonts w:asciiTheme="majorHAnsi" w:eastAsiaTheme="majorEastAsia" w:hAnsiTheme="majorHAnsi" w:cstheme="majorBidi"/>
      <w:b/>
      <w:sz w:val="28"/>
      <w:szCs w:val="24"/>
      <w:lang w:val="en-GB"/>
    </w:rPr>
  </w:style>
  <w:style w:type="character" w:customStyle="1" w:styleId="Kop7Char">
    <w:name w:val="Kop 7 Char"/>
    <w:basedOn w:val="Standaardalinea-lettertype"/>
    <w:link w:val="Kop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Kop8Char">
    <w:name w:val="Kop 8 Char"/>
    <w:basedOn w:val="Standaardalinea-lettertype"/>
    <w:link w:val="Kop8"/>
    <w:rsid w:val="00AA054E"/>
    <w:rPr>
      <w:rFonts w:asciiTheme="majorHAnsi" w:eastAsiaTheme="majorEastAsia" w:hAnsiTheme="majorHAnsi" w:cstheme="majorBidi"/>
      <w:b/>
      <w:bCs/>
      <w:color w:val="44546A" w:themeColor="text2"/>
      <w:sz w:val="24"/>
      <w:szCs w:val="24"/>
      <w:lang w:val="en-GB" w:eastAsia="en-GB"/>
    </w:rPr>
  </w:style>
  <w:style w:type="character" w:customStyle="1" w:styleId="Kop9Char">
    <w:name w:val="Kop 9 Char"/>
    <w:basedOn w:val="Standaardalinea-lettertype"/>
    <w:link w:val="Kop9"/>
    <w:rsid w:val="00AA054E"/>
    <w:rPr>
      <w:rFonts w:asciiTheme="majorHAnsi" w:eastAsiaTheme="majorEastAsia" w:hAnsiTheme="majorHAnsi" w:cstheme="majorBidi"/>
      <w:b/>
      <w:bCs/>
      <w:i/>
      <w:iCs/>
      <w:color w:val="44546A" w:themeColor="text2"/>
      <w:sz w:val="24"/>
      <w:szCs w:val="24"/>
      <w:lang w:val="en-GB" w:eastAsia="en-GB"/>
    </w:rPr>
  </w:style>
  <w:style w:type="paragraph" w:styleId="Bijschrift">
    <w:name w:val="caption"/>
    <w:basedOn w:val="Standaard"/>
    <w:next w:val="Standaard"/>
    <w:uiPriority w:val="35"/>
    <w:semiHidden/>
    <w:unhideWhenUsed/>
    <w:qFormat/>
    <w:rsid w:val="00AA054E"/>
    <w:rPr>
      <w:b/>
      <w:bCs/>
      <w:smallCaps/>
      <w:color w:val="595959" w:themeColor="text1" w:themeTint="A6"/>
      <w:spacing w:val="6"/>
    </w:rPr>
  </w:style>
  <w:style w:type="character" w:styleId="Zwaar">
    <w:name w:val="Strong"/>
    <w:basedOn w:val="Standaardalinea-lettertype"/>
    <w:uiPriority w:val="22"/>
    <w:qFormat/>
    <w:rsid w:val="00AA054E"/>
    <w:rPr>
      <w:b/>
      <w:bCs/>
    </w:rPr>
  </w:style>
  <w:style w:type="character" w:styleId="Nadruk">
    <w:name w:val="Emphasis"/>
    <w:basedOn w:val="Standaardalinea-lettertype"/>
    <w:uiPriority w:val="20"/>
    <w:qFormat/>
    <w:rsid w:val="00AA054E"/>
    <w:rPr>
      <w:i/>
      <w:iCs/>
    </w:rPr>
  </w:style>
  <w:style w:type="paragraph" w:styleId="Citaat">
    <w:name w:val="Quote"/>
    <w:basedOn w:val="Standaard"/>
    <w:next w:val="Standaard"/>
    <w:link w:val="CitaatChar"/>
    <w:uiPriority w:val="29"/>
    <w:qFormat/>
    <w:rsid w:val="00AA054E"/>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AA054E"/>
    <w:rPr>
      <w:i/>
      <w:iCs/>
      <w:color w:val="404040" w:themeColor="text1" w:themeTint="BF"/>
    </w:rPr>
  </w:style>
  <w:style w:type="paragraph" w:styleId="Duidelijkcitaat">
    <w:name w:val="Intense Quote"/>
    <w:basedOn w:val="Standaard"/>
    <w:next w:val="Standaard"/>
    <w:link w:val="Duidelijkcitaat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DuidelijkcitaatChar">
    <w:name w:val="Duidelijk citaat Char"/>
    <w:basedOn w:val="Standaardalinea-lettertype"/>
    <w:link w:val="Duidelijkcitaat"/>
    <w:uiPriority w:val="30"/>
    <w:rsid w:val="00AA054E"/>
    <w:rPr>
      <w:rFonts w:asciiTheme="majorHAnsi" w:eastAsiaTheme="majorEastAsia" w:hAnsiTheme="majorHAnsi" w:cstheme="majorBidi"/>
      <w:color w:val="5B9BD5" w:themeColor="accent1"/>
      <w:sz w:val="28"/>
      <w:szCs w:val="28"/>
    </w:rPr>
  </w:style>
  <w:style w:type="character" w:styleId="Subtielebenadrukking">
    <w:name w:val="Subtle Emphasis"/>
    <w:aliases w:val="Text,Emphase pâle,Diskret betoning"/>
    <w:basedOn w:val="Standaardalinea-lettertype"/>
    <w:uiPriority w:val="19"/>
    <w:qFormat/>
    <w:rsid w:val="00287C8F"/>
    <w:rPr>
      <w:rFonts w:asciiTheme="majorHAnsi" w:hAnsiTheme="majorHAnsi"/>
      <w:i/>
      <w:iCs/>
      <w:color w:val="auto"/>
      <w:sz w:val="22"/>
    </w:rPr>
  </w:style>
  <w:style w:type="character" w:styleId="Intensievebenadrukking">
    <w:name w:val="Intense Emphasis"/>
    <w:basedOn w:val="Standaardalinea-lettertype"/>
    <w:uiPriority w:val="21"/>
    <w:qFormat/>
    <w:rsid w:val="00AA054E"/>
    <w:rPr>
      <w:b/>
      <w:bCs/>
      <w:i/>
      <w:iCs/>
    </w:rPr>
  </w:style>
  <w:style w:type="character" w:styleId="Subtieleverwijzing">
    <w:name w:val="Subtle Reference"/>
    <w:basedOn w:val="Standaardalinea-lettertype"/>
    <w:uiPriority w:val="31"/>
    <w:qFormat/>
    <w:rsid w:val="00AA054E"/>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AA054E"/>
    <w:rPr>
      <w:b/>
      <w:bCs/>
      <w:smallCaps/>
      <w:spacing w:val="5"/>
      <w:u w:val="single"/>
    </w:rPr>
  </w:style>
  <w:style w:type="character" w:styleId="Titelvanboek">
    <w:name w:val="Book Title"/>
    <w:basedOn w:val="Standaardalinea-lettertype"/>
    <w:uiPriority w:val="33"/>
    <w:qFormat/>
    <w:rsid w:val="00AA054E"/>
    <w:rPr>
      <w:b/>
      <w:bCs/>
      <w:smallCaps/>
    </w:rPr>
  </w:style>
  <w:style w:type="paragraph" w:styleId="Kopvaninhoudsopgave">
    <w:name w:val="TOC Heading"/>
    <w:basedOn w:val="Kop1"/>
    <w:next w:val="Standaard"/>
    <w:uiPriority w:val="39"/>
    <w:unhideWhenUsed/>
    <w:qFormat/>
    <w:rsid w:val="00AA054E"/>
    <w:pPr>
      <w:outlineLvl w:val="9"/>
    </w:pPr>
  </w:style>
  <w:style w:type="character" w:customStyle="1" w:styleId="GeenafstandChar">
    <w:name w:val="Geen afstand Char"/>
    <w:basedOn w:val="Standaardalinea-lettertype"/>
    <w:link w:val="Geenafstand"/>
    <w:uiPriority w:val="1"/>
    <w:rsid w:val="005B6B12"/>
    <w:rPr>
      <w:lang w:val="en-GB"/>
    </w:rPr>
  </w:style>
  <w:style w:type="paragraph" w:styleId="Koptekst">
    <w:name w:val="header"/>
    <w:basedOn w:val="Standaard"/>
    <w:link w:val="KoptekstChar"/>
    <w:unhideWhenUsed/>
    <w:rsid w:val="007E7997"/>
    <w:pPr>
      <w:tabs>
        <w:tab w:val="center" w:pos="4536"/>
        <w:tab w:val="right" w:pos="9072"/>
      </w:tabs>
    </w:pPr>
  </w:style>
  <w:style w:type="character" w:customStyle="1" w:styleId="KoptekstChar">
    <w:name w:val="Koptekst Char"/>
    <w:basedOn w:val="Standaardalinea-lettertype"/>
    <w:link w:val="Koptekst"/>
    <w:uiPriority w:val="99"/>
    <w:rsid w:val="007E7997"/>
    <w:rPr>
      <w:sz w:val="22"/>
    </w:rPr>
  </w:style>
  <w:style w:type="paragraph" w:styleId="Voettekst">
    <w:name w:val="footer"/>
    <w:basedOn w:val="Standaard"/>
    <w:link w:val="VoettekstChar"/>
    <w:uiPriority w:val="99"/>
    <w:unhideWhenUsed/>
    <w:rsid w:val="007E7997"/>
    <w:pPr>
      <w:tabs>
        <w:tab w:val="center" w:pos="4536"/>
        <w:tab w:val="right" w:pos="9072"/>
      </w:tabs>
    </w:pPr>
  </w:style>
  <w:style w:type="character" w:customStyle="1" w:styleId="VoettekstChar">
    <w:name w:val="Voettekst Char"/>
    <w:basedOn w:val="Standaardalinea-lettertype"/>
    <w:link w:val="Voettekst"/>
    <w:uiPriority w:val="99"/>
    <w:rsid w:val="007E7997"/>
    <w:rPr>
      <w:sz w:val="22"/>
    </w:rPr>
  </w:style>
  <w:style w:type="paragraph" w:customStyle="1" w:styleId="00aPagenumber">
    <w:name w:val="00a_Page number"/>
    <w:basedOn w:val="Standaard"/>
    <w:rsid w:val="007E7997"/>
    <w:pPr>
      <w:spacing w:line="280" w:lineRule="atLeast"/>
      <w:jc w:val="right"/>
    </w:pPr>
    <w:rPr>
      <w:rFonts w:ascii="Georgia" w:hAnsi="Georgia"/>
      <w:color w:val="000000"/>
      <w:lang w:eastAsia="de-DE"/>
    </w:rPr>
  </w:style>
  <w:style w:type="paragraph" w:customStyle="1" w:styleId="02Date">
    <w:name w:val="02_Date"/>
    <w:basedOn w:val="Standaard"/>
    <w:rsid w:val="00636E02"/>
    <w:pPr>
      <w:spacing w:line="220" w:lineRule="exact"/>
    </w:pPr>
    <w:rPr>
      <w:rFonts w:ascii="Georgia" w:hAnsi="Georgia"/>
      <w:sz w:val="17"/>
      <w:lang w:eastAsia="de-DE"/>
    </w:rPr>
  </w:style>
  <w:style w:type="paragraph" w:styleId="Inhopg1">
    <w:name w:val="toc 1"/>
    <w:basedOn w:val="Standaard"/>
    <w:next w:val="Standaard"/>
    <w:autoRedefine/>
    <w:uiPriority w:val="39"/>
    <w:unhideWhenUsed/>
    <w:rsid w:val="00B81A44"/>
    <w:pPr>
      <w:tabs>
        <w:tab w:val="left" w:pos="440"/>
        <w:tab w:val="right" w:leader="dot" w:pos="9062"/>
      </w:tabs>
      <w:spacing w:after="100"/>
    </w:pPr>
  </w:style>
  <w:style w:type="paragraph" w:styleId="Inhopg2">
    <w:name w:val="toc 2"/>
    <w:basedOn w:val="Standaard"/>
    <w:next w:val="Standaard"/>
    <w:autoRedefine/>
    <w:uiPriority w:val="39"/>
    <w:unhideWhenUsed/>
    <w:rsid w:val="00BC422A"/>
    <w:pPr>
      <w:spacing w:after="100"/>
      <w:ind w:left="220"/>
    </w:pPr>
  </w:style>
  <w:style w:type="paragraph" w:styleId="Inhopg3">
    <w:name w:val="toc 3"/>
    <w:basedOn w:val="Standaard"/>
    <w:next w:val="Standaard"/>
    <w:autoRedefine/>
    <w:uiPriority w:val="39"/>
    <w:unhideWhenUsed/>
    <w:rsid w:val="00BC422A"/>
    <w:pPr>
      <w:spacing w:after="100"/>
      <w:ind w:left="440"/>
    </w:pPr>
  </w:style>
  <w:style w:type="character" w:styleId="Hyperlink">
    <w:name w:val="Hyperlink"/>
    <w:basedOn w:val="Standaardalinea-lettertype"/>
    <w:uiPriority w:val="99"/>
    <w:unhideWhenUsed/>
    <w:rsid w:val="00BC422A"/>
    <w:rPr>
      <w:color w:val="0563C1" w:themeColor="hyperlink"/>
      <w:u w:val="single"/>
    </w:rPr>
  </w:style>
  <w:style w:type="paragraph" w:customStyle="1" w:styleId="Questionstyle">
    <w:name w:val="Question style"/>
    <w:basedOn w:val="Standaard"/>
    <w:next w:val="Standaard"/>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Standaardalinea-lettertype"/>
    <w:link w:val="Questionstyle"/>
    <w:rsid w:val="005B4BE0"/>
    <w:rPr>
      <w:rFonts w:eastAsia="Times New Roman" w:cstheme="minorHAnsi"/>
      <w:b/>
      <w:bCs/>
      <w:sz w:val="22"/>
      <w:szCs w:val="22"/>
      <w:lang w:val="en-GB" w:eastAsia="en-GB"/>
    </w:rPr>
  </w:style>
  <w:style w:type="paragraph" w:customStyle="1" w:styleId="Listing2">
    <w:name w:val="Listing2"/>
    <w:basedOn w:val="Standaard"/>
    <w:link w:val="Listing2Char"/>
    <w:autoRedefine/>
    <w:rsid w:val="00DF3785"/>
  </w:style>
  <w:style w:type="character" w:customStyle="1" w:styleId="Listing2Char">
    <w:name w:val="Listing2 Char"/>
    <w:basedOn w:val="Standaardalinea-lettertype"/>
    <w:link w:val="Listing2"/>
    <w:rsid w:val="00DF3785"/>
    <w:rPr>
      <w:lang w:val="en-GB"/>
    </w:rPr>
  </w:style>
  <w:style w:type="table" w:styleId="Tabelraster">
    <w:name w:val="Table Grid"/>
    <w:basedOn w:val="Standaardtabe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B50534"/>
  </w:style>
  <w:style w:type="character" w:customStyle="1" w:styleId="EindnoottekstChar">
    <w:name w:val="Eindnoottekst Char"/>
    <w:basedOn w:val="Standaardalinea-lettertype"/>
    <w:link w:val="Eindnoottekst"/>
    <w:uiPriority w:val="99"/>
    <w:semiHidden/>
    <w:rsid w:val="00B50534"/>
    <w:rPr>
      <w:lang w:val="en-GB"/>
    </w:rPr>
  </w:style>
  <w:style w:type="character" w:styleId="Eindnootmarkering">
    <w:name w:val="endnote reference"/>
    <w:basedOn w:val="Standaardalinea-lettertype"/>
    <w:uiPriority w:val="99"/>
    <w:semiHidden/>
    <w:unhideWhenUsed/>
    <w:rsid w:val="00B50534"/>
    <w:rPr>
      <w:vertAlign w:val="superscript"/>
    </w:rPr>
  </w:style>
  <w:style w:type="paragraph" w:styleId="Voetnoottekst">
    <w:name w:val="footnote text"/>
    <w:basedOn w:val="Standaard"/>
    <w:link w:val="VoetnoottekstChar"/>
    <w:autoRedefine/>
    <w:uiPriority w:val="99"/>
    <w:unhideWhenUsed/>
    <w:qFormat/>
    <w:rsid w:val="006F53E8"/>
    <w:rPr>
      <w:sz w:val="16"/>
    </w:rPr>
  </w:style>
  <w:style w:type="character" w:customStyle="1" w:styleId="VoetnoottekstChar">
    <w:name w:val="Voetnoottekst Char"/>
    <w:basedOn w:val="Standaardalinea-lettertype"/>
    <w:link w:val="Voetnoottekst"/>
    <w:uiPriority w:val="99"/>
    <w:rsid w:val="006F53E8"/>
    <w:rPr>
      <w:sz w:val="16"/>
      <w:lang w:val="en-GB"/>
    </w:rPr>
  </w:style>
  <w:style w:type="character" w:styleId="Voetnootmarkering">
    <w:name w:val="footnote reference"/>
    <w:aliases w:val="SUPERS,Footnote reference number,Footnote symbol,note TESI,-E Fußnotenzeichen,number,BVI fnr,Footnote Reference Superscript,(Footnote Reference),EN Footnote Reference,Voetnootverwijzing,Times 10 Point,Exposant 3 Poi,16 Point, BVI fnr"/>
    <w:basedOn w:val="Standaardalinea-lettertype"/>
    <w:uiPriority w:val="99"/>
    <w:unhideWhenUsed/>
    <w:qFormat/>
    <w:rsid w:val="00A91D91"/>
    <w:rPr>
      <w:rFonts w:asciiTheme="majorHAnsi" w:hAnsiTheme="majorHAnsi"/>
      <w:sz w:val="16"/>
      <w:vertAlign w:val="superscript"/>
    </w:rPr>
  </w:style>
  <w:style w:type="paragraph" w:customStyle="1" w:styleId="Footnote">
    <w:name w:val="Footnote"/>
    <w:basedOn w:val="Voetnoottekst"/>
    <w:link w:val="FootnoteChar"/>
    <w:rsid w:val="00B50534"/>
    <w:rPr>
      <w:lang w:val="nl-BE"/>
    </w:rPr>
  </w:style>
  <w:style w:type="character" w:customStyle="1" w:styleId="FootnoteChar">
    <w:name w:val="Footnote Char"/>
    <w:basedOn w:val="VoetnoottekstChar"/>
    <w:link w:val="Footnote"/>
    <w:rsid w:val="00B50534"/>
    <w:rPr>
      <w:sz w:val="16"/>
      <w:lang w:val="en-GB"/>
    </w:rPr>
  </w:style>
  <w:style w:type="table" w:customStyle="1" w:styleId="GridTable4-Accent11">
    <w:name w:val="Grid Table 4 - Accent 11"/>
    <w:basedOn w:val="Standaardtabe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ard"/>
    <w:rsid w:val="00287C8F"/>
    <w:pPr>
      <w:numPr>
        <w:numId w:val="5"/>
      </w:numPr>
      <w:tabs>
        <w:tab w:val="clear" w:pos="284"/>
        <w:tab w:val="num" w:pos="567"/>
      </w:tabs>
      <w:ind w:left="567" w:hanging="454"/>
    </w:pPr>
    <w:rPr>
      <w:rFonts w:ascii="Georgia" w:hAnsi="Georgia"/>
      <w:sz w:val="20"/>
      <w:lang w:eastAsia="de-DE"/>
    </w:rPr>
  </w:style>
  <w:style w:type="paragraph" w:styleId="Ballontekst">
    <w:name w:val="Balloon Text"/>
    <w:basedOn w:val="Standaard"/>
    <w:link w:val="BallontekstChar"/>
    <w:uiPriority w:val="99"/>
    <w:semiHidden/>
    <w:unhideWhenUsed/>
    <w:rsid w:val="003C167E"/>
    <w:rPr>
      <w:rFonts w:ascii="Tahoma" w:hAnsi="Tahoma" w:cs="Tahoma"/>
      <w:sz w:val="16"/>
      <w:szCs w:val="16"/>
    </w:rPr>
  </w:style>
  <w:style w:type="character" w:customStyle="1" w:styleId="BallontekstChar">
    <w:name w:val="Ballontekst Char"/>
    <w:basedOn w:val="Standaardalinea-lettertype"/>
    <w:link w:val="Ballontekst"/>
    <w:uiPriority w:val="99"/>
    <w:semiHidden/>
    <w:rsid w:val="003C167E"/>
    <w:rPr>
      <w:rFonts w:ascii="Tahoma" w:hAnsi="Tahoma" w:cs="Tahoma"/>
      <w:sz w:val="16"/>
      <w:szCs w:val="16"/>
      <w:lang w:val="en-GB"/>
    </w:rPr>
  </w:style>
  <w:style w:type="character" w:styleId="Verwijzingopmerking">
    <w:name w:val="annotation reference"/>
    <w:basedOn w:val="Standaardalinea-lettertype"/>
    <w:uiPriority w:val="99"/>
    <w:semiHidden/>
    <w:unhideWhenUsed/>
    <w:rsid w:val="00FA2400"/>
    <w:rPr>
      <w:sz w:val="16"/>
      <w:szCs w:val="16"/>
    </w:rPr>
  </w:style>
  <w:style w:type="paragraph" w:styleId="Tekstopmerking">
    <w:name w:val="annotation text"/>
    <w:basedOn w:val="Standaard"/>
    <w:link w:val="TekstopmerkingChar"/>
    <w:uiPriority w:val="99"/>
    <w:unhideWhenUsed/>
    <w:rsid w:val="00FA2400"/>
    <w:rPr>
      <w:sz w:val="20"/>
    </w:rPr>
  </w:style>
  <w:style w:type="character" w:customStyle="1" w:styleId="TekstopmerkingChar">
    <w:name w:val="Tekst opmerking Char"/>
    <w:basedOn w:val="Standaardalinea-lettertype"/>
    <w:link w:val="Tekstopmerking"/>
    <w:uiPriority w:val="99"/>
    <w:rsid w:val="00FA2400"/>
    <w:rPr>
      <w:lang w:val="en-GB"/>
    </w:rPr>
  </w:style>
  <w:style w:type="paragraph" w:styleId="Onderwerpvanopmerking">
    <w:name w:val="annotation subject"/>
    <w:basedOn w:val="Tekstopmerking"/>
    <w:next w:val="Tekstopmerking"/>
    <w:link w:val="OnderwerpvanopmerkingChar"/>
    <w:uiPriority w:val="99"/>
    <w:semiHidden/>
    <w:unhideWhenUsed/>
    <w:rsid w:val="00FA2400"/>
    <w:rPr>
      <w:b/>
      <w:bCs/>
    </w:rPr>
  </w:style>
  <w:style w:type="character" w:customStyle="1" w:styleId="OnderwerpvanopmerkingChar">
    <w:name w:val="Onderwerp van opmerking Char"/>
    <w:basedOn w:val="TekstopmerkingChar"/>
    <w:link w:val="Onderwerpvanopmerking"/>
    <w:uiPriority w:val="99"/>
    <w:semiHidden/>
    <w:rsid w:val="00FA2400"/>
    <w:rPr>
      <w:b/>
      <w:bCs/>
      <w:lang w:val="en-GB"/>
    </w:rPr>
  </w:style>
  <w:style w:type="paragraph" w:styleId="Revisie">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GevolgdeHyperlink">
    <w:name w:val="FollowedHyperlink"/>
    <w:basedOn w:val="Standaardalinea-lettertype"/>
    <w:uiPriority w:val="99"/>
    <w:semiHidden/>
    <w:unhideWhenUsed/>
    <w:rsid w:val="007B354B"/>
    <w:rPr>
      <w:color w:val="954F72" w:themeColor="followedHyperlink"/>
      <w:u w:val="single"/>
    </w:rPr>
  </w:style>
  <w:style w:type="paragraph" w:styleId="Normaalweb">
    <w:name w:val="Normal (Web)"/>
    <w:basedOn w:val="Standaard"/>
    <w:uiPriority w:val="99"/>
    <w:semiHidden/>
    <w:unhideWhenUsed/>
    <w:rsid w:val="00B424F5"/>
    <w:pPr>
      <w:spacing w:before="100" w:beforeAutospacing="1" w:after="100" w:afterAutospacing="1"/>
    </w:pPr>
  </w:style>
  <w:style w:type="character" w:customStyle="1" w:styleId="outputecliaff">
    <w:name w:val="outputecliaff"/>
    <w:basedOn w:val="Standaardalinea-lettertype"/>
    <w:rsid w:val="00595F08"/>
  </w:style>
  <w:style w:type="paragraph" w:customStyle="1" w:styleId="05HeadlinenoIndex">
    <w:name w:val="05_Headline no Index"/>
    <w:basedOn w:val="Standaard"/>
    <w:rsid w:val="005C7E1F"/>
    <w:pPr>
      <w:spacing w:after="250" w:line="300" w:lineRule="exact"/>
      <w:jc w:val="both"/>
    </w:pPr>
    <w:rPr>
      <w:rFonts w:ascii="Georgia" w:hAnsi="Georgia"/>
      <w:b/>
      <w:lang w:eastAsia="de-DE"/>
    </w:rPr>
  </w:style>
  <w:style w:type="paragraph" w:customStyle="1" w:styleId="04BodyText">
    <w:name w:val="04_Body Text"/>
    <w:basedOn w:val="Standa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Standaardtabel"/>
    <w:next w:val="Tabel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Standaardtabel"/>
    <w:next w:val="Tabel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Paragraphe EI Char,Paragraphe de liste1 Char,EC Char,Paragraphe de liste Char,Normal Nivel 1 Char,List Paragraph Main Char,List first level Char,List Paragraph_Sections Char"/>
    <w:basedOn w:val="Standaardalinea-lettertype"/>
    <w:link w:val="Lijstalinea"/>
    <w:uiPriority w:val="34"/>
    <w:rsid w:val="00695AF2"/>
    <w:rPr>
      <w:rFonts w:eastAsiaTheme="majorEastAsia" w:cstheme="minorHAnsi"/>
      <w:sz w:val="22"/>
      <w:szCs w:val="22"/>
      <w:lang w:val="en-GB" w:eastAsia="en-GB"/>
    </w:rPr>
  </w:style>
  <w:style w:type="table" w:customStyle="1" w:styleId="TableGrid3">
    <w:name w:val="Table Grid3"/>
    <w:basedOn w:val="Standaardtabe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Standaardtabel"/>
    <w:next w:val="Tabel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97917392">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MiFID-MiFIR Policy Document" ma:contentTypeID="0x01010001BD15C3986B91498E0AE644B715B9EE010D00757D222C6B0DA241B5F74437644107D4" ma:contentTypeVersion="17" ma:contentTypeDescription="" ma:contentTypeScope="" ma:versionID="fc4bd4ba362cf918d1179f3a2e83c04b">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3003d48452956bc2640f7e7e22cf8f2"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ESMA70-156-4948</_dlc_DocId>
    <TaxCatchAll xmlns="20fbe147-bbda-4e53-b6b1-7e8bbff3fe19">
      <Value>12</Value>
      <Value>5</Value>
      <Value>14</Value>
      <Value>876</Value>
      <Value>875</Value>
    </TaxCatchAll>
    <_dlc_DocIdUrl xmlns="20fbe147-bbda-4e53-b6b1-7e8bbff3fe19">
      <Url>https://sherpa.esma.europa.eu/sites/MKT/SMK/_layouts/15/DocIdRedir.aspx?ID=ESMA70-156-4948</Url>
      <Description>ESMA70-156-4948</Description>
    </_dlc_DocIdUrl>
    <Year xmlns="20fbe147-bbda-4e53-b6b1-7e8bbff3fe19">2019</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Short Selling</TermName>
          <TermId xmlns="http://schemas.microsoft.com/office/infopath/2007/PartnerControls">2939c3be-1a50-4c12-a48b-74134600fbc7</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Short Selling - SSR Review 2020-2021</TermName>
          <TermId xmlns="http://schemas.microsoft.com/office/infopath/2007/PartnerControls">0917f7d7-a7fd-4ff8-ab54-aaf70dad809a</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3.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4.xml><?xml version="1.0" encoding="utf-8"?>
<ds:datastoreItem xmlns:ds="http://schemas.openxmlformats.org/officeDocument/2006/customXml" ds:itemID="{764F26CC-5B20-47F9-A2FD-E585165E0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136</TotalTime>
  <Pages>10</Pages>
  <Words>3266</Words>
  <Characters>17963</Characters>
  <Application>Microsoft Office Word</Application>
  <DocSecurity>8</DocSecurity>
  <Lines>149</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ESMA</Company>
  <LinksUpToDate>false</LinksUpToDate>
  <CharactersWithSpaces>21187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Diana van Kleef</cp:lastModifiedBy>
  <cp:revision>13</cp:revision>
  <cp:lastPrinted>2017-07-24T14:47:00Z</cp:lastPrinted>
  <dcterms:created xsi:type="dcterms:W3CDTF">2021-11-04T12:43:00Z</dcterms:created>
  <dcterms:modified xsi:type="dcterms:W3CDTF">2021-11-18T12:01:00Z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b7cf3344-e93a-4bd8-9145-6cfc89f4c76b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ies>
</file>