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le"/>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Heading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Heading2"/>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5"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6"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13912FE2" w:rsidR="00C85C8B" w:rsidRPr="00B16706" w:rsidRDefault="002F5AF0" w:rsidP="00C85C8B">
                <w:pPr>
                  <w:rPr>
                    <w:rFonts w:ascii="Arial" w:hAnsi="Arial" w:cs="Arial"/>
                    <w:color w:val="808080"/>
                    <w:sz w:val="16"/>
                    <w:szCs w:val="20"/>
                    <w:lang w:eastAsia="de-DE"/>
                  </w:rPr>
                </w:pPr>
                <w:r>
                  <w:rPr>
                    <w:rFonts w:ascii="Arial" w:hAnsi="Arial" w:cs="Arial"/>
                    <w:color w:val="808080"/>
                    <w:sz w:val="16"/>
                    <w:szCs w:val="20"/>
                    <w:lang w:eastAsia="de-DE"/>
                  </w:rPr>
                  <w:t>Association for Financial Markets in Europe (AFME)</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76DB6BCF" w:rsidR="00C85C8B" w:rsidRPr="00B16706" w:rsidRDefault="009B255B"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2F5AF0">
                  <w:rPr>
                    <w:rFonts w:ascii="Arial" w:hAnsi="Arial" w:cs="Arial"/>
                    <w:sz w:val="16"/>
                    <w:szCs w:val="20"/>
                    <w:lang w:eastAsia="de-DE"/>
                  </w:rPr>
                  <w:t>Banking sector</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38D22747" w:rsidR="00C85C8B" w:rsidRPr="00B16706" w:rsidRDefault="002F5AF0"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55C8F0FA" w:rsidR="00C85C8B" w:rsidRPr="00B16706" w:rsidRDefault="002F5AF0"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16626DD1" w14:textId="77777777" w:rsidR="002F5AF0" w:rsidRPr="002F5AF0" w:rsidRDefault="002F5AF0" w:rsidP="00266F18">
      <w:pPr>
        <w:spacing w:after="200" w:line="276" w:lineRule="auto"/>
        <w:jc w:val="both"/>
        <w:rPr>
          <w:rFonts w:asciiTheme="minorHAnsi" w:hAnsiTheme="minorHAnsi" w:cstheme="minorHAnsi"/>
          <w:sz w:val="20"/>
          <w:szCs w:val="20"/>
        </w:rPr>
      </w:pPr>
      <w:permStart w:id="911553143" w:edGrp="everyone"/>
      <w:r w:rsidRPr="002F5AF0">
        <w:rPr>
          <w:rFonts w:asciiTheme="minorHAnsi" w:hAnsiTheme="minorHAnsi" w:cstheme="minorHAnsi"/>
          <w:sz w:val="20"/>
          <w:szCs w:val="20"/>
        </w:rPr>
        <w:t>Yes. The current process creates additional complexity and has required technology development by all parties involved. This creates an additional layer of actors to the collection/distribution process and has resulted in less harmonisation and standardisation of the penalties process.</w:t>
      </w:r>
    </w:p>
    <w:p w14:paraId="591BAE49" w14:textId="77777777" w:rsidR="002F5AF0" w:rsidRPr="002F5AF0" w:rsidRDefault="002F5AF0" w:rsidP="00266F18">
      <w:pPr>
        <w:spacing w:after="200" w:line="276" w:lineRule="auto"/>
        <w:jc w:val="both"/>
        <w:rPr>
          <w:rFonts w:asciiTheme="minorHAnsi" w:hAnsiTheme="minorHAnsi" w:cstheme="minorHAnsi"/>
          <w:sz w:val="20"/>
          <w:szCs w:val="20"/>
        </w:rPr>
      </w:pPr>
      <w:r w:rsidRPr="002F5AF0">
        <w:rPr>
          <w:rFonts w:asciiTheme="minorHAnsi" w:hAnsiTheme="minorHAnsi" w:cstheme="minorHAnsi"/>
          <w:sz w:val="20"/>
          <w:szCs w:val="20"/>
        </w:rPr>
        <w:t>In the current process, participants are required to follow two different operational frameworks. These bifurcated reporting and payment processes increase the number of reconciliations and the scale of operational support.</w:t>
      </w:r>
    </w:p>
    <w:p w14:paraId="15FA0BAD" w14:textId="77777777" w:rsidR="002F5AF0" w:rsidRPr="002F5AF0" w:rsidRDefault="002F5AF0" w:rsidP="00B9543F">
      <w:pPr>
        <w:spacing w:after="120" w:line="276" w:lineRule="auto"/>
        <w:jc w:val="both"/>
        <w:rPr>
          <w:rFonts w:asciiTheme="minorHAnsi" w:hAnsiTheme="minorHAnsi" w:cstheme="minorHAnsi"/>
          <w:sz w:val="20"/>
          <w:szCs w:val="20"/>
        </w:rPr>
      </w:pPr>
      <w:r w:rsidRPr="002F5AF0">
        <w:rPr>
          <w:rFonts w:asciiTheme="minorHAnsi" w:hAnsiTheme="minorHAnsi" w:cstheme="minorHAnsi"/>
          <w:sz w:val="20"/>
          <w:szCs w:val="20"/>
        </w:rPr>
        <w:t>Removing the CCPs from the process of cash penalties collection will:</w:t>
      </w:r>
    </w:p>
    <w:p w14:paraId="349EA791" w14:textId="77777777" w:rsidR="002F5AF0" w:rsidRPr="002F5AF0" w:rsidRDefault="002F5AF0" w:rsidP="002F5AF0">
      <w:pPr>
        <w:pStyle w:val="ListParagraph"/>
        <w:numPr>
          <w:ilvl w:val="0"/>
          <w:numId w:val="31"/>
        </w:numPr>
        <w:tabs>
          <w:tab w:val="clear" w:pos="0"/>
          <w:tab w:val="clear" w:pos="142"/>
          <w:tab w:val="clear" w:pos="284"/>
          <w:tab w:val="clear" w:pos="567"/>
        </w:tabs>
        <w:autoSpaceDE/>
        <w:autoSpaceDN/>
        <w:adjustRightInd/>
        <w:spacing w:after="120" w:line="276" w:lineRule="auto"/>
        <w:ind w:left="426" w:hanging="284"/>
        <w:rPr>
          <w:sz w:val="20"/>
          <w:szCs w:val="20"/>
        </w:rPr>
      </w:pPr>
      <w:r w:rsidRPr="002F5AF0">
        <w:rPr>
          <w:sz w:val="20"/>
          <w:szCs w:val="20"/>
        </w:rPr>
        <w:t>Reduce risk and simplify the operating environment for market participants</w:t>
      </w:r>
    </w:p>
    <w:p w14:paraId="458F3699" w14:textId="77777777" w:rsidR="002F5AF0" w:rsidRPr="002F5AF0" w:rsidRDefault="002F5AF0" w:rsidP="002F5AF0">
      <w:pPr>
        <w:pStyle w:val="ListParagraph"/>
        <w:numPr>
          <w:ilvl w:val="0"/>
          <w:numId w:val="31"/>
        </w:numPr>
        <w:tabs>
          <w:tab w:val="clear" w:pos="0"/>
          <w:tab w:val="clear" w:pos="142"/>
          <w:tab w:val="clear" w:pos="284"/>
          <w:tab w:val="clear" w:pos="567"/>
        </w:tabs>
        <w:autoSpaceDE/>
        <w:autoSpaceDN/>
        <w:adjustRightInd/>
        <w:spacing w:after="120" w:line="276" w:lineRule="auto"/>
        <w:ind w:left="426" w:hanging="284"/>
        <w:rPr>
          <w:sz w:val="20"/>
          <w:szCs w:val="20"/>
        </w:rPr>
      </w:pPr>
      <w:r w:rsidRPr="002F5AF0">
        <w:rPr>
          <w:sz w:val="20"/>
          <w:szCs w:val="20"/>
        </w:rPr>
        <w:t>Result in a unique reporting/payment process per market/CSD, where market participants would benefit from a streamlined resource allocation.</w:t>
      </w:r>
    </w:p>
    <w:p w14:paraId="222E6C04" w14:textId="3313C163" w:rsidR="002F5AF0" w:rsidRPr="00F805D2" w:rsidRDefault="002F5AF0" w:rsidP="002F5AF0">
      <w:pPr>
        <w:pStyle w:val="ListParagraph"/>
        <w:numPr>
          <w:ilvl w:val="0"/>
          <w:numId w:val="31"/>
        </w:numPr>
        <w:tabs>
          <w:tab w:val="clear" w:pos="0"/>
          <w:tab w:val="clear" w:pos="142"/>
          <w:tab w:val="clear" w:pos="284"/>
          <w:tab w:val="clear" w:pos="567"/>
        </w:tabs>
        <w:autoSpaceDE/>
        <w:autoSpaceDN/>
        <w:adjustRightInd/>
        <w:spacing w:after="120" w:line="276" w:lineRule="auto"/>
        <w:ind w:left="426" w:hanging="284"/>
        <w:rPr>
          <w:sz w:val="20"/>
          <w:szCs w:val="20"/>
        </w:rPr>
      </w:pPr>
      <w:r w:rsidRPr="002F5AF0">
        <w:rPr>
          <w:sz w:val="20"/>
          <w:szCs w:val="20"/>
        </w:rPr>
        <w:t xml:space="preserve">Increase transparency of what trades have incurred penalties and improve reconciliation, since not all CCPs are currently able to provide </w:t>
      </w:r>
      <w:r w:rsidRPr="00F805D2">
        <w:rPr>
          <w:sz w:val="20"/>
          <w:szCs w:val="20"/>
        </w:rPr>
        <w:t>a transactional breakdown</w:t>
      </w:r>
      <w:r w:rsidR="00E3194F" w:rsidRPr="00F805D2">
        <w:rPr>
          <w:sz w:val="20"/>
          <w:szCs w:val="20"/>
        </w:rPr>
        <w:t xml:space="preserve">, whereas CSDs </w:t>
      </w:r>
      <w:r w:rsidR="00B91FF9" w:rsidRPr="00F805D2">
        <w:rPr>
          <w:sz w:val="20"/>
          <w:szCs w:val="20"/>
        </w:rPr>
        <w:t>do.</w:t>
      </w:r>
    </w:p>
    <w:p w14:paraId="69F2A686" w14:textId="77777777" w:rsidR="002F5AF0" w:rsidRPr="00F805D2" w:rsidRDefault="002F5AF0" w:rsidP="00B60CB2">
      <w:pPr>
        <w:pStyle w:val="ListParagraph"/>
        <w:numPr>
          <w:ilvl w:val="0"/>
          <w:numId w:val="31"/>
        </w:numPr>
        <w:tabs>
          <w:tab w:val="clear" w:pos="0"/>
          <w:tab w:val="clear" w:pos="142"/>
          <w:tab w:val="clear" w:pos="284"/>
          <w:tab w:val="clear" w:pos="567"/>
        </w:tabs>
        <w:autoSpaceDE/>
        <w:autoSpaceDN/>
        <w:adjustRightInd/>
        <w:spacing w:after="120" w:line="276" w:lineRule="auto"/>
        <w:ind w:left="426" w:hanging="284"/>
        <w:rPr>
          <w:sz w:val="20"/>
          <w:szCs w:val="20"/>
        </w:rPr>
      </w:pPr>
      <w:r w:rsidRPr="00F805D2">
        <w:rPr>
          <w:sz w:val="20"/>
          <w:szCs w:val="20"/>
        </w:rPr>
        <w:t>Limit the number of intermediaries in the penalties collection chain, thus reducing the touchpoints and any potential delays in the reporting/payment of cash penalties.</w:t>
      </w:r>
    </w:p>
    <w:p w14:paraId="1CEB510D" w14:textId="0A4CAB8C" w:rsidR="002F5AF0" w:rsidRPr="00F805D2" w:rsidRDefault="00616592" w:rsidP="00B60CB2">
      <w:pPr>
        <w:pStyle w:val="ListParagraph"/>
        <w:numPr>
          <w:ilvl w:val="0"/>
          <w:numId w:val="31"/>
        </w:numPr>
        <w:tabs>
          <w:tab w:val="clear" w:pos="0"/>
          <w:tab w:val="clear" w:pos="142"/>
          <w:tab w:val="clear" w:pos="284"/>
          <w:tab w:val="clear" w:pos="567"/>
        </w:tabs>
        <w:autoSpaceDE/>
        <w:autoSpaceDN/>
        <w:adjustRightInd/>
        <w:spacing w:after="120" w:line="276" w:lineRule="auto"/>
        <w:ind w:left="426" w:hanging="284"/>
        <w:rPr>
          <w:sz w:val="20"/>
          <w:szCs w:val="20"/>
        </w:rPr>
      </w:pPr>
      <w:r w:rsidRPr="00F805D2">
        <w:rPr>
          <w:sz w:val="20"/>
          <w:szCs w:val="20"/>
        </w:rPr>
        <w:t>Simplify</w:t>
      </w:r>
      <w:r w:rsidR="00464063" w:rsidRPr="00F805D2">
        <w:rPr>
          <w:sz w:val="20"/>
          <w:szCs w:val="20"/>
        </w:rPr>
        <w:t xml:space="preserve"> usage of the</w:t>
      </w:r>
      <w:r w:rsidR="002F5AF0" w:rsidRPr="00F805D2">
        <w:rPr>
          <w:sz w:val="20"/>
          <w:szCs w:val="20"/>
        </w:rPr>
        <w:t xml:space="preserve"> ‘CMPU’ flag </w:t>
      </w:r>
      <w:r w:rsidR="00464063" w:rsidRPr="00F805D2">
        <w:rPr>
          <w:sz w:val="20"/>
          <w:szCs w:val="20"/>
        </w:rPr>
        <w:t>in</w:t>
      </w:r>
      <w:r w:rsidR="002F5AF0" w:rsidRPr="00F805D2">
        <w:rPr>
          <w:sz w:val="20"/>
          <w:szCs w:val="20"/>
        </w:rPr>
        <w:t xml:space="preserve"> the cash penalties reporting process. This flag is currently being used inconsistently and incorrectly by some CCPs, CSDs and certain settlement agents, which ultimately leads to a divergence from agreed market practices.</w:t>
      </w:r>
    </w:p>
    <w:p w14:paraId="4639EB44" w14:textId="0402D4F1" w:rsidR="00B119E1" w:rsidRPr="00F805D2" w:rsidRDefault="00D35288" w:rsidP="00B60CB2">
      <w:pPr>
        <w:pStyle w:val="ListParagraph"/>
        <w:numPr>
          <w:ilvl w:val="0"/>
          <w:numId w:val="31"/>
        </w:numPr>
        <w:tabs>
          <w:tab w:val="clear" w:pos="0"/>
          <w:tab w:val="clear" w:pos="142"/>
          <w:tab w:val="clear" w:pos="284"/>
          <w:tab w:val="clear" w:pos="567"/>
        </w:tabs>
        <w:autoSpaceDE/>
        <w:autoSpaceDN/>
        <w:adjustRightInd/>
        <w:spacing w:after="120" w:line="276" w:lineRule="auto"/>
        <w:ind w:left="426" w:hanging="284"/>
        <w:rPr>
          <w:sz w:val="20"/>
          <w:szCs w:val="20"/>
        </w:rPr>
      </w:pPr>
      <w:r w:rsidRPr="00F805D2">
        <w:rPr>
          <w:sz w:val="20"/>
          <w:szCs w:val="20"/>
        </w:rPr>
        <w:t>Make it clear</w:t>
      </w:r>
      <w:r w:rsidR="00D62517" w:rsidRPr="00F805D2">
        <w:rPr>
          <w:sz w:val="20"/>
          <w:szCs w:val="20"/>
        </w:rPr>
        <w:t>er</w:t>
      </w:r>
      <w:r w:rsidRPr="00F805D2">
        <w:rPr>
          <w:sz w:val="20"/>
          <w:szCs w:val="20"/>
        </w:rPr>
        <w:t xml:space="preserve"> </w:t>
      </w:r>
      <w:r w:rsidR="002A2504" w:rsidRPr="00F805D2">
        <w:rPr>
          <w:sz w:val="20"/>
          <w:szCs w:val="20"/>
        </w:rPr>
        <w:t xml:space="preserve">that penalties </w:t>
      </w:r>
      <w:r w:rsidR="00AB23F8" w:rsidRPr="00F805D2">
        <w:rPr>
          <w:sz w:val="20"/>
          <w:szCs w:val="20"/>
        </w:rPr>
        <w:t>should only be applied by CSDs</w:t>
      </w:r>
      <w:r w:rsidR="005F3AF5">
        <w:rPr>
          <w:sz w:val="20"/>
          <w:szCs w:val="20"/>
        </w:rPr>
        <w:t>.</w:t>
      </w:r>
    </w:p>
    <w:p w14:paraId="2F73D8B0" w14:textId="3B56C8B1" w:rsidR="00D62517" w:rsidRPr="00F805D2" w:rsidRDefault="007A1434" w:rsidP="002F5AF0">
      <w:pPr>
        <w:pStyle w:val="ListParagraph"/>
        <w:numPr>
          <w:ilvl w:val="0"/>
          <w:numId w:val="31"/>
        </w:numPr>
        <w:tabs>
          <w:tab w:val="clear" w:pos="0"/>
          <w:tab w:val="clear" w:pos="142"/>
          <w:tab w:val="clear" w:pos="284"/>
          <w:tab w:val="clear" w:pos="567"/>
        </w:tabs>
        <w:autoSpaceDE/>
        <w:autoSpaceDN/>
        <w:adjustRightInd/>
        <w:spacing w:after="200" w:line="276" w:lineRule="auto"/>
        <w:ind w:left="426" w:hanging="284"/>
        <w:rPr>
          <w:sz w:val="20"/>
          <w:szCs w:val="20"/>
        </w:rPr>
      </w:pPr>
      <w:r w:rsidRPr="00F805D2">
        <w:rPr>
          <w:sz w:val="20"/>
          <w:szCs w:val="20"/>
        </w:rPr>
        <w:t>Create a</w:t>
      </w:r>
      <w:r w:rsidR="00E17C3D" w:rsidRPr="00F805D2">
        <w:rPr>
          <w:sz w:val="20"/>
          <w:szCs w:val="20"/>
        </w:rPr>
        <w:t xml:space="preserve">n uniform process </w:t>
      </w:r>
      <w:r w:rsidR="00DD0167" w:rsidRPr="00F805D2">
        <w:rPr>
          <w:sz w:val="20"/>
          <w:szCs w:val="20"/>
        </w:rPr>
        <w:t xml:space="preserve">for cleared transactions </w:t>
      </w:r>
      <w:r w:rsidR="00E17C3D" w:rsidRPr="00F805D2">
        <w:rPr>
          <w:sz w:val="20"/>
          <w:szCs w:val="20"/>
        </w:rPr>
        <w:t>should the CCP be a participant of a CSD or not</w:t>
      </w:r>
    </w:p>
    <w:p w14:paraId="50921EA3" w14:textId="77777777" w:rsidR="002C03F6" w:rsidRPr="00F805D2" w:rsidRDefault="002F5AF0" w:rsidP="00B60CB2">
      <w:pPr>
        <w:spacing w:line="276" w:lineRule="auto"/>
        <w:jc w:val="both"/>
        <w:rPr>
          <w:rFonts w:asciiTheme="minorHAnsi" w:hAnsiTheme="minorHAnsi" w:cstheme="minorHAnsi"/>
          <w:sz w:val="20"/>
          <w:szCs w:val="20"/>
        </w:rPr>
      </w:pPr>
      <w:r w:rsidRPr="00F805D2">
        <w:rPr>
          <w:rFonts w:asciiTheme="minorHAnsi" w:hAnsiTheme="minorHAnsi" w:cstheme="minorHAnsi"/>
          <w:sz w:val="20"/>
          <w:szCs w:val="20"/>
        </w:rPr>
        <w:t>The additional complexity of the process resulted in scenarios where participants were debited twice for a single penalty</w:t>
      </w:r>
      <w:r w:rsidRPr="00F805D2">
        <w:rPr>
          <w:rFonts w:asciiTheme="minorHAnsi" w:hAnsiTheme="minorHAnsi" w:cstheme="minorHAnsi"/>
        </w:rPr>
        <w:t xml:space="preserve"> (</w:t>
      </w:r>
      <w:r w:rsidRPr="00F805D2">
        <w:rPr>
          <w:rFonts w:asciiTheme="minorHAnsi" w:hAnsiTheme="minorHAnsi" w:cstheme="minorHAnsi"/>
          <w:sz w:val="20"/>
          <w:szCs w:val="20"/>
        </w:rPr>
        <w:t xml:space="preserve">i.e., by both the CSD and the CCP). Data provided by </w:t>
      </w:r>
      <w:r w:rsidR="003178F5" w:rsidRPr="00F805D2">
        <w:rPr>
          <w:rFonts w:asciiTheme="minorHAnsi" w:hAnsiTheme="minorHAnsi" w:cstheme="minorHAnsi"/>
          <w:sz w:val="20"/>
          <w:szCs w:val="20"/>
        </w:rPr>
        <w:t>two</w:t>
      </w:r>
      <w:r w:rsidRPr="00F805D2">
        <w:rPr>
          <w:rFonts w:asciiTheme="minorHAnsi" w:hAnsiTheme="minorHAnsi" w:cstheme="minorHAnsi"/>
          <w:sz w:val="20"/>
          <w:szCs w:val="20"/>
        </w:rPr>
        <w:t xml:space="preserve"> firm</w:t>
      </w:r>
      <w:r w:rsidR="003178F5" w:rsidRPr="00F805D2">
        <w:rPr>
          <w:rFonts w:asciiTheme="minorHAnsi" w:hAnsiTheme="minorHAnsi" w:cstheme="minorHAnsi"/>
          <w:sz w:val="20"/>
          <w:szCs w:val="20"/>
        </w:rPr>
        <w:t>s</w:t>
      </w:r>
      <w:r w:rsidRPr="00F805D2">
        <w:rPr>
          <w:rFonts w:asciiTheme="minorHAnsi" w:hAnsiTheme="minorHAnsi" w:cstheme="minorHAnsi"/>
          <w:sz w:val="20"/>
          <w:szCs w:val="20"/>
        </w:rPr>
        <w:t xml:space="preserve"> show</w:t>
      </w:r>
      <w:r w:rsidR="003178F5" w:rsidRPr="00F805D2">
        <w:rPr>
          <w:rFonts w:asciiTheme="minorHAnsi" w:hAnsiTheme="minorHAnsi" w:cstheme="minorHAnsi"/>
          <w:sz w:val="20"/>
          <w:szCs w:val="20"/>
        </w:rPr>
        <w:t xml:space="preserve"> respectively</w:t>
      </w:r>
      <w:r w:rsidRPr="00F805D2">
        <w:rPr>
          <w:rFonts w:asciiTheme="minorHAnsi" w:hAnsiTheme="minorHAnsi" w:cstheme="minorHAnsi"/>
          <w:sz w:val="20"/>
          <w:szCs w:val="20"/>
        </w:rPr>
        <w:t xml:space="preserve"> total erroneous charges of approx. 184k EUR </w:t>
      </w:r>
      <w:r w:rsidR="003178F5" w:rsidRPr="00F805D2">
        <w:rPr>
          <w:rFonts w:asciiTheme="minorHAnsi" w:hAnsiTheme="minorHAnsi" w:cstheme="minorHAnsi"/>
          <w:sz w:val="20"/>
          <w:szCs w:val="20"/>
        </w:rPr>
        <w:t xml:space="preserve">and 110k EUR </w:t>
      </w:r>
      <w:r w:rsidRPr="00F805D2">
        <w:rPr>
          <w:rFonts w:asciiTheme="minorHAnsi" w:hAnsiTheme="minorHAnsi" w:cstheme="minorHAnsi"/>
          <w:sz w:val="20"/>
          <w:szCs w:val="20"/>
        </w:rPr>
        <w:t>for the period February 2022 - May 2022, which had to be recovered from the CC</w:t>
      </w:r>
      <w:r w:rsidR="002C03F6" w:rsidRPr="00F805D2">
        <w:rPr>
          <w:rFonts w:asciiTheme="minorHAnsi" w:hAnsiTheme="minorHAnsi" w:cstheme="minorHAnsi"/>
          <w:sz w:val="20"/>
          <w:szCs w:val="20"/>
        </w:rPr>
        <w:t xml:space="preserve">P. </w:t>
      </w:r>
    </w:p>
    <w:p w14:paraId="083C3EA5" w14:textId="77777777" w:rsidR="002C03F6" w:rsidRPr="00F805D2" w:rsidRDefault="002C03F6" w:rsidP="00B60CB2">
      <w:pPr>
        <w:spacing w:line="276" w:lineRule="auto"/>
        <w:jc w:val="both"/>
        <w:rPr>
          <w:rFonts w:asciiTheme="minorHAnsi" w:hAnsiTheme="minorHAnsi" w:cstheme="minorHAnsi"/>
          <w:sz w:val="20"/>
          <w:szCs w:val="20"/>
        </w:rPr>
      </w:pPr>
    </w:p>
    <w:p w14:paraId="04D0C835" w14:textId="12F46085" w:rsidR="002C03F6" w:rsidRPr="00F805D2" w:rsidRDefault="00106A70" w:rsidP="00B60CB2">
      <w:pPr>
        <w:spacing w:line="276" w:lineRule="auto"/>
        <w:jc w:val="both"/>
        <w:rPr>
          <w:sz w:val="20"/>
          <w:szCs w:val="20"/>
        </w:rPr>
      </w:pPr>
      <w:r w:rsidRPr="00F805D2">
        <w:rPr>
          <w:rFonts w:asciiTheme="minorHAnsi" w:hAnsiTheme="minorHAnsi" w:cstheme="minorHAnsi"/>
          <w:sz w:val="20"/>
          <w:szCs w:val="20"/>
        </w:rPr>
        <w:t>With respect to</w:t>
      </w:r>
      <w:r w:rsidR="005E3B71" w:rsidRPr="00F805D2">
        <w:rPr>
          <w:rFonts w:asciiTheme="minorHAnsi" w:hAnsiTheme="minorHAnsi" w:cstheme="minorHAnsi"/>
          <w:sz w:val="20"/>
          <w:szCs w:val="20"/>
        </w:rPr>
        <w:t xml:space="preserve"> </w:t>
      </w:r>
      <w:r w:rsidR="00730294" w:rsidRPr="00F805D2">
        <w:rPr>
          <w:rFonts w:asciiTheme="minorHAnsi" w:hAnsiTheme="minorHAnsi" w:cstheme="minorHAnsi"/>
          <w:sz w:val="20"/>
          <w:szCs w:val="20"/>
        </w:rPr>
        <w:t>the infrequent issue of ‘imbalanced positions’</w:t>
      </w:r>
      <w:r w:rsidR="00067F0C" w:rsidRPr="00F805D2">
        <w:rPr>
          <w:rFonts w:asciiTheme="minorHAnsi" w:hAnsiTheme="minorHAnsi" w:cstheme="minorHAnsi"/>
          <w:sz w:val="20"/>
          <w:szCs w:val="20"/>
        </w:rPr>
        <w:t xml:space="preserve"> as described in paragraphs 13</w:t>
      </w:r>
      <w:r w:rsidR="00266F18">
        <w:rPr>
          <w:rFonts w:asciiTheme="minorHAnsi" w:hAnsiTheme="minorHAnsi" w:cstheme="minorHAnsi"/>
          <w:sz w:val="20"/>
          <w:szCs w:val="20"/>
        </w:rPr>
        <w:t xml:space="preserve"> </w:t>
      </w:r>
      <w:r w:rsidR="00067F0C" w:rsidRPr="00F805D2">
        <w:rPr>
          <w:rFonts w:asciiTheme="minorHAnsi" w:hAnsiTheme="minorHAnsi" w:cstheme="minorHAnsi"/>
          <w:sz w:val="20"/>
          <w:szCs w:val="20"/>
        </w:rPr>
        <w:t xml:space="preserve">– 16, AFME’s preference is for CCPs to establish rules to assign these costs </w:t>
      </w:r>
      <w:r w:rsidR="00CB3367" w:rsidRPr="00F805D2">
        <w:rPr>
          <w:rFonts w:asciiTheme="minorHAnsi" w:hAnsiTheme="minorHAnsi" w:cstheme="minorHAnsi"/>
          <w:sz w:val="20"/>
          <w:szCs w:val="20"/>
        </w:rPr>
        <w:t>to identified clearing members, rather than mut</w:t>
      </w:r>
      <w:r w:rsidR="009A14C9">
        <w:rPr>
          <w:rFonts w:asciiTheme="minorHAnsi" w:hAnsiTheme="minorHAnsi" w:cstheme="minorHAnsi"/>
          <w:sz w:val="20"/>
          <w:szCs w:val="20"/>
        </w:rPr>
        <w:t>u</w:t>
      </w:r>
      <w:r w:rsidR="00CB3367" w:rsidRPr="00F805D2">
        <w:rPr>
          <w:rFonts w:asciiTheme="minorHAnsi" w:hAnsiTheme="minorHAnsi" w:cstheme="minorHAnsi"/>
          <w:sz w:val="20"/>
          <w:szCs w:val="20"/>
        </w:rPr>
        <w:t>ali</w:t>
      </w:r>
      <w:r w:rsidR="00F324D6">
        <w:rPr>
          <w:rFonts w:asciiTheme="minorHAnsi" w:hAnsiTheme="minorHAnsi" w:cstheme="minorHAnsi"/>
          <w:sz w:val="20"/>
          <w:szCs w:val="20"/>
        </w:rPr>
        <w:t>s</w:t>
      </w:r>
      <w:r w:rsidR="00CB3367" w:rsidRPr="00F805D2">
        <w:rPr>
          <w:rFonts w:asciiTheme="minorHAnsi" w:hAnsiTheme="minorHAnsi" w:cstheme="minorHAnsi"/>
          <w:sz w:val="20"/>
          <w:szCs w:val="20"/>
        </w:rPr>
        <w:t>ing among all clearing members.</w:t>
      </w:r>
      <w:r w:rsidRPr="00F805D2">
        <w:rPr>
          <w:rFonts w:asciiTheme="minorHAnsi" w:hAnsiTheme="minorHAnsi" w:cstheme="minorHAnsi"/>
          <w:sz w:val="20"/>
          <w:szCs w:val="20"/>
        </w:rPr>
        <w:t xml:space="preserve"> </w:t>
      </w:r>
    </w:p>
    <w:permEnd w:id="911553143"/>
    <w:p w14:paraId="79199812" w14:textId="514FFE04" w:rsidR="00A31F09" w:rsidRDefault="00A31F09" w:rsidP="00A31F09">
      <w:r>
        <w:t>&lt;ESMA_QUESTION_SETD_1&gt;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1310ADC2" w14:textId="559FB08D" w:rsidR="00732516" w:rsidRPr="00F805D2" w:rsidRDefault="002F5AF0" w:rsidP="00A24F69">
      <w:pPr>
        <w:spacing w:after="200" w:line="276" w:lineRule="auto"/>
        <w:jc w:val="both"/>
        <w:rPr>
          <w:rFonts w:asciiTheme="minorHAnsi" w:hAnsiTheme="minorHAnsi" w:cstheme="minorHAnsi"/>
          <w:sz w:val="20"/>
          <w:szCs w:val="20"/>
        </w:rPr>
      </w:pPr>
      <w:permStart w:id="2081231068" w:edGrp="everyone"/>
      <w:r w:rsidRPr="002F5AF0">
        <w:rPr>
          <w:rFonts w:asciiTheme="minorHAnsi" w:hAnsiTheme="minorHAnsi" w:cstheme="minorHAnsi"/>
          <w:sz w:val="20"/>
          <w:szCs w:val="20"/>
        </w:rPr>
        <w:t>Yes. The proposed amendments to Article 19 would achieve the stated objectives and result in a simplification of the process for market participants.</w:t>
      </w:r>
      <w:r w:rsidR="00E17C3D">
        <w:rPr>
          <w:rFonts w:asciiTheme="minorHAnsi" w:hAnsiTheme="minorHAnsi" w:cstheme="minorHAnsi"/>
          <w:sz w:val="20"/>
          <w:szCs w:val="20"/>
        </w:rPr>
        <w:t xml:space="preserve"> </w:t>
      </w:r>
      <w:r w:rsidR="009167F3" w:rsidRPr="00F805D2">
        <w:rPr>
          <w:rFonts w:asciiTheme="minorHAnsi" w:hAnsiTheme="minorHAnsi" w:cstheme="minorHAnsi"/>
          <w:sz w:val="20"/>
          <w:szCs w:val="20"/>
        </w:rPr>
        <w:t xml:space="preserve">However </w:t>
      </w:r>
      <w:r w:rsidR="003D744E" w:rsidRPr="00F805D2">
        <w:rPr>
          <w:rFonts w:asciiTheme="minorHAnsi" w:hAnsiTheme="minorHAnsi" w:cstheme="minorHAnsi"/>
          <w:sz w:val="20"/>
          <w:szCs w:val="20"/>
        </w:rPr>
        <w:t xml:space="preserve">we believe </w:t>
      </w:r>
      <w:r w:rsidR="001B00A7" w:rsidRPr="00F805D2">
        <w:rPr>
          <w:rFonts w:asciiTheme="minorHAnsi" w:hAnsiTheme="minorHAnsi" w:cstheme="minorHAnsi"/>
          <w:sz w:val="20"/>
          <w:szCs w:val="20"/>
        </w:rPr>
        <w:t>th</w:t>
      </w:r>
      <w:r w:rsidR="00BC30D5" w:rsidRPr="00F805D2">
        <w:rPr>
          <w:rFonts w:asciiTheme="minorHAnsi" w:hAnsiTheme="minorHAnsi" w:cstheme="minorHAnsi"/>
          <w:sz w:val="20"/>
          <w:szCs w:val="20"/>
        </w:rPr>
        <w:t>is draft</w:t>
      </w:r>
      <w:r w:rsidR="001B00A7" w:rsidRPr="00F805D2">
        <w:rPr>
          <w:rFonts w:asciiTheme="minorHAnsi" w:hAnsiTheme="minorHAnsi" w:cstheme="minorHAnsi"/>
          <w:sz w:val="20"/>
          <w:szCs w:val="20"/>
        </w:rPr>
        <w:t xml:space="preserve"> amendment</w:t>
      </w:r>
      <w:r w:rsidR="00D56E49" w:rsidRPr="00F805D2">
        <w:rPr>
          <w:rFonts w:asciiTheme="minorHAnsi" w:hAnsiTheme="minorHAnsi" w:cstheme="minorHAnsi"/>
          <w:sz w:val="20"/>
          <w:szCs w:val="20"/>
        </w:rPr>
        <w:t xml:space="preserve"> should </w:t>
      </w:r>
      <w:r w:rsidR="00D515BD" w:rsidRPr="00F805D2">
        <w:rPr>
          <w:rFonts w:asciiTheme="minorHAnsi" w:hAnsiTheme="minorHAnsi" w:cstheme="minorHAnsi"/>
          <w:sz w:val="20"/>
          <w:szCs w:val="20"/>
        </w:rPr>
        <w:t>take the opportunity to state tha</w:t>
      </w:r>
      <w:r w:rsidR="00AD6814" w:rsidRPr="00F805D2">
        <w:rPr>
          <w:rFonts w:asciiTheme="minorHAnsi" w:hAnsiTheme="minorHAnsi" w:cstheme="minorHAnsi"/>
          <w:sz w:val="20"/>
          <w:szCs w:val="20"/>
        </w:rPr>
        <w:t xml:space="preserve">t only CSDs </w:t>
      </w:r>
      <w:r w:rsidR="00BF7D7F" w:rsidRPr="00F805D2">
        <w:rPr>
          <w:rFonts w:asciiTheme="minorHAnsi" w:hAnsiTheme="minorHAnsi" w:cstheme="minorHAnsi"/>
          <w:sz w:val="20"/>
          <w:szCs w:val="20"/>
        </w:rPr>
        <w:t xml:space="preserve">may </w:t>
      </w:r>
      <w:r w:rsidR="00DA6A05" w:rsidRPr="00F805D2">
        <w:rPr>
          <w:rFonts w:asciiTheme="minorHAnsi" w:hAnsiTheme="minorHAnsi" w:cstheme="minorHAnsi"/>
          <w:sz w:val="20"/>
          <w:szCs w:val="20"/>
        </w:rPr>
        <w:t>penalise</w:t>
      </w:r>
      <w:r w:rsidR="00BF7D7F" w:rsidRPr="00F805D2">
        <w:rPr>
          <w:rFonts w:asciiTheme="minorHAnsi" w:hAnsiTheme="minorHAnsi" w:cstheme="minorHAnsi"/>
          <w:sz w:val="20"/>
          <w:szCs w:val="20"/>
        </w:rPr>
        <w:t xml:space="preserve"> a failing settlement</w:t>
      </w:r>
      <w:r w:rsidR="00AC67E2" w:rsidRPr="00F805D2">
        <w:rPr>
          <w:rFonts w:asciiTheme="minorHAnsi" w:hAnsiTheme="minorHAnsi" w:cstheme="minorHAnsi"/>
          <w:sz w:val="20"/>
          <w:szCs w:val="20"/>
        </w:rPr>
        <w:t xml:space="preserve">. </w:t>
      </w:r>
      <w:r w:rsidR="0038003F" w:rsidRPr="00F805D2">
        <w:rPr>
          <w:rFonts w:asciiTheme="minorHAnsi" w:hAnsiTheme="minorHAnsi" w:cstheme="minorHAnsi"/>
          <w:sz w:val="20"/>
          <w:szCs w:val="20"/>
        </w:rPr>
        <w:t>In other words</w:t>
      </w:r>
      <w:r w:rsidR="008732D5" w:rsidRPr="00F805D2">
        <w:rPr>
          <w:rFonts w:asciiTheme="minorHAnsi" w:hAnsiTheme="minorHAnsi" w:cstheme="minorHAnsi"/>
          <w:sz w:val="20"/>
          <w:szCs w:val="20"/>
        </w:rPr>
        <w:t xml:space="preserve">, </w:t>
      </w:r>
      <w:r w:rsidR="0038003F" w:rsidRPr="00F805D2">
        <w:rPr>
          <w:rFonts w:asciiTheme="minorHAnsi" w:hAnsiTheme="minorHAnsi" w:cstheme="minorHAnsi"/>
          <w:sz w:val="20"/>
          <w:szCs w:val="20"/>
        </w:rPr>
        <w:t xml:space="preserve">the </w:t>
      </w:r>
      <w:r w:rsidR="0038003F" w:rsidRPr="00F805D2">
        <w:rPr>
          <w:rFonts w:asciiTheme="minorHAnsi" w:hAnsiTheme="minorHAnsi" w:cstheme="minorHAnsi"/>
          <w:sz w:val="20"/>
          <w:szCs w:val="20"/>
        </w:rPr>
        <w:lastRenderedPageBreak/>
        <w:t>proposed</w:t>
      </w:r>
      <w:r w:rsidR="00336F27">
        <w:rPr>
          <w:rFonts w:asciiTheme="minorHAnsi" w:hAnsiTheme="minorHAnsi" w:cstheme="minorHAnsi"/>
          <w:sz w:val="20"/>
          <w:szCs w:val="20"/>
        </w:rPr>
        <w:t xml:space="preserve"> </w:t>
      </w:r>
      <w:r w:rsidR="008732D5" w:rsidRPr="00F805D2">
        <w:rPr>
          <w:rFonts w:asciiTheme="minorHAnsi" w:hAnsiTheme="minorHAnsi" w:cstheme="minorHAnsi"/>
          <w:sz w:val="20"/>
          <w:szCs w:val="20"/>
        </w:rPr>
        <w:t>n</w:t>
      </w:r>
      <w:r w:rsidR="00BC03A3" w:rsidRPr="00F805D2">
        <w:rPr>
          <w:rFonts w:asciiTheme="minorHAnsi" w:hAnsiTheme="minorHAnsi" w:cstheme="minorHAnsi"/>
          <w:sz w:val="20"/>
          <w:szCs w:val="20"/>
        </w:rPr>
        <w:t xml:space="preserve">ew Article 19(b) should </w:t>
      </w:r>
      <w:r w:rsidR="001E6456" w:rsidRPr="00F805D2">
        <w:rPr>
          <w:rFonts w:asciiTheme="minorHAnsi" w:hAnsiTheme="minorHAnsi" w:cstheme="minorHAnsi"/>
          <w:sz w:val="20"/>
          <w:szCs w:val="20"/>
        </w:rPr>
        <w:t>represent</w:t>
      </w:r>
      <w:r w:rsidR="00BC03A3" w:rsidRPr="00F805D2">
        <w:rPr>
          <w:rFonts w:asciiTheme="minorHAnsi" w:hAnsiTheme="minorHAnsi" w:cstheme="minorHAnsi"/>
          <w:sz w:val="20"/>
          <w:szCs w:val="20"/>
        </w:rPr>
        <w:t xml:space="preserve"> the only case where CCPs </w:t>
      </w:r>
      <w:r w:rsidR="001864E6" w:rsidRPr="00F805D2">
        <w:rPr>
          <w:rFonts w:asciiTheme="minorHAnsi" w:hAnsiTheme="minorHAnsi" w:cstheme="minorHAnsi"/>
          <w:sz w:val="20"/>
          <w:szCs w:val="20"/>
        </w:rPr>
        <w:t>may be involved in the application of penalties</w:t>
      </w:r>
      <w:r w:rsidR="0038003F" w:rsidRPr="00F805D2">
        <w:rPr>
          <w:rFonts w:asciiTheme="minorHAnsi" w:hAnsiTheme="minorHAnsi" w:cstheme="minorHAnsi"/>
          <w:sz w:val="20"/>
          <w:szCs w:val="20"/>
        </w:rPr>
        <w:t>.</w:t>
      </w:r>
    </w:p>
    <w:p w14:paraId="515EACDA" w14:textId="77777777" w:rsidR="00876C0B" w:rsidRDefault="00732516" w:rsidP="00876C0B">
      <w:pPr>
        <w:spacing w:line="276" w:lineRule="auto"/>
        <w:jc w:val="both"/>
        <w:rPr>
          <w:rFonts w:asciiTheme="minorHAnsi" w:hAnsiTheme="minorHAnsi" w:cstheme="minorHAnsi"/>
          <w:sz w:val="20"/>
          <w:szCs w:val="20"/>
        </w:rPr>
      </w:pPr>
      <w:r w:rsidRPr="00F805D2">
        <w:rPr>
          <w:rFonts w:asciiTheme="minorHAnsi" w:hAnsiTheme="minorHAnsi" w:cstheme="minorHAnsi"/>
          <w:sz w:val="20"/>
          <w:szCs w:val="20"/>
        </w:rPr>
        <w:t>AFME notes that the challenges with the current Article 19 were recognised and highlighted by a broad spectrum of industry participants, well in advance of the entry into force of the RTS on settlement discipline. It is regrettable that the proposed amendment to Article 19 could not be enacted prior to its entry into force to avoid unnecessary implementation and compliance costs for market infrastructures and their users.</w:t>
      </w:r>
    </w:p>
    <w:permEnd w:id="2081231068"/>
    <w:p w14:paraId="58994ED7" w14:textId="21A1A5B4" w:rsidR="00A31F09" w:rsidRDefault="00A31F09" w:rsidP="00A31F09">
      <w:r>
        <w:t>&lt;ESMA_QUESTION_SETD_2&gt;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6FE95529" w14:textId="77777777" w:rsidR="00C83937" w:rsidRPr="00C83937" w:rsidRDefault="00C83937" w:rsidP="006977AB">
      <w:pPr>
        <w:pStyle w:val="BodyText"/>
        <w:spacing w:after="200" w:line="276" w:lineRule="auto"/>
        <w:ind w:left="-28"/>
        <w:jc w:val="both"/>
        <w:rPr>
          <w:rFonts w:asciiTheme="minorHAnsi" w:hAnsiTheme="minorHAnsi" w:cstheme="minorHAnsi"/>
          <w:sz w:val="20"/>
          <w:szCs w:val="20"/>
          <w:lang w:val="en-US"/>
        </w:rPr>
      </w:pPr>
      <w:permStart w:id="1439189165" w:edGrp="everyone"/>
      <w:r w:rsidRPr="00C83937">
        <w:rPr>
          <w:rFonts w:asciiTheme="minorHAnsi" w:hAnsiTheme="minorHAnsi" w:cstheme="minorHAnsi"/>
          <w:sz w:val="20"/>
          <w:szCs w:val="20"/>
          <w:lang w:val="en-US"/>
        </w:rPr>
        <w:t xml:space="preserve">AFME believes that the benefits of removing the CCPs from the CSDR cash penalties process is clear and we therefore recommend that the amendment is introduced without delay, since the burden imposed by a bifurcated regime is ultimately detrimental to the smooth running of the CSDR cash penalties regime and the EEA’s capital markets. </w:t>
      </w:r>
    </w:p>
    <w:p w14:paraId="6574ECB2" w14:textId="77777777" w:rsidR="00C83937" w:rsidRPr="00C83937" w:rsidRDefault="00C83937" w:rsidP="00C83937">
      <w:pPr>
        <w:pStyle w:val="BodyText"/>
        <w:spacing w:after="200" w:line="276" w:lineRule="auto"/>
        <w:ind w:left="-28"/>
        <w:rPr>
          <w:rFonts w:asciiTheme="minorHAnsi" w:hAnsiTheme="minorHAnsi" w:cstheme="minorHAnsi"/>
          <w:sz w:val="20"/>
          <w:szCs w:val="20"/>
          <w:lang w:val="en-US"/>
        </w:rPr>
      </w:pPr>
      <w:r w:rsidRPr="00C83937">
        <w:rPr>
          <w:rFonts w:asciiTheme="minorHAnsi" w:hAnsiTheme="minorHAnsi" w:cstheme="minorHAnsi"/>
          <w:sz w:val="20"/>
          <w:szCs w:val="20"/>
          <w:lang w:val="en-US"/>
        </w:rPr>
        <w:t>We acknowledge that collaboration and transparency from the FMIs is essential, as it is the need for any technical requirements to be fully tested to ensure that the whole industry can be confident that all cleared trades will be included in the CSDs’ daily/monthly reporting and payment processes and that any changes implemented do not impact the operation of the broader cash penalties regime.</w:t>
      </w:r>
    </w:p>
    <w:p w14:paraId="51A94A98" w14:textId="77777777" w:rsidR="00C83937" w:rsidRPr="00C83937" w:rsidRDefault="00C83937" w:rsidP="006977AB">
      <w:pPr>
        <w:pStyle w:val="BodyText"/>
        <w:spacing w:after="120" w:line="276" w:lineRule="auto"/>
        <w:ind w:left="-28"/>
        <w:rPr>
          <w:rFonts w:asciiTheme="minorHAnsi" w:hAnsiTheme="minorHAnsi" w:cstheme="minorHAnsi"/>
          <w:sz w:val="20"/>
          <w:szCs w:val="20"/>
          <w:lang w:val="en-US"/>
        </w:rPr>
      </w:pPr>
      <w:r w:rsidRPr="00C83937">
        <w:rPr>
          <w:rFonts w:asciiTheme="minorHAnsi" w:hAnsiTheme="minorHAnsi" w:cstheme="minorHAnsi"/>
          <w:sz w:val="20"/>
          <w:szCs w:val="20"/>
          <w:lang w:val="en-US"/>
        </w:rPr>
        <w:t>We recommend that a 6-month delay should only be considered as the latest implementation date for each CSD to take over the process and urge that those CCPs and CSDs who are able to implement an amendment sooner should not be prevented from doing so.</w:t>
      </w:r>
    </w:p>
    <w:p w14:paraId="669F9291" w14:textId="77777777" w:rsidR="00C83937" w:rsidRPr="00C83937" w:rsidRDefault="00C83937" w:rsidP="00C83937">
      <w:pPr>
        <w:pStyle w:val="BodyText"/>
        <w:spacing w:after="200" w:line="276" w:lineRule="auto"/>
        <w:ind w:left="-28"/>
        <w:rPr>
          <w:rFonts w:asciiTheme="minorHAnsi" w:hAnsiTheme="minorHAnsi" w:cstheme="minorHAnsi"/>
          <w:sz w:val="20"/>
          <w:szCs w:val="20"/>
          <w:lang w:val="en-US"/>
        </w:rPr>
      </w:pPr>
      <w:r w:rsidRPr="00C83937">
        <w:rPr>
          <w:rFonts w:asciiTheme="minorHAnsi" w:hAnsiTheme="minorHAnsi" w:cstheme="minorHAnsi"/>
          <w:sz w:val="20"/>
          <w:szCs w:val="20"/>
          <w:lang w:val="en-US"/>
        </w:rPr>
        <w:t>In this respect, we would invite ESMA to draw its attention on two key points:</w:t>
      </w:r>
    </w:p>
    <w:p w14:paraId="12C6AD5B" w14:textId="77777777" w:rsidR="00C83937" w:rsidRPr="00C83937" w:rsidRDefault="00C83937" w:rsidP="009B255B">
      <w:pPr>
        <w:pStyle w:val="BodyText"/>
        <w:numPr>
          <w:ilvl w:val="0"/>
          <w:numId w:val="32"/>
        </w:numPr>
        <w:spacing w:after="120" w:line="276" w:lineRule="auto"/>
        <w:ind w:left="329" w:hanging="357"/>
        <w:jc w:val="both"/>
        <w:rPr>
          <w:rFonts w:asciiTheme="minorHAnsi" w:hAnsiTheme="minorHAnsi" w:cstheme="minorHAnsi"/>
          <w:sz w:val="20"/>
          <w:szCs w:val="20"/>
          <w:lang w:val="en-US"/>
        </w:rPr>
      </w:pPr>
      <w:r w:rsidRPr="00C83937">
        <w:rPr>
          <w:rFonts w:asciiTheme="minorHAnsi" w:hAnsiTheme="minorHAnsi" w:cstheme="minorHAnsi"/>
          <w:sz w:val="20"/>
          <w:szCs w:val="20"/>
          <w:lang w:val="en-US"/>
        </w:rPr>
        <w:t xml:space="preserve">First and foremost, all the operational aspects pertaining to the concrete implementation of the proposed changes should be clarified </w:t>
      </w:r>
      <w:r w:rsidRPr="00C83937">
        <w:rPr>
          <w:rFonts w:asciiTheme="minorHAnsi" w:hAnsiTheme="minorHAnsi" w:cstheme="minorHAnsi"/>
          <w:i/>
          <w:iCs/>
          <w:sz w:val="20"/>
          <w:szCs w:val="20"/>
          <w:lang w:val="en-US"/>
        </w:rPr>
        <w:t>ex ante</w:t>
      </w:r>
      <w:r w:rsidRPr="00C83937">
        <w:rPr>
          <w:rFonts w:asciiTheme="minorHAnsi" w:hAnsiTheme="minorHAnsi" w:cstheme="minorHAnsi"/>
          <w:sz w:val="20"/>
          <w:szCs w:val="20"/>
          <w:lang w:val="en-US"/>
        </w:rPr>
        <w:t>. In particular, it would be of paramount importance to receive clarification by ESMA on the following two aspects:</w:t>
      </w:r>
    </w:p>
    <w:p w14:paraId="6AF52604" w14:textId="77777777" w:rsidR="00C83937" w:rsidRPr="00C83937" w:rsidRDefault="00C83937" w:rsidP="00C83937">
      <w:pPr>
        <w:pStyle w:val="BodyText"/>
        <w:numPr>
          <w:ilvl w:val="1"/>
          <w:numId w:val="32"/>
        </w:numPr>
        <w:spacing w:after="120" w:line="276" w:lineRule="auto"/>
        <w:ind w:left="1049" w:hanging="357"/>
        <w:jc w:val="both"/>
        <w:rPr>
          <w:rFonts w:asciiTheme="minorHAnsi" w:hAnsiTheme="minorHAnsi" w:cstheme="minorHAnsi"/>
          <w:sz w:val="20"/>
          <w:szCs w:val="20"/>
          <w:lang w:val="en-US"/>
        </w:rPr>
      </w:pPr>
      <w:r w:rsidRPr="00C83937">
        <w:rPr>
          <w:rFonts w:asciiTheme="minorHAnsi" w:hAnsiTheme="minorHAnsi" w:cstheme="minorHAnsi"/>
          <w:sz w:val="20"/>
          <w:szCs w:val="20"/>
          <w:lang w:val="en-US"/>
        </w:rPr>
        <w:t>With regards to any operational tests and, more specifically, their deployments, further clarification is required on whether these would be run in a “test environment” or during a “dry-run” period (i.e., within the “production environment”) with the concurrent suspension in the application of penalties.</w:t>
      </w:r>
    </w:p>
    <w:p w14:paraId="59C05CDD" w14:textId="77777777" w:rsidR="00C83937" w:rsidRPr="00C83937" w:rsidRDefault="00C83937" w:rsidP="00C83937">
      <w:pPr>
        <w:pStyle w:val="BodyText"/>
        <w:numPr>
          <w:ilvl w:val="1"/>
          <w:numId w:val="32"/>
        </w:numPr>
        <w:spacing w:after="200" w:line="276" w:lineRule="auto"/>
        <w:ind w:left="1049" w:hanging="357"/>
        <w:jc w:val="both"/>
        <w:rPr>
          <w:rFonts w:asciiTheme="minorHAnsi" w:hAnsiTheme="minorHAnsi" w:cstheme="minorHAnsi"/>
          <w:sz w:val="20"/>
          <w:szCs w:val="20"/>
          <w:lang w:val="en-US"/>
        </w:rPr>
      </w:pPr>
      <w:r w:rsidRPr="00C83937">
        <w:rPr>
          <w:rFonts w:asciiTheme="minorHAnsi" w:hAnsiTheme="minorHAnsi" w:cstheme="minorHAnsi"/>
          <w:sz w:val="20"/>
          <w:szCs w:val="20"/>
          <w:lang w:val="en-US"/>
        </w:rPr>
        <w:t>In relation to the reporting of penalties collection/redistribution, it is still unclear whether the CCPs will continue to send such reports (consistently with the current practice) based on MT537 messages received from CSDs/ICSDs or whether the CCPs will stop producing and sending such reports.</w:t>
      </w:r>
    </w:p>
    <w:p w14:paraId="43B77C67" w14:textId="77777777" w:rsidR="00C83937" w:rsidRPr="00C83937" w:rsidRDefault="00C83937" w:rsidP="00876C0B">
      <w:pPr>
        <w:pStyle w:val="BodyText"/>
        <w:numPr>
          <w:ilvl w:val="0"/>
          <w:numId w:val="32"/>
        </w:numPr>
        <w:spacing w:line="276" w:lineRule="auto"/>
        <w:ind w:left="329" w:hanging="357"/>
        <w:jc w:val="both"/>
        <w:rPr>
          <w:rFonts w:asciiTheme="minorHAnsi" w:hAnsiTheme="minorHAnsi" w:cstheme="minorHAnsi"/>
          <w:sz w:val="20"/>
          <w:szCs w:val="20"/>
          <w:lang w:val="en-US"/>
        </w:rPr>
      </w:pPr>
      <w:r w:rsidRPr="00C83937">
        <w:rPr>
          <w:rFonts w:asciiTheme="minorHAnsi" w:hAnsiTheme="minorHAnsi" w:cstheme="minorHAnsi"/>
          <w:sz w:val="20"/>
          <w:szCs w:val="20"/>
          <w:lang w:val="en-US"/>
        </w:rPr>
        <w:t>When addressing the issue of the “implementation timeline”, ESMA should carefully consider the ‘knock-on’ effects that might occur across the whole settlement chain in the instance where one of the operators of the chain experiences operational problems (as it was the case during the first implementation phase of the settlement discipline after 1st February 2022, when some delays by CSDs actually had implications for CCPs and, consequently, for other participants to the settlement system).</w:t>
      </w:r>
    </w:p>
    <w:permEnd w:id="1439189165"/>
    <w:p w14:paraId="031D9D4B" w14:textId="77777777" w:rsidR="00A31F09" w:rsidRDefault="00A31F09" w:rsidP="00A31F09">
      <w:r>
        <w:t>&lt;ESMA_QUESTION_SETD_3&gt;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17"/>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7E96A" w14:textId="77777777" w:rsidR="00DA3C46" w:rsidRDefault="00DA3C46" w:rsidP="007E7997">
      <w:r>
        <w:separator/>
      </w:r>
    </w:p>
  </w:endnote>
  <w:endnote w:type="continuationSeparator" w:id="0">
    <w:p w14:paraId="3BA4175A" w14:textId="77777777" w:rsidR="00DA3C46" w:rsidRDefault="00DA3C46" w:rsidP="007E7997">
      <w:r>
        <w:continuationSeparator/>
      </w:r>
    </w:p>
  </w:endnote>
  <w:endnote w:type="continuationNotice" w:id="1">
    <w:p w14:paraId="7EAC41E9" w14:textId="77777777" w:rsidR="00DA3C46" w:rsidRDefault="00DA3C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7BBE207B"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A962F" w14:textId="77777777" w:rsidR="00DA3C46" w:rsidRDefault="00DA3C46" w:rsidP="007E7997">
      <w:r>
        <w:separator/>
      </w:r>
    </w:p>
  </w:footnote>
  <w:footnote w:type="continuationSeparator" w:id="0">
    <w:p w14:paraId="6F361E79" w14:textId="77777777" w:rsidR="00DA3C46" w:rsidRDefault="00DA3C46" w:rsidP="007E7997">
      <w:r>
        <w:continuationSeparator/>
      </w:r>
    </w:p>
  </w:footnote>
  <w:footnote w:type="continuationNotice" w:id="1">
    <w:p w14:paraId="3826ABDA" w14:textId="77777777" w:rsidR="00DA3C46" w:rsidRDefault="00DA3C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E9BDEF7" w:rsidR="00E36813" w:rsidRDefault="00E36813">
    <w:pPr>
      <w:pStyle w:val="Header"/>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9E8BD"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A71AFB"/>
    <w:multiLevelType w:val="hybridMultilevel"/>
    <w:tmpl w:val="8A6CE5C0"/>
    <w:lvl w:ilvl="0" w:tplc="4B382584">
      <w:start w:val="1"/>
      <w:numFmt w:val="decimal"/>
      <w:lvlText w:val="%1)"/>
      <w:lvlJc w:val="left"/>
      <w:pPr>
        <w:ind w:left="332" w:hanging="360"/>
      </w:pPr>
      <w:rPr>
        <w:rFonts w:hint="default"/>
      </w:rPr>
    </w:lvl>
    <w:lvl w:ilvl="1" w:tplc="08090019">
      <w:start w:val="1"/>
      <w:numFmt w:val="lowerLetter"/>
      <w:lvlText w:val="%2."/>
      <w:lvlJc w:val="left"/>
      <w:pPr>
        <w:ind w:left="1052" w:hanging="360"/>
      </w:pPr>
    </w:lvl>
    <w:lvl w:ilvl="2" w:tplc="0809001B" w:tentative="1">
      <w:start w:val="1"/>
      <w:numFmt w:val="lowerRoman"/>
      <w:lvlText w:val="%3."/>
      <w:lvlJc w:val="right"/>
      <w:pPr>
        <w:ind w:left="1772" w:hanging="180"/>
      </w:pPr>
    </w:lvl>
    <w:lvl w:ilvl="3" w:tplc="0809000F" w:tentative="1">
      <w:start w:val="1"/>
      <w:numFmt w:val="decimal"/>
      <w:lvlText w:val="%4."/>
      <w:lvlJc w:val="left"/>
      <w:pPr>
        <w:ind w:left="2492" w:hanging="360"/>
      </w:pPr>
    </w:lvl>
    <w:lvl w:ilvl="4" w:tplc="08090019" w:tentative="1">
      <w:start w:val="1"/>
      <w:numFmt w:val="lowerLetter"/>
      <w:lvlText w:val="%5."/>
      <w:lvlJc w:val="left"/>
      <w:pPr>
        <w:ind w:left="3212" w:hanging="360"/>
      </w:pPr>
    </w:lvl>
    <w:lvl w:ilvl="5" w:tplc="0809001B" w:tentative="1">
      <w:start w:val="1"/>
      <w:numFmt w:val="lowerRoman"/>
      <w:lvlText w:val="%6."/>
      <w:lvlJc w:val="right"/>
      <w:pPr>
        <w:ind w:left="3932" w:hanging="180"/>
      </w:pPr>
    </w:lvl>
    <w:lvl w:ilvl="6" w:tplc="0809000F" w:tentative="1">
      <w:start w:val="1"/>
      <w:numFmt w:val="decimal"/>
      <w:lvlText w:val="%7."/>
      <w:lvlJc w:val="left"/>
      <w:pPr>
        <w:ind w:left="4652" w:hanging="360"/>
      </w:pPr>
    </w:lvl>
    <w:lvl w:ilvl="7" w:tplc="08090019" w:tentative="1">
      <w:start w:val="1"/>
      <w:numFmt w:val="lowerLetter"/>
      <w:lvlText w:val="%8."/>
      <w:lvlJc w:val="left"/>
      <w:pPr>
        <w:ind w:left="5372" w:hanging="360"/>
      </w:pPr>
    </w:lvl>
    <w:lvl w:ilvl="8" w:tplc="0809001B" w:tentative="1">
      <w:start w:val="1"/>
      <w:numFmt w:val="lowerRoman"/>
      <w:lvlText w:val="%9."/>
      <w:lvlJc w:val="right"/>
      <w:pPr>
        <w:ind w:left="6092" w:hanging="180"/>
      </w:pPr>
    </w:lvl>
  </w:abstractNum>
  <w:abstractNum w:abstractNumId="3" w15:restartNumberingAfterBreak="0">
    <w:nsid w:val="1E392545"/>
    <w:multiLevelType w:val="hybridMultilevel"/>
    <w:tmpl w:val="387AF1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29970178">
    <w:abstractNumId w:val="4"/>
  </w:num>
  <w:num w:numId="2" w16cid:durableId="1293291200">
    <w:abstractNumId w:val="4"/>
  </w:num>
  <w:num w:numId="3" w16cid:durableId="717709775">
    <w:abstractNumId w:val="23"/>
  </w:num>
  <w:num w:numId="4" w16cid:durableId="384332130">
    <w:abstractNumId w:val="5"/>
  </w:num>
  <w:num w:numId="5" w16cid:durableId="2093238113">
    <w:abstractNumId w:val="14"/>
  </w:num>
  <w:num w:numId="6" w16cid:durableId="801846327">
    <w:abstractNumId w:val="25"/>
  </w:num>
  <w:num w:numId="7" w16cid:durableId="904491462">
    <w:abstractNumId w:val="13"/>
  </w:num>
  <w:num w:numId="8" w16cid:durableId="1208420143">
    <w:abstractNumId w:val="7"/>
  </w:num>
  <w:num w:numId="9" w16cid:durableId="837842022">
    <w:abstractNumId w:val="10"/>
  </w:num>
  <w:num w:numId="10" w16cid:durableId="1601403363">
    <w:abstractNumId w:val="9"/>
  </w:num>
  <w:num w:numId="11" w16cid:durableId="1224484037">
    <w:abstractNumId w:val="8"/>
  </w:num>
  <w:num w:numId="12" w16cid:durableId="13164916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45613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6504458">
    <w:abstractNumId w:val="26"/>
  </w:num>
  <w:num w:numId="15" w16cid:durableId="636759480">
    <w:abstractNumId w:val="20"/>
  </w:num>
  <w:num w:numId="16" w16cid:durableId="2018533246">
    <w:abstractNumId w:val="24"/>
  </w:num>
  <w:num w:numId="17" w16cid:durableId="806239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8503498">
    <w:abstractNumId w:val="21"/>
  </w:num>
  <w:num w:numId="19" w16cid:durableId="1242448298">
    <w:abstractNumId w:val="25"/>
  </w:num>
  <w:num w:numId="20" w16cid:durableId="1887520305">
    <w:abstractNumId w:val="12"/>
  </w:num>
  <w:num w:numId="21" w16cid:durableId="581373188">
    <w:abstractNumId w:val="22"/>
  </w:num>
  <w:num w:numId="22" w16cid:durableId="2095396723">
    <w:abstractNumId w:val="15"/>
  </w:num>
  <w:num w:numId="23" w16cid:durableId="1447189190">
    <w:abstractNumId w:val="19"/>
  </w:num>
  <w:num w:numId="24" w16cid:durableId="1270578978">
    <w:abstractNumId w:val="0"/>
  </w:num>
  <w:num w:numId="25" w16cid:durableId="1547449590">
    <w:abstractNumId w:val="18"/>
  </w:num>
  <w:num w:numId="26" w16cid:durableId="208349201">
    <w:abstractNumId w:val="16"/>
  </w:num>
  <w:num w:numId="27" w16cid:durableId="167990731">
    <w:abstractNumId w:val="11"/>
  </w:num>
  <w:num w:numId="28" w16cid:durableId="1678581343">
    <w:abstractNumId w:val="1"/>
  </w:num>
  <w:num w:numId="29" w16cid:durableId="455150204">
    <w:abstractNumId w:val="17"/>
  </w:num>
  <w:num w:numId="30" w16cid:durableId="325205198">
    <w:abstractNumId w:val="6"/>
  </w:num>
  <w:num w:numId="31" w16cid:durableId="23487801">
    <w:abstractNumId w:val="3"/>
  </w:num>
  <w:num w:numId="32" w16cid:durableId="561795249">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67F0C"/>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6A70"/>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4E6"/>
    <w:rsid w:val="00186A70"/>
    <w:rsid w:val="00191035"/>
    <w:rsid w:val="001918E5"/>
    <w:rsid w:val="00192A7A"/>
    <w:rsid w:val="001A1EF4"/>
    <w:rsid w:val="001A7046"/>
    <w:rsid w:val="001A710D"/>
    <w:rsid w:val="001A7E6F"/>
    <w:rsid w:val="001B00A7"/>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E6456"/>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66F18"/>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504"/>
    <w:rsid w:val="002A2C91"/>
    <w:rsid w:val="002A6C21"/>
    <w:rsid w:val="002A780E"/>
    <w:rsid w:val="002B144C"/>
    <w:rsid w:val="002B53F3"/>
    <w:rsid w:val="002C03F6"/>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5AF0"/>
    <w:rsid w:val="002F6279"/>
    <w:rsid w:val="003013B7"/>
    <w:rsid w:val="00301993"/>
    <w:rsid w:val="00301E55"/>
    <w:rsid w:val="00307397"/>
    <w:rsid w:val="003101EF"/>
    <w:rsid w:val="00312BDD"/>
    <w:rsid w:val="00314117"/>
    <w:rsid w:val="003178F5"/>
    <w:rsid w:val="00317EDF"/>
    <w:rsid w:val="00322FCA"/>
    <w:rsid w:val="003279E7"/>
    <w:rsid w:val="00327B62"/>
    <w:rsid w:val="00331FE9"/>
    <w:rsid w:val="0033324D"/>
    <w:rsid w:val="0033587C"/>
    <w:rsid w:val="00336BF9"/>
    <w:rsid w:val="00336F27"/>
    <w:rsid w:val="003371E8"/>
    <w:rsid w:val="00337471"/>
    <w:rsid w:val="0034151D"/>
    <w:rsid w:val="00342B5B"/>
    <w:rsid w:val="00343532"/>
    <w:rsid w:val="00345469"/>
    <w:rsid w:val="003454ED"/>
    <w:rsid w:val="00345EB9"/>
    <w:rsid w:val="0035030F"/>
    <w:rsid w:val="003519DD"/>
    <w:rsid w:val="00351F68"/>
    <w:rsid w:val="00353C4B"/>
    <w:rsid w:val="003545A6"/>
    <w:rsid w:val="00356550"/>
    <w:rsid w:val="00356C60"/>
    <w:rsid w:val="003578D1"/>
    <w:rsid w:val="00363639"/>
    <w:rsid w:val="00366D42"/>
    <w:rsid w:val="0036748C"/>
    <w:rsid w:val="00372615"/>
    <w:rsid w:val="00372EA3"/>
    <w:rsid w:val="0037358E"/>
    <w:rsid w:val="00373A3C"/>
    <w:rsid w:val="00376233"/>
    <w:rsid w:val="0038003F"/>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44E"/>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07C8B"/>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4063"/>
    <w:rsid w:val="00465EAA"/>
    <w:rsid w:val="004708CA"/>
    <w:rsid w:val="004709E7"/>
    <w:rsid w:val="00470ADE"/>
    <w:rsid w:val="004712C7"/>
    <w:rsid w:val="004759EB"/>
    <w:rsid w:val="00477919"/>
    <w:rsid w:val="00482611"/>
    <w:rsid w:val="00482A27"/>
    <w:rsid w:val="00487DCE"/>
    <w:rsid w:val="00492701"/>
    <w:rsid w:val="004950B7"/>
    <w:rsid w:val="00495783"/>
    <w:rsid w:val="00497FEA"/>
    <w:rsid w:val="004A75F5"/>
    <w:rsid w:val="004B07B2"/>
    <w:rsid w:val="004B0955"/>
    <w:rsid w:val="004B143D"/>
    <w:rsid w:val="004B1842"/>
    <w:rsid w:val="004B25D0"/>
    <w:rsid w:val="004B2EC8"/>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31CF"/>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3B71"/>
    <w:rsid w:val="005E53D0"/>
    <w:rsid w:val="005E5785"/>
    <w:rsid w:val="005E6098"/>
    <w:rsid w:val="005E7969"/>
    <w:rsid w:val="005F0C93"/>
    <w:rsid w:val="005F3AF5"/>
    <w:rsid w:val="005F3F22"/>
    <w:rsid w:val="005F4FC0"/>
    <w:rsid w:val="005F540F"/>
    <w:rsid w:val="005F5491"/>
    <w:rsid w:val="005F6144"/>
    <w:rsid w:val="005F6573"/>
    <w:rsid w:val="00601541"/>
    <w:rsid w:val="0060361E"/>
    <w:rsid w:val="00604A25"/>
    <w:rsid w:val="00606683"/>
    <w:rsid w:val="00613BF6"/>
    <w:rsid w:val="00616592"/>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977AB"/>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1F85"/>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0294"/>
    <w:rsid w:val="0073173E"/>
    <w:rsid w:val="007319C3"/>
    <w:rsid w:val="00732516"/>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434"/>
    <w:rsid w:val="007A160F"/>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2C93"/>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2D5"/>
    <w:rsid w:val="00873656"/>
    <w:rsid w:val="00876C0B"/>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67F3"/>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39E3"/>
    <w:rsid w:val="00994303"/>
    <w:rsid w:val="0099526D"/>
    <w:rsid w:val="00996C8B"/>
    <w:rsid w:val="009A0054"/>
    <w:rsid w:val="009A0F6E"/>
    <w:rsid w:val="009A14C9"/>
    <w:rsid w:val="009A5548"/>
    <w:rsid w:val="009B255B"/>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5DA8"/>
    <w:rsid w:val="00A02199"/>
    <w:rsid w:val="00A026A4"/>
    <w:rsid w:val="00A04044"/>
    <w:rsid w:val="00A07890"/>
    <w:rsid w:val="00A11D0C"/>
    <w:rsid w:val="00A16579"/>
    <w:rsid w:val="00A24843"/>
    <w:rsid w:val="00A24F69"/>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23F8"/>
    <w:rsid w:val="00AB30EA"/>
    <w:rsid w:val="00AB458B"/>
    <w:rsid w:val="00AB45E4"/>
    <w:rsid w:val="00AB6157"/>
    <w:rsid w:val="00AB7542"/>
    <w:rsid w:val="00AC022D"/>
    <w:rsid w:val="00AC0629"/>
    <w:rsid w:val="00AC67E2"/>
    <w:rsid w:val="00AC70C7"/>
    <w:rsid w:val="00AC79E0"/>
    <w:rsid w:val="00AD32CE"/>
    <w:rsid w:val="00AD5187"/>
    <w:rsid w:val="00AD6814"/>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19E1"/>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0CB2"/>
    <w:rsid w:val="00B63379"/>
    <w:rsid w:val="00B648F2"/>
    <w:rsid w:val="00B655D1"/>
    <w:rsid w:val="00B73FF2"/>
    <w:rsid w:val="00B74CBA"/>
    <w:rsid w:val="00B74ED3"/>
    <w:rsid w:val="00B768CF"/>
    <w:rsid w:val="00B81A44"/>
    <w:rsid w:val="00B86BB5"/>
    <w:rsid w:val="00B91072"/>
    <w:rsid w:val="00B91B6E"/>
    <w:rsid w:val="00B91FF9"/>
    <w:rsid w:val="00B94B2C"/>
    <w:rsid w:val="00B96F7D"/>
    <w:rsid w:val="00B970D0"/>
    <w:rsid w:val="00BA0963"/>
    <w:rsid w:val="00BA2F0D"/>
    <w:rsid w:val="00BA49F4"/>
    <w:rsid w:val="00BA5C41"/>
    <w:rsid w:val="00BA6ACA"/>
    <w:rsid w:val="00BA7232"/>
    <w:rsid w:val="00BA7809"/>
    <w:rsid w:val="00BB449C"/>
    <w:rsid w:val="00BB44D7"/>
    <w:rsid w:val="00BC03A3"/>
    <w:rsid w:val="00BC2561"/>
    <w:rsid w:val="00BC30D5"/>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BF7D7F"/>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937"/>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3367"/>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288"/>
    <w:rsid w:val="00D35E02"/>
    <w:rsid w:val="00D378C9"/>
    <w:rsid w:val="00D41425"/>
    <w:rsid w:val="00D46275"/>
    <w:rsid w:val="00D467CA"/>
    <w:rsid w:val="00D4759B"/>
    <w:rsid w:val="00D500A4"/>
    <w:rsid w:val="00D51205"/>
    <w:rsid w:val="00D515BD"/>
    <w:rsid w:val="00D516FC"/>
    <w:rsid w:val="00D51F2D"/>
    <w:rsid w:val="00D535EE"/>
    <w:rsid w:val="00D54FC4"/>
    <w:rsid w:val="00D56E49"/>
    <w:rsid w:val="00D57019"/>
    <w:rsid w:val="00D574C1"/>
    <w:rsid w:val="00D57615"/>
    <w:rsid w:val="00D577C9"/>
    <w:rsid w:val="00D606B7"/>
    <w:rsid w:val="00D60DF0"/>
    <w:rsid w:val="00D61A94"/>
    <w:rsid w:val="00D62282"/>
    <w:rsid w:val="00D62517"/>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3C46"/>
    <w:rsid w:val="00DA426E"/>
    <w:rsid w:val="00DA4339"/>
    <w:rsid w:val="00DA4B1B"/>
    <w:rsid w:val="00DA4EFC"/>
    <w:rsid w:val="00DA648D"/>
    <w:rsid w:val="00DA6A05"/>
    <w:rsid w:val="00DA726D"/>
    <w:rsid w:val="00DB1B8D"/>
    <w:rsid w:val="00DB3DEA"/>
    <w:rsid w:val="00DB40BD"/>
    <w:rsid w:val="00DB4B8E"/>
    <w:rsid w:val="00DB4F4B"/>
    <w:rsid w:val="00DC070F"/>
    <w:rsid w:val="00DC3858"/>
    <w:rsid w:val="00DC3A57"/>
    <w:rsid w:val="00DC7A95"/>
    <w:rsid w:val="00DD0167"/>
    <w:rsid w:val="00DD55C2"/>
    <w:rsid w:val="00DD759E"/>
    <w:rsid w:val="00DE314E"/>
    <w:rsid w:val="00DE4CFB"/>
    <w:rsid w:val="00DF045B"/>
    <w:rsid w:val="00DF1ED8"/>
    <w:rsid w:val="00DF3785"/>
    <w:rsid w:val="00DF3D27"/>
    <w:rsid w:val="00DF6074"/>
    <w:rsid w:val="00E02239"/>
    <w:rsid w:val="00E047EC"/>
    <w:rsid w:val="00E07D42"/>
    <w:rsid w:val="00E163E9"/>
    <w:rsid w:val="00E17C3D"/>
    <w:rsid w:val="00E240F5"/>
    <w:rsid w:val="00E30004"/>
    <w:rsid w:val="00E3194F"/>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15B46"/>
    <w:rsid w:val="00F22013"/>
    <w:rsid w:val="00F22356"/>
    <w:rsid w:val="00F226E0"/>
    <w:rsid w:val="00F2522F"/>
    <w:rsid w:val="00F30180"/>
    <w:rsid w:val="00F31A29"/>
    <w:rsid w:val="00F324D6"/>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5D2"/>
    <w:rsid w:val="00F80E5F"/>
    <w:rsid w:val="00F80FAB"/>
    <w:rsid w:val="00F81E3B"/>
    <w:rsid w:val="00F827E1"/>
    <w:rsid w:val="00F841ED"/>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37C3"/>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esma.europa.eu/legal-noti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ec181-6fae-4e7c-989d-92172d3be6e9" xsi:nil="true"/>
    <lcf76f155ced4ddcb4097134ff3c332f xmlns="b6bd6138-593e-472b-8ea5-359957e1665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5926FA7CD7A4541A45D832FD66FBFF9" ma:contentTypeVersion="13" ma:contentTypeDescription="Create a new document." ma:contentTypeScope="" ma:versionID="a84de8cbc491d8583a3184281491841d">
  <xsd:schema xmlns:xsd="http://www.w3.org/2001/XMLSchema" xmlns:xs="http://www.w3.org/2001/XMLSchema" xmlns:p="http://schemas.microsoft.com/office/2006/metadata/properties" xmlns:ns2="b6bd6138-593e-472b-8ea5-359957e16651" xmlns:ns3="c77ec181-6fae-4e7c-989d-92172d3be6e9" targetNamespace="http://schemas.microsoft.com/office/2006/metadata/properties" ma:root="true" ma:fieldsID="bd57e6d2ce4136babacef7d95bd84f7b" ns2:_="" ns3:_="">
    <xsd:import namespace="b6bd6138-593e-472b-8ea5-359957e16651"/>
    <xsd:import namespace="c77ec181-6fae-4e7c-989d-92172d3be6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d6138-593e-472b-8ea5-359957e16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1bac71f-1506-44ff-98a5-aaeca32acec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7ec181-6fae-4e7c-989d-92172d3be6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36be0cb-9164-4929-90c0-e2bda3f03399}" ma:internalName="TaxCatchAll" ma:showField="CatchAllData" ma:web="c77ec181-6fae-4e7c-989d-92172d3be6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c77ec181-6fae-4e7c-989d-92172d3be6e9"/>
    <ds:schemaRef ds:uri="b6bd6138-593e-472b-8ea5-359957e16651"/>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3CC7F59F-B0D5-4F5B-B446-6A040936F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d6138-593e-472b-8ea5-359957e16651"/>
    <ds:schemaRef ds:uri="c77ec181-6fae-4e7c-989d-92172d3be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6</Pages>
  <Words>1384</Words>
  <Characters>7891</Characters>
  <Application>Microsoft Office Word</Application>
  <DocSecurity>8</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Pablo García Rodríguez</cp:lastModifiedBy>
  <cp:revision>30</cp:revision>
  <cp:lastPrinted>2017-07-24T14:47:00Z</cp:lastPrinted>
  <dcterms:created xsi:type="dcterms:W3CDTF">2022-08-18T11:57:00Z</dcterms:created>
  <dcterms:modified xsi:type="dcterms:W3CDTF">2022-09-01T11:35:00Z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0x010100E5926FA7CD7A4541A45D832FD66FBFF9</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ediaServiceImageTags">
    <vt:lpwstr/>
  </property>
</Properties>
</file>