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le"/>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Heading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Heading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shd w:val="clear" w:color="auto" w:fill="auto"/>
              </w:tcPr>
              <w:p w14:paraId="1B67440D" w14:textId="74E85611" w:rsidR="00C85C8B" w:rsidRPr="00B16706" w:rsidRDefault="00D775B5" w:rsidP="00C85C8B">
                <w:pPr>
                  <w:rPr>
                    <w:rFonts w:ascii="Arial" w:hAnsi="Arial" w:cs="Arial"/>
                    <w:color w:val="808080"/>
                    <w:sz w:val="16"/>
                    <w:szCs w:val="20"/>
                    <w:lang w:eastAsia="de-DE"/>
                  </w:rPr>
                </w:pPr>
                <w:r>
                  <w:rPr>
                    <w:rFonts w:ascii="Arial" w:hAnsi="Arial" w:cs="Arial"/>
                    <w:color w:val="808080"/>
                    <w:sz w:val="16"/>
                    <w:szCs w:val="20"/>
                    <w:lang w:eastAsia="de-DE"/>
                  </w:rPr>
                  <w:t xml:space="preserve">EACH </w:t>
                </w:r>
                <w:proofErr w:type="spellStart"/>
                <w:r>
                  <w:rPr>
                    <w:rFonts w:ascii="Arial" w:hAnsi="Arial" w:cs="Arial"/>
                    <w:color w:val="808080"/>
                    <w:sz w:val="16"/>
                    <w:szCs w:val="20"/>
                    <w:lang w:eastAsia="de-DE"/>
                  </w:rPr>
                  <w:t>aisbl</w:t>
                </w:r>
                <w:proofErr w:type="spellEnd"/>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6C0ED883"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D775B5">
                  <w:rPr>
                    <w:rFonts w:ascii="Arial" w:hAnsi="Arial" w:cs="Arial"/>
                    <w:sz w:val="16"/>
                    <w:szCs w:val="20"/>
                    <w:lang w:eastAsia="de-DE"/>
                  </w:rPr>
                  <w:t>Central Counterparty</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shd w:val="clear" w:color="auto" w:fill="auto"/>
              </w:tcPr>
              <w:p w14:paraId="6C4423E1" w14:textId="7EB5FF45" w:rsidR="00C85C8B" w:rsidRPr="00B16706" w:rsidRDefault="00D775B5"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69A8261A" w:rsidR="00C85C8B" w:rsidRPr="00B16706" w:rsidRDefault="00D775B5"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53D691F4" w14:textId="426510E6" w:rsidR="000C02A8" w:rsidRPr="000C02A8" w:rsidRDefault="000C02A8" w:rsidP="000C02A8">
      <w:pPr>
        <w:jc w:val="both"/>
        <w:rPr>
          <w:rFonts w:ascii="Ebrima" w:eastAsia="Calibri" w:hAnsi="Ebrima" w:cs="Arial"/>
          <w:w w:val="105"/>
          <w:sz w:val="22"/>
          <w:szCs w:val="22"/>
          <w:lang w:eastAsia="en-US"/>
        </w:rPr>
      </w:pPr>
      <w:permStart w:id="911553143" w:edGrp="everyone"/>
      <w:r w:rsidRPr="000C02A8">
        <w:rPr>
          <w:rFonts w:ascii="Ebrima" w:eastAsia="Calibri" w:hAnsi="Ebrima" w:cs="Arial"/>
          <w:sz w:val="22"/>
          <w:szCs w:val="22"/>
          <w:lang w:eastAsia="en-US"/>
        </w:rPr>
        <w:t>EACH welcomes the ESMA proposal to remove the special process provided by Article 19</w:t>
      </w:r>
      <w:r w:rsidR="002B5F32">
        <w:rPr>
          <w:rFonts w:ascii="Ebrima" w:eastAsia="Calibri" w:hAnsi="Ebrima" w:cs="Arial"/>
          <w:sz w:val="22"/>
          <w:szCs w:val="22"/>
          <w:lang w:eastAsia="en-US"/>
        </w:rPr>
        <w:t xml:space="preserve"> of </w:t>
      </w:r>
      <w:bookmarkStart w:id="1" w:name="_Hlk113613798"/>
      <w:r w:rsidRPr="000C02A8">
        <w:rPr>
          <w:rFonts w:ascii="Ebrima" w:eastAsia="Calibri" w:hAnsi="Ebrima" w:cs="Arial"/>
          <w:sz w:val="22"/>
          <w:szCs w:val="22"/>
          <w:lang w:eastAsia="en-US"/>
        </w:rPr>
        <w:t>S</w:t>
      </w:r>
      <w:r w:rsidR="002B5F32">
        <w:rPr>
          <w:rFonts w:ascii="Ebrima" w:eastAsia="Calibri" w:hAnsi="Ebrima" w:cs="Arial"/>
          <w:sz w:val="22"/>
          <w:szCs w:val="22"/>
          <w:lang w:eastAsia="en-US"/>
        </w:rPr>
        <w:t>ettlement Discipline Regime (henceforth “</w:t>
      </w:r>
      <w:r w:rsidR="002B5F32">
        <w:rPr>
          <w:rFonts w:ascii="Ebrima" w:eastAsia="Calibri" w:hAnsi="Ebrima" w:cs="Arial"/>
          <w:i/>
          <w:iCs/>
          <w:sz w:val="22"/>
          <w:szCs w:val="22"/>
          <w:lang w:eastAsia="en-US"/>
        </w:rPr>
        <w:t xml:space="preserve">Article 19 SDR” </w:t>
      </w:r>
      <w:r w:rsidR="002B5F32">
        <w:rPr>
          <w:rFonts w:ascii="Ebrima" w:eastAsia="Calibri" w:hAnsi="Ebrima" w:cs="Arial"/>
          <w:sz w:val="22"/>
          <w:szCs w:val="22"/>
          <w:lang w:eastAsia="en-US"/>
        </w:rPr>
        <w:t>)</w:t>
      </w:r>
      <w:r w:rsidRPr="000C02A8">
        <w:rPr>
          <w:rFonts w:ascii="Ebrima" w:eastAsia="Calibri" w:hAnsi="Ebrima" w:cs="Arial"/>
          <w:sz w:val="22"/>
          <w:szCs w:val="22"/>
          <w:lang w:eastAsia="en-US"/>
        </w:rPr>
        <w:t>.</w:t>
      </w:r>
      <w:r w:rsidRPr="000C02A8">
        <w:rPr>
          <w:rFonts w:ascii="Ebrima" w:eastAsia="Calibri" w:hAnsi="Ebrima" w:cs="Arial"/>
          <w:w w:val="105"/>
          <w:sz w:val="22"/>
          <w:szCs w:val="22"/>
          <w:lang w:eastAsia="en-US"/>
        </w:rPr>
        <w:t xml:space="preserve"> </w:t>
      </w:r>
      <w:bookmarkEnd w:id="1"/>
    </w:p>
    <w:p w14:paraId="69AA13E2" w14:textId="77777777" w:rsidR="000C02A8" w:rsidRPr="000C02A8" w:rsidRDefault="000C02A8" w:rsidP="000C02A8">
      <w:pPr>
        <w:jc w:val="both"/>
        <w:rPr>
          <w:rFonts w:ascii="Ebrima" w:eastAsia="Calibri" w:hAnsi="Ebrima" w:cs="Arial"/>
          <w:w w:val="105"/>
          <w:sz w:val="22"/>
          <w:szCs w:val="22"/>
          <w:lang w:eastAsia="en-US"/>
        </w:rPr>
      </w:pPr>
    </w:p>
    <w:p w14:paraId="3CC9A190" w14:textId="77777777" w:rsidR="000C02A8" w:rsidRPr="000C02A8" w:rsidRDefault="000C02A8" w:rsidP="000C02A8">
      <w:pPr>
        <w:jc w:val="both"/>
        <w:rPr>
          <w:rFonts w:ascii="Ebrima" w:eastAsia="Calibri" w:hAnsi="Ebrima" w:cs="Arial"/>
          <w:w w:val="105"/>
          <w:sz w:val="22"/>
          <w:szCs w:val="22"/>
          <w:lang w:eastAsia="en-US"/>
        </w:rPr>
      </w:pPr>
      <w:r w:rsidRPr="000C02A8">
        <w:rPr>
          <w:rFonts w:ascii="Ebrima" w:eastAsia="Calibri" w:hAnsi="Ebrima" w:cs="Arial"/>
          <w:w w:val="105"/>
          <w:sz w:val="22"/>
          <w:szCs w:val="22"/>
          <w:lang w:eastAsia="en-US"/>
        </w:rPr>
        <w:t xml:space="preserve">We believe that the collection and distribution of all penalties should be through a single mechanism, as proposed by ESMA in its consultation. </w:t>
      </w:r>
      <w:r w:rsidRPr="000C02A8">
        <w:rPr>
          <w:rFonts w:ascii="Ebrima" w:eastAsia="Calibri" w:hAnsi="Ebrima" w:cs="Arial"/>
          <w:sz w:val="22"/>
          <w:szCs w:val="22"/>
          <w:lang w:eastAsia="en-US"/>
        </w:rPr>
        <w:t xml:space="preserve">As stated in previous responses (linked </w:t>
      </w:r>
      <w:hyperlink r:id="rId18" w:history="1">
        <w:r w:rsidRPr="000C02A8">
          <w:rPr>
            <w:rFonts w:ascii="Ebrima" w:eastAsia="Calibri" w:hAnsi="Ebrima" w:cs="Arial"/>
            <w:color w:val="0563C1"/>
            <w:sz w:val="22"/>
            <w:szCs w:val="22"/>
            <w:u w:val="single"/>
            <w:lang w:eastAsia="en-US"/>
          </w:rPr>
          <w:t>here</w:t>
        </w:r>
      </w:hyperlink>
      <w:r w:rsidRPr="000C02A8">
        <w:rPr>
          <w:rFonts w:ascii="Ebrima" w:eastAsia="Calibri" w:hAnsi="Ebrima" w:cs="Arial"/>
          <w:sz w:val="22"/>
          <w:szCs w:val="22"/>
          <w:lang w:eastAsia="en-US"/>
        </w:rPr>
        <w:t xml:space="preserve"> and </w:t>
      </w:r>
      <w:hyperlink r:id="rId19" w:history="1">
        <w:r w:rsidRPr="000C02A8">
          <w:rPr>
            <w:rFonts w:ascii="Ebrima" w:eastAsia="Calibri" w:hAnsi="Ebrima" w:cs="Arial"/>
            <w:color w:val="0563C1"/>
            <w:sz w:val="22"/>
            <w:szCs w:val="22"/>
            <w:u w:val="single"/>
            <w:lang w:eastAsia="en-US"/>
          </w:rPr>
          <w:t>here</w:t>
        </w:r>
      </w:hyperlink>
      <w:r w:rsidRPr="000C02A8">
        <w:rPr>
          <w:rFonts w:ascii="Ebrima" w:eastAsia="Calibri" w:hAnsi="Ebrima" w:cs="Arial"/>
          <w:sz w:val="22"/>
          <w:szCs w:val="22"/>
          <w:lang w:eastAsia="en-US"/>
        </w:rPr>
        <w:t xml:space="preserve">), EACH sees the double penalties systems currently provided by CSDR SDR as </w:t>
      </w:r>
      <w:r w:rsidRPr="000C02A8">
        <w:rPr>
          <w:rFonts w:ascii="Ebrima" w:eastAsia="Calibri" w:hAnsi="Ebrima" w:cs="Arial"/>
          <w:w w:val="105"/>
          <w:sz w:val="22"/>
          <w:szCs w:val="22"/>
          <w:lang w:eastAsia="en-US"/>
        </w:rPr>
        <w:t>complex,</w:t>
      </w:r>
      <w:r w:rsidRPr="000C02A8">
        <w:rPr>
          <w:rFonts w:ascii="Ebrima" w:eastAsia="Calibri" w:hAnsi="Ebrima" w:cs="Arial"/>
          <w:spacing w:val="-9"/>
          <w:w w:val="105"/>
          <w:sz w:val="22"/>
          <w:szCs w:val="22"/>
          <w:lang w:eastAsia="en-US"/>
        </w:rPr>
        <w:t xml:space="preserve"> </w:t>
      </w:r>
      <w:r w:rsidRPr="000C02A8">
        <w:rPr>
          <w:rFonts w:ascii="Ebrima" w:eastAsia="Calibri" w:hAnsi="Ebrima" w:cs="Arial"/>
          <w:w w:val="105"/>
          <w:sz w:val="22"/>
          <w:szCs w:val="22"/>
          <w:lang w:eastAsia="en-US"/>
        </w:rPr>
        <w:t>costly,</w:t>
      </w:r>
      <w:r w:rsidRPr="000C02A8">
        <w:rPr>
          <w:rFonts w:ascii="Ebrima" w:eastAsia="Calibri" w:hAnsi="Ebrima" w:cs="Arial"/>
          <w:spacing w:val="-55"/>
          <w:w w:val="105"/>
          <w:sz w:val="22"/>
          <w:szCs w:val="22"/>
          <w:lang w:eastAsia="en-US"/>
        </w:rPr>
        <w:t xml:space="preserve"> </w:t>
      </w:r>
      <w:r w:rsidRPr="000C02A8">
        <w:rPr>
          <w:rFonts w:ascii="Ebrima" w:eastAsia="Calibri" w:hAnsi="Ebrima" w:cs="Arial"/>
          <w:w w:val="105"/>
          <w:sz w:val="22"/>
          <w:szCs w:val="22"/>
          <w:lang w:eastAsia="en-US"/>
        </w:rPr>
        <w:t>inefficient</w:t>
      </w:r>
      <w:r w:rsidRPr="000C02A8">
        <w:rPr>
          <w:rFonts w:ascii="Ebrima" w:eastAsia="Calibri" w:hAnsi="Ebrima" w:cs="Arial"/>
          <w:spacing w:val="-9"/>
          <w:w w:val="105"/>
          <w:sz w:val="22"/>
          <w:szCs w:val="22"/>
          <w:lang w:eastAsia="en-US"/>
        </w:rPr>
        <w:t xml:space="preserve"> </w:t>
      </w:r>
      <w:r w:rsidRPr="000C02A8">
        <w:rPr>
          <w:rFonts w:ascii="Ebrima" w:eastAsia="Calibri" w:hAnsi="Ebrima" w:cs="Arial"/>
          <w:w w:val="105"/>
          <w:sz w:val="22"/>
          <w:szCs w:val="22"/>
          <w:lang w:eastAsia="en-US"/>
        </w:rPr>
        <w:t>and</w:t>
      </w:r>
      <w:r w:rsidRPr="000C02A8">
        <w:rPr>
          <w:rFonts w:ascii="Ebrima" w:eastAsia="Calibri" w:hAnsi="Ebrima" w:cs="Arial"/>
          <w:spacing w:val="-11"/>
          <w:w w:val="105"/>
          <w:sz w:val="22"/>
          <w:szCs w:val="22"/>
          <w:lang w:eastAsia="en-US"/>
        </w:rPr>
        <w:t xml:space="preserve"> </w:t>
      </w:r>
      <w:r w:rsidRPr="000C02A8">
        <w:rPr>
          <w:rFonts w:ascii="Ebrima" w:eastAsia="Calibri" w:hAnsi="Ebrima" w:cs="Arial"/>
          <w:w w:val="105"/>
          <w:sz w:val="22"/>
          <w:szCs w:val="22"/>
          <w:lang w:eastAsia="en-US"/>
        </w:rPr>
        <w:t>unnecessarily</w:t>
      </w:r>
      <w:r w:rsidRPr="000C02A8">
        <w:rPr>
          <w:rFonts w:ascii="Ebrima" w:eastAsia="Calibri" w:hAnsi="Ebrima" w:cs="Arial"/>
          <w:spacing w:val="-8"/>
          <w:w w:val="105"/>
          <w:sz w:val="22"/>
          <w:szCs w:val="22"/>
          <w:lang w:eastAsia="en-US"/>
        </w:rPr>
        <w:t xml:space="preserve"> </w:t>
      </w:r>
      <w:r w:rsidRPr="000C02A8">
        <w:rPr>
          <w:rFonts w:ascii="Ebrima" w:eastAsia="Calibri" w:hAnsi="Ebrima" w:cs="Arial"/>
          <w:w w:val="105"/>
          <w:sz w:val="22"/>
          <w:szCs w:val="22"/>
          <w:lang w:eastAsia="en-US"/>
        </w:rPr>
        <w:t>duplicative</w:t>
      </w:r>
      <w:r w:rsidRPr="000C02A8">
        <w:rPr>
          <w:rFonts w:ascii="Ebrima" w:eastAsia="Calibri" w:hAnsi="Ebrima" w:cs="Arial"/>
          <w:spacing w:val="-9"/>
          <w:w w:val="105"/>
          <w:sz w:val="22"/>
          <w:szCs w:val="22"/>
          <w:lang w:eastAsia="en-US"/>
        </w:rPr>
        <w:t xml:space="preserve"> </w:t>
      </w:r>
      <w:r w:rsidRPr="000C02A8">
        <w:rPr>
          <w:rFonts w:ascii="Ebrima" w:eastAsia="Calibri" w:hAnsi="Ebrima" w:cs="Arial"/>
          <w:w w:val="105"/>
          <w:sz w:val="22"/>
          <w:szCs w:val="22"/>
          <w:lang w:eastAsia="en-US"/>
        </w:rPr>
        <w:t>for</w:t>
      </w:r>
      <w:r w:rsidRPr="000C02A8">
        <w:rPr>
          <w:rFonts w:ascii="Ebrima" w:eastAsia="Calibri" w:hAnsi="Ebrima" w:cs="Arial"/>
          <w:spacing w:val="-9"/>
          <w:w w:val="105"/>
          <w:sz w:val="22"/>
          <w:szCs w:val="22"/>
          <w:lang w:eastAsia="en-US"/>
        </w:rPr>
        <w:t xml:space="preserve"> </w:t>
      </w:r>
      <w:r w:rsidRPr="000C02A8">
        <w:rPr>
          <w:rFonts w:ascii="Ebrima" w:eastAsia="Calibri" w:hAnsi="Ebrima" w:cs="Arial"/>
          <w:w w:val="105"/>
          <w:sz w:val="22"/>
          <w:szCs w:val="22"/>
          <w:lang w:eastAsia="en-US"/>
        </w:rPr>
        <w:t>CCPs,</w:t>
      </w:r>
      <w:r w:rsidRPr="000C02A8">
        <w:rPr>
          <w:rFonts w:ascii="Ebrima" w:eastAsia="Calibri" w:hAnsi="Ebrima" w:cs="Arial"/>
          <w:spacing w:val="-9"/>
          <w:w w:val="105"/>
          <w:sz w:val="22"/>
          <w:szCs w:val="22"/>
          <w:lang w:eastAsia="en-US"/>
        </w:rPr>
        <w:t xml:space="preserve"> </w:t>
      </w:r>
      <w:r w:rsidRPr="000C02A8">
        <w:rPr>
          <w:rFonts w:ascii="Ebrima" w:eastAsia="Calibri" w:hAnsi="Ebrima" w:cs="Arial"/>
          <w:w w:val="105"/>
          <w:sz w:val="22"/>
          <w:szCs w:val="22"/>
          <w:lang w:eastAsia="en-US"/>
        </w:rPr>
        <w:t>CSDs, CCP</w:t>
      </w:r>
      <w:r w:rsidRPr="000C02A8">
        <w:rPr>
          <w:rFonts w:ascii="Ebrima" w:eastAsia="Calibri" w:hAnsi="Ebrima" w:cs="Arial"/>
          <w:spacing w:val="-10"/>
          <w:w w:val="105"/>
          <w:sz w:val="22"/>
          <w:szCs w:val="22"/>
          <w:lang w:eastAsia="en-US"/>
        </w:rPr>
        <w:t xml:space="preserve"> </w:t>
      </w:r>
      <w:r w:rsidRPr="000C02A8">
        <w:rPr>
          <w:rFonts w:ascii="Ebrima" w:eastAsia="Calibri" w:hAnsi="Ebrima" w:cs="Arial"/>
          <w:w w:val="105"/>
          <w:sz w:val="22"/>
          <w:szCs w:val="22"/>
          <w:lang w:eastAsia="en-US"/>
        </w:rPr>
        <w:t>members</w:t>
      </w:r>
      <w:r w:rsidRPr="000C02A8">
        <w:rPr>
          <w:rFonts w:ascii="Ebrima" w:eastAsia="Calibri" w:hAnsi="Ebrima" w:cs="Arial"/>
          <w:spacing w:val="-8"/>
          <w:w w:val="105"/>
          <w:sz w:val="22"/>
          <w:szCs w:val="22"/>
          <w:lang w:eastAsia="en-US"/>
        </w:rPr>
        <w:t xml:space="preserve"> </w:t>
      </w:r>
      <w:r w:rsidRPr="000C02A8">
        <w:rPr>
          <w:rFonts w:ascii="Ebrima" w:eastAsia="Calibri" w:hAnsi="Ebrima" w:cs="Arial"/>
          <w:w w:val="105"/>
          <w:sz w:val="22"/>
          <w:szCs w:val="22"/>
          <w:lang w:eastAsia="en-US"/>
        </w:rPr>
        <w:t>and</w:t>
      </w:r>
      <w:r w:rsidRPr="000C02A8">
        <w:rPr>
          <w:rFonts w:ascii="Ebrima" w:eastAsia="Calibri" w:hAnsi="Ebrima" w:cs="Arial"/>
          <w:spacing w:val="-10"/>
          <w:w w:val="105"/>
          <w:sz w:val="22"/>
          <w:szCs w:val="22"/>
          <w:lang w:eastAsia="en-US"/>
        </w:rPr>
        <w:t xml:space="preserve"> CSD </w:t>
      </w:r>
      <w:r w:rsidRPr="000C02A8">
        <w:rPr>
          <w:rFonts w:ascii="Ebrima" w:eastAsia="Calibri" w:hAnsi="Ebrima" w:cs="Arial"/>
          <w:w w:val="105"/>
          <w:sz w:val="22"/>
          <w:szCs w:val="22"/>
          <w:lang w:eastAsia="en-US"/>
        </w:rPr>
        <w:t xml:space="preserve">participants. </w:t>
      </w:r>
    </w:p>
    <w:p w14:paraId="1E47F0B3" w14:textId="77777777" w:rsidR="000C02A8" w:rsidRPr="000C02A8" w:rsidRDefault="000C02A8" w:rsidP="000C02A8">
      <w:pPr>
        <w:jc w:val="both"/>
        <w:rPr>
          <w:rFonts w:ascii="Ebrima" w:eastAsia="Calibri" w:hAnsi="Ebrima" w:cs="Arial"/>
          <w:w w:val="105"/>
          <w:sz w:val="22"/>
          <w:szCs w:val="22"/>
          <w:lang w:eastAsia="en-US"/>
        </w:rPr>
      </w:pPr>
    </w:p>
    <w:p w14:paraId="48E9BF45" w14:textId="77777777" w:rsidR="000C02A8" w:rsidRPr="000C02A8" w:rsidRDefault="000C02A8" w:rsidP="000C02A8">
      <w:pPr>
        <w:jc w:val="both"/>
        <w:rPr>
          <w:rFonts w:ascii="Ebrima" w:eastAsia="Calibri" w:hAnsi="Ebrima" w:cs="Arial"/>
          <w:w w:val="105"/>
          <w:sz w:val="22"/>
          <w:szCs w:val="22"/>
          <w:lang w:eastAsia="en-US"/>
        </w:rPr>
      </w:pPr>
      <w:r w:rsidRPr="000C02A8">
        <w:rPr>
          <w:rFonts w:ascii="Ebrima" w:eastAsia="Calibri" w:hAnsi="Ebrima" w:cs="Arial"/>
          <w:w w:val="105"/>
          <w:sz w:val="22"/>
          <w:szCs w:val="22"/>
          <w:lang w:eastAsia="en-US"/>
        </w:rPr>
        <w:t>The single penalties mechanism provided by the suggested ESMA amendment would be more efficient and would resolve legal and operational risks posed by running two parallel systems, as well as eliminating unnecessary operating costs. Below we include diagrams of both the current duplicative system and the proposed single penalties system to visualise the latter system’s efficiency (Figures 1 and 2).</w:t>
      </w:r>
    </w:p>
    <w:p w14:paraId="4A5B9567" w14:textId="77777777" w:rsidR="000C02A8" w:rsidRPr="000C02A8" w:rsidRDefault="000C02A8" w:rsidP="000C02A8">
      <w:pPr>
        <w:jc w:val="both"/>
        <w:rPr>
          <w:rFonts w:ascii="Ebrima" w:eastAsia="Calibri" w:hAnsi="Ebrima" w:cs="Arial"/>
          <w:sz w:val="22"/>
          <w:szCs w:val="22"/>
          <w:lang w:eastAsia="en-US"/>
        </w:rPr>
      </w:pPr>
    </w:p>
    <w:p w14:paraId="367F7A5E" w14:textId="77777777" w:rsidR="000C02A8" w:rsidRPr="000C02A8" w:rsidRDefault="000C02A8" w:rsidP="000C02A8">
      <w:pPr>
        <w:jc w:val="both"/>
        <w:rPr>
          <w:rFonts w:ascii="Ebrima" w:eastAsia="Calibri" w:hAnsi="Ebrima" w:cs="Arial"/>
          <w:w w:val="105"/>
          <w:sz w:val="22"/>
          <w:szCs w:val="22"/>
          <w:lang w:eastAsia="en-US"/>
        </w:rPr>
      </w:pPr>
      <w:r w:rsidRPr="000C02A8">
        <w:rPr>
          <w:rFonts w:ascii="Ebrima" w:eastAsia="Calibri" w:hAnsi="Ebrima" w:cs="Arial"/>
          <w:w w:val="105"/>
          <w:sz w:val="22"/>
          <w:szCs w:val="22"/>
          <w:lang w:eastAsia="en-US"/>
        </w:rPr>
        <w:t>EACH</w:t>
      </w:r>
      <w:r w:rsidRPr="000C02A8">
        <w:rPr>
          <w:rFonts w:ascii="Ebrima" w:eastAsia="Calibri" w:hAnsi="Ebrima" w:cs="Arial"/>
          <w:spacing w:val="-7"/>
          <w:w w:val="105"/>
          <w:sz w:val="22"/>
          <w:szCs w:val="22"/>
          <w:lang w:eastAsia="en-US"/>
        </w:rPr>
        <w:t xml:space="preserve"> </w:t>
      </w:r>
      <w:r w:rsidRPr="000C02A8">
        <w:rPr>
          <w:rFonts w:ascii="Ebrima" w:eastAsia="Calibri" w:hAnsi="Ebrima" w:cs="Arial"/>
          <w:w w:val="105"/>
          <w:sz w:val="22"/>
          <w:szCs w:val="22"/>
          <w:lang w:eastAsia="en-US"/>
        </w:rPr>
        <w:t>would</w:t>
      </w:r>
      <w:r w:rsidRPr="000C02A8">
        <w:rPr>
          <w:rFonts w:ascii="Ebrima" w:eastAsia="Calibri" w:hAnsi="Ebrima" w:cs="Arial"/>
          <w:spacing w:val="-6"/>
          <w:w w:val="105"/>
          <w:sz w:val="22"/>
          <w:szCs w:val="22"/>
          <w:lang w:eastAsia="en-US"/>
        </w:rPr>
        <w:t xml:space="preserve"> </w:t>
      </w:r>
      <w:r w:rsidRPr="000C02A8">
        <w:rPr>
          <w:rFonts w:ascii="Ebrima" w:eastAsia="Calibri" w:hAnsi="Ebrima" w:cs="Arial"/>
          <w:w w:val="105"/>
          <w:sz w:val="22"/>
          <w:szCs w:val="22"/>
          <w:lang w:eastAsia="en-US"/>
        </w:rPr>
        <w:t>like</w:t>
      </w:r>
      <w:r w:rsidRPr="000C02A8">
        <w:rPr>
          <w:rFonts w:ascii="Ebrima" w:eastAsia="Calibri" w:hAnsi="Ebrima" w:cs="Arial"/>
          <w:spacing w:val="-8"/>
          <w:w w:val="105"/>
          <w:sz w:val="22"/>
          <w:szCs w:val="22"/>
          <w:lang w:eastAsia="en-US"/>
        </w:rPr>
        <w:t xml:space="preserve"> </w:t>
      </w:r>
      <w:r w:rsidRPr="000C02A8">
        <w:rPr>
          <w:rFonts w:ascii="Ebrima" w:eastAsia="Calibri" w:hAnsi="Ebrima" w:cs="Arial"/>
          <w:w w:val="105"/>
          <w:sz w:val="22"/>
          <w:szCs w:val="22"/>
          <w:lang w:eastAsia="en-US"/>
        </w:rPr>
        <w:t>to</w:t>
      </w:r>
      <w:r w:rsidRPr="000C02A8">
        <w:rPr>
          <w:rFonts w:ascii="Ebrima" w:eastAsia="Calibri" w:hAnsi="Ebrima" w:cs="Arial"/>
          <w:spacing w:val="-6"/>
          <w:w w:val="105"/>
          <w:sz w:val="22"/>
          <w:szCs w:val="22"/>
          <w:lang w:eastAsia="en-US"/>
        </w:rPr>
        <w:t xml:space="preserve"> </w:t>
      </w:r>
      <w:r w:rsidRPr="000C02A8">
        <w:rPr>
          <w:rFonts w:ascii="Ebrima" w:eastAsia="Calibri" w:hAnsi="Ebrima" w:cs="Arial"/>
          <w:w w:val="105"/>
          <w:sz w:val="22"/>
          <w:szCs w:val="22"/>
          <w:lang w:eastAsia="en-US"/>
        </w:rPr>
        <w:t>stress</w:t>
      </w:r>
      <w:r w:rsidRPr="000C02A8">
        <w:rPr>
          <w:rFonts w:ascii="Ebrima" w:eastAsia="Calibri" w:hAnsi="Ebrima" w:cs="Arial"/>
          <w:spacing w:val="-5"/>
          <w:w w:val="105"/>
          <w:sz w:val="22"/>
          <w:szCs w:val="22"/>
          <w:lang w:eastAsia="en-US"/>
        </w:rPr>
        <w:t xml:space="preserve"> </w:t>
      </w:r>
      <w:r w:rsidRPr="000C02A8">
        <w:rPr>
          <w:rFonts w:ascii="Ebrima" w:eastAsia="Calibri" w:hAnsi="Ebrima" w:cs="Arial"/>
          <w:w w:val="105"/>
          <w:sz w:val="22"/>
          <w:szCs w:val="22"/>
          <w:lang w:eastAsia="en-US"/>
        </w:rPr>
        <w:t>that</w:t>
      </w:r>
      <w:r w:rsidRPr="000C02A8">
        <w:rPr>
          <w:rFonts w:ascii="Ebrima" w:eastAsia="Calibri" w:hAnsi="Ebrima" w:cs="Arial"/>
          <w:spacing w:val="-6"/>
          <w:w w:val="105"/>
          <w:sz w:val="22"/>
          <w:szCs w:val="22"/>
          <w:lang w:eastAsia="en-US"/>
        </w:rPr>
        <w:t xml:space="preserve"> </w:t>
      </w:r>
      <w:r w:rsidRPr="000C02A8">
        <w:rPr>
          <w:rFonts w:ascii="Ebrima" w:eastAsia="Calibri" w:hAnsi="Ebrima" w:cs="Arial"/>
          <w:w w:val="105"/>
          <w:sz w:val="22"/>
          <w:szCs w:val="22"/>
          <w:lang w:eastAsia="en-US"/>
        </w:rPr>
        <w:t>we</w:t>
      </w:r>
      <w:r w:rsidRPr="000C02A8">
        <w:rPr>
          <w:rFonts w:ascii="Ebrima" w:eastAsia="Calibri" w:hAnsi="Ebrima" w:cs="Arial"/>
          <w:spacing w:val="-5"/>
          <w:w w:val="105"/>
          <w:sz w:val="22"/>
          <w:szCs w:val="22"/>
          <w:lang w:eastAsia="en-US"/>
        </w:rPr>
        <w:t xml:space="preserve"> </w:t>
      </w:r>
      <w:r w:rsidRPr="000C02A8">
        <w:rPr>
          <w:rFonts w:ascii="Ebrima" w:eastAsia="Calibri" w:hAnsi="Ebrima" w:cs="Arial"/>
          <w:w w:val="105"/>
          <w:sz w:val="22"/>
          <w:szCs w:val="22"/>
          <w:lang w:eastAsia="en-US"/>
        </w:rPr>
        <w:t>understand</w:t>
      </w:r>
      <w:r w:rsidRPr="000C02A8">
        <w:rPr>
          <w:rFonts w:ascii="Ebrima" w:eastAsia="Calibri" w:hAnsi="Ebrima" w:cs="Arial"/>
          <w:spacing w:val="-7"/>
          <w:w w:val="105"/>
          <w:sz w:val="22"/>
          <w:szCs w:val="22"/>
          <w:lang w:eastAsia="en-US"/>
        </w:rPr>
        <w:t xml:space="preserve"> that th</w:t>
      </w:r>
      <w:r w:rsidRPr="000C02A8">
        <w:rPr>
          <w:rFonts w:ascii="Ebrima" w:eastAsia="Calibri" w:hAnsi="Ebrima" w:cs="Arial"/>
          <w:w w:val="105"/>
          <w:sz w:val="22"/>
          <w:szCs w:val="22"/>
          <w:lang w:eastAsia="en-US"/>
        </w:rPr>
        <w:t>is move to a single system is</w:t>
      </w:r>
      <w:r w:rsidRPr="000C02A8">
        <w:rPr>
          <w:rFonts w:ascii="Ebrima" w:eastAsia="Calibri" w:hAnsi="Ebrima" w:cs="Arial"/>
          <w:spacing w:val="-10"/>
          <w:w w:val="105"/>
          <w:sz w:val="22"/>
          <w:szCs w:val="22"/>
          <w:lang w:eastAsia="en-US"/>
        </w:rPr>
        <w:t xml:space="preserve"> </w:t>
      </w:r>
      <w:r w:rsidRPr="000C02A8">
        <w:rPr>
          <w:rFonts w:ascii="Ebrima" w:eastAsia="Calibri" w:hAnsi="Ebrima" w:cs="Arial"/>
          <w:w w:val="105"/>
          <w:sz w:val="22"/>
          <w:szCs w:val="22"/>
          <w:lang w:eastAsia="en-US"/>
        </w:rPr>
        <w:t>explicitly</w:t>
      </w:r>
      <w:r w:rsidRPr="000C02A8">
        <w:rPr>
          <w:rFonts w:ascii="Ebrima" w:eastAsia="Calibri" w:hAnsi="Ebrima" w:cs="Arial"/>
          <w:spacing w:val="-8"/>
          <w:w w:val="105"/>
          <w:sz w:val="22"/>
          <w:szCs w:val="22"/>
          <w:lang w:eastAsia="en-US"/>
        </w:rPr>
        <w:t xml:space="preserve"> </w:t>
      </w:r>
      <w:r w:rsidRPr="000C02A8">
        <w:rPr>
          <w:rFonts w:ascii="Ebrima" w:eastAsia="Calibri" w:hAnsi="Ebrima" w:cs="Arial"/>
          <w:w w:val="105"/>
          <w:sz w:val="22"/>
          <w:szCs w:val="22"/>
          <w:lang w:eastAsia="en-US"/>
        </w:rPr>
        <w:t>supported by CSDs</w:t>
      </w:r>
      <w:r w:rsidRPr="000C02A8">
        <w:rPr>
          <w:rFonts w:ascii="Ebrima" w:eastAsia="Calibri" w:hAnsi="Ebrima" w:cs="Arial"/>
          <w:spacing w:val="-1"/>
          <w:w w:val="105"/>
          <w:sz w:val="22"/>
          <w:szCs w:val="22"/>
          <w:lang w:eastAsia="en-US"/>
        </w:rPr>
        <w:t xml:space="preserve"> </w:t>
      </w:r>
      <w:r w:rsidRPr="000C02A8">
        <w:rPr>
          <w:rFonts w:ascii="Ebrima" w:eastAsia="Calibri" w:hAnsi="Ebrima" w:cs="Arial"/>
          <w:w w:val="105"/>
          <w:sz w:val="22"/>
          <w:szCs w:val="22"/>
          <w:lang w:eastAsia="en-US"/>
        </w:rPr>
        <w:t>and</w:t>
      </w:r>
      <w:r w:rsidRPr="000C02A8">
        <w:rPr>
          <w:rFonts w:ascii="Ebrima" w:eastAsia="Calibri" w:hAnsi="Ebrima" w:cs="Arial"/>
          <w:spacing w:val="-3"/>
          <w:w w:val="105"/>
          <w:sz w:val="22"/>
          <w:szCs w:val="22"/>
          <w:lang w:eastAsia="en-US"/>
        </w:rPr>
        <w:t xml:space="preserve"> </w:t>
      </w:r>
      <w:r w:rsidRPr="000C02A8">
        <w:rPr>
          <w:rFonts w:ascii="Ebrima" w:eastAsia="Calibri" w:hAnsi="Ebrima" w:cs="Arial"/>
          <w:w w:val="105"/>
          <w:sz w:val="22"/>
          <w:szCs w:val="22"/>
          <w:lang w:eastAsia="en-US"/>
        </w:rPr>
        <w:t>participants, in particular also in the context of improving the SDR overall since its launch in February 2022.</w:t>
      </w:r>
    </w:p>
    <w:p w14:paraId="53863BD8" w14:textId="77777777" w:rsidR="000C02A8" w:rsidRPr="000C02A8" w:rsidRDefault="000C02A8" w:rsidP="000C02A8">
      <w:pPr>
        <w:jc w:val="both"/>
        <w:rPr>
          <w:rFonts w:ascii="Ebrima" w:eastAsia="Calibri" w:hAnsi="Ebrima" w:cs="Arial"/>
          <w:w w:val="105"/>
          <w:sz w:val="22"/>
          <w:szCs w:val="22"/>
          <w:lang w:eastAsia="en-US"/>
        </w:rPr>
      </w:pPr>
    </w:p>
    <w:p w14:paraId="5FB2A32F" w14:textId="77777777" w:rsidR="000C02A8" w:rsidRPr="000C02A8" w:rsidRDefault="000C02A8" w:rsidP="000C02A8">
      <w:pPr>
        <w:keepNext/>
        <w:jc w:val="both"/>
        <w:rPr>
          <w:rFonts w:ascii="Ebrima" w:eastAsia="Calibri" w:hAnsi="Ebrima" w:cs="Arial"/>
          <w:sz w:val="22"/>
          <w:szCs w:val="22"/>
          <w:lang w:eastAsia="en-US"/>
        </w:rPr>
      </w:pPr>
      <w:r w:rsidRPr="000C02A8">
        <w:rPr>
          <w:rFonts w:ascii="Ebrima" w:eastAsia="Calibri" w:hAnsi="Ebrima" w:cs="Arial"/>
          <w:noProof/>
          <w:sz w:val="22"/>
          <w:szCs w:val="22"/>
          <w:lang w:eastAsia="en-US"/>
        </w:rPr>
        <w:drawing>
          <wp:inline distT="0" distB="0" distL="0" distR="0" wp14:anchorId="61587D49" wp14:editId="1ACB4678">
            <wp:extent cx="5731510" cy="3203575"/>
            <wp:effectExtent l="19050" t="19050" r="21590" b="1587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731510" cy="3203575"/>
                    </a:xfrm>
                    <a:prstGeom prst="rect">
                      <a:avLst/>
                    </a:prstGeom>
                    <a:ln w="9525">
                      <a:solidFill>
                        <a:srgbClr val="FF6600"/>
                      </a:solidFill>
                    </a:ln>
                  </pic:spPr>
                </pic:pic>
              </a:graphicData>
            </a:graphic>
          </wp:inline>
        </w:drawing>
      </w:r>
    </w:p>
    <w:p w14:paraId="632B3A7B" w14:textId="77777777" w:rsidR="000C02A8" w:rsidRPr="000C02A8" w:rsidRDefault="000C02A8" w:rsidP="000C02A8">
      <w:pPr>
        <w:spacing w:after="200"/>
        <w:jc w:val="both"/>
        <w:rPr>
          <w:rFonts w:ascii="Ebrima" w:eastAsia="Calibri" w:hAnsi="Ebrima" w:cs="Arial"/>
          <w:i/>
          <w:iCs/>
          <w:color w:val="44546A"/>
          <w:w w:val="105"/>
          <w:sz w:val="18"/>
          <w:szCs w:val="18"/>
          <w:lang w:eastAsia="en-US"/>
        </w:rPr>
      </w:pPr>
      <w:r w:rsidRPr="000C02A8">
        <w:rPr>
          <w:rFonts w:ascii="Ebrima" w:eastAsia="Calibri" w:hAnsi="Ebrima" w:cs="Arial"/>
          <w:i/>
          <w:iCs/>
          <w:color w:val="44546A"/>
          <w:sz w:val="18"/>
          <w:szCs w:val="18"/>
          <w:lang w:eastAsia="en-US"/>
        </w:rPr>
        <w:t xml:space="preserve">Figure </w:t>
      </w:r>
      <w:r w:rsidRPr="000C02A8">
        <w:rPr>
          <w:rFonts w:ascii="Ebrima" w:eastAsia="Calibri" w:hAnsi="Ebrima" w:cs="Arial"/>
          <w:i/>
          <w:iCs/>
          <w:color w:val="44546A"/>
          <w:sz w:val="18"/>
          <w:szCs w:val="18"/>
          <w:lang w:eastAsia="en-US"/>
        </w:rPr>
        <w:fldChar w:fldCharType="begin"/>
      </w:r>
      <w:r w:rsidRPr="000C02A8">
        <w:rPr>
          <w:rFonts w:ascii="Ebrima" w:eastAsia="Calibri" w:hAnsi="Ebrima" w:cs="Arial"/>
          <w:i/>
          <w:iCs/>
          <w:color w:val="44546A"/>
          <w:sz w:val="18"/>
          <w:szCs w:val="18"/>
          <w:lang w:eastAsia="en-US"/>
        </w:rPr>
        <w:instrText xml:space="preserve"> SEQ Figure \* ARABIC </w:instrText>
      </w:r>
      <w:r w:rsidRPr="000C02A8">
        <w:rPr>
          <w:rFonts w:ascii="Ebrima" w:eastAsia="Calibri" w:hAnsi="Ebrima" w:cs="Arial"/>
          <w:i/>
          <w:iCs/>
          <w:color w:val="44546A"/>
          <w:sz w:val="18"/>
          <w:szCs w:val="18"/>
          <w:lang w:eastAsia="en-US"/>
        </w:rPr>
        <w:fldChar w:fldCharType="separate"/>
      </w:r>
      <w:r w:rsidRPr="000C02A8">
        <w:rPr>
          <w:rFonts w:ascii="Ebrima" w:eastAsia="Calibri" w:hAnsi="Ebrima" w:cs="Arial"/>
          <w:i/>
          <w:iCs/>
          <w:noProof/>
          <w:color w:val="44546A"/>
          <w:sz w:val="18"/>
          <w:szCs w:val="18"/>
          <w:lang w:eastAsia="en-US"/>
        </w:rPr>
        <w:t>1</w:t>
      </w:r>
      <w:r w:rsidRPr="000C02A8">
        <w:rPr>
          <w:rFonts w:ascii="Ebrima" w:eastAsia="Calibri" w:hAnsi="Ebrima" w:cs="Arial"/>
          <w:i/>
          <w:iCs/>
          <w:noProof/>
          <w:color w:val="44546A"/>
          <w:sz w:val="18"/>
          <w:szCs w:val="18"/>
          <w:lang w:eastAsia="en-US"/>
        </w:rPr>
        <w:fldChar w:fldCharType="end"/>
      </w:r>
      <w:r w:rsidRPr="000C02A8">
        <w:rPr>
          <w:rFonts w:ascii="Ebrima" w:eastAsia="Calibri" w:hAnsi="Ebrima" w:cs="Arial"/>
          <w:i/>
          <w:iCs/>
          <w:color w:val="44546A"/>
          <w:sz w:val="18"/>
          <w:szCs w:val="18"/>
          <w:lang w:eastAsia="en-US"/>
        </w:rPr>
        <w:t xml:space="preserve"> - Penalties process with the application of both CSDR SDR RTS Articles 17 and 19</w:t>
      </w:r>
    </w:p>
    <w:p w14:paraId="0C6F7CEB" w14:textId="77777777" w:rsidR="000C02A8" w:rsidRPr="000C02A8" w:rsidRDefault="000C02A8" w:rsidP="000C02A8">
      <w:pPr>
        <w:jc w:val="both"/>
        <w:rPr>
          <w:rFonts w:ascii="Ebrima" w:eastAsia="Calibri" w:hAnsi="Ebrima" w:cs="Arial"/>
          <w:w w:val="105"/>
          <w:sz w:val="22"/>
          <w:szCs w:val="22"/>
          <w:lang w:eastAsia="en-US"/>
        </w:rPr>
      </w:pPr>
    </w:p>
    <w:p w14:paraId="2C17FCFE" w14:textId="77777777" w:rsidR="000C02A8" w:rsidRPr="000C02A8" w:rsidRDefault="000C02A8" w:rsidP="000C02A8">
      <w:pPr>
        <w:keepNext/>
        <w:jc w:val="both"/>
        <w:rPr>
          <w:rFonts w:ascii="Ebrima" w:eastAsia="Calibri" w:hAnsi="Ebrima" w:cs="Arial"/>
          <w:sz w:val="22"/>
          <w:szCs w:val="22"/>
          <w:lang w:eastAsia="en-US"/>
        </w:rPr>
      </w:pPr>
      <w:r w:rsidRPr="000C02A8">
        <w:rPr>
          <w:rFonts w:ascii="Ebrima" w:eastAsia="Calibri" w:hAnsi="Ebrima" w:cs="Arial"/>
          <w:noProof/>
          <w:w w:val="105"/>
          <w:sz w:val="22"/>
          <w:szCs w:val="22"/>
          <w:lang w:eastAsia="en-US"/>
        </w:rPr>
        <w:lastRenderedPageBreak/>
        <w:drawing>
          <wp:inline distT="0" distB="0" distL="0" distR="0" wp14:anchorId="035B211F" wp14:editId="5A12463A">
            <wp:extent cx="5755005" cy="3157855"/>
            <wp:effectExtent l="19050" t="19050" r="17145" b="23495"/>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5005" cy="3157855"/>
                    </a:xfrm>
                    <a:prstGeom prst="rect">
                      <a:avLst/>
                    </a:prstGeom>
                    <a:noFill/>
                    <a:ln>
                      <a:solidFill>
                        <a:srgbClr val="FF6600"/>
                      </a:solidFill>
                    </a:ln>
                  </pic:spPr>
                </pic:pic>
              </a:graphicData>
            </a:graphic>
          </wp:inline>
        </w:drawing>
      </w:r>
    </w:p>
    <w:p w14:paraId="2F5169E7" w14:textId="77777777" w:rsidR="000C02A8" w:rsidRPr="000C02A8" w:rsidRDefault="000C02A8" w:rsidP="000C02A8">
      <w:pPr>
        <w:spacing w:after="200"/>
        <w:jc w:val="both"/>
        <w:rPr>
          <w:rFonts w:ascii="Ebrima" w:eastAsia="Calibri" w:hAnsi="Ebrima" w:cs="Arial"/>
          <w:i/>
          <w:iCs/>
          <w:color w:val="44546A"/>
          <w:w w:val="105"/>
          <w:sz w:val="18"/>
          <w:szCs w:val="18"/>
          <w:lang w:eastAsia="en-US"/>
        </w:rPr>
      </w:pPr>
      <w:r w:rsidRPr="000C02A8">
        <w:rPr>
          <w:rFonts w:ascii="Ebrima" w:eastAsia="Calibri" w:hAnsi="Ebrima" w:cs="Arial"/>
          <w:i/>
          <w:iCs/>
          <w:color w:val="44546A"/>
          <w:sz w:val="18"/>
          <w:szCs w:val="18"/>
          <w:lang w:eastAsia="en-US"/>
        </w:rPr>
        <w:t xml:space="preserve">Figure </w:t>
      </w:r>
      <w:r w:rsidRPr="000C02A8">
        <w:rPr>
          <w:rFonts w:ascii="Ebrima" w:eastAsia="Calibri" w:hAnsi="Ebrima" w:cs="Arial"/>
          <w:i/>
          <w:iCs/>
          <w:color w:val="44546A"/>
          <w:sz w:val="18"/>
          <w:szCs w:val="18"/>
          <w:lang w:eastAsia="en-US"/>
        </w:rPr>
        <w:fldChar w:fldCharType="begin"/>
      </w:r>
      <w:r w:rsidRPr="000C02A8">
        <w:rPr>
          <w:rFonts w:ascii="Ebrima" w:eastAsia="Calibri" w:hAnsi="Ebrima" w:cs="Arial"/>
          <w:i/>
          <w:iCs/>
          <w:color w:val="44546A"/>
          <w:sz w:val="18"/>
          <w:szCs w:val="18"/>
          <w:lang w:eastAsia="en-US"/>
        </w:rPr>
        <w:instrText xml:space="preserve"> SEQ Figure \* ARABIC </w:instrText>
      </w:r>
      <w:r w:rsidRPr="000C02A8">
        <w:rPr>
          <w:rFonts w:ascii="Ebrima" w:eastAsia="Calibri" w:hAnsi="Ebrima" w:cs="Arial"/>
          <w:i/>
          <w:iCs/>
          <w:color w:val="44546A"/>
          <w:sz w:val="18"/>
          <w:szCs w:val="18"/>
          <w:lang w:eastAsia="en-US"/>
        </w:rPr>
        <w:fldChar w:fldCharType="separate"/>
      </w:r>
      <w:r w:rsidRPr="000C02A8">
        <w:rPr>
          <w:rFonts w:ascii="Ebrima" w:eastAsia="Calibri" w:hAnsi="Ebrima" w:cs="Arial"/>
          <w:i/>
          <w:iCs/>
          <w:noProof/>
          <w:color w:val="44546A"/>
          <w:sz w:val="18"/>
          <w:szCs w:val="18"/>
          <w:lang w:eastAsia="en-US"/>
        </w:rPr>
        <w:t>2</w:t>
      </w:r>
      <w:r w:rsidRPr="000C02A8">
        <w:rPr>
          <w:rFonts w:ascii="Ebrima" w:eastAsia="Calibri" w:hAnsi="Ebrima" w:cs="Arial"/>
          <w:i/>
          <w:iCs/>
          <w:noProof/>
          <w:color w:val="44546A"/>
          <w:sz w:val="18"/>
          <w:szCs w:val="18"/>
          <w:lang w:eastAsia="en-US"/>
        </w:rPr>
        <w:fldChar w:fldCharType="end"/>
      </w:r>
      <w:r w:rsidRPr="000C02A8">
        <w:rPr>
          <w:rFonts w:ascii="Ebrima" w:eastAsia="Calibri" w:hAnsi="Ebrima" w:cs="Arial"/>
          <w:i/>
          <w:iCs/>
          <w:color w:val="44546A"/>
          <w:sz w:val="18"/>
          <w:szCs w:val="18"/>
          <w:lang w:eastAsia="en-US"/>
        </w:rPr>
        <w:t xml:space="preserve"> - Penalties process with CSDs treating collecting and redistributing all penalties</w:t>
      </w:r>
    </w:p>
    <w:permEnd w:id="911553143"/>
    <w:p w14:paraId="79199812" w14:textId="77777777" w:rsidR="00A31F09" w:rsidRDefault="00A31F09" w:rsidP="00A31F09">
      <w:r>
        <w:t>&lt;ESMA_QUESTION_SETD_1&gt;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483B8978" w14:textId="77777777" w:rsidR="000C02A8" w:rsidRPr="000C02A8" w:rsidRDefault="000C02A8" w:rsidP="000C02A8">
      <w:pPr>
        <w:jc w:val="both"/>
        <w:rPr>
          <w:rFonts w:ascii="Ebrima" w:eastAsia="Calibri" w:hAnsi="Ebrima" w:cs="Arial"/>
          <w:sz w:val="22"/>
          <w:szCs w:val="22"/>
          <w:lang w:eastAsia="en-US"/>
        </w:rPr>
      </w:pPr>
      <w:permStart w:id="2081231068" w:edGrp="everyone"/>
      <w:r w:rsidRPr="000C02A8">
        <w:rPr>
          <w:rFonts w:ascii="Ebrima" w:eastAsia="Calibri" w:hAnsi="Ebrima" w:cs="Arial"/>
          <w:sz w:val="22"/>
          <w:szCs w:val="22"/>
          <w:lang w:eastAsia="en-US"/>
        </w:rPr>
        <w:t xml:space="preserve">EACH supports the essence of ESMA proposed amendments to Article 19 SDR, as we believe they go in the direction of achieving a single mechanism for the collection and distribution of penalties. </w:t>
      </w:r>
    </w:p>
    <w:p w14:paraId="2F158DEC" w14:textId="77777777" w:rsidR="000C02A8" w:rsidRPr="000C02A8" w:rsidRDefault="000C02A8" w:rsidP="000C02A8">
      <w:pPr>
        <w:jc w:val="both"/>
        <w:rPr>
          <w:rFonts w:ascii="Ebrima" w:eastAsia="Calibri" w:hAnsi="Ebrima" w:cs="Arial"/>
          <w:sz w:val="22"/>
          <w:szCs w:val="22"/>
          <w:lang w:eastAsia="en-US"/>
        </w:rPr>
      </w:pPr>
    </w:p>
    <w:p w14:paraId="68F25B97" w14:textId="77777777" w:rsidR="000C02A8" w:rsidRPr="000C02A8" w:rsidRDefault="000C02A8" w:rsidP="000C02A8">
      <w:pPr>
        <w:jc w:val="both"/>
        <w:rPr>
          <w:rFonts w:ascii="Ebrima" w:eastAsia="Calibri" w:hAnsi="Ebrima" w:cs="Arial"/>
          <w:sz w:val="22"/>
          <w:szCs w:val="22"/>
          <w:highlight w:val="yellow"/>
          <w:lang w:eastAsia="en-US"/>
        </w:rPr>
      </w:pPr>
      <w:r w:rsidRPr="000C02A8">
        <w:rPr>
          <w:rFonts w:ascii="Ebrima" w:eastAsia="Calibri" w:hAnsi="Ebrima" w:cs="Arial"/>
          <w:sz w:val="22"/>
          <w:szCs w:val="22"/>
          <w:lang w:eastAsia="en-US"/>
        </w:rPr>
        <w:t>We would however suggest some editorial changes (See Box 1 on the next page) to ensure that the text proposed is aligned with the Level 1 (first two edits) and provides legal certainty that CSDs are in charge of i, ii and iii (third edit).</w:t>
      </w:r>
    </w:p>
    <w:p w14:paraId="34B0AD49" w14:textId="77777777" w:rsidR="000C02A8" w:rsidRPr="000C02A8" w:rsidRDefault="000C02A8" w:rsidP="000C02A8">
      <w:pPr>
        <w:jc w:val="both"/>
        <w:rPr>
          <w:rFonts w:ascii="Ebrima" w:eastAsia="Calibri" w:hAnsi="Ebrima" w:cs="Arial"/>
          <w:sz w:val="22"/>
          <w:szCs w:val="22"/>
          <w:lang w:eastAsia="en-US"/>
        </w:rPr>
      </w:pPr>
    </w:p>
    <w:p w14:paraId="78F4A5E7" w14:textId="77777777" w:rsidR="000C02A8" w:rsidRPr="000C02A8" w:rsidRDefault="000C02A8" w:rsidP="000C02A8">
      <w:pPr>
        <w:jc w:val="both"/>
        <w:rPr>
          <w:rFonts w:ascii="Ebrima" w:eastAsia="Calibri" w:hAnsi="Ebrima" w:cs="Arial"/>
          <w:sz w:val="22"/>
          <w:szCs w:val="22"/>
          <w:lang w:eastAsia="en-US"/>
        </w:rPr>
      </w:pPr>
      <w:r w:rsidRPr="000C02A8">
        <w:rPr>
          <w:rFonts w:ascii="Ebrima" w:eastAsia="Calibri" w:hAnsi="Ebrima" w:cs="Arial"/>
          <w:sz w:val="22"/>
          <w:szCs w:val="22"/>
          <w:lang w:eastAsia="en-US"/>
        </w:rPr>
        <w:t>Furthermore, EACH also supports the gist of the amendment to Article 19(b) as it gives the CCPs the legal remit to recover any losses from imbalances, and that CCPs can establish the mechanism to do so in their rulebook. It is important for EACH that CCPs may recover losses from penalties imbalances, because as the consultation paper notes, these losses stem from penalties, where failure to deliver was not the fault of the seller.</w:t>
      </w:r>
    </w:p>
    <w:p w14:paraId="5C8D8DB2" w14:textId="77777777" w:rsidR="000C02A8" w:rsidRPr="000C02A8" w:rsidRDefault="000C02A8" w:rsidP="000C02A8">
      <w:pPr>
        <w:jc w:val="both"/>
        <w:rPr>
          <w:rFonts w:ascii="Ebrima" w:eastAsia="Calibri" w:hAnsi="Ebrima" w:cs="Arial"/>
          <w:sz w:val="22"/>
          <w:szCs w:val="22"/>
          <w:lang w:eastAsia="en-US"/>
        </w:rPr>
      </w:pPr>
    </w:p>
    <w:p w14:paraId="3D81CC64" w14:textId="77777777" w:rsidR="000C02A8" w:rsidRPr="000C02A8" w:rsidRDefault="000C02A8" w:rsidP="000C02A8">
      <w:pPr>
        <w:jc w:val="both"/>
        <w:rPr>
          <w:rFonts w:ascii="Ebrima" w:eastAsia="Calibri" w:hAnsi="Ebrima" w:cs="Arial"/>
          <w:sz w:val="22"/>
          <w:szCs w:val="22"/>
          <w:lang w:eastAsia="en-US"/>
        </w:rPr>
      </w:pPr>
      <w:r w:rsidRPr="000C02A8">
        <w:rPr>
          <w:rFonts w:ascii="Ebrima" w:eastAsia="Calibri" w:hAnsi="Ebrima" w:cs="Arial"/>
          <w:sz w:val="22"/>
          <w:szCs w:val="22"/>
          <w:lang w:eastAsia="en-US"/>
        </w:rPr>
        <w:t>We would however suggest deleting the sentence ‘</w:t>
      </w:r>
      <w:r w:rsidRPr="000C02A8">
        <w:rPr>
          <w:rFonts w:ascii="Ebrima" w:eastAsia="Calibri" w:hAnsi="Ebrima" w:cs="Arial"/>
          <w:i/>
          <w:iCs/>
          <w:sz w:val="22"/>
          <w:szCs w:val="22"/>
          <w:lang w:eastAsia="en-US"/>
        </w:rPr>
        <w:t>received from or paid to the other CSD participants pursuant to point (a)</w:t>
      </w:r>
      <w:r w:rsidRPr="000C02A8">
        <w:rPr>
          <w:rFonts w:ascii="Ebrima" w:eastAsia="Calibri" w:hAnsi="Ebrima" w:cs="Arial"/>
          <w:sz w:val="22"/>
          <w:szCs w:val="22"/>
          <w:lang w:eastAsia="en-US"/>
        </w:rPr>
        <w:t>’ as we consider it unnecessary to clarify who the CCPs receive from and pay to. In addition, we respectfully believe that think the reference is incorrect as CCPs do not have contacts with CSD participants.</w:t>
      </w:r>
    </w:p>
    <w:p w14:paraId="01EBA400" w14:textId="77777777" w:rsidR="000C02A8" w:rsidRPr="000C02A8" w:rsidRDefault="000C02A8" w:rsidP="000C02A8">
      <w:pPr>
        <w:jc w:val="both"/>
        <w:rPr>
          <w:rFonts w:ascii="Ebrima" w:eastAsia="Calibri" w:hAnsi="Ebrima" w:cs="Arial"/>
          <w:b/>
          <w:bCs/>
          <w:sz w:val="22"/>
          <w:szCs w:val="22"/>
          <w:u w:val="single"/>
          <w:lang w:eastAsia="en-US"/>
        </w:rPr>
      </w:pPr>
    </w:p>
    <w:p w14:paraId="47FF417B" w14:textId="77777777" w:rsidR="000C02A8" w:rsidRPr="000C02A8" w:rsidRDefault="000C02A8" w:rsidP="000C02A8">
      <w:pPr>
        <w:jc w:val="both"/>
        <w:rPr>
          <w:rFonts w:ascii="Ebrima" w:eastAsia="Calibri" w:hAnsi="Ebrima" w:cs="Arial"/>
          <w:b/>
          <w:bCs/>
          <w:sz w:val="22"/>
          <w:szCs w:val="22"/>
          <w:u w:val="single"/>
          <w:lang w:eastAsia="en-US"/>
        </w:rPr>
      </w:pPr>
    </w:p>
    <w:p w14:paraId="267FEF58" w14:textId="77777777" w:rsidR="000C02A8" w:rsidRPr="000C02A8" w:rsidRDefault="000C02A8" w:rsidP="000C02A8">
      <w:pPr>
        <w:jc w:val="both"/>
        <w:rPr>
          <w:rFonts w:ascii="Ebrima" w:eastAsia="Calibri" w:hAnsi="Ebrima" w:cs="Arial"/>
          <w:b/>
          <w:bCs/>
          <w:sz w:val="22"/>
          <w:szCs w:val="22"/>
          <w:u w:val="single"/>
          <w:lang w:eastAsia="en-US"/>
        </w:rPr>
      </w:pPr>
    </w:p>
    <w:p w14:paraId="150DBD6A" w14:textId="77777777" w:rsidR="000C02A8" w:rsidRPr="000C02A8" w:rsidRDefault="000C02A8" w:rsidP="000C02A8">
      <w:pPr>
        <w:jc w:val="both"/>
        <w:rPr>
          <w:rFonts w:ascii="Ebrima" w:eastAsia="Calibri" w:hAnsi="Ebrima" w:cs="Arial"/>
          <w:b/>
          <w:bCs/>
          <w:sz w:val="22"/>
          <w:szCs w:val="22"/>
          <w:u w:val="single"/>
          <w:lang w:eastAsia="en-US"/>
        </w:rPr>
      </w:pPr>
      <w:r w:rsidRPr="000C02A8">
        <w:rPr>
          <w:rFonts w:ascii="Ebrima" w:eastAsia="Calibri" w:hAnsi="Ebrima" w:cs="Arial"/>
          <w:b/>
          <w:bCs/>
          <w:sz w:val="22"/>
          <w:szCs w:val="22"/>
          <w:u w:val="single"/>
          <w:lang w:eastAsia="en-US"/>
        </w:rPr>
        <w:lastRenderedPageBreak/>
        <w:t>Box 1 – Changes suggested</w:t>
      </w:r>
    </w:p>
    <w:p w14:paraId="4B28590F" w14:textId="77777777" w:rsidR="000C02A8" w:rsidRPr="000C02A8" w:rsidRDefault="000C02A8" w:rsidP="000C02A8">
      <w:pPr>
        <w:jc w:val="both"/>
        <w:rPr>
          <w:rFonts w:ascii="Ebrima" w:eastAsia="Calibri" w:hAnsi="Ebrima" w:cs="Arial"/>
          <w:sz w:val="22"/>
          <w:szCs w:val="22"/>
          <w:lang w:eastAsia="en-US"/>
        </w:rPr>
      </w:pPr>
    </w:p>
    <w:tbl>
      <w:tblPr>
        <w:tblStyle w:val="TableGrid5"/>
        <w:tblW w:w="0" w:type="auto"/>
        <w:tblLook w:val="04A0" w:firstRow="1" w:lastRow="0" w:firstColumn="1" w:lastColumn="0" w:noHBand="0" w:noVBand="1"/>
      </w:tblPr>
      <w:tblGrid>
        <w:gridCol w:w="9016"/>
      </w:tblGrid>
      <w:tr w:rsidR="000C02A8" w:rsidRPr="000C02A8" w14:paraId="1CBCBDBB" w14:textId="77777777" w:rsidTr="00397D25">
        <w:tc>
          <w:tcPr>
            <w:tcW w:w="9016" w:type="dxa"/>
          </w:tcPr>
          <w:p w14:paraId="65ED6E36" w14:textId="77777777" w:rsidR="000C02A8" w:rsidRPr="000C02A8" w:rsidRDefault="000C02A8" w:rsidP="000C02A8">
            <w:pPr>
              <w:jc w:val="both"/>
              <w:rPr>
                <w:rFonts w:ascii="Ebrima" w:eastAsia="Calibri" w:hAnsi="Ebrima" w:cs="Arial"/>
                <w:sz w:val="22"/>
                <w:szCs w:val="22"/>
                <w:lang w:eastAsia="en-US"/>
              </w:rPr>
            </w:pPr>
          </w:p>
          <w:p w14:paraId="60A9FEAF" w14:textId="77777777" w:rsidR="000C02A8" w:rsidRPr="000C02A8" w:rsidRDefault="000C02A8" w:rsidP="000C02A8">
            <w:pPr>
              <w:jc w:val="both"/>
              <w:rPr>
                <w:rFonts w:ascii="Ebrima" w:eastAsia="Calibri" w:hAnsi="Ebrima" w:cs="Arial"/>
                <w:color w:val="002060"/>
                <w:sz w:val="22"/>
                <w:szCs w:val="22"/>
                <w:lang w:eastAsia="zh-CN"/>
              </w:rPr>
            </w:pPr>
            <w:r w:rsidRPr="000C02A8">
              <w:rPr>
                <w:rFonts w:ascii="Ebrima" w:eastAsia="Calibri" w:hAnsi="Ebrima" w:cs="Arial"/>
                <w:color w:val="002060"/>
                <w:sz w:val="22"/>
                <w:szCs w:val="22"/>
                <w:lang w:eastAsia="zh-CN"/>
              </w:rPr>
              <w:t xml:space="preserve">Article 19 - Penalty mechanism </w:t>
            </w:r>
            <w:r w:rsidRPr="000C02A8">
              <w:rPr>
                <w:rFonts w:ascii="Ebrima" w:eastAsia="Calibri" w:hAnsi="Ebrima" w:cs="Arial"/>
                <w:strike/>
                <w:color w:val="002060"/>
                <w:sz w:val="22"/>
                <w:szCs w:val="22"/>
                <w:lang w:eastAsia="zh-CN"/>
              </w:rPr>
              <w:t xml:space="preserve">for transactions cleared by a CCP  </w:t>
            </w:r>
            <w:r w:rsidRPr="000C02A8">
              <w:rPr>
                <w:rFonts w:ascii="Ebrima" w:eastAsia="Calibri" w:hAnsi="Ebrima" w:cs="Arial"/>
                <w:bCs/>
                <w:i/>
                <w:iCs/>
                <w:color w:val="002060"/>
                <w:sz w:val="22"/>
                <w:szCs w:val="22"/>
                <w:lang w:eastAsia="zh-CN"/>
              </w:rPr>
              <w:t>where the participant is a CCP</w:t>
            </w:r>
          </w:p>
          <w:p w14:paraId="749C5D15" w14:textId="77777777" w:rsidR="000C02A8" w:rsidRPr="000C02A8" w:rsidRDefault="000C02A8" w:rsidP="000C02A8">
            <w:pPr>
              <w:jc w:val="both"/>
              <w:rPr>
                <w:rFonts w:ascii="Ebrima" w:eastAsia="Calibri" w:hAnsi="Ebrima" w:cs="Arial"/>
                <w:color w:val="002060"/>
                <w:sz w:val="22"/>
                <w:szCs w:val="22"/>
                <w:lang w:eastAsia="zh-CN"/>
              </w:rPr>
            </w:pPr>
            <w:r w:rsidRPr="000C02A8">
              <w:rPr>
                <w:rFonts w:ascii="Ebrima" w:eastAsia="Calibri" w:hAnsi="Ebrima" w:cs="Arial"/>
                <w:color w:val="002060"/>
                <w:sz w:val="22"/>
                <w:szCs w:val="22"/>
                <w:lang w:eastAsia="zh-CN"/>
              </w:rPr>
              <w:t>“</w:t>
            </w:r>
            <w:r w:rsidRPr="000C02A8">
              <w:rPr>
                <w:rFonts w:ascii="Ebrima" w:eastAsia="Calibri" w:hAnsi="Ebrima" w:cs="Arial"/>
                <w:strike/>
                <w:color w:val="002060"/>
                <w:sz w:val="22"/>
                <w:szCs w:val="22"/>
                <w:lang w:eastAsia="zh-CN"/>
              </w:rPr>
              <w:t>With respect to settlement fails related to transactions cleared by CCPs</w:t>
            </w:r>
            <w:r w:rsidRPr="000C02A8">
              <w:rPr>
                <w:rFonts w:ascii="Ebrima" w:eastAsia="Calibri" w:hAnsi="Ebrima" w:cs="Arial"/>
                <w:color w:val="002060"/>
                <w:sz w:val="22"/>
                <w:szCs w:val="22"/>
                <w:lang w:eastAsia="zh-CN"/>
              </w:rPr>
              <w:t xml:space="preserve"> </w:t>
            </w:r>
            <w:r w:rsidRPr="000C02A8">
              <w:rPr>
                <w:rFonts w:ascii="Ebrima" w:eastAsia="Calibri" w:hAnsi="Ebrima" w:cs="Arial"/>
                <w:bCs/>
                <w:i/>
                <w:iCs/>
                <w:color w:val="002060"/>
                <w:sz w:val="22"/>
                <w:szCs w:val="22"/>
                <w:lang w:eastAsia="zh-CN"/>
              </w:rPr>
              <w:t>Where the failing or the receiving participant is a CCP</w:t>
            </w:r>
            <w:r w:rsidRPr="000C02A8">
              <w:rPr>
                <w:rFonts w:ascii="Ebrima" w:eastAsia="Calibri" w:hAnsi="Ebrima" w:cs="Arial"/>
                <w:color w:val="002060"/>
                <w:sz w:val="22"/>
                <w:szCs w:val="22"/>
                <w:lang w:eastAsia="zh-CN"/>
              </w:rPr>
              <w:t>,</w:t>
            </w:r>
          </w:p>
          <w:p w14:paraId="2DABE2D8" w14:textId="77777777" w:rsidR="000C02A8" w:rsidRPr="000C02A8" w:rsidRDefault="000C02A8" w:rsidP="000C02A8">
            <w:pPr>
              <w:numPr>
                <w:ilvl w:val="0"/>
                <w:numId w:val="31"/>
              </w:numPr>
              <w:jc w:val="both"/>
              <w:rPr>
                <w:rFonts w:ascii="Ebrima" w:eastAsia="Calibri" w:hAnsi="Ebrima" w:cs="Calibri"/>
                <w:sz w:val="22"/>
                <w:szCs w:val="22"/>
                <w:lang w:eastAsia="zh-CN"/>
              </w:rPr>
            </w:pPr>
            <w:r w:rsidRPr="000C02A8">
              <w:rPr>
                <w:rFonts w:ascii="Ebrima" w:eastAsia="Calibri" w:hAnsi="Ebrima" w:cs="Calibri"/>
                <w:sz w:val="22"/>
                <w:szCs w:val="22"/>
                <w:lang w:eastAsia="zh-CN"/>
              </w:rPr>
              <w:t>CSDs shall</w:t>
            </w:r>
          </w:p>
          <w:p w14:paraId="362A47D2" w14:textId="77777777" w:rsidR="000C02A8" w:rsidRPr="000C02A8" w:rsidRDefault="000C02A8" w:rsidP="000C02A8">
            <w:pPr>
              <w:ind w:left="1440" w:hanging="720"/>
              <w:jc w:val="both"/>
              <w:rPr>
                <w:rFonts w:ascii="Ebrima" w:eastAsia="Calibri" w:hAnsi="Ebrima" w:cs="Calibri"/>
                <w:sz w:val="22"/>
                <w:szCs w:val="22"/>
                <w:lang w:eastAsia="zh-CN"/>
              </w:rPr>
            </w:pPr>
          </w:p>
          <w:p w14:paraId="0F12047B" w14:textId="77777777" w:rsidR="000C02A8" w:rsidRPr="000C02A8" w:rsidRDefault="000C02A8" w:rsidP="000C02A8">
            <w:pPr>
              <w:numPr>
                <w:ilvl w:val="0"/>
                <w:numId w:val="32"/>
              </w:numPr>
              <w:jc w:val="both"/>
              <w:rPr>
                <w:rFonts w:ascii="Ebrima" w:eastAsia="Calibri" w:hAnsi="Ebrima" w:cs="Calibri"/>
                <w:sz w:val="22"/>
                <w:szCs w:val="22"/>
                <w:lang w:val="en-US" w:eastAsia="en-US"/>
              </w:rPr>
            </w:pPr>
            <w:r w:rsidRPr="000C02A8">
              <w:rPr>
                <w:rFonts w:ascii="Ebrima" w:eastAsia="Calibri" w:hAnsi="Ebrima" w:cs="Calibri"/>
                <w:sz w:val="22"/>
                <w:szCs w:val="22"/>
                <w:lang w:val="en-US" w:eastAsia="en-US"/>
              </w:rPr>
              <w:t xml:space="preserve">calculate and apply the cash penalties in accordance with Article 16; </w:t>
            </w:r>
          </w:p>
          <w:p w14:paraId="41429735" w14:textId="77777777" w:rsidR="000C02A8" w:rsidRPr="000C02A8" w:rsidRDefault="000C02A8" w:rsidP="000C02A8">
            <w:pPr>
              <w:numPr>
                <w:ilvl w:val="0"/>
                <w:numId w:val="32"/>
              </w:numPr>
              <w:jc w:val="both"/>
              <w:rPr>
                <w:rFonts w:ascii="Ebrima" w:eastAsia="Calibri" w:hAnsi="Ebrima" w:cs="Calibri"/>
                <w:sz w:val="22"/>
                <w:szCs w:val="22"/>
                <w:lang w:eastAsia="zh-CN"/>
              </w:rPr>
            </w:pPr>
            <w:r w:rsidRPr="000C02A8">
              <w:rPr>
                <w:rFonts w:ascii="Ebrima" w:eastAsia="Calibri" w:hAnsi="Ebrima" w:cs="Calibri"/>
                <w:sz w:val="22"/>
                <w:szCs w:val="22"/>
                <w:lang w:val="en-US" w:eastAsia="en-US"/>
              </w:rPr>
              <w:t>collect from and distribute to their participants the net amount of cash penalties in accordance with Article 17</w:t>
            </w:r>
            <w:r w:rsidRPr="000C02A8">
              <w:rPr>
                <w:rFonts w:ascii="Ebrima" w:eastAsia="Calibri" w:hAnsi="Ebrima" w:cs="Calibri"/>
                <w:bCs/>
                <w:i/>
                <w:iCs/>
                <w:sz w:val="22"/>
                <w:szCs w:val="22"/>
                <w:lang w:val="en-US" w:eastAsia="en-US"/>
              </w:rPr>
              <w:t>; and</w:t>
            </w:r>
          </w:p>
          <w:p w14:paraId="32AFB2C2" w14:textId="77777777" w:rsidR="000C02A8" w:rsidRPr="000C02A8" w:rsidRDefault="000C02A8" w:rsidP="000C02A8">
            <w:pPr>
              <w:numPr>
                <w:ilvl w:val="0"/>
                <w:numId w:val="32"/>
              </w:numPr>
              <w:jc w:val="both"/>
              <w:rPr>
                <w:rFonts w:ascii="Ebrima" w:eastAsia="Calibri" w:hAnsi="Ebrima" w:cs="Calibri"/>
                <w:sz w:val="22"/>
                <w:szCs w:val="22"/>
                <w:lang w:eastAsia="zh-CN"/>
              </w:rPr>
            </w:pPr>
            <w:r w:rsidRPr="000C02A8">
              <w:rPr>
                <w:rFonts w:ascii="Ebrima" w:eastAsia="Calibri" w:hAnsi="Ebrima" w:cs="Calibri"/>
                <w:sz w:val="22"/>
                <w:szCs w:val="22"/>
                <w:lang w:val="en-US" w:eastAsia="en-US"/>
              </w:rPr>
              <w:t xml:space="preserve">manage costs relating to the application of the cash penalties mechanism to such transactions in accordance with Article 18. </w:t>
            </w:r>
          </w:p>
          <w:p w14:paraId="1969828A" w14:textId="77777777" w:rsidR="000C02A8" w:rsidRPr="000C02A8" w:rsidRDefault="000C02A8" w:rsidP="000C02A8">
            <w:pPr>
              <w:ind w:left="1440" w:hanging="720"/>
              <w:jc w:val="both"/>
              <w:rPr>
                <w:rFonts w:ascii="Ebrima" w:eastAsia="Calibri" w:hAnsi="Ebrima" w:cs="Calibri"/>
                <w:sz w:val="22"/>
                <w:szCs w:val="22"/>
                <w:lang w:eastAsia="zh-CN"/>
              </w:rPr>
            </w:pPr>
          </w:p>
          <w:p w14:paraId="7FC1953C" w14:textId="77777777" w:rsidR="000C02A8" w:rsidRPr="000C02A8" w:rsidRDefault="000C02A8" w:rsidP="000C02A8">
            <w:pPr>
              <w:ind w:left="1440" w:hanging="720"/>
              <w:jc w:val="both"/>
              <w:rPr>
                <w:rFonts w:ascii="Ebrima" w:eastAsia="Calibri" w:hAnsi="Ebrima" w:cs="Calibri"/>
                <w:sz w:val="22"/>
                <w:szCs w:val="22"/>
                <w:lang w:eastAsia="zh-CN"/>
              </w:rPr>
            </w:pPr>
            <w:r w:rsidRPr="000C02A8">
              <w:rPr>
                <w:rFonts w:ascii="Ebrima" w:eastAsia="Calibri" w:hAnsi="Ebrima" w:cs="Calibri"/>
                <w:sz w:val="22"/>
                <w:szCs w:val="22"/>
                <w:lang w:val="en-US" w:eastAsia="en-US"/>
              </w:rPr>
              <w:t>(b) CCPs may allocate to their clearing members the net amount of penalties, credit or debit</w:t>
            </w:r>
            <w:r w:rsidRPr="000C02A8">
              <w:rPr>
                <w:rFonts w:ascii="Ebrima" w:eastAsia="Calibri" w:hAnsi="Ebrima" w:cs="Calibri"/>
                <w:strike/>
                <w:sz w:val="22"/>
                <w:szCs w:val="22"/>
                <w:lang w:val="en-US" w:eastAsia="en-US"/>
              </w:rPr>
              <w:t>, received from or paid to the other CSD participants pursuant to point (a)</w:t>
            </w:r>
            <w:r w:rsidRPr="000C02A8">
              <w:rPr>
                <w:rFonts w:ascii="Ebrima" w:eastAsia="Calibri" w:hAnsi="Ebrima" w:cs="Calibri"/>
                <w:sz w:val="22"/>
                <w:szCs w:val="22"/>
                <w:lang w:val="en-US" w:eastAsia="en-US"/>
              </w:rPr>
              <w:t>. In such cases, CCPs shall establish relevant mechanism in their rules.”</w:t>
            </w:r>
          </w:p>
          <w:p w14:paraId="40872C56" w14:textId="77777777" w:rsidR="000C02A8" w:rsidRPr="000C02A8" w:rsidRDefault="000C02A8" w:rsidP="000C02A8">
            <w:pPr>
              <w:jc w:val="both"/>
              <w:rPr>
                <w:rFonts w:ascii="Ebrima" w:eastAsia="Calibri" w:hAnsi="Ebrima" w:cs="Arial"/>
                <w:sz w:val="22"/>
                <w:szCs w:val="22"/>
                <w:lang w:eastAsia="en-US"/>
              </w:rPr>
            </w:pPr>
          </w:p>
        </w:tc>
      </w:tr>
    </w:tbl>
    <w:permEnd w:id="2081231068"/>
    <w:p w14:paraId="58994ED7" w14:textId="77777777" w:rsidR="00A31F09" w:rsidRDefault="00A31F09" w:rsidP="00A31F09">
      <w:r>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4A7819D1" w14:textId="77777777" w:rsidR="000C02A8" w:rsidRPr="000C02A8" w:rsidRDefault="000C02A8" w:rsidP="000C02A8">
      <w:pPr>
        <w:jc w:val="both"/>
        <w:rPr>
          <w:rFonts w:ascii="Ebrima" w:eastAsia="Calibri" w:hAnsi="Ebrima" w:cs="Arial"/>
          <w:sz w:val="22"/>
          <w:szCs w:val="22"/>
          <w:lang w:eastAsia="en-US"/>
        </w:rPr>
      </w:pPr>
      <w:permStart w:id="1439189165" w:edGrp="everyone"/>
      <w:r w:rsidRPr="000C02A8">
        <w:rPr>
          <w:rFonts w:ascii="Ebrima" w:eastAsia="Calibri" w:hAnsi="Ebrima" w:cs="Arial"/>
          <w:sz w:val="22"/>
          <w:szCs w:val="22"/>
          <w:lang w:eastAsia="en-US"/>
        </w:rPr>
        <w:t xml:space="preserve">EACH supports the 6-month delay of the envisaged amendment and that all market participants implement at the same time, as opposed to a staggered approach.’  </w:t>
      </w:r>
    </w:p>
    <w:permEnd w:id="1439189165"/>
    <w:p w14:paraId="031D9D4B" w14:textId="77777777" w:rsidR="00A31F09" w:rsidRDefault="00A31F09" w:rsidP="00A31F09">
      <w:r>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22"/>
      <w:footerReference w:type="defaul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148CA" w14:textId="77777777" w:rsidR="00B13CFD" w:rsidRDefault="00B13CFD" w:rsidP="007E7997">
      <w:r>
        <w:separator/>
      </w:r>
    </w:p>
  </w:endnote>
  <w:endnote w:type="continuationSeparator" w:id="0">
    <w:p w14:paraId="537DA1CD" w14:textId="77777777" w:rsidR="00B13CFD" w:rsidRDefault="00B13CFD" w:rsidP="007E7997">
      <w:r>
        <w:continuationSeparator/>
      </w:r>
    </w:p>
  </w:endnote>
  <w:endnote w:type="continuationNotice" w:id="1">
    <w:p w14:paraId="5F38B4CD" w14:textId="77777777" w:rsidR="00B13CFD" w:rsidRDefault="00B13C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D0061" w14:textId="77777777" w:rsidR="00B13CFD" w:rsidRDefault="00B13CFD" w:rsidP="007E7997">
      <w:r>
        <w:separator/>
      </w:r>
    </w:p>
  </w:footnote>
  <w:footnote w:type="continuationSeparator" w:id="0">
    <w:p w14:paraId="367CC717" w14:textId="77777777" w:rsidR="00B13CFD" w:rsidRDefault="00B13CFD" w:rsidP="007E7997">
      <w:r>
        <w:continuationSeparator/>
      </w:r>
    </w:p>
  </w:footnote>
  <w:footnote w:type="continuationNotice" w:id="1">
    <w:p w14:paraId="3C927AAC" w14:textId="77777777" w:rsidR="00B13CFD" w:rsidRDefault="00B13C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Header"/>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E22A46"/>
    <w:multiLevelType w:val="hybridMultilevel"/>
    <w:tmpl w:val="2E40966C"/>
    <w:lvl w:ilvl="0" w:tplc="33CA25D8">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B63586"/>
    <w:multiLevelType w:val="hybridMultilevel"/>
    <w:tmpl w:val="3D5C7C36"/>
    <w:lvl w:ilvl="0" w:tplc="779C30CA">
      <w:start w:val="1"/>
      <w:numFmt w:val="lowerRoman"/>
      <w:lvlText w:val="(%1)"/>
      <w:lvlJc w:val="left"/>
      <w:pPr>
        <w:ind w:left="1440" w:hanging="720"/>
      </w:p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start w:val="1"/>
      <w:numFmt w:val="decimal"/>
      <w:lvlText w:val="%4."/>
      <w:lvlJc w:val="left"/>
      <w:pPr>
        <w:ind w:left="3240" w:hanging="360"/>
      </w:pPr>
    </w:lvl>
    <w:lvl w:ilvl="4" w:tplc="20000019">
      <w:start w:val="1"/>
      <w:numFmt w:val="lowerLetter"/>
      <w:lvlText w:val="%5."/>
      <w:lvlJc w:val="left"/>
      <w:pPr>
        <w:ind w:left="3960" w:hanging="360"/>
      </w:pPr>
    </w:lvl>
    <w:lvl w:ilvl="5" w:tplc="2000001B">
      <w:start w:val="1"/>
      <w:numFmt w:val="lowerRoman"/>
      <w:lvlText w:val="%6."/>
      <w:lvlJc w:val="right"/>
      <w:pPr>
        <w:ind w:left="4680" w:hanging="180"/>
      </w:pPr>
    </w:lvl>
    <w:lvl w:ilvl="6" w:tplc="2000000F">
      <w:start w:val="1"/>
      <w:numFmt w:val="decimal"/>
      <w:lvlText w:val="%7."/>
      <w:lvlJc w:val="left"/>
      <w:pPr>
        <w:ind w:left="5400" w:hanging="360"/>
      </w:pPr>
    </w:lvl>
    <w:lvl w:ilvl="7" w:tplc="20000019">
      <w:start w:val="1"/>
      <w:numFmt w:val="lowerLetter"/>
      <w:lvlText w:val="%8."/>
      <w:lvlJc w:val="left"/>
      <w:pPr>
        <w:ind w:left="6120" w:hanging="360"/>
      </w:pPr>
    </w:lvl>
    <w:lvl w:ilvl="8" w:tplc="2000001B">
      <w:start w:val="1"/>
      <w:numFmt w:val="lowerRoman"/>
      <w:lvlText w:val="%9."/>
      <w:lvlJc w:val="right"/>
      <w:pPr>
        <w:ind w:left="6840" w:hanging="180"/>
      </w:pPr>
    </w:lvl>
  </w:abstractNum>
  <w:abstractNum w:abstractNumId="22"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3"/>
  </w:num>
  <w:num w:numId="2" w16cid:durableId="1495532731">
    <w:abstractNumId w:val="3"/>
  </w:num>
  <w:num w:numId="3" w16cid:durableId="994409496">
    <w:abstractNumId w:val="23"/>
  </w:num>
  <w:num w:numId="4" w16cid:durableId="1880320868">
    <w:abstractNumId w:val="4"/>
  </w:num>
  <w:num w:numId="5" w16cid:durableId="290864581">
    <w:abstractNumId w:val="13"/>
  </w:num>
  <w:num w:numId="6" w16cid:durableId="952590553">
    <w:abstractNumId w:val="25"/>
  </w:num>
  <w:num w:numId="7" w16cid:durableId="1159686949">
    <w:abstractNumId w:val="12"/>
  </w:num>
  <w:num w:numId="8" w16cid:durableId="765269892">
    <w:abstractNumId w:val="6"/>
  </w:num>
  <w:num w:numId="9" w16cid:durableId="1301960395">
    <w:abstractNumId w:val="9"/>
  </w:num>
  <w:num w:numId="10" w16cid:durableId="1228616548">
    <w:abstractNumId w:val="8"/>
  </w:num>
  <w:num w:numId="11" w16cid:durableId="2051027016">
    <w:abstractNumId w:val="7"/>
  </w:num>
  <w:num w:numId="12" w16cid:durableId="83380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6"/>
  </w:num>
  <w:num w:numId="15" w16cid:durableId="986476960">
    <w:abstractNumId w:val="19"/>
  </w:num>
  <w:num w:numId="16" w16cid:durableId="398749299">
    <w:abstractNumId w:val="24"/>
  </w:num>
  <w:num w:numId="17" w16cid:durableId="1407611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0"/>
  </w:num>
  <w:num w:numId="19" w16cid:durableId="558588771">
    <w:abstractNumId w:val="25"/>
  </w:num>
  <w:num w:numId="20" w16cid:durableId="1306933315">
    <w:abstractNumId w:val="11"/>
  </w:num>
  <w:num w:numId="21" w16cid:durableId="1623876054">
    <w:abstractNumId w:val="22"/>
  </w:num>
  <w:num w:numId="22" w16cid:durableId="783383837">
    <w:abstractNumId w:val="14"/>
  </w:num>
  <w:num w:numId="23" w16cid:durableId="2112964618">
    <w:abstractNumId w:val="18"/>
  </w:num>
  <w:num w:numId="24" w16cid:durableId="1958565453">
    <w:abstractNumId w:val="0"/>
  </w:num>
  <w:num w:numId="25" w16cid:durableId="1372725395">
    <w:abstractNumId w:val="17"/>
  </w:num>
  <w:num w:numId="26" w16cid:durableId="1686445133">
    <w:abstractNumId w:val="15"/>
  </w:num>
  <w:num w:numId="27" w16cid:durableId="1247768697">
    <w:abstractNumId w:val="10"/>
  </w:num>
  <w:num w:numId="28" w16cid:durableId="954170948">
    <w:abstractNumId w:val="2"/>
  </w:num>
  <w:num w:numId="29" w16cid:durableId="837424337">
    <w:abstractNumId w:val="16"/>
  </w:num>
  <w:num w:numId="30" w16cid:durableId="299657983">
    <w:abstractNumId w:val="5"/>
  </w:num>
  <w:num w:numId="31" w16cid:durableId="14770697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295282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5E49"/>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2A8"/>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94005"/>
    <w:rsid w:val="002A13B0"/>
    <w:rsid w:val="002A2C91"/>
    <w:rsid w:val="002A6C21"/>
    <w:rsid w:val="002A780E"/>
    <w:rsid w:val="002B144C"/>
    <w:rsid w:val="002B53F3"/>
    <w:rsid w:val="002B5F32"/>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3BAF"/>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D6B3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6A4"/>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3CFD"/>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B7ED9"/>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B5"/>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C02A8"/>
    <w:pPr>
      <w:spacing w:after="0" w:line="240" w:lineRule="auto"/>
    </w:pPr>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eachccp.eu/wp-content/uploads/2022/06/EACH-Response-Targeted-consultation-on-the-review-of-Regulation-on-improving-securities-settlement-in-the-European-Union-and-on-central-securities-depositories-Feb-2021.pdf"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eachccp.eu/wp-content/uploads/2022/06/EACH-Response-European-Commission-Inception-Impact-Assessment-on-CSDR-Review-March-2021.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2.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2.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5.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7</Pages>
  <Words>1163</Words>
  <Characters>6634</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Max Chan</cp:lastModifiedBy>
  <cp:revision>2</cp:revision>
  <cp:lastPrinted>2017-07-24T14:47:00Z</cp:lastPrinted>
  <dcterms:created xsi:type="dcterms:W3CDTF">2022-09-09T09:09:00Z</dcterms:created>
  <dcterms:modified xsi:type="dcterms:W3CDTF">2022-09-09T09:09:00Z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