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Arial" w:cs="Arial" w:eastAsia="Arial" w:hAnsi="Arial"/>
          <w:color w:val="ff0000"/>
          <w:sz w:val="20"/>
          <w:szCs w:val="20"/>
        </w:rPr>
      </w:pPr>
      <w:r w:rsidDel="00000000" w:rsidR="00000000" w:rsidRPr="00000000">
        <w:rPr>
          <w:rtl w:val="0"/>
        </w:rPr>
      </w:r>
    </w:p>
    <w:p w:rsidR="00000000" w:rsidDel="00000000" w:rsidP="00000000" w:rsidRDefault="00000000" w:rsidRPr="00000000" w14:paraId="00000002">
      <w:pPr>
        <w:spacing w:after="12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3">
      <w:pPr>
        <w:spacing w:line="276" w:lineRule="auto"/>
        <w:rPr>
          <w:rFonts w:ascii="Arial" w:cs="Arial" w:eastAsia="Arial" w:hAnsi="Arial"/>
          <w:sz w:val="20"/>
          <w:szCs w:val="20"/>
        </w:rPr>
      </w:pPr>
      <w:r w:rsidDel="00000000" w:rsidR="00000000" w:rsidRPr="00000000">
        <w:rPr>
          <w:rtl w:val="0"/>
        </w:rPr>
      </w:r>
    </w:p>
    <w:tbl>
      <w:tblPr>
        <w:tblStyle w:val="Table1"/>
        <w:tblW w:w="10490.0" w:type="dxa"/>
        <w:jc w:val="left"/>
        <w:tblInd w:w="0.0" w:type="pct"/>
        <w:tblLayout w:type="fixed"/>
        <w:tblLook w:val="0000"/>
      </w:tblPr>
      <w:tblGrid>
        <w:gridCol w:w="10490"/>
        <w:tblGridChange w:id="0">
          <w:tblGrid>
            <w:gridCol w:w="10490"/>
          </w:tblGrid>
        </w:tblGridChange>
      </w:tblGrid>
      <w:tr>
        <w:trPr>
          <w:cantSplit w:val="0"/>
          <w:trHeight w:val="1492" w:hRule="atLeast"/>
          <w:tblHeader w:val="0"/>
        </w:trPr>
        <w:tc>
          <w:tcPr>
            <w:vAlign w:val="bottom"/>
          </w:tcPr>
          <w:p w:rsidR="00000000" w:rsidDel="00000000" w:rsidP="00000000" w:rsidRDefault="00000000" w:rsidRPr="00000000" w14:paraId="00000004">
            <w:pPr>
              <w:pStyle w:val="Title"/>
              <w:spacing w:line="276" w:lineRule="auto"/>
              <w:ind w:right="854"/>
              <w:rPr>
                <w:rFonts w:ascii="Arial" w:cs="Arial" w:eastAsia="Arial" w:hAnsi="Arial"/>
                <w:sz w:val="40"/>
                <w:szCs w:val="40"/>
              </w:rPr>
            </w:pPr>
            <w:r w:rsidDel="00000000" w:rsidR="00000000" w:rsidRPr="00000000">
              <w:rPr>
                <w:rFonts w:ascii="Arial" w:cs="Arial" w:eastAsia="Arial" w:hAnsi="Arial"/>
                <w:sz w:val="40"/>
                <w:szCs w:val="40"/>
                <w:rtl w:val="0"/>
              </w:rPr>
              <w:t xml:space="preserve">Response Form to the Consultation Paper on the amendement of Article 19 of CSDR RTS on Settlement Discipline</w:t>
            </w:r>
          </w:p>
        </w:tc>
      </w:tr>
      <w:tr>
        <w:trPr>
          <w:cantSplit w:val="0"/>
          <w:trHeight w:val="747" w:hRule="atLeast"/>
          <w:tblHeader w:val="0"/>
        </w:trPr>
        <w:tc>
          <w:tcPr>
            <w:tcMar>
              <w:top w:w="142.0" w:type="dxa"/>
            </w:tcMar>
          </w:tcPr>
          <w:p w:rsidR="00000000" w:rsidDel="00000000" w:rsidP="00000000" w:rsidRDefault="00000000" w:rsidRPr="00000000" w14:paraId="00000005">
            <w:pPr>
              <w:pStyle w:val="Heading2"/>
              <w:spacing w:before="0" w:lineRule="auto"/>
              <w:rPr>
                <w:sz w:val="22"/>
                <w:szCs w:val="22"/>
              </w:rPr>
            </w:pPr>
            <w:r w:rsidDel="00000000" w:rsidR="00000000" w:rsidRPr="00000000">
              <w:rPr>
                <w:rtl w:val="0"/>
              </w:rPr>
            </w:r>
          </w:p>
        </w:tc>
      </w:tr>
    </w:tbl>
    <w:p w:rsidR="00000000" w:rsidDel="00000000" w:rsidP="00000000" w:rsidRDefault="00000000" w:rsidRPr="00000000" w14:paraId="00000006">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8">
      <w:pPr>
        <w:spacing w:line="276" w:lineRule="auto"/>
        <w:rPr>
          <w:rFonts w:ascii="Arial" w:cs="Arial" w:eastAsia="Arial" w:hAnsi="Arial"/>
          <w:sz w:val="20"/>
          <w:szCs w:val="20"/>
        </w:rPr>
        <w:sectPr>
          <w:headerReference r:id="rId6" w:type="default"/>
          <w:headerReference r:id="rId7" w:type="first"/>
          <w:footerReference r:id="rId8" w:type="default"/>
          <w:footerReference r:id="rId9" w:type="first"/>
          <w:pgSz w:h="16838" w:w="11906" w:orient="portrait"/>
          <w:pgMar w:bottom="1417" w:top="1417" w:left="1417" w:right="1417" w:header="708" w:footer="708"/>
          <w:pgNumType w:start="0"/>
          <w:titlePg w:val="1"/>
        </w:sectPr>
      </w:pPr>
      <w:r w:rsidDel="00000000" w:rsidR="00000000" w:rsidRPr="00000000">
        <w:rPr>
          <w:rtl w:val="0"/>
        </w:rPr>
      </w:r>
    </w:p>
    <w:p w:rsidR="00000000" w:rsidDel="00000000" w:rsidP="00000000" w:rsidRDefault="00000000" w:rsidRPr="00000000" w14:paraId="00000009">
      <w:pPr>
        <w:spacing w:after="250" w:line="276" w:lineRule="auto"/>
        <w:jc w:val="both"/>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0A">
      <w:pPr>
        <w:spacing w:after="250" w:line="276" w:lineRule="auto"/>
        <w:jc w:val="both"/>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Responding to this paper </w:t>
      </w:r>
    </w:p>
    <w:p w:rsidR="00000000" w:rsidDel="00000000" w:rsidP="00000000" w:rsidRDefault="00000000" w:rsidRPr="00000000" w14:paraId="0000000B">
      <w:pPr>
        <w:spacing w:after="25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ESMA invites comments on all matters in this consultation paper and </w:t>
      </w:r>
      <w:r w:rsidDel="00000000" w:rsidR="00000000" w:rsidRPr="00000000">
        <w:rPr>
          <w:rFonts w:ascii="Arial" w:cs="Arial" w:eastAsia="Arial" w:hAnsi="Arial"/>
          <w:sz w:val="18"/>
          <w:szCs w:val="18"/>
          <w:u w:val="single"/>
          <w:rtl w:val="0"/>
        </w:rPr>
        <w:t xml:space="preserve">in particular on</w:t>
      </w:r>
      <w:r w:rsidDel="00000000" w:rsidR="00000000" w:rsidRPr="00000000">
        <w:rPr>
          <w:rFonts w:ascii="Arial" w:cs="Arial" w:eastAsia="Arial" w:hAnsi="Arial"/>
          <w:sz w:val="18"/>
          <w:szCs w:val="18"/>
          <w:rtl w:val="0"/>
        </w:rPr>
        <w:t xml:space="preserve"> the specific questions. Comments are most helpful if they:</w:t>
      </w:r>
    </w:p>
    <w:p w:rsidR="00000000" w:rsidDel="00000000" w:rsidP="00000000" w:rsidRDefault="00000000" w:rsidRPr="00000000" w14:paraId="0000000C">
      <w:pPr>
        <w:numPr>
          <w:ilvl w:val="0"/>
          <w:numId w:val="2"/>
        </w:numPr>
        <w:spacing w:after="250" w:line="276" w:lineRule="auto"/>
        <w:ind w:left="928" w:hanging="360"/>
        <w:jc w:val="both"/>
        <w:rPr>
          <w:sz w:val="18"/>
          <w:szCs w:val="18"/>
        </w:rPr>
      </w:pPr>
      <w:r w:rsidDel="00000000" w:rsidR="00000000" w:rsidRPr="00000000">
        <w:rPr>
          <w:rFonts w:ascii="Arial" w:cs="Arial" w:eastAsia="Arial" w:hAnsi="Arial"/>
          <w:sz w:val="18"/>
          <w:szCs w:val="18"/>
          <w:rtl w:val="0"/>
        </w:rPr>
        <w:t xml:space="preserve">respond to the question stated;</w:t>
      </w:r>
    </w:p>
    <w:p w:rsidR="00000000" w:rsidDel="00000000" w:rsidP="00000000" w:rsidRDefault="00000000" w:rsidRPr="00000000" w14:paraId="0000000D">
      <w:pPr>
        <w:numPr>
          <w:ilvl w:val="0"/>
          <w:numId w:val="2"/>
        </w:numPr>
        <w:spacing w:after="250" w:line="276" w:lineRule="auto"/>
        <w:ind w:left="928" w:hanging="360"/>
        <w:jc w:val="both"/>
        <w:rPr>
          <w:sz w:val="18"/>
          <w:szCs w:val="18"/>
        </w:rPr>
      </w:pPr>
      <w:r w:rsidDel="00000000" w:rsidR="00000000" w:rsidRPr="00000000">
        <w:rPr>
          <w:rFonts w:ascii="Arial" w:cs="Arial" w:eastAsia="Arial" w:hAnsi="Arial"/>
          <w:sz w:val="18"/>
          <w:szCs w:val="18"/>
          <w:rtl w:val="0"/>
        </w:rPr>
        <w:t xml:space="preserve">indicate the specific question to which the comment relates;</w:t>
      </w:r>
    </w:p>
    <w:p w:rsidR="00000000" w:rsidDel="00000000" w:rsidP="00000000" w:rsidRDefault="00000000" w:rsidRPr="00000000" w14:paraId="0000000E">
      <w:pPr>
        <w:numPr>
          <w:ilvl w:val="0"/>
          <w:numId w:val="2"/>
        </w:numPr>
        <w:spacing w:after="250" w:line="276" w:lineRule="auto"/>
        <w:ind w:left="928" w:hanging="360"/>
        <w:jc w:val="both"/>
        <w:rPr>
          <w:sz w:val="18"/>
          <w:szCs w:val="18"/>
        </w:rPr>
      </w:pPr>
      <w:r w:rsidDel="00000000" w:rsidR="00000000" w:rsidRPr="00000000">
        <w:rPr>
          <w:rFonts w:ascii="Arial" w:cs="Arial" w:eastAsia="Arial" w:hAnsi="Arial"/>
          <w:sz w:val="18"/>
          <w:szCs w:val="18"/>
          <w:rtl w:val="0"/>
        </w:rPr>
        <w:t xml:space="preserve">contain a clear rationale; and</w:t>
      </w:r>
    </w:p>
    <w:p w:rsidR="00000000" w:rsidDel="00000000" w:rsidP="00000000" w:rsidRDefault="00000000" w:rsidRPr="00000000" w14:paraId="0000000F">
      <w:pPr>
        <w:numPr>
          <w:ilvl w:val="0"/>
          <w:numId w:val="2"/>
        </w:numPr>
        <w:spacing w:after="250" w:line="276" w:lineRule="auto"/>
        <w:ind w:left="928" w:hanging="360"/>
        <w:jc w:val="both"/>
        <w:rPr>
          <w:sz w:val="18"/>
          <w:szCs w:val="18"/>
        </w:rPr>
      </w:pPr>
      <w:r w:rsidDel="00000000" w:rsidR="00000000" w:rsidRPr="00000000">
        <w:rPr>
          <w:rFonts w:ascii="Arial" w:cs="Arial" w:eastAsia="Arial" w:hAnsi="Arial"/>
          <w:sz w:val="18"/>
          <w:szCs w:val="18"/>
          <w:rtl w:val="0"/>
        </w:rPr>
        <w:t xml:space="preserve">describe any alternatives ESMA should consider.</w:t>
      </w:r>
    </w:p>
    <w:p w:rsidR="00000000" w:rsidDel="00000000" w:rsidP="00000000" w:rsidRDefault="00000000" w:rsidRPr="00000000" w14:paraId="00000010">
      <w:pPr>
        <w:spacing w:after="25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ESMA will consider all comments received by </w:t>
      </w:r>
      <w:r w:rsidDel="00000000" w:rsidR="00000000" w:rsidRPr="00000000">
        <w:rPr>
          <w:rFonts w:ascii="Arial" w:cs="Arial" w:eastAsia="Arial" w:hAnsi="Arial"/>
          <w:b w:val="1"/>
          <w:sz w:val="18"/>
          <w:szCs w:val="18"/>
          <w:rtl w:val="0"/>
        </w:rPr>
        <w:t xml:space="preserve">9 September 2022</w:t>
      </w:r>
      <w:r w:rsidDel="00000000" w:rsidR="00000000" w:rsidRPr="00000000">
        <w:rPr>
          <w:rtl w:val="0"/>
        </w:rPr>
      </w:r>
    </w:p>
    <w:p w:rsidR="00000000" w:rsidDel="00000000" w:rsidP="00000000" w:rsidRDefault="00000000" w:rsidRPr="00000000" w14:paraId="00000011">
      <w:pPr>
        <w:spacing w:after="250" w:line="276" w:lineRule="auto"/>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Instructions</w:t>
      </w:r>
    </w:p>
    <w:p w:rsidR="00000000" w:rsidDel="00000000" w:rsidP="00000000" w:rsidRDefault="00000000" w:rsidRPr="00000000" w14:paraId="00000012">
      <w:pPr>
        <w:spacing w:after="25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In order to facilitate analysis of responses to the Consultation Paper, respondents are requested to follow the below steps when preparing and submitting their response:</w:t>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0"/>
          <w:tab w:val="left" w:pos="142"/>
          <w:tab w:val="left" w:pos="284"/>
          <w:tab w:val="left" w:pos="567"/>
        </w:tabs>
        <w:spacing w:after="250" w:before="0" w:line="276" w:lineRule="auto"/>
        <w:ind w:left="720" w:right="0" w:hanging="72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Insert your responses to the questions in the Consultation Paper in the present response form. </w:t>
      </w:r>
    </w:p>
    <w:p w:rsidR="00000000" w:rsidDel="00000000" w:rsidP="00000000" w:rsidRDefault="00000000" w:rsidRPr="00000000" w14:paraId="0000001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0"/>
          <w:tab w:val="left" w:pos="142"/>
          <w:tab w:val="left" w:pos="284"/>
          <w:tab w:val="left" w:pos="567"/>
        </w:tabs>
        <w:spacing w:after="250" w:before="0" w:line="276" w:lineRule="auto"/>
        <w:ind w:left="720" w:right="0" w:hanging="720"/>
        <w:jc w:val="both"/>
        <w:rPr>
          <w:rFonts w:ascii="Arial" w:cs="Arial" w:eastAsia="Arial" w:hAnsi="Arial"/>
          <w:b w:val="0"/>
          <w:i w:val="0"/>
          <w:smallCaps w:val="0"/>
          <w:strike w:val="0"/>
          <w:color w:val="000000"/>
          <w:sz w:val="18"/>
          <w:szCs w:val="18"/>
          <w:u w:val="singl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Use this form and send your responses in Word format (</w:t>
      </w:r>
      <w:r w:rsidDel="00000000" w:rsidR="00000000" w:rsidRPr="00000000">
        <w:rPr>
          <w:rFonts w:ascii="Arial" w:cs="Arial" w:eastAsia="Arial" w:hAnsi="Arial"/>
          <w:b w:val="1"/>
          <w:i w:val="0"/>
          <w:smallCaps w:val="0"/>
          <w:strike w:val="0"/>
          <w:color w:val="000000"/>
          <w:sz w:val="18"/>
          <w:szCs w:val="18"/>
          <w:u w:val="single"/>
          <w:shd w:fill="auto" w:val="clear"/>
          <w:vertAlign w:val="baseline"/>
          <w:rtl w:val="0"/>
        </w:rPr>
        <w:t xml:space="preserve">pdf documents will not be considered except for annexes</w:t>
      </w:r>
      <w:r w:rsidDel="00000000" w:rsidR="00000000" w:rsidRPr="00000000">
        <w:rPr>
          <w:rFonts w:ascii="Arial" w:cs="Arial" w:eastAsia="Arial" w:hAnsi="Arial"/>
          <w:b w:val="0"/>
          <w:i w:val="0"/>
          <w:smallCaps w:val="0"/>
          <w:strike w:val="0"/>
          <w:color w:val="000000"/>
          <w:sz w:val="18"/>
          <w:szCs w:val="18"/>
          <w:u w:val="singl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0"/>
          <w:tab w:val="left" w:pos="142"/>
          <w:tab w:val="left" w:pos="284"/>
          <w:tab w:val="left" w:pos="567"/>
        </w:tabs>
        <w:spacing w:after="250" w:before="0" w:line="276" w:lineRule="auto"/>
        <w:ind w:left="720" w:right="0" w:hanging="72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Please do not remove tags of the type &lt;ESMA_QUESTION _SETD_1&gt;. Your response to each question has to be framed by the two tags corresponding to the question.</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0"/>
          <w:tab w:val="left" w:pos="142"/>
          <w:tab w:val="left" w:pos="284"/>
          <w:tab w:val="left" w:pos="567"/>
        </w:tabs>
        <w:spacing w:after="250" w:before="0" w:line="276" w:lineRule="auto"/>
        <w:ind w:left="720" w:right="0" w:hanging="72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If you do not wish to respond to a given question, please do not delete it but simply leave the text “TYPE YOUR TEXT HERE” between the tags.</w:t>
      </w:r>
    </w:p>
    <w:p w:rsidR="00000000" w:rsidDel="00000000" w:rsidP="00000000" w:rsidRDefault="00000000" w:rsidRPr="00000000" w14:paraId="000000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0"/>
          <w:tab w:val="left" w:pos="142"/>
          <w:tab w:val="left" w:pos="284"/>
          <w:tab w:val="left" w:pos="567"/>
        </w:tabs>
        <w:spacing w:after="250" w:before="0" w:line="276" w:lineRule="auto"/>
        <w:ind w:left="720" w:right="0" w:hanging="72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When you have drafted your response, name your response form according to the following convention: ESMA_SETD_nameofrespondent_RESPONSEFORM. For example, for a respondent named ABCD, the response form would be entitled ESMA_SETD_ABCD_RESPONSEFORM.</w:t>
      </w:r>
    </w:p>
    <w:p w:rsidR="00000000" w:rsidDel="00000000" w:rsidP="00000000" w:rsidRDefault="00000000" w:rsidRPr="00000000" w14:paraId="000000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pos="0"/>
          <w:tab w:val="left" w:pos="142"/>
          <w:tab w:val="left" w:pos="284"/>
          <w:tab w:val="left" w:pos="567"/>
        </w:tabs>
        <w:spacing w:after="250" w:before="0" w:line="276" w:lineRule="auto"/>
        <w:ind w:left="720" w:right="0" w:hanging="72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Upload the form containing your responses,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in Word format</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to ESMA’s website (www.esma.europa.eu under the heading “Your input – Open Consultations” -&gt;  Consultation Paper on the clearing and derivative trading obligations in view of the benchmark transition”). </w:t>
      </w:r>
    </w:p>
    <w:p w:rsidR="00000000" w:rsidDel="00000000" w:rsidP="00000000" w:rsidRDefault="00000000" w:rsidRPr="00000000" w14:paraId="00000019">
      <w:pPr>
        <w:spacing w:after="250" w:line="276" w:lineRule="auto"/>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Publication of responses</w:t>
      </w:r>
    </w:p>
    <w:p w:rsidR="00000000" w:rsidDel="00000000" w:rsidP="00000000" w:rsidRDefault="00000000" w:rsidRPr="00000000" w14:paraId="0000001A">
      <w:pPr>
        <w:spacing w:after="25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rsidR="00000000" w:rsidDel="00000000" w:rsidP="00000000" w:rsidRDefault="00000000" w:rsidRPr="00000000" w14:paraId="0000001B">
      <w:pPr>
        <w:spacing w:after="250" w:line="276" w:lineRule="auto"/>
        <w:jc w:val="both"/>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Data protection</w:t>
      </w:r>
    </w:p>
    <w:p w:rsidR="00000000" w:rsidDel="00000000" w:rsidP="00000000" w:rsidRDefault="00000000" w:rsidRPr="00000000" w14:paraId="0000001C">
      <w:pPr>
        <w:spacing w:after="25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Information on data protection can be found at </w:t>
      </w:r>
      <w:hyperlink r:id="rId10">
        <w:r w:rsidDel="00000000" w:rsidR="00000000" w:rsidRPr="00000000">
          <w:rPr>
            <w:rFonts w:ascii="Arial" w:cs="Arial" w:eastAsia="Arial" w:hAnsi="Arial"/>
            <w:color w:val="0563c1"/>
            <w:sz w:val="18"/>
            <w:szCs w:val="18"/>
            <w:u w:val="single"/>
            <w:rtl w:val="0"/>
          </w:rPr>
          <w:t xml:space="preserve">www.esma.europa.eu</w:t>
        </w:r>
      </w:hyperlink>
      <w:r w:rsidDel="00000000" w:rsidR="00000000" w:rsidRPr="00000000">
        <w:rPr>
          <w:rFonts w:ascii="Arial" w:cs="Arial" w:eastAsia="Arial" w:hAnsi="Arial"/>
          <w:sz w:val="18"/>
          <w:szCs w:val="18"/>
          <w:rtl w:val="0"/>
        </w:rPr>
        <w:t xml:space="preserve"> under the heading </w:t>
      </w:r>
      <w:hyperlink r:id="rId11">
        <w:r w:rsidDel="00000000" w:rsidR="00000000" w:rsidRPr="00000000">
          <w:rPr>
            <w:rFonts w:ascii="Arial" w:cs="Arial" w:eastAsia="Arial" w:hAnsi="Arial"/>
            <w:color w:val="0563c1"/>
            <w:sz w:val="18"/>
            <w:szCs w:val="18"/>
            <w:u w:val="single"/>
            <w:rtl w:val="0"/>
          </w:rPr>
          <w:t xml:space="preserve">Legal Notice</w:t>
        </w:r>
      </w:hyperlink>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01D">
      <w:pPr>
        <w:spacing w:after="250" w:line="276" w:lineRule="auto"/>
        <w:jc w:val="both"/>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1E">
      <w:pPr>
        <w:spacing w:after="250" w:line="276" w:lineRule="auto"/>
        <w:jc w:val="both"/>
        <w:rPr>
          <w:rFonts w:ascii="Arial" w:cs="Arial" w:eastAsia="Arial" w:hAnsi="Arial"/>
          <w:sz w:val="18"/>
          <w:szCs w:val="18"/>
        </w:rPr>
      </w:pPr>
      <w:r w:rsidDel="00000000" w:rsidR="00000000" w:rsidRPr="00000000">
        <w:rPr>
          <w:rFonts w:ascii="Arial" w:cs="Arial" w:eastAsia="Arial" w:hAnsi="Arial"/>
          <w:b w:val="1"/>
          <w:sz w:val="18"/>
          <w:szCs w:val="18"/>
          <w:rtl w:val="0"/>
        </w:rPr>
        <w:t xml:space="preserve">Who should read this paper</w:t>
      </w:r>
      <w:r w:rsidDel="00000000" w:rsidR="00000000" w:rsidRPr="00000000">
        <w:rPr>
          <w:rtl w:val="0"/>
        </w:rPr>
      </w:r>
    </w:p>
    <w:p w:rsidR="00000000" w:rsidDel="00000000" w:rsidP="00000000" w:rsidRDefault="00000000" w:rsidRPr="00000000" w14:paraId="0000001F">
      <w:pPr>
        <w:spacing w:after="120" w:line="276" w:lineRule="auto"/>
        <w:rPr>
          <w:rFonts w:ascii="Arial" w:cs="Arial" w:eastAsia="Arial" w:hAnsi="Arial"/>
          <w:sz w:val="20"/>
          <w:szCs w:val="20"/>
        </w:rPr>
      </w:pPr>
      <w:r w:rsidDel="00000000" w:rsidR="00000000" w:rsidRPr="00000000">
        <w:rPr>
          <w:rFonts w:ascii="Arial" w:cs="Arial" w:eastAsia="Arial" w:hAnsi="Arial"/>
          <w:sz w:val="18"/>
          <w:szCs w:val="18"/>
          <w:rtl w:val="0"/>
        </w:rPr>
        <w:t xml:space="preserve">All interested stakeholders are invited to respond to this consultation paper. In particular, this paper may be specifically of interest to CCPs, CSDs and their clients.</w:t>
      </w:r>
      <w:r w:rsidDel="00000000" w:rsidR="00000000" w:rsidRPr="00000000">
        <w:rPr>
          <w:rtl w:val="0"/>
        </w:rPr>
      </w:r>
    </w:p>
    <w:p w:rsidR="00000000" w:rsidDel="00000000" w:rsidP="00000000" w:rsidRDefault="00000000" w:rsidRPr="00000000" w14:paraId="00000020">
      <w:pPr>
        <w:pStyle w:val="Heading1"/>
        <w:spacing w:line="276" w:lineRule="auto"/>
        <w:rPr>
          <w:rFonts w:ascii="Arial" w:cs="Arial" w:eastAsia="Arial" w:hAnsi="Arial"/>
          <w:sz w:val="20"/>
          <w:szCs w:val="20"/>
        </w:rPr>
      </w:pPr>
      <w:bookmarkStart w:colFirst="0" w:colLast="0" w:name="_gjdgxs" w:id="0"/>
      <w:bookmarkEnd w:id="0"/>
      <w:r w:rsidDel="00000000" w:rsidR="00000000" w:rsidRPr="00000000">
        <w:br w:type="page"/>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keepNext w:val="1"/>
        <w:keepLines w:val="1"/>
        <w:spacing w:after="250" w:before="320" w:line="276" w:lineRule="auto"/>
        <w:jc w:val="both"/>
        <w:rPr>
          <w:rFonts w:ascii="Arial" w:cs="Arial" w:eastAsia="Arial" w:hAnsi="Arial"/>
          <w:b w:val="1"/>
        </w:rPr>
      </w:pPr>
      <w:r w:rsidDel="00000000" w:rsidR="00000000" w:rsidRPr="00000000">
        <w:rPr>
          <w:rFonts w:ascii="Arial" w:cs="Arial" w:eastAsia="Arial" w:hAnsi="Arial"/>
          <w:b w:val="1"/>
          <w:rtl w:val="0"/>
        </w:rPr>
        <w:t xml:space="preserve">General information about respondent</w:t>
      </w:r>
    </w:p>
    <w:tbl>
      <w:tblPr>
        <w:tblStyle w:val="Table2"/>
        <w:tblW w:w="952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29"/>
        <w:gridCol w:w="5595"/>
        <w:tblGridChange w:id="0">
          <w:tblGrid>
            <w:gridCol w:w="3929"/>
            <w:gridCol w:w="5595"/>
          </w:tblGrid>
        </w:tblGridChange>
      </w:tblGrid>
      <w:tr>
        <w:trPr>
          <w:cantSplit w:val="0"/>
          <w:tblHeader w:val="0"/>
        </w:trPr>
        <w:tc>
          <w:tcPr>
            <w:shd w:fill="auto" w:val="clear"/>
          </w:tcPr>
          <w:p w:rsidR="00000000" w:rsidDel="00000000" w:rsidP="00000000" w:rsidRDefault="00000000" w:rsidRPr="00000000" w14:paraId="00000023">
            <w:pPr>
              <w:rPr>
                <w:rFonts w:ascii="Arial" w:cs="Arial" w:eastAsia="Arial" w:hAnsi="Arial"/>
                <w:sz w:val="18"/>
                <w:szCs w:val="18"/>
              </w:rPr>
            </w:pPr>
            <w:r w:rsidDel="00000000" w:rsidR="00000000" w:rsidRPr="00000000">
              <w:rPr>
                <w:rFonts w:ascii="Arial" w:cs="Arial" w:eastAsia="Arial" w:hAnsi="Arial"/>
                <w:sz w:val="18"/>
                <w:szCs w:val="18"/>
                <w:rtl w:val="0"/>
              </w:rPr>
              <w:t xml:space="preserve">Name of the company / organisation</w:t>
            </w:r>
          </w:p>
        </w:tc>
        <w:tc>
          <w:tcPr>
            <w:shd w:fill="auto" w:val="clear"/>
          </w:tcPr>
          <w:p w:rsidR="00000000" w:rsidDel="00000000" w:rsidP="00000000" w:rsidRDefault="00000000" w:rsidRPr="00000000" w14:paraId="00000024">
            <w:pPr>
              <w:rPr>
                <w:rFonts w:ascii="Arial" w:cs="Arial" w:eastAsia="Arial" w:hAnsi="Arial"/>
                <w:color w:val="808080"/>
                <w:sz w:val="16"/>
                <w:szCs w:val="16"/>
              </w:rPr>
            </w:pPr>
            <w:r w:rsidDel="00000000" w:rsidR="00000000" w:rsidRPr="00000000">
              <w:rPr>
                <w:rFonts w:ascii="Arial" w:cs="Arial" w:eastAsia="Arial" w:hAnsi="Arial"/>
                <w:i w:val="1"/>
                <w:color w:val="44546a"/>
                <w:sz w:val="18"/>
                <w:szCs w:val="18"/>
                <w:rtl w:val="0"/>
              </w:rPr>
              <w:t xml:space="preserve">Rupert Kulow</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5">
            <w:pPr>
              <w:rPr>
                <w:rFonts w:ascii="Arial" w:cs="Arial" w:eastAsia="Arial" w:hAnsi="Arial"/>
                <w:sz w:val="18"/>
                <w:szCs w:val="18"/>
              </w:rPr>
            </w:pPr>
            <w:r w:rsidDel="00000000" w:rsidR="00000000" w:rsidRPr="00000000">
              <w:rPr>
                <w:rFonts w:ascii="Arial" w:cs="Arial" w:eastAsia="Arial" w:hAnsi="Arial"/>
                <w:sz w:val="18"/>
                <w:szCs w:val="18"/>
                <w:rtl w:val="0"/>
              </w:rPr>
              <w:t xml:space="preserve">Activity</w:t>
            </w:r>
          </w:p>
        </w:tc>
        <w:tc>
          <w:tcPr>
            <w:shd w:fill="auto" w:val="clear"/>
          </w:tcPr>
          <w:p w:rsidR="00000000" w:rsidDel="00000000" w:rsidP="00000000" w:rsidRDefault="00000000" w:rsidRPr="00000000" w14:paraId="00000026">
            <w:pPr>
              <w:rPr>
                <w:rFonts w:ascii="Arial" w:cs="Arial" w:eastAsia="Arial" w:hAnsi="Arial"/>
                <w:sz w:val="16"/>
                <w:szCs w:val="16"/>
              </w:rPr>
            </w:pPr>
            <w:r w:rsidDel="00000000" w:rsidR="00000000" w:rsidRPr="00000000">
              <w:rPr>
                <w:rFonts w:ascii="Arial" w:cs="Arial" w:eastAsia="Arial" w:hAnsi="Arial"/>
                <w:sz w:val="16"/>
                <w:szCs w:val="16"/>
                <w:rtl w:val="0"/>
              </w:rPr>
              <w:t xml:space="preserve">Individual</w:t>
            </w:r>
          </w:p>
        </w:tc>
      </w:tr>
      <w:tr>
        <w:trPr>
          <w:cantSplit w:val="0"/>
          <w:tblHeader w:val="0"/>
        </w:trPr>
        <w:tc>
          <w:tcPr>
            <w:shd w:fill="auto" w:val="clear"/>
          </w:tcPr>
          <w:p w:rsidR="00000000" w:rsidDel="00000000" w:rsidP="00000000" w:rsidRDefault="00000000" w:rsidRPr="00000000" w14:paraId="00000027">
            <w:pPr>
              <w:rPr>
                <w:rFonts w:ascii="Arial" w:cs="Arial" w:eastAsia="Arial" w:hAnsi="Arial"/>
                <w:sz w:val="18"/>
                <w:szCs w:val="18"/>
              </w:rPr>
            </w:pPr>
            <w:r w:rsidDel="00000000" w:rsidR="00000000" w:rsidRPr="00000000">
              <w:rPr>
                <w:rFonts w:ascii="Arial" w:cs="Arial" w:eastAsia="Arial" w:hAnsi="Arial"/>
                <w:sz w:val="18"/>
                <w:szCs w:val="18"/>
                <w:rtl w:val="0"/>
              </w:rPr>
              <w:t xml:space="preserve">Are you representing an association?</w:t>
            </w:r>
          </w:p>
        </w:tc>
        <w:tc>
          <w:tcPr>
            <w:shd w:fill="auto" w:val="clear"/>
          </w:tcPr>
          <w:p w:rsidR="00000000" w:rsidDel="00000000" w:rsidP="00000000" w:rsidRDefault="00000000" w:rsidRPr="00000000" w14:paraId="00000028">
            <w:pPr>
              <w:rPr>
                <w:rFonts w:ascii="Arial" w:cs="Arial" w:eastAsia="Arial" w:hAnsi="Arial"/>
                <w:sz w:val="16"/>
                <w:szCs w:val="16"/>
              </w:rPr>
            </w:pPr>
            <w:r w:rsidDel="00000000" w:rsidR="00000000" w:rsidRPr="00000000">
              <w:rPr>
                <w:rFonts w:ascii="Arial Unicode MS" w:cs="Arial Unicode MS" w:eastAsia="Arial Unicode MS" w:hAnsi="Arial Unicode MS"/>
                <w:sz w:val="16"/>
                <w:szCs w:val="16"/>
                <w:rtl w:val="0"/>
              </w:rPr>
              <w:t xml:space="preserve">☐</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9">
            <w:pPr>
              <w:rPr>
                <w:rFonts w:ascii="Arial" w:cs="Arial" w:eastAsia="Arial" w:hAnsi="Arial"/>
                <w:sz w:val="18"/>
                <w:szCs w:val="18"/>
              </w:rPr>
            </w:pPr>
            <w:r w:rsidDel="00000000" w:rsidR="00000000" w:rsidRPr="00000000">
              <w:rPr>
                <w:rFonts w:ascii="Arial" w:cs="Arial" w:eastAsia="Arial" w:hAnsi="Arial"/>
                <w:sz w:val="18"/>
                <w:szCs w:val="18"/>
                <w:rtl w:val="0"/>
              </w:rPr>
              <w:t xml:space="preserve">Country/Region</w:t>
            </w:r>
          </w:p>
        </w:tc>
        <w:tc>
          <w:tcPr>
            <w:shd w:fill="auto" w:val="clear"/>
          </w:tcPr>
          <w:p w:rsidR="00000000" w:rsidDel="00000000" w:rsidP="00000000" w:rsidRDefault="00000000" w:rsidRPr="00000000" w14:paraId="0000002A">
            <w:pPr>
              <w:rPr>
                <w:rFonts w:ascii="Arial" w:cs="Arial" w:eastAsia="Arial" w:hAnsi="Arial"/>
                <w:sz w:val="16"/>
                <w:szCs w:val="16"/>
              </w:rPr>
            </w:pPr>
            <w:r w:rsidDel="00000000" w:rsidR="00000000" w:rsidRPr="00000000">
              <w:rPr>
                <w:rFonts w:ascii="Arial" w:cs="Arial" w:eastAsia="Arial" w:hAnsi="Arial"/>
                <w:color w:val="808080"/>
                <w:sz w:val="16"/>
                <w:szCs w:val="16"/>
                <w:rtl w:val="0"/>
              </w:rPr>
              <w:t xml:space="preserve">France</w:t>
            </w:r>
            <w:r w:rsidDel="00000000" w:rsidR="00000000" w:rsidRPr="00000000">
              <w:rPr>
                <w:rtl w:val="0"/>
              </w:rPr>
            </w:r>
          </w:p>
        </w:tc>
      </w:tr>
    </w:tbl>
    <w:p w:rsidR="00000000" w:rsidDel="00000000" w:rsidP="00000000" w:rsidRDefault="00000000" w:rsidRPr="00000000" w14:paraId="0000002B">
      <w:pPr>
        <w:spacing w:line="276"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2C">
      <w:pPr>
        <w:spacing w:line="276"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2D">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2E">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2F">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0">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1">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2">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3">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4">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5">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6">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7">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8">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9">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A">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B">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C">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D">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E">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3F">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0">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1">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2">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3">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4">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5">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6">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7">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8">
      <w:pPr>
        <w:spacing w:after="120" w:line="264" w:lineRule="auto"/>
        <w:rPr>
          <w:rFonts w:ascii="Arial" w:cs="Arial" w:eastAsia="Arial" w:hAnsi="Arial"/>
          <w:b w:val="1"/>
          <w:sz w:val="22"/>
          <w:szCs w:val="22"/>
        </w:rPr>
      </w:pPr>
      <w:r w:rsidDel="00000000" w:rsidR="00000000" w:rsidRPr="00000000">
        <w:rPr>
          <w:rtl w:val="0"/>
        </w:rPr>
      </w:r>
    </w:p>
    <w:p w:rsidR="00000000" w:rsidDel="00000000" w:rsidP="00000000" w:rsidRDefault="00000000" w:rsidRPr="00000000" w14:paraId="00000049">
      <w:pPr>
        <w:spacing w:after="120" w:line="264"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Questions</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50" w:before="0" w:line="276" w:lineRule="auto"/>
        <w:ind w:left="720" w:right="0" w:hanging="360"/>
        <w:jc w:val="both"/>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Do market participants support removing the special process of collection and distribution of penalties by CCPs for cleared transactions? Please provide justifications, if possible supported by quantitative data.</w:t>
      </w:r>
    </w:p>
    <w:p w:rsidR="00000000" w:rsidDel="00000000" w:rsidP="00000000" w:rsidRDefault="00000000" w:rsidRPr="00000000" w14:paraId="0000004B">
      <w:pPr>
        <w:rPr/>
      </w:pPr>
      <w:r w:rsidDel="00000000" w:rsidR="00000000" w:rsidRPr="00000000">
        <w:rPr>
          <w:rtl w:val="0"/>
        </w:rPr>
        <w:t xml:space="preserve">&lt;ESMA_QUESTION_SETD_1&gt;</w:t>
      </w:r>
    </w:p>
    <w:p w:rsidR="00000000" w:rsidDel="00000000" w:rsidP="00000000" w:rsidRDefault="00000000" w:rsidRPr="00000000" w14:paraId="0000004C">
      <w:pPr>
        <w:rPr/>
      </w:pPr>
      <w:r w:rsidDel="00000000" w:rsidR="00000000" w:rsidRPr="00000000">
        <w:rPr>
          <w:rFonts w:ascii="Arial" w:cs="Arial" w:eastAsia="Arial" w:hAnsi="Arial"/>
          <w:color w:val="1a1a1a"/>
          <w:sz w:val="21"/>
          <w:szCs w:val="21"/>
          <w:highlight w:val="white"/>
          <w:rtl w:val="0"/>
        </w:rPr>
        <w:t xml:space="preserve">I do not support removing the special process. The CCPs are in the best position to identify the parties that fail to deliver securities and/or cash for settlement. With the Unique Transaction Identifier, the CCPs will be in a position to identify the specific market participants who fail settlement.</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&lt;ESMA_QUESTION_SETD_1&gt;</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50" w:before="0" w:line="276" w:lineRule="auto"/>
        <w:ind w:left="720" w:right="0" w:hanging="360"/>
        <w:jc w:val="both"/>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Do market participants support amending Article 19 of the CDR on Settlement Discipline as suggested in Annex IV? Please provide justifications, if possible supported by quantitative data.</w:t>
      </w:r>
    </w:p>
    <w:p w:rsidR="00000000" w:rsidDel="00000000" w:rsidP="00000000" w:rsidRDefault="00000000" w:rsidRPr="00000000" w14:paraId="00000050">
      <w:pPr>
        <w:rPr/>
      </w:pPr>
      <w:r w:rsidDel="00000000" w:rsidR="00000000" w:rsidRPr="00000000">
        <w:rPr>
          <w:rtl w:val="0"/>
        </w:rPr>
        <w:t xml:space="preserve">&lt;ESMA_QUESTION_SETD_2&gt;</w:t>
      </w:r>
    </w:p>
    <w:p w:rsidR="00000000" w:rsidDel="00000000" w:rsidP="00000000" w:rsidRDefault="00000000" w:rsidRPr="00000000" w14:paraId="00000051">
      <w:pPr>
        <w:rPr/>
      </w:pPr>
      <w:r w:rsidDel="00000000" w:rsidR="00000000" w:rsidRPr="00000000">
        <w:rPr>
          <w:rFonts w:ascii="Arial" w:cs="Arial" w:eastAsia="Arial" w:hAnsi="Arial"/>
          <w:color w:val="1a1a1a"/>
          <w:sz w:val="21"/>
          <w:szCs w:val="21"/>
          <w:highlight w:val="white"/>
          <w:rtl w:val="0"/>
        </w:rPr>
        <w:t xml:space="preserve">I do not support the amendment suggested in Annex IV. Passing information about settlement failures post-netting and after the CCPs have interposed themselves between failing and receiving parties only adds a layer of complication to the calculation. This is not to say we disagree with the CSDs performing the funds movements; only that the calculation for collection must remain with the CCP responsible for novation and netting.</w:t>
      </w: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&lt;ESMA_QUESTION_SETD_2&gt;</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50" w:before="0" w:line="276" w:lineRule="auto"/>
        <w:ind w:left="720" w:right="0" w:hanging="360"/>
        <w:jc w:val="both"/>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rsidR="00000000" w:rsidDel="00000000" w:rsidP="00000000" w:rsidRDefault="00000000" w:rsidRPr="00000000" w14:paraId="00000055">
      <w:pPr>
        <w:rPr/>
      </w:pPr>
      <w:r w:rsidDel="00000000" w:rsidR="00000000" w:rsidRPr="00000000">
        <w:rPr>
          <w:rtl w:val="0"/>
        </w:rPr>
        <w:t xml:space="preserve">&lt;ESMA_QUESTION_SETD_3&gt;</w:t>
      </w:r>
    </w:p>
    <w:p w:rsidR="00000000" w:rsidDel="00000000" w:rsidP="00000000" w:rsidRDefault="00000000" w:rsidRPr="00000000" w14:paraId="00000056">
      <w:pPr>
        <w:rPr/>
      </w:pPr>
      <w:r w:rsidDel="00000000" w:rsidR="00000000" w:rsidRPr="00000000">
        <w:rPr>
          <w:rFonts w:ascii="Arial" w:cs="Arial" w:eastAsia="Arial" w:hAnsi="Arial"/>
          <w:color w:val="1a1a1a"/>
          <w:sz w:val="21"/>
          <w:szCs w:val="21"/>
          <w:highlight w:val="white"/>
          <w:rtl w:val="0"/>
        </w:rPr>
        <w:t xml:space="preserve">I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the CCPs and CSDs have already agreed to the processes described in the amendment, we see no need for more than 30-days post-publication for implementation</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&lt;ESMA_QUESTION_SETD_3&gt;</w:t>
      </w:r>
    </w:p>
    <w:p w:rsidR="00000000" w:rsidDel="00000000" w:rsidP="00000000" w:rsidRDefault="00000000" w:rsidRPr="00000000" w14:paraId="00000058">
      <w:pPr>
        <w:rPr>
          <w:rFonts w:ascii="Arial" w:cs="Arial" w:eastAsia="Arial" w:hAnsi="Arial"/>
          <w:sz w:val="20"/>
          <w:szCs w:val="20"/>
        </w:rPr>
      </w:pPr>
      <w:r w:rsidDel="00000000" w:rsidR="00000000" w:rsidRPr="00000000">
        <w:rPr>
          <w:rtl w:val="0"/>
        </w:rPr>
      </w:r>
    </w:p>
    <w:sectPr>
      <w:headerReference r:id="rId12" w:type="default"/>
      <w:footerReference r:id="rId13" w:type="default"/>
      <w:type w:val="nextPage"/>
      <w:pgSz w:h="16838" w:w="11906" w:orient="portrait"/>
      <w:pgMar w:bottom="1418" w:top="1418" w:left="1418" w:right="141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 w:name="Times New Roman"/>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ffffff"/>
        <w:sz w:val="24"/>
        <w:szCs w:val="24"/>
        <w:u w:val="none"/>
        <w:shd w:fill="auto" w:val="clear"/>
        <w:vertAlign w:val="baseline"/>
        <w:rtl w:val="0"/>
      </w:rPr>
      <w:tab/>
      <w:tab/>
      <w:t xml:space="preserve">11 July 2022 | </w:t>
    </w:r>
    <w:hyperlink r:id="rId1">
      <w:r w:rsidDel="00000000" w:rsidR="00000000" w:rsidRPr="00000000">
        <w:rPr>
          <w:rFonts w:ascii="Arial" w:cs="Arial" w:eastAsia="Arial" w:hAnsi="Arial"/>
          <w:b w:val="0"/>
          <w:i w:val="0"/>
          <w:smallCaps w:val="0"/>
          <w:strike w:val="0"/>
          <w:color w:val="ffffff"/>
          <w:sz w:val="24"/>
          <w:szCs w:val="24"/>
          <w:u w:val="none"/>
          <w:shd w:fill="auto" w:val="clear"/>
          <w:vertAlign w:val="baseline"/>
          <w:rtl w:val="0"/>
        </w:rPr>
        <w:t xml:space="preserve">ESMA</w:t>
      </w:r>
    </w:hyperlink>
    <w:r w:rsidDel="00000000" w:rsidR="00000000" w:rsidRPr="00000000">
      <w:rPr>
        <w:rFonts w:ascii="Arial" w:cs="Arial" w:eastAsia="Arial" w:hAnsi="Arial"/>
        <w:b w:val="0"/>
        <w:i w:val="0"/>
        <w:smallCaps w:val="0"/>
        <w:strike w:val="0"/>
        <w:color w:val="ffffff"/>
        <w:sz w:val="24"/>
        <w:szCs w:val="24"/>
        <w:u w:val="none"/>
        <w:shd w:fill="auto" w:val="clear"/>
        <w:vertAlign w:val="baseline"/>
        <w:rtl w:val="0"/>
      </w:rPr>
      <w:t xml:space="preserve">70-450-1185</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366395</wp:posOffset>
          </wp:positionH>
          <wp:positionV relativeFrom="page">
            <wp:posOffset>372745</wp:posOffset>
          </wp:positionV>
          <wp:extent cx="2209800" cy="904875"/>
          <wp:effectExtent b="0" l="0" r="0" t="0"/>
          <wp:wrapNone/>
          <wp:docPr descr="esma_8_V3" id="2" name="image1.jpg"/>
          <a:graphic>
            <a:graphicData uri="http://schemas.openxmlformats.org/drawingml/2006/picture">
              <pic:pic>
                <pic:nvPicPr>
                  <pic:cNvPr descr="esma_8_V3" id="0" name="image1.jpg"/>
                  <pic:cNvPicPr preferRelativeResize="0"/>
                </pic:nvPicPr>
                <pic:blipFill>
                  <a:blip r:embed="rId1"/>
                  <a:srcRect b="0" l="0" r="0" t="0"/>
                  <a:stretch>
                    <a:fillRect/>
                  </a:stretch>
                </pic:blipFill>
                <pic:spPr>
                  <a:xfrm>
                    <a:off x="0" y="0"/>
                    <a:ext cx="2209800" cy="904875"/>
                  </a:xfrm>
                  <a:prstGeom prst="rect"/>
                  <a:ln/>
                </pic:spPr>
              </pic:pic>
            </a:graphicData>
          </a:graphic>
        </wp:anchor>
      </w:drawing>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page">
            <wp:align>right</wp:align>
          </wp:positionH>
          <wp:positionV relativeFrom="page">
            <wp:align>bottom</wp:align>
          </wp:positionV>
          <wp:extent cx="7560310" cy="6800850"/>
          <wp:effectExtent b="0" l="0" r="0" t="0"/>
          <wp:wrapNone/>
          <wp:docPr descr="report_db" id="4" name="image2.jpg"/>
          <a:graphic>
            <a:graphicData uri="http://schemas.openxmlformats.org/drawingml/2006/picture">
              <pic:pic>
                <pic:nvPicPr>
                  <pic:cNvPr descr="report_db" id="0" name="image2.jpg"/>
                  <pic:cNvPicPr preferRelativeResize="0"/>
                </pic:nvPicPr>
                <pic:blipFill>
                  <a:blip r:embed="rId2"/>
                  <a:srcRect b="0" l="0" r="0" t="0"/>
                  <a:stretch>
                    <a:fillRect/>
                  </a:stretch>
                </pic:blipFill>
                <pic:spPr>
                  <a:xfrm>
                    <a:off x="0" y="0"/>
                    <a:ext cx="7560310" cy="680085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Times New Roman" w:cs="Times New Roman" w:eastAsia="Times New Roman" w:hAnsi="Times New Roman"/>
        <w:b w:val="1"/>
        <w:i w:val="0"/>
        <w:smallCaps w:val="0"/>
        <w:strike w:val="0"/>
        <w:color w:val="ff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page">
                <wp:posOffset>1587711</wp:posOffset>
              </wp:positionH>
              <wp:positionV relativeFrom="page">
                <wp:posOffset>461010</wp:posOffset>
              </wp:positionV>
              <wp:extent cx="12700" cy="558165"/>
              <wp:effectExtent b="0" l="0" r="0" t="0"/>
              <wp:wrapNone/>
              <wp:docPr id="1" name=""/>
              <a:graphic>
                <a:graphicData uri="http://schemas.microsoft.com/office/word/2010/wordprocessingShape">
                  <wps:wsp>
                    <wps:cNvCnPr/>
                    <wps:spPr>
                      <a:xfrm>
                        <a:off x="5346000" y="3500918"/>
                        <a:ext cx="0" cy="558165"/>
                      </a:xfrm>
                      <a:prstGeom prst="straightConnector1">
                        <a:avLst/>
                      </a:prstGeom>
                      <a:noFill/>
                      <a:ln cap="flat" cmpd="sng" w="12700">
                        <a:solidFill>
                          <a:srgbClr val="283583"/>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1587711</wp:posOffset>
              </wp:positionH>
              <wp:positionV relativeFrom="page">
                <wp:posOffset>461010</wp:posOffset>
              </wp:positionV>
              <wp:extent cx="12700" cy="558165"/>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12700" cy="55816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Arial" w:cs="Arial" w:eastAsia="Arial" w:hAnsi="Arial"/>
        <w:b w:val="0"/>
        <w:i w:val="0"/>
        <w:smallCaps w:val="0"/>
        <w:strike w:val="0"/>
        <w:color w:val="2f5496"/>
        <w:sz w:val="20"/>
        <w:szCs w:val="20"/>
        <w:u w:val="none"/>
        <w:shd w:fill="auto" w:val="clear"/>
        <w:vertAlign w:val="baseline"/>
      </w:rPr>
    </w:pPr>
    <w:r w:rsidDel="00000000" w:rsidR="00000000" w:rsidRPr="00000000">
      <w:rPr>
        <w:rFonts w:ascii="Arial" w:cs="Arial" w:eastAsia="Arial" w:hAnsi="Arial"/>
        <w:b w:val="0"/>
        <w:i w:val="0"/>
        <w:smallCaps w:val="0"/>
        <w:strike w:val="0"/>
        <w:color w:val="2f5496"/>
        <w:sz w:val="20"/>
        <w:szCs w:val="20"/>
        <w:u w:val="none"/>
        <w:shd w:fill="auto" w:val="clear"/>
        <w:vertAlign w:val="baseline"/>
      </w:rPr>
      <w:drawing>
        <wp:anchor allowOverlap="1" behindDoc="0" distB="0" distT="0" distL="114300" distR="114300" hidden="0" layoutInCell="1" locked="0" relativeHeight="0" simplePos="0">
          <wp:simplePos x="0" y="0"/>
          <wp:positionH relativeFrom="page">
            <wp:posOffset>899795</wp:posOffset>
          </wp:positionH>
          <wp:positionV relativeFrom="page">
            <wp:posOffset>448944</wp:posOffset>
          </wp:positionV>
          <wp:extent cx="561975" cy="561975"/>
          <wp:effectExtent b="0" l="0" r="0" t="0"/>
          <wp:wrapNone/>
          <wp:docPr descr="esma_8_V3_no_claim" id="3" name="image4.jpg"/>
          <a:graphic>
            <a:graphicData uri="http://schemas.openxmlformats.org/drawingml/2006/picture">
              <pic:pic>
                <pic:nvPicPr>
                  <pic:cNvPr descr="esma_8_V3_no_claim" id="0" name="image4.jpg"/>
                  <pic:cNvPicPr preferRelativeResize="0"/>
                </pic:nvPicPr>
                <pic:blipFill>
                  <a:blip r:embed="rId2"/>
                  <a:srcRect b="0" l="0" r="0" t="0"/>
                  <a:stretch>
                    <a:fillRect/>
                  </a:stretch>
                </pic:blipFill>
                <pic:spPr>
                  <a:xfrm>
                    <a:off x="0" y="0"/>
                    <a:ext cx="561975" cy="561975"/>
                  </a:xfrm>
                  <a:prstGeom prst="rect"/>
                  <a:ln/>
                </pic:spPr>
              </pic:pic>
            </a:graphicData>
          </a:graphic>
        </wp:anchor>
      </w:drawing>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Times New Roman" w:cs="Times New Roman" w:eastAsia="Times New Roman" w:hAnsi="Times New Roman"/>
        <w:b w:val="0"/>
        <w:i w:val="0"/>
        <w:smallCaps w:val="0"/>
        <w:strike w:val="0"/>
        <w:color w:val="2f5496"/>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Times New Roman" w:cs="Times New Roman" w:eastAsia="Times New Roman" w:hAnsi="Times New Roman"/>
        <w:b w:val="1"/>
        <w:i w:val="0"/>
        <w:smallCaps w:val="0"/>
        <w:strike w:val="0"/>
        <w:color w:val="ff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Q%1"/>
      <w:lvlJc w:val="left"/>
      <w:pPr>
        <w:ind w:left="720" w:hanging="360"/>
      </w:pPr>
      <w:rPr>
        <w:rFonts w:ascii="Arial" w:cs="Arial" w:eastAsia="Arial" w:hAnsi="Arial"/>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928" w:hanging="360"/>
      </w:pPr>
      <w:rPr>
        <w:rFonts w:ascii="Noto Sans Symbols" w:cs="Noto Sans Symbols" w:eastAsia="Noto Sans Symbols" w:hAnsi="Noto Sans Symbols"/>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3">
    <w:lvl w:ilvl="0">
      <w:start w:val="1"/>
      <w:numFmt w:val="decimal"/>
      <w:lvlText w:val="%1."/>
      <w:lvlJc w:val="left"/>
      <w:pPr>
        <w:ind w:left="720" w:hanging="720"/>
      </w:pPr>
      <w:rPr/>
    </w:lvl>
    <w:lvl w:ilvl="1">
      <w:start w:val="1"/>
      <w:numFmt w:val="decimal"/>
      <w:lvlText w:val="%2."/>
      <w:lvlJc w:val="left"/>
      <w:pPr>
        <w:ind w:left="1440" w:hanging="720"/>
      </w:pPr>
      <w:rPr/>
    </w:lvl>
    <w:lvl w:ilvl="2">
      <w:start w:val="1"/>
      <w:numFmt w:val="decimal"/>
      <w:lvlText w:val="%3."/>
      <w:lvlJc w:val="left"/>
      <w:pPr>
        <w:ind w:left="2160" w:hanging="720"/>
      </w:pPr>
      <w:rPr/>
    </w:lvl>
    <w:lvl w:ilvl="3">
      <w:start w:val="1"/>
      <w:numFmt w:val="decimal"/>
      <w:lvlText w:val="%4."/>
      <w:lvlJc w:val="left"/>
      <w:pPr>
        <w:ind w:left="2880" w:hanging="720"/>
      </w:pPr>
      <w:rPr/>
    </w:lvl>
    <w:lvl w:ilvl="4">
      <w:start w:val="1"/>
      <w:numFmt w:val="decimal"/>
      <w:lvlText w:val="%5."/>
      <w:lvlJc w:val="left"/>
      <w:pPr>
        <w:ind w:left="3600" w:hanging="720"/>
      </w:pPr>
      <w:rPr/>
    </w:lvl>
    <w:lvl w:ilvl="5">
      <w:start w:val="1"/>
      <w:numFmt w:val="decimal"/>
      <w:lvlText w:val="%6."/>
      <w:lvlJc w:val="left"/>
      <w:pPr>
        <w:ind w:left="4320" w:hanging="720"/>
      </w:pPr>
      <w:rPr/>
    </w:lvl>
    <w:lvl w:ilvl="6">
      <w:start w:val="1"/>
      <w:numFmt w:val="decimal"/>
      <w:lvlText w:val="%7."/>
      <w:lvlJc w:val="left"/>
      <w:pPr>
        <w:ind w:left="5040" w:hanging="720"/>
      </w:pPr>
      <w:rPr/>
    </w:lvl>
    <w:lvl w:ilvl="7">
      <w:start w:val="1"/>
      <w:numFmt w:val="decimal"/>
      <w:lvlText w:val="%8."/>
      <w:lvlJc w:val="left"/>
      <w:pPr>
        <w:ind w:left="5760" w:hanging="720"/>
      </w:pPr>
      <w:rPr/>
    </w:lvl>
    <w:lvl w:ilvl="8">
      <w:start w:val="1"/>
      <w:numFmt w:val="decimal"/>
      <w:lvlText w:val="%9."/>
      <w:lvlJc w:val="left"/>
      <w:pPr>
        <w:ind w:left="6480" w:hanging="72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320" w:lineRule="auto"/>
      <w:ind w:left="432" w:hanging="432"/>
    </w:pPr>
    <w:rPr>
      <w:rFonts w:ascii="Arial" w:cs="Arial" w:eastAsia="Arial" w:hAnsi="Arial"/>
      <w:b w:val="1"/>
      <w:sz w:val="32"/>
      <w:szCs w:val="32"/>
    </w:rPr>
  </w:style>
  <w:style w:type="paragraph" w:styleId="Heading2">
    <w:name w:val="heading 2"/>
    <w:basedOn w:val="Normal"/>
    <w:next w:val="Normal"/>
    <w:pPr>
      <w:keepNext w:val="1"/>
      <w:keepLines w:val="1"/>
      <w:spacing w:before="320" w:lineRule="auto"/>
      <w:ind w:left="576" w:hanging="576"/>
    </w:pPr>
    <w:rPr>
      <w:rFonts w:ascii="Arial" w:cs="Arial" w:eastAsia="Arial" w:hAnsi="Arial"/>
      <w:b w:val="1"/>
      <w:sz w:val="28"/>
      <w:szCs w:val="28"/>
    </w:rPr>
  </w:style>
  <w:style w:type="paragraph" w:styleId="Heading3">
    <w:name w:val="heading 3"/>
    <w:basedOn w:val="Normal"/>
    <w:next w:val="Normal"/>
    <w:pPr>
      <w:keepNext w:val="1"/>
      <w:keepLines w:val="1"/>
      <w:spacing w:before="320" w:lineRule="auto"/>
      <w:ind w:left="720" w:hanging="720"/>
    </w:pPr>
    <w:rPr>
      <w:rFonts w:ascii="Arial" w:cs="Arial" w:eastAsia="Arial" w:hAnsi="Arial"/>
    </w:rPr>
  </w:style>
  <w:style w:type="paragraph" w:styleId="Heading4">
    <w:name w:val="heading 4"/>
    <w:basedOn w:val="Normal"/>
    <w:next w:val="Normal"/>
    <w:pPr>
      <w:keepNext w:val="1"/>
      <w:keepLines w:val="1"/>
      <w:spacing w:before="320" w:lineRule="auto"/>
      <w:ind w:left="862" w:hanging="862"/>
    </w:pPr>
    <w:rPr>
      <w:rFonts w:ascii="Arial" w:cs="Arial" w:eastAsia="Arial" w:hAnsi="Arial"/>
    </w:rPr>
  </w:style>
  <w:style w:type="paragraph" w:styleId="Heading5">
    <w:name w:val="heading 5"/>
    <w:basedOn w:val="Normal"/>
    <w:next w:val="Normal"/>
    <w:pPr>
      <w:keepNext w:val="1"/>
      <w:keepLines w:val="1"/>
      <w:spacing w:before="40" w:lineRule="auto"/>
      <w:ind w:left="720" w:hanging="360"/>
    </w:pPr>
    <w:rPr>
      <w:rFonts w:ascii="Arial" w:cs="Arial" w:eastAsia="Arial" w:hAnsi="Arial"/>
    </w:rPr>
  </w:style>
  <w:style w:type="paragraph" w:styleId="Heading6">
    <w:name w:val="heading 6"/>
    <w:basedOn w:val="Normal"/>
    <w:next w:val="Normal"/>
    <w:pPr>
      <w:keepNext w:val="1"/>
      <w:keepLines w:val="1"/>
      <w:spacing w:before="40" w:lineRule="auto"/>
      <w:ind w:left="1152" w:hanging="1152"/>
    </w:pPr>
    <w:rPr>
      <w:rFonts w:ascii="Arial" w:cs="Arial" w:eastAsia="Arial" w:hAnsi="Arial"/>
      <w:i w:val="1"/>
      <w:color w:val="44546a"/>
      <w:sz w:val="21"/>
      <w:szCs w:val="21"/>
    </w:rPr>
  </w:style>
  <w:style w:type="paragraph" w:styleId="Title">
    <w:name w:val="Title"/>
    <w:basedOn w:val="Normal"/>
    <w:next w:val="Normal"/>
    <w:pPr/>
    <w:rPr>
      <w:rFonts w:ascii="Arial" w:cs="Arial" w:eastAsia="Arial" w:hAnsi="Arial"/>
      <w:b w:val="1"/>
      <w:color w:val="2f5496"/>
      <w:sz w:val="56"/>
      <w:szCs w:val="56"/>
    </w:rPr>
  </w:style>
  <w:style w:type="paragraph" w:styleId="Subtitle">
    <w:name w:val="Subtitle"/>
    <w:basedOn w:val="Normal"/>
    <w:next w:val="Normal"/>
    <w:pPr/>
    <w:rPr>
      <w:rFonts w:ascii="Arial" w:cs="Arial" w:eastAsia="Arial" w:hAnsi="Arial"/>
      <w:b w:val="1"/>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esma.europa.eu/legal-notice" TargetMode="External"/><Relationship Id="rId10" Type="http://schemas.openxmlformats.org/officeDocument/2006/relationships/hyperlink" Target="http://www.esma.europa.eu" TargetMode="External"/><Relationship Id="rId13" Type="http://schemas.openxmlformats.org/officeDocument/2006/relationships/footer" Target="footer3.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