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sdtContent>
        <w:p w14:paraId="01438AE1" w14:textId="2ED61AF3" w:rsidR="00563C1F" w:rsidRDefault="00EC6066" w:rsidP="00F72D28">
          <w:pPr>
            <w:pStyle w:val="Titre"/>
          </w:pPr>
          <w:r>
            <w:t xml:space="preserve">Reply </w:t>
          </w:r>
          <w:r w:rsidR="00DD03DC">
            <w:t>F</w:t>
          </w:r>
          <w:r>
            <w:t>orm</w:t>
          </w:r>
        </w:p>
        <w:p w14:paraId="0A9EB4DC" w14:textId="4DAA9FAD" w:rsidR="00D77369" w:rsidRPr="00D77369" w:rsidRDefault="00D77369" w:rsidP="007A206C">
          <w:pPr>
            <w:pStyle w:val="Sous-titre"/>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ous-titr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Paragraphedeliste"/>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Paragraphedeliste"/>
            <w:numPr>
              <w:ilvl w:val="0"/>
              <w:numId w:val="17"/>
            </w:numPr>
          </w:pPr>
          <w:r w:rsidRPr="00E13D25">
            <w:t>indicate the specific question to which the comment relates;</w:t>
          </w:r>
        </w:p>
        <w:p w14:paraId="78B206B7" w14:textId="77777777" w:rsidR="002533FC" w:rsidRPr="00E13D25" w:rsidRDefault="002533FC" w:rsidP="00E33ECD">
          <w:pPr>
            <w:pStyle w:val="Paragraphedeliste"/>
            <w:numPr>
              <w:ilvl w:val="0"/>
              <w:numId w:val="17"/>
            </w:numPr>
          </w:pPr>
          <w:r w:rsidRPr="00E13D25">
            <w:t>contain a clear rationale; and</w:t>
          </w:r>
        </w:p>
        <w:p w14:paraId="60B8834E" w14:textId="53F4D678" w:rsidR="002533FC" w:rsidRPr="00E13D25" w:rsidRDefault="002533FC" w:rsidP="00E33ECD">
          <w:pPr>
            <w:pStyle w:val="Paragraphedeliste"/>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Lienhypertexte"/>
              </w:rPr>
              <w:t>www.esma.europa.eu</w:t>
            </w:r>
          </w:hyperlink>
          <w:r w:rsidRPr="005B6B12">
            <w:t xml:space="preserve"> under the heading ‘Your input - Consultations’. </w:t>
          </w:r>
        </w:p>
        <w:p w14:paraId="5E44C845" w14:textId="77777777" w:rsidR="00EC6066" w:rsidRPr="006B7794" w:rsidRDefault="00EC6066" w:rsidP="00EC6066">
          <w:pPr>
            <w:pStyle w:val="Sous-titr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Paragraphedeliste"/>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Paragraphedeliste"/>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Paragraphedeliste"/>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Paragraphedeliste"/>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Paragraphedeliste"/>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Paragraphedeliste"/>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Lienhypertexte"/>
              </w:rPr>
              <w:t>www.esma.europa.eu</w:t>
            </w:r>
          </w:hyperlink>
          <w:r w:rsidRPr="005B6B12">
            <w:t xml:space="preserve"> under the heading </w:t>
          </w:r>
          <w:r w:rsidRPr="00025A7F">
            <w:rPr>
              <w:rStyle w:val="Lienhypertexte"/>
            </w:rPr>
            <w:t>‘</w:t>
          </w:r>
          <w:hyperlink r:id="rId17" w:history="1">
            <w:r>
              <w:rPr>
                <w:rStyle w:val="Lienhypertexte"/>
              </w:rPr>
              <w:t>Data protection</w:t>
            </w:r>
          </w:hyperlink>
          <w:r>
            <w:rPr>
              <w:rStyle w:val="Lienhypertexte"/>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Titre1"/>
        <w:rPr>
          <w:lang w:val="fr-BE"/>
        </w:rPr>
      </w:pPr>
      <w:r>
        <w:rPr>
          <w:lang w:val="fr-BE"/>
        </w:rPr>
        <w:lastRenderedPageBreak/>
        <w:t xml:space="preserve">General information about </w:t>
      </w:r>
      <w:r w:rsidRPr="00501EF4">
        <w:t>respondent</w:t>
      </w:r>
    </w:p>
    <w:tbl>
      <w:tblPr>
        <w:tblStyle w:val="Grilledutableau"/>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EndPr/>
          <w:sdtContent>
            <w:permStart w:id="43071050" w:edGrp="everyone" w:displacedByCustomXml="prev"/>
            <w:tc>
              <w:tcPr>
                <w:tcW w:w="4531" w:type="dxa"/>
              </w:tcPr>
              <w:p w14:paraId="76683ED7" w14:textId="09D3E7EF" w:rsidR="00635BCA" w:rsidRPr="00557BD2" w:rsidRDefault="000F7556" w:rsidP="00D21C35">
                <w:r>
                  <w:t>FEBIS</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EndPr/>
          <w:sdtContent>
            <w:permStart w:id="1563696391" w:edGrp="everyone" w:displacedByCustomXml="prev"/>
            <w:tc>
              <w:tcPr>
                <w:tcW w:w="4531" w:type="dxa"/>
              </w:tcPr>
              <w:p w14:paraId="7403D812" w14:textId="1C1B764F" w:rsidR="00635BCA" w:rsidRPr="00557BD2" w:rsidRDefault="000F7556" w:rsidP="00D21C35">
                <w:r>
                  <w:t>Business information Providers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EndPr/>
          <w:sdtContent>
            <w:permStart w:id="1071191175" w:edGrp="everyone" w:displacedByCustomXml="prev"/>
            <w:tc>
              <w:tcPr>
                <w:tcW w:w="4531" w:type="dxa"/>
              </w:tcPr>
              <w:p w14:paraId="2AD81A72" w14:textId="7BC519E2" w:rsidR="00635BCA" w:rsidRPr="00557BD2" w:rsidRDefault="000F7556"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805691" w:edGrp="everyone" w:displacedByCustomXml="prev"/>
            <w:tc>
              <w:tcPr>
                <w:tcW w:w="4531" w:type="dxa"/>
              </w:tcPr>
              <w:p w14:paraId="6A619B85" w14:textId="480C6BE0" w:rsidR="00635BCA" w:rsidRPr="00557BD2" w:rsidRDefault="000F7556" w:rsidP="00D21C35">
                <w:r>
                  <w:t>Germany</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Titre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0DB3B885" w14:textId="77777777" w:rsidR="000F7556" w:rsidRDefault="000F7556" w:rsidP="007A206C">
      <w:permStart w:id="406275320" w:edGrp="everyone"/>
      <w:r>
        <w:t>We agree</w:t>
      </w:r>
      <w:r w:rsidRPr="000F7556">
        <w:t xml:space="preserve"> to not explicitly specify the validations</w:t>
      </w:r>
      <w:r>
        <w:t xml:space="preserve"> but in parallel</w:t>
      </w:r>
      <w:r w:rsidRPr="000F7556">
        <w:t xml:space="preserve"> it is relevant to know, out of the technicality, which type of information are guaranteed / validated by the collection body and not only self-declared (i.e. cross-checking them against other public data). The verifications of the accuracy and legitimate character of the information </w:t>
      </w:r>
      <w:r w:rsidRPr="000F7556">
        <w:t>submitted</w:t>
      </w:r>
      <w:r w:rsidRPr="000F7556">
        <w:t xml:space="preserve"> should be done at national level by the registers or the information which will be available in ESAP won’t be accurate.</w:t>
      </w:r>
    </w:p>
    <w:permEnd w:id="406275320"/>
    <w:p w14:paraId="3C64BF82" w14:textId="10BBBFA4"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3219C0DF" w14:textId="77777777" w:rsidR="000F7556" w:rsidRPr="000F7556" w:rsidRDefault="000F7556" w:rsidP="000F7556">
      <w:pPr>
        <w:rPr>
          <w:lang w:val="en-US"/>
        </w:rPr>
      </w:pPr>
      <w:permStart w:id="1195062243" w:edGrp="everyone"/>
      <w:r w:rsidRPr="000F7556">
        <w:rPr>
          <w:lang w:val="en-US"/>
        </w:rPr>
        <w:t>We should limit as much as possible or remove completely data-extractable information and prefer/push for having them machine-readable. In the residual cases, collection body should guarantee machine-readable information. The validation should not only consist of extracting the text but also avoiding that the information includes other data (i.e. tables, images, etc.)</w:t>
      </w:r>
    </w:p>
    <w:p w14:paraId="20FBE8B4" w14:textId="77777777" w:rsidR="007A206C" w:rsidRDefault="007A206C" w:rsidP="007A206C">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3A2A94CA" w14:textId="77777777" w:rsidR="000F7556" w:rsidRPr="000F7556" w:rsidRDefault="000F7556" w:rsidP="007A206C">
      <w:pPr>
        <w:rPr>
          <w:color w:val="auto"/>
        </w:rPr>
      </w:pPr>
      <w:permStart w:id="1726764009" w:edGrp="everyone"/>
      <w:r w:rsidRPr="000F7556">
        <w:rPr>
          <w:color w:val="auto"/>
        </w:rPr>
        <w:lastRenderedPageBreak/>
        <w:t xml:space="preserve">For both Q2 and Q3, the checks and validation will have to be made by the collection body at </w:t>
      </w:r>
      <w:r w:rsidRPr="000F7556">
        <w:rPr>
          <w:color w:val="auto"/>
          <w:u w:val="single"/>
        </w:rPr>
        <w:t>filing</w:t>
      </w:r>
      <w:r w:rsidRPr="000F7556">
        <w:rPr>
          <w:color w:val="auto"/>
        </w:rPr>
        <w:t xml:space="preserve"> </w:t>
      </w:r>
      <w:r w:rsidRPr="000F7556">
        <w:rPr>
          <w:color w:val="auto"/>
          <w:u w:val="single"/>
        </w:rPr>
        <w:t>time</w:t>
      </w:r>
      <w:r w:rsidRPr="000F7556">
        <w:rPr>
          <w:color w:val="auto"/>
        </w:rPr>
        <w:t xml:space="preserve"> by the submitting entity and </w:t>
      </w:r>
      <w:r w:rsidRPr="000F7556">
        <w:rPr>
          <w:color w:val="auto"/>
          <w:u w:val="single"/>
        </w:rPr>
        <w:t>not at transfer time</w:t>
      </w:r>
      <w:r w:rsidRPr="000F7556">
        <w:rPr>
          <w:color w:val="auto"/>
        </w:rPr>
        <w:t xml:space="preserve"> to ESAP. It is therefore important to ensure that all national collection bodies put in place similar methods or items to validate the </w:t>
      </w:r>
      <w:proofErr w:type="gramStart"/>
      <w:r w:rsidRPr="000F7556">
        <w:rPr>
          <w:color w:val="auto"/>
        </w:rPr>
        <w:t>data</w:t>
      </w:r>
      <w:proofErr w:type="gramEnd"/>
      <w:r w:rsidRPr="000F7556">
        <w:rPr>
          <w:color w:val="auto"/>
        </w:rPr>
        <w:t xml:space="preserve"> which is made available through ESAP, in order to allow comparisons to be made. Furthermore, it is important to do corrections and amendments at filing time because of the direct contact between the reporting company and the collection body taking place at that </w:t>
      </w:r>
      <w:proofErr w:type="gramStart"/>
      <w:r w:rsidRPr="000F7556">
        <w:rPr>
          <w:color w:val="auto"/>
        </w:rPr>
        <w:t>time</w:t>
      </w:r>
      <w:proofErr w:type="gramEnd"/>
    </w:p>
    <w:permEnd w:id="1726764009"/>
    <w:p w14:paraId="297D4079" w14:textId="3BC61BF0"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t>&lt;ESMA_QUESTION_ESAP_4&gt;</w:t>
      </w:r>
    </w:p>
    <w:p w14:paraId="2C2C798D" w14:textId="77777777" w:rsidR="000F7556" w:rsidRDefault="000F7556" w:rsidP="007A206C">
      <w:permStart w:id="1728526542" w:edGrp="everyone"/>
      <w:r w:rsidRPr="000F7556">
        <w:t xml:space="preserve">Regarding the LEI, not all companies having to file their annual accounts </w:t>
      </w:r>
      <w:proofErr w:type="spellStart"/>
      <w:r w:rsidRPr="000F7556">
        <w:t>cf</w:t>
      </w:r>
      <w:proofErr w:type="spellEnd"/>
      <w:r w:rsidRPr="000F7556">
        <w:t xml:space="preserve"> the directive 2013/34 do have a LEI a present time. If the LEI becomes mandatory, it should be required rapidly at national level. It will be a big challenge if all reporting companies have to register for the LEI in due time and in many countries the application to get an LEI is not that well-known nor transparent. It would be safer to allow in parallel another company identifier </w:t>
      </w:r>
      <w:proofErr w:type="gramStart"/>
      <w:r w:rsidRPr="000F7556">
        <w:t xml:space="preserve">( </w:t>
      </w:r>
      <w:proofErr w:type="spellStart"/>
      <w:r w:rsidRPr="000F7556">
        <w:t>eg</w:t>
      </w:r>
      <w:proofErr w:type="spellEnd"/>
      <w:proofErr w:type="gramEnd"/>
      <w:r w:rsidRPr="000F7556">
        <w:t xml:space="preserve"> national ID) to be also available. </w:t>
      </w:r>
    </w:p>
    <w:permEnd w:id="1728526542"/>
    <w:p w14:paraId="26C1AD66" w14:textId="3EFA877C"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2F6084F7" w:rsidR="007A206C" w:rsidRDefault="000F7556" w:rsidP="007A206C">
      <w:permStart w:id="824394787" w:edGrp="everyone"/>
      <w:r>
        <w:t>Yes</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17217D7F" w14:textId="77777777" w:rsidR="000F7556" w:rsidRDefault="000F7556" w:rsidP="000F7556">
      <w:permStart w:id="1826049044" w:edGrp="everyone"/>
      <w:r>
        <w:lastRenderedPageBreak/>
        <w:t xml:space="preserve">Yes, especially for those entities that </w:t>
      </w:r>
      <w:proofErr w:type="gramStart"/>
      <w:r>
        <w:t>have to</w:t>
      </w:r>
      <w:proofErr w:type="gramEnd"/>
      <w:r>
        <w:t xml:space="preserve"> file to different collection bodies because of different reporting requirements. It will also save time to have standardised approach there and the reporting entities should not have to report amended information to </w:t>
      </w:r>
      <w:proofErr w:type="gramStart"/>
      <w:r>
        <w:t>a large number of</w:t>
      </w:r>
      <w:proofErr w:type="gramEnd"/>
      <w:r>
        <w:t xml:space="preserve"> collection bodies but rather to have it in one single place. </w:t>
      </w:r>
    </w:p>
    <w:p w14:paraId="0A89A3A9" w14:textId="7AD828BB" w:rsidR="007A206C" w:rsidRDefault="000F7556" w:rsidP="007A206C">
      <w:r>
        <w:t xml:space="preserve">It is crucial to ensure that standardized information is shared, so that data items can be compared and are meaning the same thing, otherwise ESAP will miss its purpose. </w:t>
      </w:r>
      <w:permEnd w:id="1826049044"/>
      <w:r w:rsidR="007A206C">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2353D669" w:rsidR="007A206C" w:rsidRDefault="000F7556" w:rsidP="007A206C">
      <w:permStart w:id="1096168369" w:edGrp="everyone"/>
      <w:r>
        <w:t>Yes</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t>&lt;ESMA_QUESTION_ESAP_8&gt;</w:t>
      </w:r>
    </w:p>
    <w:p w14:paraId="4CA05954" w14:textId="14AFCF44" w:rsidR="007A206C" w:rsidRDefault="000F7556" w:rsidP="000F7556">
      <w:permStart w:id="553735427" w:edGrp="everyone"/>
      <w:r>
        <w:t xml:space="preserve">60 minutes is a </w:t>
      </w:r>
      <w:r>
        <w:t>workable</w:t>
      </w:r>
      <w:r>
        <w:t xml:space="preserve"> timeline between the availability of the information from the reporting entity to the collection body and the availability of information in ESAP. We could extend the timeline of 60 minutes </w:t>
      </w:r>
      <w:proofErr w:type="gramStart"/>
      <w:r>
        <w:t>in order to</w:t>
      </w:r>
      <w:proofErr w:type="gramEnd"/>
      <w:r>
        <w:t xml:space="preserve"> allow more broad and distributed validations from collection units. It is key that the process undergo a formal validation and that there is a feedback mechanism working, the performance of it is not key in the process. I would extend to at least a 1-day turnaround</w:t>
      </w:r>
      <w:r>
        <w:t xml:space="preserve">. </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32CBD6AE" w14:textId="77777777" w:rsidR="000F7556" w:rsidRDefault="000F7556" w:rsidP="007A206C">
      <w:permStart w:id="436031283" w:edGrp="everyone"/>
      <w:r w:rsidRPr="000F7556">
        <w:lastRenderedPageBreak/>
        <w:t xml:space="preserve">We alert on the fact that, at present time, the use of QES quite often generates technical problems for submitting entities. A very rigorous testing of QES will have to be made before they are required to submitting </w:t>
      </w:r>
      <w:proofErr w:type="gramStart"/>
      <w:r w:rsidRPr="000F7556">
        <w:t>entities</w:t>
      </w:r>
      <w:proofErr w:type="gramEnd"/>
    </w:p>
    <w:permEnd w:id="436031283"/>
    <w:p w14:paraId="6F54DADD" w14:textId="4FF98764"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55FE36D1" w14:textId="26FDF47F" w:rsidR="007A206C" w:rsidRDefault="000F7556" w:rsidP="007A206C">
      <w:permStart w:id="1486563786" w:edGrp="everyone"/>
      <w:r w:rsidRPr="000F7556">
        <w:t xml:space="preserve">Regarding the LEI, not all companies having to file their annual accounts according to the directive 2013/34 do have an LEI a present time. If the LEI becomes mandatory, it should be required rapidly at national level, </w:t>
      </w:r>
      <w:proofErr w:type="gramStart"/>
      <w:r w:rsidRPr="000F7556">
        <w:t>taking into account</w:t>
      </w:r>
      <w:proofErr w:type="gramEnd"/>
      <w:r w:rsidRPr="000F7556">
        <w:t xml:space="preserve"> also the use of confidentiality options that can be made by national transposition of the accounting directive 2013/34/EC. </w:t>
      </w:r>
      <w:permEnd w:id="1486563786"/>
      <w:r w:rsidR="007A206C">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lastRenderedPageBreak/>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3E274E7B" w14:textId="3CCFF998" w:rsidR="000F7556" w:rsidRDefault="000F7556" w:rsidP="000F7556">
      <w:permStart w:id="1638944561" w:edGrp="everyone"/>
      <w:r>
        <w:t xml:space="preserve">As data to be made available through ESAP already </w:t>
      </w:r>
      <w:proofErr w:type="gramStart"/>
      <w:r>
        <w:t>have to</w:t>
      </w:r>
      <w:proofErr w:type="gramEnd"/>
      <w:r>
        <w:t xml:space="preserve"> be publicly disclosed according to company law / financial regulations for third party information, and as the directive 2019/1024 should already be transposed and applied all over EU, it seems to us that the proposed option is the mandatory one. The only point that should be underlined is that not all countries in the world do give access to those data as easily.</w:t>
      </w:r>
    </w:p>
    <w:p w14:paraId="04FA8DAB" w14:textId="77777777" w:rsidR="000F7556" w:rsidRDefault="000F7556" w:rsidP="000F7556">
      <w:r>
        <w:t xml:space="preserve">Furthermore, there might be some issues in getting comparable cross-border </w:t>
      </w:r>
      <w:proofErr w:type="gramStart"/>
      <w:r>
        <w:t>data  as</w:t>
      </w:r>
      <w:proofErr w:type="gramEnd"/>
      <w:r>
        <w:t xml:space="preserve"> the transposition and requirements of filing information may differ from one country to the other. </w:t>
      </w:r>
    </w:p>
    <w:p w14:paraId="4E995691" w14:textId="77777777" w:rsidR="000F7556" w:rsidRDefault="000F7556" w:rsidP="007A206C">
      <w:r>
        <w:t xml:space="preserve">It is on the other hand quite important to ensure that national collection bodies do not exercise database rights nor charge prohibitive access fees to re-users wanting to access this information which </w:t>
      </w:r>
      <w:proofErr w:type="gramStart"/>
      <w:r>
        <w:t>has to</w:t>
      </w:r>
      <w:proofErr w:type="gramEnd"/>
      <w:r>
        <w:t xml:space="preserve"> be mandatorily made public by reporting entities. </w:t>
      </w:r>
    </w:p>
    <w:permEnd w:id="1638944561"/>
    <w:p w14:paraId="54FDDF50" w14:textId="11A6FF35"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2ED41FD5" w14:textId="6163F407" w:rsidR="000F7556" w:rsidRDefault="000F7556" w:rsidP="007A206C">
      <w:permStart w:id="654211918" w:edGrp="everyone"/>
      <w:r w:rsidRPr="000F7556">
        <w:t xml:space="preserve">The proposed solution is based on a “push” model where the collection bodies notify ESAP when there is a change instead of a “pull” model where ESAP would check on a consistent and constant basis if some changes haven been made to national reporting elements. The push solution can work </w:t>
      </w:r>
      <w:r w:rsidRPr="000F7556">
        <w:t>well,</w:t>
      </w:r>
      <w:r w:rsidRPr="000F7556">
        <w:t xml:space="preserve"> provided that data is </w:t>
      </w:r>
      <w:proofErr w:type="gramStart"/>
      <w:r w:rsidRPr="000F7556">
        <w:t>validated ,</w:t>
      </w:r>
      <w:proofErr w:type="gramEnd"/>
      <w:r w:rsidRPr="000F7556">
        <w:t xml:space="preserve"> accurate and is kept as much up-to-date as possible by the national registers and the national collection bodies. Data should be ultimately uniform and </w:t>
      </w:r>
      <w:r w:rsidRPr="000F7556">
        <w:t>accessible;</w:t>
      </w:r>
      <w:r w:rsidRPr="000F7556">
        <w:t xml:space="preserve"> it does not matter to support multiple </w:t>
      </w:r>
      <w:proofErr w:type="gramStart"/>
      <w:r w:rsidRPr="000F7556">
        <w:t>formats</w:t>
      </w:r>
      <w:proofErr w:type="gramEnd"/>
    </w:p>
    <w:permEnd w:id="654211918"/>
    <w:p w14:paraId="33190124" w14:textId="54E9F7CC" w:rsidR="007A206C" w:rsidRDefault="007A206C" w:rsidP="007A206C">
      <w:r>
        <w:lastRenderedPageBreak/>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2B7C1F41" w14:textId="77777777" w:rsidR="000F7556" w:rsidRDefault="000F7556" w:rsidP="000F7556">
      <w:permStart w:id="1396908232" w:edGrp="everyone"/>
      <w:r>
        <w:t xml:space="preserve">Cf the § 73 p), the reference to the directives should be added by the collection body </w:t>
      </w:r>
      <w:proofErr w:type="spellStart"/>
      <w:r>
        <w:t>cf</w:t>
      </w:r>
      <w:proofErr w:type="spellEnd"/>
      <w:r>
        <w:t xml:space="preserve"> the § 76. As a matter of fact, as a directive has been transposed into national law, submitting entities often do not know its reference.</w:t>
      </w:r>
    </w:p>
    <w:p w14:paraId="34598E38" w14:textId="4996071F" w:rsidR="000F7556" w:rsidRDefault="000F7556" w:rsidP="000F7556">
      <w:r>
        <w:t>For what concerns “the industry sector(s) of the economic activities of the natural and legal person to which the information relates” “the list of possible items to populate this field should be based on the taxonomy of elements”. No</w:t>
      </w:r>
      <w:r>
        <w:t>w</w:t>
      </w:r>
      <w:r>
        <w:t>, it is need</w:t>
      </w:r>
      <w:r>
        <w:t>ed</w:t>
      </w:r>
      <w:r>
        <w:t xml:space="preserve"> to disclose the information both in NACE code structure as well as using taxonomy dictionaries. </w:t>
      </w:r>
    </w:p>
    <w:p w14:paraId="49E39425" w14:textId="77777777" w:rsidR="000F7556" w:rsidRDefault="000F7556" w:rsidP="007A206C">
      <w:r>
        <w:t>Given LEI code is considered the unique identifier of companies, to be documented if/how it is expected to be addressed the fact that not all companies have a LEI code assigned. As of December 2023, only 1.6M entities were assigned with a LEI number by GLEIF in all EU.</w:t>
      </w:r>
    </w:p>
    <w:permEnd w:id="1396908232"/>
    <w:p w14:paraId="608D25D0" w14:textId="1B9BFA71"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36773399" w14:textId="12AAD13F" w:rsidR="00381307" w:rsidRDefault="000F7556" w:rsidP="007A206C">
      <w:permStart w:id="1817079671" w:edGrp="everyone"/>
      <w:r w:rsidRPr="000F7556">
        <w:t xml:space="preserve">No, the timeliness of the information is key but on the other side the size of data published might not be irrelevant. A full day delay between publication in local collection sites and ESAP is acceptable and allows better distribution of the workload using also nightly </w:t>
      </w:r>
      <w:r w:rsidR="00381307" w:rsidRPr="000F7556">
        <w:t>cycles.</w:t>
      </w:r>
    </w:p>
    <w:permEnd w:id="1817079671"/>
    <w:p w14:paraId="4FEBB74F" w14:textId="384E7F52"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lastRenderedPageBreak/>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2C072FBD" w14:textId="4FF03042" w:rsidR="00381307" w:rsidRDefault="00381307" w:rsidP="00381307">
      <w:permStart w:id="1031027166" w:edGrp="everyone"/>
      <w:r>
        <w:t xml:space="preserve">It depends </w:t>
      </w:r>
      <w:proofErr w:type="gramStart"/>
      <w:r>
        <w:t>of</w:t>
      </w:r>
      <w:proofErr w:type="gramEnd"/>
      <w:r>
        <w:t xml:space="preserve"> the type of information</w:t>
      </w:r>
      <w:r>
        <w:t xml:space="preserve"> and e</w:t>
      </w:r>
      <w:r>
        <w:t xml:space="preserve">ven </w:t>
      </w:r>
      <w:r>
        <w:t>one</w:t>
      </w:r>
      <w:r>
        <w:t xml:space="preserve"> day </w:t>
      </w:r>
      <w:r>
        <w:t>could be an</w:t>
      </w:r>
      <w:r>
        <w:t xml:space="preserve"> acceptable time for publishing information</w:t>
      </w:r>
    </w:p>
    <w:p w14:paraId="6C951F7A" w14:textId="77777777" w:rsidR="00381307" w:rsidRDefault="00381307" w:rsidP="007A206C">
      <w:r>
        <w:t xml:space="preserve">We would also like to stress the issue of the scope which has been greatly enlarged from the </w:t>
      </w:r>
      <w:r>
        <w:t>original</w:t>
      </w:r>
      <w:r>
        <w:t xml:space="preserve"> Commission proposal which was focusing on listed companies only. As the ESAM webinar has made clear that the scope of ESAP was now on all companies having to report at national level, FEBIS members stress that the costs incurred to manage this will be much higher than what was expected in the original Impact Assessment and that it obviously won’t be possible to rely on public money to sustain this. Moreover, the change of scope raises questions regarding fair competitive landscape with private actors and the </w:t>
      </w:r>
      <w:r>
        <w:t>validation</w:t>
      </w:r>
      <w:r>
        <w:t xml:space="preserve"> checks that will need to be done to ensure that illegitimate reuse of what will be free and open data is not made. </w:t>
      </w:r>
    </w:p>
    <w:permEnd w:id="1031027166"/>
    <w:p w14:paraId="141BCDA0" w14:textId="4ADF1E2A"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4E037554" w14:textId="77777777" w:rsidR="00381307" w:rsidRDefault="00381307" w:rsidP="007A206C">
      <w:permStart w:id="1832207884" w:edGrp="everyone"/>
      <w:r w:rsidRPr="00381307">
        <w:t xml:space="preserve">Yes, we agree that the definition of “machine readable” should be XML, JSON, XBRL and </w:t>
      </w:r>
      <w:proofErr w:type="spellStart"/>
      <w:r w:rsidRPr="00381307">
        <w:t>iXBRL</w:t>
      </w:r>
      <w:proofErr w:type="spellEnd"/>
      <w:r w:rsidRPr="00381307">
        <w:t xml:space="preserve"> (i.e. </w:t>
      </w:r>
      <w:proofErr w:type="spellStart"/>
      <w:r w:rsidRPr="00381307">
        <w:t>xHTML</w:t>
      </w:r>
      <w:proofErr w:type="spellEnd"/>
      <w:r w:rsidRPr="00381307">
        <w:t xml:space="preserve"> with XBRL tags) and that the definition of “data extractable” should be PDF and </w:t>
      </w:r>
      <w:proofErr w:type="spellStart"/>
      <w:r w:rsidRPr="00381307">
        <w:t>xHTML</w:t>
      </w:r>
      <w:proofErr w:type="spellEnd"/>
      <w:r w:rsidRPr="00381307">
        <w:t xml:space="preserve"> (i.e. </w:t>
      </w:r>
      <w:proofErr w:type="spellStart"/>
      <w:r w:rsidRPr="00381307">
        <w:t>xHTML</w:t>
      </w:r>
      <w:proofErr w:type="spellEnd"/>
      <w:r w:rsidRPr="00381307">
        <w:t xml:space="preserve"> without XBRL tags).</w:t>
      </w:r>
    </w:p>
    <w:permEnd w:id="1832207884"/>
    <w:p w14:paraId="00FC093E" w14:textId="3B192093"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13A25A26" w14:textId="003D65D4" w:rsidR="00381307" w:rsidRPr="00381307" w:rsidRDefault="00381307" w:rsidP="007A206C">
      <w:pPr>
        <w:rPr>
          <w:color w:val="auto"/>
        </w:rPr>
      </w:pPr>
      <w:permStart w:id="1123965946" w:edGrp="everyone"/>
      <w:r w:rsidRPr="00381307">
        <w:rPr>
          <w:color w:val="auto"/>
        </w:rPr>
        <w:t>We agree but</w:t>
      </w:r>
      <w:r w:rsidRPr="00381307">
        <w:rPr>
          <w:color w:val="auto"/>
        </w:rPr>
        <w:t xml:space="preserve"> take the opportunity to highlight how important it is to have technical documentation that matches perfectly well with files </w:t>
      </w:r>
      <w:proofErr w:type="spellStart"/>
      <w:proofErr w:type="gramStart"/>
      <w:r w:rsidRPr="00381307">
        <w:rPr>
          <w:color w:val="auto"/>
        </w:rPr>
        <w:t>content.Il</w:t>
      </w:r>
      <w:proofErr w:type="spellEnd"/>
      <w:proofErr w:type="gramEnd"/>
      <w:r w:rsidRPr="00381307">
        <w:rPr>
          <w:color w:val="auto"/>
        </w:rPr>
        <w:t xml:space="preserve"> is also imperative that APIs and servers can manage a high number of requests, without implementing quotas.</w:t>
      </w:r>
      <w:r w:rsidRPr="00381307">
        <w:rPr>
          <w:color w:val="auto"/>
        </w:rPr>
        <w:t xml:space="preserve">  </w:t>
      </w:r>
      <w:r w:rsidRPr="00381307">
        <w:rPr>
          <w:color w:val="auto"/>
        </w:rPr>
        <w:t xml:space="preserve">Re “However, in light of the empowerment allowing ESMA to charge fees for specific services (article 8, paragraph 2), access to the API could be subject to authentication and access control for users of those specific services which may be subject to fees.” It is required to rule which are the services and </w:t>
      </w:r>
      <w:proofErr w:type="gramStart"/>
      <w:r w:rsidRPr="00381307">
        <w:rPr>
          <w:color w:val="auto"/>
        </w:rPr>
        <w:t>fees</w:t>
      </w:r>
      <w:proofErr w:type="gramEnd"/>
    </w:p>
    <w:permEnd w:id="1123965946"/>
    <w:p w14:paraId="23A65E6C" w14:textId="45D83CD4"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771A46CC" w14:textId="77777777" w:rsidR="00381307" w:rsidRDefault="00381307" w:rsidP="00381307">
      <w:permStart w:id="1658737231" w:edGrp="everyone"/>
      <w:r>
        <w:t xml:space="preserve">We do understand the reason, but have also noticed that “It should be clarified that all legal entities in scope of ESAP will be expected to obtain an LEI since an LEI is available to </w:t>
      </w:r>
      <w:proofErr w:type="gramStart"/>
      <w:r>
        <w:t>them”</w:t>
      </w:r>
      <w:proofErr w:type="gramEnd"/>
    </w:p>
    <w:p w14:paraId="461B02B6" w14:textId="77777777" w:rsidR="00381307" w:rsidRDefault="00381307" w:rsidP="00381307">
      <w:r>
        <w:t>The question is not so much to obtain an LEI than to know that it will be soon mandatory to have one. The examples given in the § 101 are financial markets legislation. Which is not the case of the directive 2013/34, that also impacts non listed companies and companies outside the financial sector.</w:t>
      </w:r>
    </w:p>
    <w:p w14:paraId="1543CAAC" w14:textId="77777777" w:rsidR="00381307" w:rsidRDefault="00381307" w:rsidP="00381307">
      <w:r>
        <w:t>Information available from the GLEIF database are not always fully accurate / up to date.</w:t>
      </w:r>
    </w:p>
    <w:p w14:paraId="42E6FC05" w14:textId="77777777" w:rsidR="00381307" w:rsidRDefault="00381307" w:rsidP="007A206C">
      <w:r>
        <w:t xml:space="preserve">Therefore, we do strongly suggest </w:t>
      </w:r>
      <w:proofErr w:type="gramStart"/>
      <w:r>
        <w:t>to add</w:t>
      </w:r>
      <w:proofErr w:type="gramEnd"/>
      <w:r>
        <w:t xml:space="preserve"> a national identifier, which should be checked by the collecting body. </w:t>
      </w:r>
    </w:p>
    <w:permEnd w:id="1658737231"/>
    <w:p w14:paraId="4434DFD8" w14:textId="26B32D8B"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5AA23F44" w14:textId="77777777" w:rsidR="00381307" w:rsidRDefault="00381307" w:rsidP="007A206C">
      <w:permStart w:id="630529236" w:edGrp="everyone"/>
      <w:r w:rsidRPr="00381307">
        <w:t>We do agree with the approach described in § 110. Not all users will be informed ones, and for sure not about the different options to be used by each national legislation.</w:t>
      </w:r>
    </w:p>
    <w:permEnd w:id="630529236"/>
    <w:p w14:paraId="083BB48C" w14:textId="213A74DE"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0BDA4F8" w14:textId="77777777" w:rsidR="00381307" w:rsidRDefault="00381307" w:rsidP="007A206C">
      <w:permStart w:id="1947600168" w:edGrp="everyone"/>
      <w:r w:rsidRPr="00381307">
        <w:t xml:space="preserve">We strongly encourage not to use generic categories and to be as specific as possible </w:t>
      </w:r>
      <w:proofErr w:type="gramStart"/>
      <w:r w:rsidRPr="00381307">
        <w:t>in order to</w:t>
      </w:r>
      <w:proofErr w:type="gramEnd"/>
      <w:r w:rsidRPr="00381307">
        <w:t xml:space="preserve"> allow comparison and comparable data. If </w:t>
      </w:r>
      <w:proofErr w:type="gramStart"/>
      <w:r w:rsidRPr="00381307">
        <w:t>possible</w:t>
      </w:r>
      <w:proofErr w:type="gramEnd"/>
      <w:r w:rsidRPr="00381307">
        <w:t xml:space="preserve"> to split it into specific types it could ease the consumption of the data not forcing the user to know the laws of member states</w:t>
      </w:r>
    </w:p>
    <w:permEnd w:id="1947600168"/>
    <w:p w14:paraId="0CB36B75" w14:textId="10A122B8"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9AB89B7" w14:textId="77777777" w:rsidR="00381307" w:rsidRDefault="00381307" w:rsidP="00381307">
      <w:permStart w:id="412037857" w:edGrp="everyone"/>
      <w:r>
        <w:t>As the same size category might mean different things under different regulations and directives, there is no other option than selecting 1) the specific legislation and then 2) the size.</w:t>
      </w:r>
    </w:p>
    <w:p w14:paraId="03151B71" w14:textId="33F41A8E" w:rsidR="00381307" w:rsidRDefault="00381307" w:rsidP="00381307">
      <w:r>
        <w:t xml:space="preserve">According to directives, we alert about the potential use by Member States of options </w:t>
      </w:r>
      <w:proofErr w:type="spellStart"/>
      <w:r>
        <w:t>cf</w:t>
      </w:r>
      <w:proofErr w:type="spellEnd"/>
      <w:r>
        <w:t xml:space="preserve"> the size, such as for example the confidentiality option of annual accounts for micro and small companies triggered by France in its implementation of the 2013/34/EC directive. </w:t>
      </w:r>
      <w:proofErr w:type="gramStart"/>
      <w:r>
        <w:t>And,</w:t>
      </w:r>
      <w:proofErr w:type="gramEnd"/>
      <w:r>
        <w:t xml:space="preserve"> </w:t>
      </w:r>
      <w:proofErr w:type="spellStart"/>
      <w:r>
        <w:t>cf</w:t>
      </w:r>
      <w:proofErr w:type="spellEnd"/>
      <w:r>
        <w:t xml:space="preserve"> our answer to Q16, as a directive has been transposed into national law, submitting entities and users often do not know its reference. In that case, some reference to national law would be welcome.</w:t>
      </w:r>
    </w:p>
    <w:p w14:paraId="11C3D04A" w14:textId="77777777" w:rsidR="00381307" w:rsidRDefault="00381307" w:rsidP="007A206C">
      <w:r>
        <w:lastRenderedPageBreak/>
        <w:t xml:space="preserve">Unless it </w:t>
      </w:r>
      <w:proofErr w:type="gramStart"/>
      <w:r>
        <w:t>is  possible</w:t>
      </w:r>
      <w:proofErr w:type="gramEnd"/>
      <w:r>
        <w:t xml:space="preserve"> to provide a unique classification of company size harmonized across all legislations otherwise it is not a viable approach to have a not standardized approach. Worst but most effective compromise between ease of use and different interpretations is to provide as many classifications as currently regulated. I.e. there will not be 1 metadata company size but company size + regulation (so that the same company will be known as S for directive X and M for directive Y). It </w:t>
      </w:r>
      <w:proofErr w:type="spellStart"/>
      <w:proofErr w:type="gramStart"/>
      <w:r>
        <w:t>looses</w:t>
      </w:r>
      <w:proofErr w:type="spellEnd"/>
      <w:proofErr w:type="gramEnd"/>
      <w:r>
        <w:t xml:space="preserve"> standardization but allows easy lookup by use-case</w:t>
      </w:r>
    </w:p>
    <w:permEnd w:id="412037857"/>
    <w:p w14:paraId="3772932F" w14:textId="6B9D6F4D"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0F77F654" w14:textId="77777777" w:rsidR="00381307" w:rsidRDefault="00381307" w:rsidP="007A206C">
      <w:permStart w:id="1281185188" w:edGrp="everyone"/>
      <w:r w:rsidRPr="00381307">
        <w:t xml:space="preserve">Yes, not only </w:t>
      </w:r>
      <w:proofErr w:type="spellStart"/>
      <w:r w:rsidRPr="00381307">
        <w:t>disporportionate</w:t>
      </w:r>
      <w:proofErr w:type="spellEnd"/>
      <w:r w:rsidRPr="00381307">
        <w:t xml:space="preserve"> but most likely to fail as approach. Suggested to use ESAP to report all classifications of the companies as per existing directives, when new directives will come in force will be assigned with dedicated metadata, complementary to the </w:t>
      </w:r>
      <w:proofErr w:type="gramStart"/>
      <w:r w:rsidRPr="00381307">
        <w:t>others</w:t>
      </w:r>
      <w:proofErr w:type="gramEnd"/>
    </w:p>
    <w:permEnd w:id="1281185188"/>
    <w:p w14:paraId="42F2AE90" w14:textId="7BBCA7A2"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143A8F5F" w14:textId="77777777" w:rsidR="00381307" w:rsidRDefault="00381307" w:rsidP="007A206C">
      <w:permStart w:id="1389058679" w:edGrp="everyone"/>
      <w:r w:rsidRPr="00381307">
        <w:t xml:space="preserve">It would be useful to add scope and size descriptions put in place by DORA but this risks also to jeopardise the </w:t>
      </w:r>
      <w:r w:rsidRPr="00381307">
        <w:t>fluidity</w:t>
      </w:r>
      <w:r w:rsidRPr="00381307">
        <w:t xml:space="preserve"> of the </w:t>
      </w:r>
      <w:proofErr w:type="gramStart"/>
      <w:r w:rsidRPr="00381307">
        <w:t>user  experience</w:t>
      </w:r>
      <w:proofErr w:type="gramEnd"/>
      <w:r w:rsidRPr="00381307">
        <w:t xml:space="preserve"> and the possibility to have comparable data. </w:t>
      </w:r>
    </w:p>
    <w:permEnd w:id="1389058679"/>
    <w:p w14:paraId="7718EF4C" w14:textId="24596313"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E926668" w14:textId="228BD73F" w:rsidR="00381307" w:rsidRPr="00381307" w:rsidRDefault="00381307" w:rsidP="00381307">
      <w:pPr>
        <w:rPr>
          <w:rFonts w:eastAsiaTheme="minorHAnsi"/>
          <w:color w:val="auto"/>
        </w:rPr>
      </w:pPr>
      <w:permStart w:id="1185285024" w:edGrp="everyone"/>
      <w:r w:rsidRPr="00381307">
        <w:rPr>
          <w:color w:val="auto"/>
        </w:rPr>
        <w:t xml:space="preserve">We suggest </w:t>
      </w:r>
      <w:proofErr w:type="gramStart"/>
      <w:r w:rsidRPr="00381307">
        <w:rPr>
          <w:color w:val="auto"/>
        </w:rPr>
        <w:t>to use</w:t>
      </w:r>
      <w:proofErr w:type="gramEnd"/>
      <w:r w:rsidRPr="00381307">
        <w:rPr>
          <w:color w:val="auto"/>
        </w:rPr>
        <w:t xml:space="preserve"> the 2d level of the NACE classification, as the 1</w:t>
      </w:r>
      <w:r w:rsidRPr="00381307">
        <w:rPr>
          <w:color w:val="auto"/>
          <w:vertAlign w:val="superscript"/>
        </w:rPr>
        <w:t>st</w:t>
      </w:r>
      <w:r w:rsidRPr="00381307">
        <w:rPr>
          <w:color w:val="auto"/>
        </w:rPr>
        <w:t xml:space="preserve"> one is too generic.</w:t>
      </w:r>
      <w:r w:rsidRPr="00381307">
        <w:rPr>
          <w:color w:val="auto"/>
        </w:rPr>
        <w:t xml:space="preserve"> And </w:t>
      </w:r>
      <w:proofErr w:type="gramStart"/>
      <w:r w:rsidRPr="00381307">
        <w:rPr>
          <w:color w:val="auto"/>
        </w:rPr>
        <w:t>also</w:t>
      </w:r>
      <w:proofErr w:type="gramEnd"/>
      <w:r w:rsidRPr="00381307">
        <w:rPr>
          <w:color w:val="auto"/>
        </w:rPr>
        <w:t xml:space="preserve"> the </w:t>
      </w:r>
      <w:r w:rsidRPr="00381307">
        <w:rPr>
          <w:rFonts w:eastAsiaTheme="minorHAnsi"/>
          <w:color w:val="auto"/>
        </w:rPr>
        <w:t>NACE code but also providing the EU taxonomy related mapping</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27B9E574" w14:textId="77777777" w:rsidR="00381307" w:rsidRDefault="00381307" w:rsidP="007A206C">
      <w:permStart w:id="268372919" w:edGrp="everyone"/>
      <w:r w:rsidRPr="00381307">
        <w:t xml:space="preserve">No, we should leverage already existing and standard classification codes. The only one next to NACE is EU taxonomy </w:t>
      </w:r>
      <w:proofErr w:type="gramStart"/>
      <w:r w:rsidRPr="00381307">
        <w:t>activities</w:t>
      </w:r>
      <w:proofErr w:type="gramEnd"/>
    </w:p>
    <w:permEnd w:id="268372919"/>
    <w:p w14:paraId="4AF1677D" w14:textId="370A786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24893" w14:textId="77777777" w:rsidR="00D06F7D" w:rsidRDefault="00D06F7D" w:rsidP="007E7997">
      <w:pPr>
        <w:spacing w:line="240" w:lineRule="auto"/>
      </w:pPr>
      <w:r>
        <w:separator/>
      </w:r>
    </w:p>
  </w:endnote>
  <w:endnote w:type="continuationSeparator" w:id="0">
    <w:p w14:paraId="47861AEB" w14:textId="77777777" w:rsidR="00D06F7D" w:rsidRDefault="00D06F7D" w:rsidP="007E7997">
      <w:pPr>
        <w:spacing w:line="240" w:lineRule="auto"/>
      </w:pPr>
      <w:r>
        <w:continuationSeparator/>
      </w:r>
    </w:p>
  </w:endnote>
  <w:endnote w:type="continuationNotice" w:id="1">
    <w:p w14:paraId="2C03B202" w14:textId="77777777" w:rsidR="00D06F7D" w:rsidRDefault="00D06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eddepag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AA708" w14:textId="77777777" w:rsidR="00D06F7D" w:rsidRDefault="00D06F7D" w:rsidP="007E7997">
      <w:pPr>
        <w:spacing w:line="240" w:lineRule="auto"/>
      </w:pPr>
      <w:r>
        <w:separator/>
      </w:r>
    </w:p>
  </w:footnote>
  <w:footnote w:type="continuationSeparator" w:id="0">
    <w:p w14:paraId="5A4F4A6F" w14:textId="77777777" w:rsidR="00D06F7D" w:rsidRDefault="00D06F7D" w:rsidP="007E7997">
      <w:pPr>
        <w:spacing w:line="240" w:lineRule="auto"/>
      </w:pPr>
      <w:r>
        <w:continuationSeparator/>
      </w:r>
    </w:p>
  </w:footnote>
  <w:footnote w:type="continuationNotice" w:id="1">
    <w:p w14:paraId="7D6A7F0C" w14:textId="77777777" w:rsidR="00D06F7D" w:rsidRDefault="00D06F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42034" w14:textId="722144D6" w:rsidR="00D77369" w:rsidRPr="008858FE" w:rsidRDefault="00D77369" w:rsidP="008858FE">
    <w:pPr>
      <w:pStyle w:val="En-tte"/>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En-tt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34B74" w14:textId="7D6DC2CF" w:rsidR="00AD0B10" w:rsidRDefault="00AD0B10" w:rsidP="00AD0B10">
    <w:pPr>
      <w:pStyle w:val="En-tte"/>
    </w:pPr>
  </w:p>
  <w:p w14:paraId="76D78551" w14:textId="45227A06" w:rsidR="00AD0B10" w:rsidRDefault="00AD0B10" w:rsidP="00AD0B10">
    <w:pPr>
      <w:pStyle w:val="En-tte"/>
    </w:pPr>
  </w:p>
  <w:p w14:paraId="56B00CEC" w14:textId="77777777" w:rsidR="00AD0B10" w:rsidRPr="0043139E" w:rsidRDefault="00AD0B10" w:rsidP="00AD0B10">
    <w:pPr>
      <w:pStyle w:val="En-tte"/>
    </w:pPr>
  </w:p>
  <w:p w14:paraId="68227DE6" w14:textId="77777777" w:rsidR="00AD0B10" w:rsidRPr="0043139E" w:rsidRDefault="00AD0B10" w:rsidP="00AD0B10">
    <w:pPr>
      <w:pStyle w:val="En-tte"/>
    </w:pPr>
  </w:p>
  <w:p w14:paraId="0E44DBD1" w14:textId="77777777" w:rsidR="00AD0B10" w:rsidRPr="0043139E" w:rsidRDefault="00AD0B10" w:rsidP="00AD0B10">
    <w:pPr>
      <w:pStyle w:val="En-tt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En-tte"/>
    </w:pPr>
  </w:p>
  <w:p w14:paraId="706EF268" w14:textId="77777777" w:rsidR="00AD0B10" w:rsidRPr="0043139E" w:rsidRDefault="00AD0B10" w:rsidP="00AD0B10">
    <w:pPr>
      <w:pStyle w:val="En-tte"/>
    </w:pPr>
  </w:p>
  <w:p w14:paraId="6B568202" w14:textId="77777777" w:rsidR="00AD0B10" w:rsidRPr="0043139E" w:rsidRDefault="00AD0B10" w:rsidP="00AD0B10">
    <w:pPr>
      <w:pStyle w:val="En-tte"/>
    </w:pPr>
  </w:p>
  <w:p w14:paraId="70C66BCD" w14:textId="77777777" w:rsidR="00AD0B10" w:rsidRPr="0043139E" w:rsidRDefault="00AD0B10" w:rsidP="00AD0B10">
    <w:pPr>
      <w:pStyle w:val="En-tte"/>
    </w:pPr>
  </w:p>
  <w:p w14:paraId="07229907" w14:textId="77777777" w:rsidR="00AD0B10" w:rsidRPr="0043139E" w:rsidRDefault="00AD0B10" w:rsidP="00AD0B10">
    <w:pPr>
      <w:pStyle w:val="En-tte"/>
    </w:pPr>
  </w:p>
  <w:p w14:paraId="55555744" w14:textId="77777777" w:rsidR="00AD0B10" w:rsidRPr="0043139E" w:rsidRDefault="00AD0B10" w:rsidP="00AD0B10">
    <w:pPr>
      <w:pStyle w:val="En-tte"/>
    </w:pPr>
  </w:p>
  <w:p w14:paraId="4601AE9C" w14:textId="77777777" w:rsidR="00AD0B10" w:rsidRDefault="00AD0B10" w:rsidP="00AD0B10">
    <w:pPr>
      <w:pStyle w:val="En-tte"/>
    </w:pPr>
  </w:p>
  <w:p w14:paraId="49946785" w14:textId="77777777" w:rsidR="00AD0B10" w:rsidRPr="0043139E" w:rsidRDefault="00AD0B10" w:rsidP="00AD0B10">
    <w:pPr>
      <w:pStyle w:val="En-tte"/>
    </w:pPr>
  </w:p>
  <w:p w14:paraId="72BAD19F" w14:textId="77777777" w:rsidR="008858FE" w:rsidRPr="00AD0B10" w:rsidRDefault="008858FE" w:rsidP="00AD0B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Paragraphedeliste"/>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Titre1"/>
      <w:lvlText w:val="%1"/>
      <w:lvlJc w:val="left"/>
      <w:pPr>
        <w:ind w:left="4686" w:hanging="432"/>
      </w:pPr>
    </w:lvl>
    <w:lvl w:ilvl="1">
      <w:start w:val="1"/>
      <w:numFmt w:val="decimal"/>
      <w:pStyle w:val="Titre2"/>
      <w:lvlText w:val="%1.%2"/>
      <w:lvlJc w:val="left"/>
      <w:pPr>
        <w:ind w:left="8230"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556"/>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307"/>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Titre1">
    <w:name w:val="heading 1"/>
    <w:basedOn w:val="Normal"/>
    <w:next w:val="Normal"/>
    <w:link w:val="Titre1C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re2">
    <w:name w:val="heading 2"/>
    <w:basedOn w:val="Normal"/>
    <w:next w:val="Normal"/>
    <w:link w:val="Titre2C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re3">
    <w:name w:val="heading 3"/>
    <w:basedOn w:val="Normal"/>
    <w:next w:val="Normal"/>
    <w:link w:val="Titre3C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re4">
    <w:name w:val="heading 4"/>
    <w:basedOn w:val="Normal"/>
    <w:next w:val="Normal"/>
    <w:link w:val="Titre4C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re6">
    <w:name w:val="heading 6"/>
    <w:basedOn w:val="Normal"/>
    <w:next w:val="Normal"/>
    <w:link w:val="Titre6C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re7">
    <w:name w:val="heading 7"/>
    <w:basedOn w:val="Normal"/>
    <w:next w:val="Normal"/>
    <w:link w:val="Titre7C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re8">
    <w:name w:val="heading 8"/>
    <w:basedOn w:val="Normal"/>
    <w:next w:val="Normal"/>
    <w:link w:val="Titre8C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re9">
    <w:name w:val="heading 9"/>
    <w:basedOn w:val="Normal"/>
    <w:next w:val="Normal"/>
    <w:link w:val="Titre9C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re3Car">
    <w:name w:val="Titre 3 Car"/>
    <w:basedOn w:val="Policepardfaut"/>
    <w:link w:val="Titre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re1Car">
    <w:name w:val="Titre 1 Car"/>
    <w:basedOn w:val="Policepardfaut"/>
    <w:link w:val="Titre1"/>
    <w:uiPriority w:val="9"/>
    <w:rsid w:val="0082744A"/>
    <w:rPr>
      <w:rFonts w:asciiTheme="majorHAnsi" w:eastAsiaTheme="majorEastAsia" w:hAnsiTheme="majorHAnsi" w:cstheme="majorBidi"/>
      <w:b/>
      <w:color w:val="00379F" w:themeColor="text1"/>
      <w:sz w:val="32"/>
      <w:szCs w:val="32"/>
      <w:lang w:val="en-GB"/>
    </w:rPr>
  </w:style>
  <w:style w:type="character" w:customStyle="1" w:styleId="Titre2Car">
    <w:name w:val="Titre 2 Car"/>
    <w:basedOn w:val="Policepardfaut"/>
    <w:link w:val="Titre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qFormat/>
    <w:rsid w:val="00F205B9"/>
    <w:pPr>
      <w:numPr>
        <w:numId w:val="0"/>
      </w:numPr>
      <w:ind w:left="792" w:hanging="432"/>
    </w:pPr>
    <w:rPr>
      <w:b/>
      <w:color w:val="00379F" w:themeColor="text1"/>
      <w:sz w:val="28"/>
    </w:rPr>
  </w:style>
  <w:style w:type="character" w:customStyle="1" w:styleId="Title1Char">
    <w:name w:val="Title 1 Char"/>
    <w:basedOn w:val="Policepardfaut"/>
    <w:link w:val="Title1"/>
    <w:rsid w:val="00F205B9"/>
    <w:rPr>
      <w:rFonts w:asciiTheme="majorHAnsi" w:hAnsiTheme="majorHAnsi" w:cstheme="majorHAnsi"/>
      <w:b/>
      <w:color w:val="00379F" w:themeColor="text1"/>
      <w:sz w:val="28"/>
      <w:szCs w:val="22"/>
      <w:lang w:val="pt-PT"/>
    </w:rPr>
  </w:style>
  <w:style w:type="paragraph" w:styleId="Paragraphedeliste">
    <w:name w:val="List Paragraph"/>
    <w:aliases w:val="Paragraphe EI,Paragraphe de liste1,EC"/>
    <w:basedOn w:val="Normal"/>
    <w:link w:val="ParagraphedelisteC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Paragraphedeliste"/>
    <w:link w:val="Title3Char"/>
    <w:autoRedefine/>
    <w:rsid w:val="00F205B9"/>
    <w:pPr>
      <w:numPr>
        <w:ilvl w:val="3"/>
        <w:numId w:val="4"/>
      </w:numPr>
    </w:pPr>
  </w:style>
  <w:style w:type="character" w:customStyle="1" w:styleId="Title3Char">
    <w:name w:val="Title 3 Char"/>
    <w:basedOn w:val="Policepardfau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Policepardfau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spacing w:after="0"/>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re">
    <w:name w:val="Title"/>
    <w:basedOn w:val="Normal"/>
    <w:next w:val="Normal"/>
    <w:link w:val="TitreC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reCar">
    <w:name w:val="Titre Car"/>
    <w:basedOn w:val="Policepardfaut"/>
    <w:link w:val="Titre"/>
    <w:uiPriority w:val="10"/>
    <w:rsid w:val="00516CBA"/>
    <w:rPr>
      <w:rFonts w:asciiTheme="majorHAnsi" w:eastAsiaTheme="majorEastAsia" w:hAnsiTheme="majorHAnsi" w:cstheme="majorBidi"/>
      <w:b/>
      <w:color w:val="00379F" w:themeColor="text1"/>
      <w:spacing w:val="-10"/>
      <w:sz w:val="56"/>
      <w:szCs w:val="56"/>
      <w:lang w:val="en-GB"/>
    </w:rPr>
  </w:style>
  <w:style w:type="paragraph" w:styleId="Sous-titre">
    <w:name w:val="Subtitle"/>
    <w:basedOn w:val="Normal"/>
    <w:next w:val="Normal"/>
    <w:link w:val="Sous-titreC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us-titreCar">
    <w:name w:val="Sous-titre Car"/>
    <w:basedOn w:val="Policepardfaut"/>
    <w:link w:val="Sous-titre"/>
    <w:uiPriority w:val="11"/>
    <w:rsid w:val="0082744A"/>
    <w:rPr>
      <w:rFonts w:asciiTheme="majorHAnsi" w:eastAsiaTheme="majorEastAsia" w:hAnsiTheme="majorHAnsi" w:cstheme="majorBidi"/>
      <w:sz w:val="28"/>
      <w:szCs w:val="24"/>
      <w:lang w:val="en-GB"/>
    </w:rPr>
  </w:style>
  <w:style w:type="character" w:customStyle="1" w:styleId="Titre7Car">
    <w:name w:val="Titre 7 Car"/>
    <w:basedOn w:val="Policepardfaut"/>
    <w:link w:val="Titre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re8Car">
    <w:name w:val="Titre 8 Car"/>
    <w:basedOn w:val="Policepardfaut"/>
    <w:link w:val="Titre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re9Car">
    <w:name w:val="Titre 9 Car"/>
    <w:basedOn w:val="Policepardfaut"/>
    <w:link w:val="Titre9"/>
    <w:uiPriority w:val="9"/>
    <w:semiHidden/>
    <w:rsid w:val="00AA054E"/>
    <w:rPr>
      <w:rFonts w:asciiTheme="majorHAnsi" w:eastAsiaTheme="majorEastAsia" w:hAnsiTheme="majorHAnsi" w:cstheme="majorBidi"/>
      <w:b/>
      <w:bCs/>
      <w:i/>
      <w:iCs/>
      <w:color w:val="007EFF" w:themeColor="text2"/>
      <w:sz w:val="22"/>
      <w:lang w:val="en-GB"/>
    </w:rPr>
  </w:style>
  <w:style w:type="paragraph" w:styleId="Lgende">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0055F7" w:themeColor="text1" w:themeTint="BF"/>
    </w:rPr>
  </w:style>
  <w:style w:type="character" w:customStyle="1" w:styleId="CitationCar">
    <w:name w:val="Citation Car"/>
    <w:basedOn w:val="Policepardfaut"/>
    <w:link w:val="Citation"/>
    <w:uiPriority w:val="29"/>
    <w:rsid w:val="00AA054E"/>
    <w:rPr>
      <w:i/>
      <w:iCs/>
      <w:color w:val="0055F7" w:themeColor="text1" w:themeTint="BF"/>
    </w:rPr>
  </w:style>
  <w:style w:type="paragraph" w:styleId="Citationintense">
    <w:name w:val="Intense Quote"/>
    <w:basedOn w:val="Normal"/>
    <w:next w:val="Normal"/>
    <w:link w:val="CitationintenseC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34009F" w:themeColor="accent1"/>
      <w:sz w:val="28"/>
      <w:szCs w:val="28"/>
    </w:rPr>
  </w:style>
  <w:style w:type="character" w:styleId="Accentuationlgre">
    <w:name w:val="Subtle Emphasis"/>
    <w:basedOn w:val="Policepardfaut"/>
    <w:uiPriority w:val="19"/>
    <w:qFormat/>
    <w:rsid w:val="00AA054E"/>
    <w:rPr>
      <w:i/>
      <w:iCs/>
      <w:color w:val="0055F7" w:themeColor="text1" w:themeTint="BF"/>
    </w:rPr>
  </w:style>
  <w:style w:type="character" w:styleId="Accentuationintense">
    <w:name w:val="Intense Emphasis"/>
    <w:basedOn w:val="Policepardfaut"/>
    <w:uiPriority w:val="21"/>
    <w:qFormat/>
    <w:rsid w:val="00AA054E"/>
    <w:rPr>
      <w:b/>
      <w:bCs/>
      <w:i/>
      <w:iCs/>
    </w:rPr>
  </w:style>
  <w:style w:type="character" w:styleId="Rfrencelgre">
    <w:name w:val="Subtle Reference"/>
    <w:basedOn w:val="Policepardfaut"/>
    <w:uiPriority w:val="31"/>
    <w:qFormat/>
    <w:rsid w:val="00AA054E"/>
    <w:rPr>
      <w:smallCaps/>
      <w:color w:val="0055F7" w:themeColor="text1" w:themeTint="BF"/>
      <w:u w:val="single" w:color="4E8BF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F205B9"/>
    <w:pPr>
      <w:numPr>
        <w:numId w:val="0"/>
      </w:num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En-tteCar">
    <w:name w:val="En-tête Car"/>
    <w:basedOn w:val="Policepardfaut"/>
    <w:link w:val="En-tte"/>
    <w:rsid w:val="00AF6B1E"/>
    <w:rPr>
      <w:color w:val="001B4F" w:themeColor="text1" w:themeShade="80"/>
      <w:sz w:val="16"/>
      <w:lang w:val="en-GB"/>
    </w:rPr>
  </w:style>
  <w:style w:type="paragraph" w:styleId="Pieddepage">
    <w:name w:val="footer"/>
    <w:basedOn w:val="Normal"/>
    <w:link w:val="PieddepageC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eddepageCar">
    <w:name w:val="Pied de page Car"/>
    <w:basedOn w:val="Policepardfaut"/>
    <w:link w:val="Pieddepage"/>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M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M2">
    <w:name w:val="toc 2"/>
    <w:basedOn w:val="TM1"/>
    <w:next w:val="Normal"/>
    <w:uiPriority w:val="39"/>
    <w:unhideWhenUsed/>
    <w:qFormat/>
    <w:rsid w:val="00F205B9"/>
    <w:pPr>
      <w:framePr w:wrap="around"/>
      <w:tabs>
        <w:tab w:val="right" w:leader="dot" w:pos="440"/>
      </w:tabs>
      <w:ind w:left="220"/>
    </w:pPr>
  </w:style>
  <w:style w:type="paragraph" w:styleId="TM3">
    <w:name w:val="toc 3"/>
    <w:basedOn w:val="TM1"/>
    <w:next w:val="Normal"/>
    <w:uiPriority w:val="39"/>
    <w:unhideWhenUsed/>
    <w:qFormat/>
    <w:rsid w:val="00AD0B10"/>
    <w:pPr>
      <w:framePr w:wrap="around"/>
      <w:ind w:left="442"/>
    </w:pPr>
  </w:style>
  <w:style w:type="character" w:styleId="Lienhypertexte">
    <w:name w:val="Hyperlink"/>
    <w:basedOn w:val="Policepardfau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Policepardfau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pPr>
      <w:spacing w:after="0" w:line="240" w:lineRule="auto"/>
    </w:pPr>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basedOn w:val="Normal"/>
    <w:link w:val="NotedebasdepageCar"/>
    <w:autoRedefine/>
    <w:uiPriority w:val="99"/>
    <w:unhideWhenUsed/>
    <w:qFormat/>
    <w:rsid w:val="007A1A9D"/>
    <w:pPr>
      <w:spacing w:after="0" w:line="240" w:lineRule="auto"/>
    </w:pPr>
    <w:rPr>
      <w:sz w:val="16"/>
    </w:rPr>
  </w:style>
  <w:style w:type="character" w:customStyle="1" w:styleId="NotedebasdepageCar">
    <w:name w:val="Note de bas de page Car"/>
    <w:basedOn w:val="Policepardfaut"/>
    <w:link w:val="Notedebasdepage"/>
    <w:uiPriority w:val="99"/>
    <w:rsid w:val="007A1A9D"/>
    <w:rPr>
      <w:color w:val="181818" w:themeColor="background1" w:themeShade="1A"/>
      <w:sz w:val="16"/>
      <w:lang w:val="en-GB"/>
    </w:rPr>
  </w:style>
  <w:style w:type="character" w:styleId="Appelnotedebasdep">
    <w:name w:val="footnote reference"/>
    <w:basedOn w:val="Policepardfaut"/>
    <w:uiPriority w:val="99"/>
    <w:semiHidden/>
    <w:unhideWhenUsed/>
    <w:qFormat/>
    <w:rsid w:val="00A91D91"/>
    <w:rPr>
      <w:rFonts w:asciiTheme="majorHAnsi" w:hAnsiTheme="majorHAnsi"/>
      <w:sz w:val="16"/>
      <w:vertAlign w:val="superscript"/>
    </w:rPr>
  </w:style>
  <w:style w:type="paragraph" w:customStyle="1" w:styleId="Footnote">
    <w:name w:val="Footnote"/>
    <w:basedOn w:val="Notedebasdepage"/>
    <w:link w:val="FootnoteChar"/>
    <w:qFormat/>
    <w:rsid w:val="00672C04"/>
    <w:pPr>
      <w:ind w:left="454" w:hanging="454"/>
    </w:pPr>
    <w:rPr>
      <w:lang w:val="nl-BE"/>
    </w:rPr>
  </w:style>
  <w:style w:type="character" w:customStyle="1" w:styleId="FootnoteChar">
    <w:name w:val="Footnote Char"/>
    <w:basedOn w:val="NotedebasdepageCar"/>
    <w:link w:val="Footnote"/>
    <w:rsid w:val="00672C04"/>
    <w:rPr>
      <w:color w:val="181818" w:themeColor="background1" w:themeShade="1A"/>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xtedebulles">
    <w:name w:val="Balloon Text"/>
    <w:basedOn w:val="Normal"/>
    <w:link w:val="TextedebullesCar"/>
    <w:uiPriority w:val="99"/>
    <w:semiHidden/>
    <w:unhideWhenUsed/>
    <w:rsid w:val="007151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51BF"/>
    <w:rPr>
      <w:rFonts w:ascii="Tahoma" w:hAnsi="Tahoma" w:cs="Tahoma"/>
      <w:sz w:val="16"/>
      <w:szCs w:val="16"/>
      <w:lang w:val="en-GB"/>
    </w:rPr>
  </w:style>
  <w:style w:type="paragraph" w:styleId="TM4">
    <w:name w:val="toc 4"/>
    <w:basedOn w:val="TM1"/>
    <w:next w:val="Normal"/>
    <w:uiPriority w:val="39"/>
    <w:unhideWhenUsed/>
    <w:qFormat/>
    <w:rsid w:val="00F205B9"/>
    <w:pPr>
      <w:framePr w:wrap="around"/>
      <w:ind w:left="660"/>
    </w:pPr>
  </w:style>
  <w:style w:type="character" w:styleId="Marquedecommentaire">
    <w:name w:val="annotation reference"/>
    <w:basedOn w:val="Policepardfaut"/>
    <w:uiPriority w:val="99"/>
    <w:semiHidden/>
    <w:unhideWhenUsed/>
    <w:rsid w:val="00D33C31"/>
    <w:rPr>
      <w:sz w:val="16"/>
      <w:szCs w:val="16"/>
    </w:rPr>
  </w:style>
  <w:style w:type="paragraph" w:styleId="Commentaire">
    <w:name w:val="annotation text"/>
    <w:basedOn w:val="Normal"/>
    <w:link w:val="CommentaireCar"/>
    <w:uiPriority w:val="99"/>
    <w:unhideWhenUsed/>
    <w:rsid w:val="00D33C31"/>
    <w:pPr>
      <w:spacing w:line="240" w:lineRule="auto"/>
    </w:pPr>
    <w:rPr>
      <w:sz w:val="20"/>
    </w:rPr>
  </w:style>
  <w:style w:type="character" w:customStyle="1" w:styleId="CommentaireCar">
    <w:name w:val="Commentaire Car"/>
    <w:basedOn w:val="Policepardfaut"/>
    <w:link w:val="Commentaire"/>
    <w:uiPriority w:val="99"/>
    <w:rsid w:val="00D33C31"/>
    <w:rPr>
      <w:lang w:val="en-GB"/>
    </w:rPr>
  </w:style>
  <w:style w:type="paragraph" w:styleId="Objetducommentaire">
    <w:name w:val="annotation subject"/>
    <w:basedOn w:val="Commentaire"/>
    <w:next w:val="Commentaire"/>
    <w:link w:val="ObjetducommentaireCar"/>
    <w:uiPriority w:val="99"/>
    <w:semiHidden/>
    <w:unhideWhenUsed/>
    <w:rsid w:val="00D33C31"/>
    <w:rPr>
      <w:b/>
      <w:bCs/>
    </w:rPr>
  </w:style>
  <w:style w:type="character" w:customStyle="1" w:styleId="ObjetducommentaireCar">
    <w:name w:val="Objet du commentaire Car"/>
    <w:basedOn w:val="CommentaireCar"/>
    <w:link w:val="Objetducommentaire"/>
    <w:uiPriority w:val="99"/>
    <w:semiHidden/>
    <w:rsid w:val="00D33C31"/>
    <w:rPr>
      <w:b/>
      <w:bCs/>
      <w:lang w:val="en-GB"/>
    </w:rPr>
  </w:style>
  <w:style w:type="character" w:styleId="Mentionnonrsolue">
    <w:name w:val="Unresolved Mention"/>
    <w:basedOn w:val="Policepardfau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lev"/>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En-tte"/>
    <w:qFormat/>
    <w:rsid w:val="00AF6B1E"/>
  </w:style>
  <w:style w:type="paragraph" w:customStyle="1" w:styleId="Pageheader">
    <w:name w:val="Page header"/>
    <w:basedOn w:val="En-tte"/>
    <w:next w:val="En-tt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M5">
    <w:name w:val="toc 5"/>
    <w:basedOn w:val="Normal"/>
    <w:next w:val="Normal"/>
    <w:uiPriority w:val="39"/>
    <w:semiHidden/>
    <w:unhideWhenUsed/>
    <w:qFormat/>
    <w:rsid w:val="00F205B9"/>
    <w:pPr>
      <w:spacing w:after="100"/>
      <w:ind w:left="880"/>
    </w:pPr>
  </w:style>
  <w:style w:type="paragraph" w:styleId="TM6">
    <w:name w:val="toc 6"/>
    <w:basedOn w:val="Normal"/>
    <w:next w:val="Normal"/>
    <w:uiPriority w:val="39"/>
    <w:semiHidden/>
    <w:unhideWhenUsed/>
    <w:qFormat/>
    <w:rsid w:val="00F205B9"/>
    <w:pPr>
      <w:spacing w:after="100"/>
      <w:ind w:left="1100"/>
    </w:pPr>
  </w:style>
  <w:style w:type="paragraph" w:styleId="TM7">
    <w:name w:val="toc 7"/>
    <w:basedOn w:val="Normal"/>
    <w:next w:val="Normal"/>
    <w:uiPriority w:val="39"/>
    <w:semiHidden/>
    <w:unhideWhenUsed/>
    <w:qFormat/>
    <w:rsid w:val="00F205B9"/>
    <w:pPr>
      <w:spacing w:after="100"/>
      <w:ind w:left="1320"/>
    </w:pPr>
  </w:style>
  <w:style w:type="paragraph" w:styleId="TM8">
    <w:name w:val="toc 8"/>
    <w:basedOn w:val="Normal"/>
    <w:next w:val="Normal"/>
    <w:uiPriority w:val="39"/>
    <w:semiHidden/>
    <w:unhideWhenUsed/>
    <w:qFormat/>
    <w:rsid w:val="00F205B9"/>
    <w:pPr>
      <w:spacing w:after="100"/>
      <w:ind w:left="1540"/>
    </w:pPr>
  </w:style>
  <w:style w:type="paragraph" w:styleId="TM9">
    <w:name w:val="toc 9"/>
    <w:basedOn w:val="Normal"/>
    <w:next w:val="Normal"/>
    <w:uiPriority w:val="39"/>
    <w:semiHidden/>
    <w:unhideWhenUsed/>
    <w:qFormat/>
    <w:rsid w:val="00F205B9"/>
    <w:pPr>
      <w:spacing w:after="100"/>
      <w:ind w:left="1760"/>
    </w:pPr>
  </w:style>
  <w:style w:type="character" w:styleId="Lienhypertextesuivivisit">
    <w:name w:val="FollowedHyperlink"/>
    <w:basedOn w:val="Policepardfaut"/>
    <w:uiPriority w:val="99"/>
    <w:semiHidden/>
    <w:unhideWhenUsed/>
    <w:rsid w:val="0043139E"/>
    <w:rPr>
      <w:color w:val="0174AF" w:themeColor="followedHyperlink"/>
      <w:u w:val="single"/>
    </w:rPr>
  </w:style>
  <w:style w:type="character" w:customStyle="1" w:styleId="ParagraphedelisteCar">
    <w:name w:val="Paragraphe de liste Car"/>
    <w:aliases w:val="Paragraphe EI Car,Paragraphe de liste1 Car,EC Car"/>
    <w:link w:val="Paragraphedeliste"/>
    <w:uiPriority w:val="34"/>
    <w:locked/>
    <w:rsid w:val="00EC6066"/>
    <w:rPr>
      <w:rFonts w:asciiTheme="majorHAnsi" w:hAnsiTheme="majorHAnsi" w:cstheme="majorHAnsi"/>
      <w:color w:val="181818" w:themeColor="background1" w:themeShade="1A"/>
      <w:sz w:val="22"/>
      <w:szCs w:val="22"/>
      <w:lang w:val="pt-PT"/>
    </w:rPr>
  </w:style>
  <w:style w:type="paragraph" w:styleId="R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Policepardfaut"/>
    <w:rsid w:val="00061F32"/>
    <w:rPr>
      <w:rFonts w:ascii="Segoe UI" w:hAnsi="Segoe UI" w:cs="Segoe UI" w:hint="default"/>
      <w:sz w:val="18"/>
      <w:szCs w:val="18"/>
    </w:rPr>
  </w:style>
  <w:style w:type="character" w:customStyle="1" w:styleId="cf11">
    <w:name w:val="cf11"/>
    <w:basedOn w:val="Policepardfaut"/>
    <w:rsid w:val="00061F32"/>
    <w:rPr>
      <w:rFonts w:ascii="Segoe UI" w:hAnsi="Segoe UI" w:cs="Segoe UI" w:hint="default"/>
      <w:color w:val="333333"/>
      <w:sz w:val="18"/>
      <w:szCs w:val="18"/>
      <w:shd w:val="clear" w:color="auto" w:fill="FFFFFF"/>
    </w:rPr>
  </w:style>
  <w:style w:type="character" w:styleId="Mention">
    <w:name w:val="Mention"/>
    <w:basedOn w:val="Policepardfaut"/>
    <w:uiPriority w:val="99"/>
    <w:unhideWhenUsed/>
    <w:rsid w:val="00251F26"/>
    <w:rPr>
      <w:color w:val="2B579A"/>
      <w:shd w:val="clear" w:color="auto" w:fill="E1DFDD"/>
    </w:rPr>
  </w:style>
  <w:style w:type="character" w:styleId="Textedelespacerserv">
    <w:name w:val="Placeholder Text"/>
    <w:basedOn w:val="Policepardfau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xtedelespacerserv"/>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3.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4AE7858C-3128-45EF-AE36-4A7D702B3BF5}">
  <ds:schemaRefs>
    <ds:schemaRef ds:uri="http://schemas.openxmlformats.org/package/2006/metadata/core-properties"/>
    <ds:schemaRef ds:uri="http://purl.org/dc/elements/1.1/"/>
    <ds:schemaRef ds:uri="f41da7c7-c537-4365-86d7-f9085682d12a"/>
    <ds:schemaRef ds:uri="http://purl.org/dc/terms/"/>
    <ds:schemaRef ds:uri="http://schemas.microsoft.com/office/2006/metadata/properties"/>
    <ds:schemaRef ds:uri="http://schemas.microsoft.com/sharepoint/v3"/>
    <ds:schemaRef ds:uri="http://schemas.microsoft.com/office/2006/documentManagement/types"/>
    <ds:schemaRef ds:uri="d0fb0f98-34f9-4d57-9559-eb8efd17aa5e"/>
    <ds:schemaRef ds:uri="http://schemas.microsoft.com/office/infopath/2007/PartnerControls"/>
    <ds:schemaRef ds:uri="http://schemas.microsoft.com/sharepoint/v4"/>
    <ds:schemaRef ds:uri="http://www.w3.org/XML/1998/namespace"/>
    <ds:schemaRef ds:uri="http://purl.org/dc/dcmitype/"/>
  </ds:schemaRefs>
</ds:datastoreItem>
</file>

<file path=customXml/itemProps3.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3199</Words>
  <Characters>17595</Characters>
  <Application>Microsoft Office Word</Application>
  <DocSecurity>8</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20753</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Stephanie Verilhac Marzin</cp:lastModifiedBy>
  <cp:revision>2</cp:revision>
  <cp:lastPrinted>2023-09-09T00:53:00Z</cp:lastPrinted>
  <dcterms:created xsi:type="dcterms:W3CDTF">2024-03-07T13:52:00Z</dcterms:created>
  <dcterms:modified xsi:type="dcterms:W3CDTF">2024-03-07T13:52:00Z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