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268E78D"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3"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08441F30" w:rsidR="00E70E2E" w:rsidRDefault="00E70E2E" w:rsidP="00E70E2E">
      <w:pPr>
        <w:rPr>
          <w:b/>
        </w:rPr>
      </w:pPr>
      <w:r w:rsidRPr="005B6B12">
        <w:t xml:space="preserve">ESMA will consider all comments </w:t>
      </w:r>
      <w:r w:rsidRPr="009E1C55">
        <w:t xml:space="preserve">received by </w:t>
      </w:r>
      <w:r w:rsidR="00CC7B00">
        <w:rPr>
          <w:b/>
        </w:rPr>
        <w:t>17</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0"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1"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2"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3"/>
          <w:headerReference w:type="first" r:id="rId24"/>
          <w:footerReference w:type="first" r:id="rId25"/>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70D23BC9" w:rsidR="00C2682A" w:rsidRPr="00104E00" w:rsidRDefault="00091050" w:rsidP="00104E00">
                <w:pPr>
                  <w:jc w:val="left"/>
                  <w:rPr>
                    <w:rStyle w:val="PlaceholderText"/>
                  </w:rPr>
                </w:pPr>
                <w:r w:rsidRPr="00091050">
                  <w:rPr>
                    <w:rStyle w:val="PlaceholderText"/>
                  </w:rPr>
                  <w:t>International Organization for Standardization (ISO) TC 68</w:t>
                </w:r>
                <w:r w:rsidR="002A157B">
                  <w:rPr>
                    <w:rStyle w:val="PlaceholderText"/>
                  </w:rPr>
                  <w:t xml:space="preserve"> (Financial Services) </w:t>
                </w:r>
                <w:r w:rsidRPr="00091050">
                  <w:rPr>
                    <w:rStyle w:val="PlaceholderText"/>
                  </w:rPr>
                  <w:t>AG2</w:t>
                </w:r>
                <w:r>
                  <w:rPr>
                    <w:rStyle w:val="PlaceholderText"/>
                  </w:rPr>
                  <w:t xml:space="preserve"> – Standards Advisory Group (SAG).</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3B97D191"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091050">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shd w:val="clear" w:color="auto" w:fill="auto"/>
                <w:vAlign w:val="center"/>
              </w:tcPr>
              <w:p w14:paraId="4BD68813" w14:textId="18DDFCA9" w:rsidR="00C2682A" w:rsidRPr="00104E00" w:rsidRDefault="00091050"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42FB94EC" w:rsidR="00C2682A" w:rsidRPr="00104E00" w:rsidRDefault="00091050" w:rsidP="00104E00">
                <w:pPr>
                  <w:jc w:val="left"/>
                </w:pPr>
                <w:r>
                  <w:t>Switzerland</w:t>
                </w:r>
              </w:p>
            </w:tc>
          </w:sdtContent>
        </w:sdt>
      </w:tr>
    </w:tbl>
    <w:permEnd w:id="1727412903"/>
    <w:p w14:paraId="7A95BB2B" w14:textId="77777777" w:rsidR="0075066F" w:rsidRDefault="00596156" w:rsidP="0075066F">
      <w:pPr>
        <w:rPr>
          <w:iCs/>
          <w:lang w:val="en-US"/>
        </w:rPr>
      </w:pPr>
      <w:r>
        <w:br/>
      </w:r>
      <w:r w:rsidR="0075066F" w:rsidRPr="0075066F">
        <w:rPr>
          <w:iCs/>
          <w:lang w:val="en-US"/>
        </w:rPr>
        <w:t>ISO is an independent, non-governmental international organization with a membership of 163 national standards bodies. Through its members, it brings together experts to share knowledge and develop voluntary, consensus-based, market relevant International Standards that support innovation and provide solutions to global challenges.</w:t>
      </w:r>
    </w:p>
    <w:p w14:paraId="398E9C9E" w14:textId="5D944795" w:rsidR="00C2682A" w:rsidRPr="0075066F" w:rsidRDefault="0075066F" w:rsidP="002415A1">
      <w:pPr>
        <w:jc w:val="left"/>
        <w:rPr>
          <w:iCs/>
          <w:lang w:val="en-US"/>
        </w:rPr>
      </w:pPr>
      <w:r w:rsidRPr="0075066F">
        <w:rPr>
          <w:iCs/>
          <w:lang w:val="en-US"/>
        </w:rPr>
        <w:br/>
        <w:t>ISO/TC 68 is the Technical Committee within ISO tasked with developing and maintaining international standards covering the areas of banking, securities, and other financial services. The Standards Advisory Group (SAG) as an Advisory Group of ISO/TC 68 acts as an advisory sounding board to support and engage with regulators on financial services standards requirements, for the effective and efficient use and development of financial services standards, delivered using a cooperative relationship approach. The SAG enables a proactive dialogue with regulators on financial services standards matters.</w:t>
      </w:r>
      <w:r w:rsidR="002415A1">
        <w:rPr>
          <w:iCs/>
          <w:lang w:val="en-US"/>
        </w:rPr>
        <w:br/>
      </w:r>
      <w:r w:rsidR="002415A1">
        <w:rPr>
          <w:iCs/>
          <w:lang w:val="en-US"/>
        </w:rPr>
        <w:br/>
        <w:t xml:space="preserve">The SAG remains </w:t>
      </w:r>
      <w:r w:rsidR="002415A1" w:rsidRPr="002415A1">
        <w:rPr>
          <w:iCs/>
          <w:lang w:val="en-US"/>
        </w:rPr>
        <w:t>at your disposal to further discuss and support you in your work. Do not hesitate to engage</w:t>
      </w:r>
      <w:r w:rsidR="002415A1">
        <w:rPr>
          <w:iCs/>
          <w:lang w:val="en-US"/>
        </w:rPr>
        <w:t xml:space="preserve"> </w:t>
      </w:r>
      <w:r w:rsidR="002415A1" w:rsidRPr="002415A1">
        <w:rPr>
          <w:iCs/>
          <w:lang w:val="en-US"/>
        </w:rPr>
        <w:t>us in your discussions and questions related to standards in financial services.</w:t>
      </w:r>
    </w:p>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7777777" w:rsidR="006B5DF1" w:rsidRDefault="006B5DF1" w:rsidP="006B5DF1">
      <w:pPr>
        <w:spacing w:after="0"/>
      </w:pPr>
      <w:permStart w:id="1107116594" w:edGrp="everyone"/>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 xml:space="preserve">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2EDCCE1B" w14:textId="77777777" w:rsidR="006B5DF1" w:rsidRDefault="006B5DF1" w:rsidP="006B5DF1">
      <w:pPr>
        <w:spacing w:after="0"/>
      </w:pPr>
      <w:permStart w:id="1395752143" w:edGrp="everyone"/>
      <w:r>
        <w:t>TYPE YOUR TEXT HERE</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lastRenderedPageBreak/>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2FDA7C0F" w14:textId="28291B94" w:rsidR="006B5DF1" w:rsidRDefault="000C4A61" w:rsidP="006B5DF1">
      <w:pPr>
        <w:spacing w:after="0"/>
      </w:pPr>
      <w:permStart w:id="791629733" w:edGrp="everyone"/>
      <w:r>
        <w:t xml:space="preserve">The Standards Advisory Group (SAG) agrees and supports the inclusion of the LEI </w:t>
      </w:r>
      <w:r w:rsidR="00883EE0">
        <w:t xml:space="preserve">(Legal Entity Identifier, ISO 17442) </w:t>
      </w:r>
      <w:r>
        <w:t>to be used in the new field entitled “</w:t>
      </w:r>
      <w:r w:rsidRPr="000C4A61">
        <w:t>entity subject to the reporting obligation</w:t>
      </w:r>
      <w:r>
        <w:t>”.</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4D9A2C25" w14:textId="77777777" w:rsidR="006B5DF1" w:rsidRDefault="006B5DF1" w:rsidP="006B5DF1">
      <w:pPr>
        <w:spacing w:after="0"/>
      </w:pPr>
      <w:permStart w:id="1475742058" w:edGrp="everyone"/>
      <w:r>
        <w:t>TYPE YOUR TEXT HERE</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lastRenderedPageBreak/>
        <w:t>&lt;ESMA_QUESTION_</w:t>
      </w:r>
      <w:r w:rsidR="00DF3781">
        <w:t>RTS2224</w:t>
      </w:r>
      <w:r>
        <w:t>_</w:t>
      </w:r>
      <w:r w:rsidR="003E7313">
        <w:t>12</w:t>
      </w:r>
      <w:r>
        <w:t>&gt;</w:t>
      </w:r>
    </w:p>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48DF5247" w14:textId="7EAFEEDC" w:rsidR="006B5DF1" w:rsidRPr="006D1F6E" w:rsidRDefault="00C44140" w:rsidP="006D1F6E">
      <w:pPr>
        <w:spacing w:after="0"/>
        <w:jc w:val="left"/>
        <w:rPr>
          <w:lang w:val="en-US"/>
        </w:rPr>
      </w:pPr>
      <w:permStart w:id="1859985972" w:edGrp="everyone"/>
      <w:r>
        <w:rPr>
          <w:lang w:val="en-US"/>
        </w:rPr>
        <w:t xml:space="preserve">The SAG suggests that ESMA consider </w:t>
      </w:r>
      <w:r w:rsidR="00883EE0">
        <w:rPr>
          <w:lang w:val="en-US"/>
        </w:rPr>
        <w:t xml:space="preserve">the UTI (Unique Transaction Identifier, </w:t>
      </w:r>
      <w:r>
        <w:rPr>
          <w:lang w:val="en-US"/>
        </w:rPr>
        <w:t>ISO 23987</w:t>
      </w:r>
      <w:r w:rsidR="00074FD5">
        <w:rPr>
          <w:lang w:val="en-US"/>
        </w:rPr>
        <w:t>)</w:t>
      </w:r>
      <w:r>
        <w:rPr>
          <w:lang w:val="en-US"/>
        </w:rPr>
        <w:t>, which</w:t>
      </w:r>
      <w:r w:rsidRPr="00C44140">
        <w:rPr>
          <w:lang w:val="en-US"/>
        </w:rPr>
        <w:t xml:space="preserve"> is defined as the unique </w:t>
      </w:r>
      <w:r w:rsidR="004123C2">
        <w:rPr>
          <w:lang w:val="en-US"/>
        </w:rPr>
        <w:t xml:space="preserve">code </w:t>
      </w:r>
      <w:r w:rsidRPr="00C44140">
        <w:rPr>
          <w:lang w:val="en-US"/>
        </w:rPr>
        <w:t>of a financial transaction to be allocated as agreed among the parties and/or within the regulatory system under which it is formed.</w:t>
      </w:r>
      <w:r>
        <w:rPr>
          <w:lang w:val="en-US"/>
        </w:rPr>
        <w:t xml:space="preserve"> </w:t>
      </w:r>
      <w:r w:rsidRPr="00C44140">
        <w:rPr>
          <w:lang w:val="en-US"/>
        </w:rPr>
        <w:t xml:space="preserve">Examples of usage include the reporting of financial transactions to any authority in any jurisdiction, including OTC </w:t>
      </w:r>
      <w:r w:rsidRPr="00C44140">
        <w:rPr>
          <w:lang w:val="en-US"/>
        </w:rPr>
        <w:lastRenderedPageBreak/>
        <w:t>(over the counter) derivative transactions to be reported to trade repositories.</w:t>
      </w:r>
      <w:r w:rsidR="00326CCA">
        <w:rPr>
          <w:lang w:val="en-US"/>
        </w:rPr>
        <w:t xml:space="preserve"> </w:t>
      </w:r>
      <w:r w:rsidRPr="00C44140">
        <w:rPr>
          <w:lang w:val="en-US"/>
        </w:rPr>
        <w:t>The minimum requirement is to satisfy the unique identification of a transaction that is reportable according to any jurisdiction's regulatory requirements</w:t>
      </w:r>
      <w:r w:rsidR="006D1F6E">
        <w:rPr>
          <w:lang w:val="en-US"/>
        </w:rPr>
        <w:t>.</w:t>
      </w:r>
      <w:r>
        <w:rPr>
          <w:lang w:val="en-US"/>
        </w:rPr>
        <w:br/>
      </w:r>
      <w:r>
        <w:rPr>
          <w:lang w:val="en-US"/>
        </w:rPr>
        <w:br/>
      </w:r>
      <w:r w:rsidR="00774F07">
        <w:rPr>
          <w:lang w:val="en-US"/>
        </w:rPr>
        <w:t xml:space="preserve">In relation to OTC derivatives, </w:t>
      </w:r>
      <w:r w:rsidR="00B21A94">
        <w:rPr>
          <w:lang w:val="en-US"/>
        </w:rPr>
        <w:t>t</w:t>
      </w:r>
      <w:r w:rsidRPr="00C44140">
        <w:rPr>
          <w:lang w:val="en-US"/>
        </w:rPr>
        <w:t xml:space="preserve">he </w:t>
      </w:r>
      <w:r w:rsidR="008C5F51">
        <w:rPr>
          <w:lang w:val="en-US"/>
        </w:rPr>
        <w:t>UPI (</w:t>
      </w:r>
      <w:r w:rsidRPr="00C44140">
        <w:rPr>
          <w:lang w:val="en-US"/>
        </w:rPr>
        <w:t>U</w:t>
      </w:r>
      <w:r w:rsidR="008C5F51">
        <w:rPr>
          <w:lang w:val="en-US"/>
        </w:rPr>
        <w:t xml:space="preserve">nique </w:t>
      </w:r>
      <w:r w:rsidRPr="00C44140">
        <w:rPr>
          <w:lang w:val="en-US"/>
        </w:rPr>
        <w:t>P</w:t>
      </w:r>
      <w:r w:rsidR="008C5F51">
        <w:rPr>
          <w:lang w:val="en-US"/>
        </w:rPr>
        <w:t xml:space="preserve">roduct </w:t>
      </w:r>
      <w:r w:rsidRPr="00C44140">
        <w:rPr>
          <w:lang w:val="en-US"/>
        </w:rPr>
        <w:t>I</w:t>
      </w:r>
      <w:r w:rsidR="008C5F51">
        <w:rPr>
          <w:lang w:val="en-US"/>
        </w:rPr>
        <w:t xml:space="preserve">dentifier, </w:t>
      </w:r>
      <w:r w:rsidRPr="00C44140">
        <w:rPr>
          <w:lang w:val="en-US"/>
        </w:rPr>
        <w:t xml:space="preserve">ISO 4914) </w:t>
      </w:r>
      <w:r w:rsidR="007F1B7A">
        <w:rPr>
          <w:lang w:val="en-US"/>
        </w:rPr>
        <w:t xml:space="preserve">is a product level </w:t>
      </w:r>
      <w:r w:rsidR="003C1C06">
        <w:rPr>
          <w:lang w:val="en-US"/>
        </w:rPr>
        <w:t>identifier</w:t>
      </w:r>
      <w:r w:rsidR="009940BA">
        <w:rPr>
          <w:lang w:val="en-US"/>
        </w:rPr>
        <w:t>,</w:t>
      </w:r>
      <w:r w:rsidR="003C1C06">
        <w:rPr>
          <w:lang w:val="en-US"/>
        </w:rPr>
        <w:t xml:space="preserve"> </w:t>
      </w:r>
      <w:r w:rsidRPr="00C44140">
        <w:rPr>
          <w:lang w:val="en-US"/>
        </w:rPr>
        <w:t>and the ISIN (</w:t>
      </w:r>
      <w:r w:rsidR="008C5F51">
        <w:rPr>
          <w:lang w:val="en-US"/>
        </w:rPr>
        <w:t xml:space="preserve">International Securities Identification Number, </w:t>
      </w:r>
      <w:r w:rsidRPr="00C44140">
        <w:rPr>
          <w:lang w:val="en-US"/>
        </w:rPr>
        <w:t>ISO 6166)</w:t>
      </w:r>
      <w:r w:rsidR="003C1C06">
        <w:rPr>
          <w:lang w:val="en-US"/>
        </w:rPr>
        <w:t xml:space="preserve"> </w:t>
      </w:r>
      <w:r w:rsidR="004168AB">
        <w:rPr>
          <w:lang w:val="en-US"/>
        </w:rPr>
        <w:t>is an</w:t>
      </w:r>
      <w:r w:rsidR="003C1C06">
        <w:rPr>
          <w:lang w:val="en-US"/>
        </w:rPr>
        <w:t xml:space="preserve"> instrument identifier</w:t>
      </w:r>
      <w:r w:rsidR="00DB0283">
        <w:rPr>
          <w:lang w:val="en-US"/>
        </w:rPr>
        <w:t>.</w:t>
      </w:r>
      <w:r w:rsidR="003C1C06">
        <w:rPr>
          <w:lang w:val="en-US"/>
        </w:rPr>
        <w:t xml:space="preserve"> </w:t>
      </w:r>
      <w:r w:rsidR="00DB0283">
        <w:rPr>
          <w:lang w:val="en-US"/>
        </w:rPr>
        <w:t>T</w:t>
      </w:r>
      <w:r w:rsidRPr="00C44140">
        <w:rPr>
          <w:lang w:val="en-US"/>
        </w:rPr>
        <w:t>ogether</w:t>
      </w:r>
      <w:r w:rsidR="00DB0283">
        <w:rPr>
          <w:lang w:val="en-US"/>
        </w:rPr>
        <w:t>,</w:t>
      </w:r>
      <w:r w:rsidRPr="00C44140">
        <w:rPr>
          <w:lang w:val="en-US"/>
        </w:rPr>
        <w:t xml:space="preserve"> </w:t>
      </w:r>
      <w:r w:rsidR="009B68F9">
        <w:rPr>
          <w:lang w:val="en-US"/>
        </w:rPr>
        <w:t>the</w:t>
      </w:r>
      <w:r w:rsidR="00DB0283">
        <w:rPr>
          <w:lang w:val="en-US"/>
        </w:rPr>
        <w:t xml:space="preserve"> UPI and ISIN</w:t>
      </w:r>
      <w:r w:rsidR="009B68F9">
        <w:rPr>
          <w:lang w:val="en-US"/>
        </w:rPr>
        <w:t xml:space="preserve"> work </w:t>
      </w:r>
      <w:r w:rsidRPr="00C44140">
        <w:rPr>
          <w:lang w:val="en-US"/>
        </w:rPr>
        <w:t xml:space="preserve">with the UTI </w:t>
      </w:r>
      <w:r w:rsidR="009B68F9">
        <w:rPr>
          <w:lang w:val="en-US"/>
        </w:rPr>
        <w:t>as complementary</w:t>
      </w:r>
      <w:r w:rsidRPr="00C44140">
        <w:rPr>
          <w:lang w:val="en-US"/>
        </w:rPr>
        <w:t xml:space="preserve"> ISO standards forming a</w:t>
      </w:r>
      <w:r w:rsidR="0039734D">
        <w:rPr>
          <w:lang w:val="en-US"/>
        </w:rPr>
        <w:t>n identification</w:t>
      </w:r>
      <w:r w:rsidRPr="00C44140">
        <w:rPr>
          <w:lang w:val="en-US"/>
        </w:rPr>
        <w:t xml:space="preserve"> hierarchy </w:t>
      </w:r>
      <w:r w:rsidR="00DB0283">
        <w:rPr>
          <w:lang w:val="en-US"/>
        </w:rPr>
        <w:t>with each identifier</w:t>
      </w:r>
      <w:r w:rsidR="00DB0283" w:rsidRPr="00C44140">
        <w:rPr>
          <w:lang w:val="en-US"/>
        </w:rPr>
        <w:t xml:space="preserve"> </w:t>
      </w:r>
      <w:r w:rsidRPr="00C44140">
        <w:rPr>
          <w:lang w:val="en-US"/>
        </w:rPr>
        <w:t>serv</w:t>
      </w:r>
      <w:r w:rsidR="00DB0283">
        <w:rPr>
          <w:lang w:val="en-US"/>
        </w:rPr>
        <w:t>ing a</w:t>
      </w:r>
      <w:r w:rsidRPr="00C44140">
        <w:rPr>
          <w:lang w:val="en-US"/>
        </w:rPr>
        <w:t xml:space="preserve"> </w:t>
      </w:r>
      <w:proofErr w:type="gramStart"/>
      <w:r w:rsidRPr="00C44140">
        <w:rPr>
          <w:lang w:val="en-US"/>
        </w:rPr>
        <w:t>different purposes</w:t>
      </w:r>
      <w:proofErr w:type="gramEnd"/>
      <w:r w:rsidR="00B75107">
        <w:rPr>
          <w:lang w:val="en-US"/>
        </w:rPr>
        <w:t>.</w:t>
      </w:r>
      <w:r w:rsidR="00B2656C" w:rsidRPr="00B2656C">
        <w:rPr>
          <w:lang w:val="en-US"/>
        </w:rPr>
        <w:t xml:space="preserve"> The </w:t>
      </w:r>
      <w:r w:rsidR="00B75107" w:rsidRPr="00B2656C">
        <w:rPr>
          <w:lang w:val="en-US"/>
        </w:rPr>
        <w:t xml:space="preserve">UPI dataset </w:t>
      </w:r>
      <w:r w:rsidR="00B75107">
        <w:rPr>
          <w:lang w:val="en-US"/>
        </w:rPr>
        <w:t>is</w:t>
      </w:r>
      <w:r w:rsidR="00B75107" w:rsidRPr="00B2656C">
        <w:rPr>
          <w:lang w:val="en-US"/>
        </w:rPr>
        <w:t xml:space="preserve"> a subset of the ISIN dataset </w:t>
      </w:r>
      <w:r w:rsidR="00B75107">
        <w:rPr>
          <w:lang w:val="en-US"/>
        </w:rPr>
        <w:t xml:space="preserve">and </w:t>
      </w:r>
      <w:r w:rsidR="00B2656C" w:rsidRPr="00B2656C">
        <w:rPr>
          <w:lang w:val="en-US"/>
        </w:rPr>
        <w:t>can be related to multiple ISINs. The ISIN can then be linked again to multiple UTIs identifying individual transactions in derivative contracts related to this ISIN.</w:t>
      </w:r>
      <w:r w:rsidR="00B2656C">
        <w:rPr>
          <w:lang w:val="en-US"/>
        </w:rPr>
        <w:br/>
      </w:r>
      <w:r w:rsidR="00B2656C">
        <w:rPr>
          <w:lang w:val="en-US"/>
        </w:rPr>
        <w:br/>
      </w:r>
      <w:r w:rsidRPr="00C44140">
        <w:rPr>
          <w:lang w:val="en-US"/>
        </w:rPr>
        <w:t xml:space="preserve">The development of both the UPI and the UTI was undertaken by ISO/TC 68, Financial services (under its subcommittee 8) as a result of the work of the CPMI and IOSCO working group on the </w:t>
      </w:r>
      <w:proofErr w:type="spellStart"/>
      <w:r w:rsidRPr="00C44140">
        <w:rPr>
          <w:lang w:val="en-US"/>
        </w:rPr>
        <w:t>harmonisation</w:t>
      </w:r>
      <w:proofErr w:type="spellEnd"/>
      <w:r w:rsidRPr="00C44140">
        <w:rPr>
          <w:lang w:val="en-US"/>
        </w:rPr>
        <w:t xml:space="preserve"> of key OTC derivatives data elements.</w:t>
      </w:r>
      <w:r w:rsidR="00B2656C">
        <w:rPr>
          <w:lang w:val="en-US"/>
        </w:rPr>
        <w:t xml:space="preserve"> </w:t>
      </w:r>
      <w:r w:rsidR="00ED1468">
        <w:rPr>
          <w:lang w:val="en-US"/>
        </w:rPr>
        <w:t xml:space="preserve">For identification of the </w:t>
      </w:r>
      <w:proofErr w:type="spellStart"/>
      <w:r w:rsidR="00ED1468">
        <w:rPr>
          <w:lang w:val="en-US"/>
        </w:rPr>
        <w:t>the</w:t>
      </w:r>
      <w:proofErr w:type="spellEnd"/>
      <w:r w:rsidR="00ED1468">
        <w:rPr>
          <w:lang w:val="en-US"/>
        </w:rPr>
        <w:t xml:space="preserve"> generating entity, t</w:t>
      </w:r>
      <w:r w:rsidR="008C5F51">
        <w:rPr>
          <w:lang w:val="en-US"/>
        </w:rPr>
        <w:t xml:space="preserve">he LEI forms the prefix of the UTI. </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lastRenderedPageBreak/>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lastRenderedPageBreak/>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6AB08085" w14:textId="77777777" w:rsidR="006B5DF1" w:rsidRDefault="006B5DF1" w:rsidP="006B5DF1">
      <w:pPr>
        <w:spacing w:after="0"/>
      </w:pPr>
      <w:permStart w:id="1173250579" w:edGrp="everyone"/>
      <w:r>
        <w:t>TYPE YOUR TEXT HERE</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1B71B049" w14:textId="1BB8A003" w:rsidR="00074FD5" w:rsidRDefault="00074FD5" w:rsidP="00074FD5">
      <w:pPr>
        <w:spacing w:after="0"/>
        <w:jc w:val="left"/>
      </w:pPr>
      <w:permStart w:id="1864581970" w:edGrp="everyone"/>
      <w:r w:rsidRPr="00074FD5">
        <w:rPr>
          <w:lang w:val="en-US"/>
        </w:rPr>
        <w:t>As previously mentioned in response Q15, the SAG also recommends the inclusion of the UTI for reasons previously stated</w:t>
      </w:r>
      <w:r w:rsidR="00FA5437">
        <w:rPr>
          <w:lang w:val="en-US"/>
        </w:rPr>
        <w:t>.</w:t>
      </w:r>
      <w:r w:rsidRPr="00074FD5">
        <w:rPr>
          <w:lang w:val="en-US"/>
        </w:rPr>
        <w:t xml:space="preserve"> </w:t>
      </w:r>
      <w:r>
        <w:rPr>
          <w:lang w:val="en-US"/>
        </w:rPr>
        <w:br/>
      </w:r>
      <w:r>
        <w:rPr>
          <w:lang w:val="en-US"/>
        </w:rPr>
        <w:br/>
      </w:r>
      <w:r w:rsidR="00BE4606">
        <w:rPr>
          <w:lang w:val="en-US"/>
        </w:rPr>
        <w:t xml:space="preserve">In </w:t>
      </w:r>
      <w:proofErr w:type="gramStart"/>
      <w:r w:rsidR="00BE4606">
        <w:rPr>
          <w:lang w:val="en-US"/>
        </w:rPr>
        <w:t>October,</w:t>
      </w:r>
      <w:proofErr w:type="gramEnd"/>
      <w:r w:rsidR="00BE4606">
        <w:rPr>
          <w:lang w:val="en-US"/>
        </w:rPr>
        <w:t xml:space="preserve"> 2024, ISO</w:t>
      </w:r>
      <w:r w:rsidR="00BE4606" w:rsidRPr="00BE4606">
        <w:t xml:space="preserve"> published ISO 17442-3, expanding the LEI standard to include verifiable LEIs (</w:t>
      </w:r>
      <w:proofErr w:type="spellStart"/>
      <w:r w:rsidR="00BE4606" w:rsidRPr="00BE4606">
        <w:t>vLEIs</w:t>
      </w:r>
      <w:proofErr w:type="spellEnd"/>
      <w:r w:rsidR="00BE4606" w:rsidRPr="00BE4606">
        <w:t>)—digitally signed, tamper-resistant credentials for decentralized authentication of legal entities.</w:t>
      </w:r>
      <w:r w:rsidR="00484247" w:rsidRPr="00484247">
        <w:rPr>
          <w:lang w:val="en-US"/>
        </w:rPr>
        <w:t xml:space="preserve">The main use cases for </w:t>
      </w:r>
      <w:proofErr w:type="spellStart"/>
      <w:r w:rsidR="00484247" w:rsidRPr="00484247">
        <w:rPr>
          <w:lang w:val="en-US"/>
        </w:rPr>
        <w:t>vLEIs</w:t>
      </w:r>
      <w:proofErr w:type="spellEnd"/>
      <w:r w:rsidR="00484247" w:rsidRPr="00484247">
        <w:rPr>
          <w:lang w:val="en-US"/>
        </w:rPr>
        <w:t xml:space="preserve"> are digital signing, authentication and </w:t>
      </w:r>
      <w:proofErr w:type="spellStart"/>
      <w:r w:rsidR="00484247" w:rsidRPr="00484247">
        <w:rPr>
          <w:lang w:val="en-US"/>
        </w:rPr>
        <w:t>permissioning</w:t>
      </w:r>
      <w:proofErr w:type="spellEnd"/>
      <w:r w:rsidR="00484247" w:rsidRPr="00484247">
        <w:rPr>
          <w:lang w:val="en-US"/>
        </w:rPr>
        <w:t xml:space="preserve">. </w:t>
      </w:r>
      <w:proofErr w:type="spellStart"/>
      <w:r w:rsidR="00484247" w:rsidRPr="00484247">
        <w:rPr>
          <w:lang w:val="en-US"/>
        </w:rPr>
        <w:t>vLEIs</w:t>
      </w:r>
      <w:proofErr w:type="spellEnd"/>
      <w:r w:rsidR="00484247" w:rsidRPr="00484247">
        <w:rPr>
          <w:lang w:val="en-US"/>
        </w:rPr>
        <w:t xml:space="preserve"> can be used to sign data submissions, such as </w:t>
      </w:r>
      <w:proofErr w:type="spellStart"/>
      <w:r w:rsidR="00484247" w:rsidRPr="00484247">
        <w:rPr>
          <w:lang w:val="en-US"/>
        </w:rPr>
        <w:t>eXtensible</w:t>
      </w:r>
      <w:proofErr w:type="spellEnd"/>
      <w:r w:rsidR="00484247" w:rsidRPr="00484247">
        <w:rPr>
          <w:lang w:val="en-US"/>
        </w:rPr>
        <w:t xml:space="preserve"> Business Reporting Language (XBRL), and documents, such as PDFs, and in many other business processes and transactions</w:t>
      </w:r>
      <w:r w:rsidR="00484247">
        <w:rPr>
          <w:lang w:val="en-US"/>
        </w:rPr>
        <w:t>.</w:t>
      </w:r>
      <w:r w:rsidR="00484247" w:rsidRPr="00484247">
        <w:rPr>
          <w:rFonts w:ascii="Calibri" w:eastAsia="Times New Roman" w:hAnsi="Calibri" w:cs="Calibri"/>
          <w:color w:val="000000"/>
          <w:szCs w:val="22"/>
          <w:lang w:val="en-US" w:eastAsia="en-GB"/>
        </w:rPr>
        <w:t xml:space="preserve"> </w:t>
      </w:r>
      <w:r w:rsidR="00484247" w:rsidRPr="00484247">
        <w:rPr>
          <w:lang w:val="en-US"/>
        </w:rPr>
        <w:t xml:space="preserve">The </w:t>
      </w:r>
      <w:proofErr w:type="spellStart"/>
      <w:r w:rsidR="00484247" w:rsidRPr="00484247">
        <w:rPr>
          <w:lang w:val="en-US"/>
        </w:rPr>
        <w:t>vLEI</w:t>
      </w:r>
      <w:proofErr w:type="spellEnd"/>
      <w:r w:rsidR="00484247" w:rsidRPr="00484247">
        <w:rPr>
          <w:lang w:val="en-US"/>
        </w:rPr>
        <w:t xml:space="preserve"> has been designed as a scalable and secure solution to authenticate and bind the legal entity</w:t>
      </w:r>
      <w:r w:rsidR="00484247">
        <w:rPr>
          <w:lang w:val="en-US"/>
        </w:rPr>
        <w:t xml:space="preserve"> and its authorized representatives </w:t>
      </w:r>
      <w:r w:rsidR="00803901">
        <w:rPr>
          <w:lang w:val="en-US"/>
        </w:rPr>
        <w:t>cryptographically and can verify the representative’s authority to submit transaction data.</w:t>
      </w:r>
    </w:p>
    <w:permEnd w:id="1864581970"/>
    <w:p w14:paraId="70F87526" w14:textId="71CE892E" w:rsidR="006B5DF1" w:rsidRDefault="006B5DF1" w:rsidP="00074FD5">
      <w:pPr>
        <w:spacing w:after="0"/>
        <w:jc w:val="left"/>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lastRenderedPageBreak/>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F6D7209" w14:textId="77777777" w:rsidR="00E26073" w:rsidRDefault="005D3762" w:rsidP="00A43618">
      <w:pPr>
        <w:spacing w:before="240" w:after="0" w:line="360" w:lineRule="auto"/>
        <w:jc w:val="left"/>
      </w:pPr>
      <w:r>
        <w:lastRenderedPageBreak/>
        <w:t>&lt;ESMA_QUESTION_</w:t>
      </w:r>
      <w:r w:rsidR="00DF3781">
        <w:t>RTS2224</w:t>
      </w:r>
      <w:r>
        <w:t>_</w:t>
      </w:r>
      <w:r w:rsidR="003E7313">
        <w:t>29</w:t>
      </w:r>
      <w:r>
        <w:t>&gt;</w:t>
      </w:r>
    </w:p>
    <w:p w14:paraId="7925A10A" w14:textId="5CEC3B85" w:rsidR="00E26073" w:rsidRPr="00E26073" w:rsidRDefault="00E26073" w:rsidP="00E26073">
      <w:pPr>
        <w:spacing w:before="240" w:after="0" w:line="360" w:lineRule="auto"/>
        <w:jc w:val="left"/>
      </w:pPr>
      <w:permStart w:id="272647356" w:edGrp="everyone"/>
      <w:r w:rsidRPr="00E26073">
        <w:t xml:space="preserve">The SAG welcomes the use of globally recognized ISO standards within the proposed </w:t>
      </w:r>
      <w:proofErr w:type="spellStart"/>
      <w:r w:rsidRPr="00E26073">
        <w:t>MiFIR</w:t>
      </w:r>
      <w:proofErr w:type="spellEnd"/>
      <w:r w:rsidRPr="00E26073">
        <w:t xml:space="preserve"> Review amendments, including the DTI (Digital Token Identifier, ISO 24165) standard. The SAG views the proposed inclusion of DTIs for transaction reporting and order book record keeping for DLT financial instruments as a significant step towards greater market integrity and transparency. The DTI is recognized as the global standard for identifying digital tokens, including security tokens representing financial instruments in tokenized form, other real-world asset backed tokens such as fiat-backed stablecoins, and the wider universe of unbacked crypto-assets. </w:t>
      </w:r>
    </w:p>
    <w:p w14:paraId="339FE8C1" w14:textId="77777777" w:rsidR="00E26073" w:rsidRPr="00E26073" w:rsidRDefault="00E26073" w:rsidP="00E26073">
      <w:pPr>
        <w:spacing w:before="240" w:after="0" w:line="360" w:lineRule="auto"/>
        <w:jc w:val="left"/>
      </w:pPr>
      <w:r w:rsidRPr="00E26073">
        <w:t>The table below provides an overview of the ISO family of standards for the identification, naming and taxonomy of all tokenised assets. Internationally recognised ISO standards, such as ISIN, LEI, FISN (Financial Instrument Short Name, ISO 18774), and CFI (Classification of Financial instruments, ISO 10962) have proven effective in establishing a harmonised framework of identification and classification for regulators, market participants and infrastructure providers across financial markets. A combination of DTI (technical token/DLT characteristics), ISIN (economic attributes of an asset), FISN (asset description), and CFI (taxonomy and classification) will provide all key information for market participants. This also will provide continuity and consistency with traditional finance attributes.</w:t>
      </w:r>
      <w:r w:rsidRPr="00E26073">
        <w:br/>
      </w:r>
      <w:r w:rsidRPr="00E26073">
        <w:br/>
      </w:r>
      <w:r w:rsidRPr="00E26073">
        <w:rPr>
          <w:noProof/>
        </w:rPr>
        <w:drawing>
          <wp:inline distT="0" distB="0" distL="0" distR="0" wp14:anchorId="5C121412" wp14:editId="51BAA919">
            <wp:extent cx="5966690" cy="2412852"/>
            <wp:effectExtent l="0" t="0" r="0" b="6985"/>
            <wp:docPr id="152870022" name="Picture 2"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0022" name="Picture 2" descr="A diagram of a system&#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05319" cy="2428473"/>
                    </a:xfrm>
                    <a:prstGeom prst="rect">
                      <a:avLst/>
                    </a:prstGeom>
                    <a:noFill/>
                  </pic:spPr>
                </pic:pic>
              </a:graphicData>
            </a:graphic>
          </wp:inline>
        </w:drawing>
      </w:r>
    </w:p>
    <w:p w14:paraId="172A5F8E" w14:textId="18B11227" w:rsidR="00E26073" w:rsidRPr="00E26073" w:rsidRDefault="00E26073" w:rsidP="00E26073">
      <w:pPr>
        <w:spacing w:before="240" w:after="0" w:line="360" w:lineRule="auto"/>
        <w:jc w:val="left"/>
      </w:pPr>
    </w:p>
    <w:permEnd w:id="272647356"/>
    <w:p w14:paraId="7575D989" w14:textId="3F946B74" w:rsidR="001056D8" w:rsidRPr="001056D8" w:rsidRDefault="001056D8" w:rsidP="001056D8">
      <w:pPr>
        <w:spacing w:after="0"/>
        <w:jc w:val="left"/>
      </w:pPr>
    </w:p>
    <w:p w14:paraId="64D40008" w14:textId="45275B06" w:rsidR="005D3762" w:rsidRDefault="001056D8" w:rsidP="005D3762">
      <w:pPr>
        <w:spacing w:after="0"/>
      </w:pPr>
      <w:r>
        <w:lastRenderedPageBreak/>
        <w:br/>
      </w:r>
      <w:r w:rsidR="005D3762">
        <w:t>&lt;ESMA_QUESTION_</w:t>
      </w:r>
      <w:r w:rsidR="00DF3781">
        <w:t>RTS2224</w:t>
      </w:r>
      <w:r w:rsidR="005D3762">
        <w:t>_</w:t>
      </w:r>
      <w:r w:rsidR="003E7313">
        <w:t>29</w:t>
      </w:r>
      <w:r w:rsidR="005D3762">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45BBB4B7" w14:textId="2894B667" w:rsidR="00460492" w:rsidRDefault="001E380D" w:rsidP="00D57D06">
      <w:pPr>
        <w:spacing w:before="240" w:after="240" w:line="240" w:lineRule="auto"/>
        <w:rPr>
          <w:rFonts w:eastAsia="Times New Roman"/>
          <w:color w:val="auto"/>
          <w:szCs w:val="22"/>
          <w:lang w:eastAsia="en-GB"/>
        </w:rPr>
      </w:pPr>
      <w:permStart w:id="787828672" w:edGrp="everyone"/>
      <w:r w:rsidRPr="0079106C">
        <w:rPr>
          <w:rFonts w:eastAsia="Times New Roman"/>
          <w:color w:val="auto"/>
          <w:szCs w:val="22"/>
          <w:lang w:eastAsia="en-GB"/>
        </w:rPr>
        <w:t xml:space="preserve">The SAG supports the general approach to </w:t>
      </w:r>
      <w:r w:rsidR="00FA5437" w:rsidRPr="0079106C">
        <w:rPr>
          <w:rFonts w:eastAsia="Times New Roman"/>
          <w:color w:val="auto"/>
          <w:szCs w:val="22"/>
          <w:lang w:eastAsia="en-GB"/>
        </w:rPr>
        <w:t>update the fields used for reference data collection, including the use of ISIN and DTI.</w:t>
      </w:r>
    </w:p>
    <w:p w14:paraId="47A0429B" w14:textId="770E7C47" w:rsidR="00FA5437" w:rsidRPr="0079106C" w:rsidRDefault="00460492" w:rsidP="00D57D06">
      <w:pPr>
        <w:spacing w:before="240" w:after="240" w:line="240" w:lineRule="auto"/>
        <w:rPr>
          <w:rFonts w:eastAsia="Times New Roman"/>
          <w:color w:val="auto"/>
          <w:szCs w:val="22"/>
          <w:lang w:eastAsia="en-GB"/>
        </w:rPr>
      </w:pPr>
      <w:r>
        <w:rPr>
          <w:rFonts w:eastAsia="Times New Roman"/>
          <w:color w:val="auto"/>
          <w:szCs w:val="22"/>
          <w:lang w:eastAsia="en-GB"/>
        </w:rPr>
        <w:t xml:space="preserve">Regarding OTC derivatives, the SAG </w:t>
      </w:r>
      <w:r w:rsidRPr="00460492">
        <w:rPr>
          <w:rFonts w:eastAsia="Times New Roman"/>
          <w:color w:val="auto"/>
          <w:szCs w:val="22"/>
          <w:lang w:eastAsia="en-GB"/>
        </w:rPr>
        <w:t>acknowledge</w:t>
      </w:r>
      <w:r>
        <w:rPr>
          <w:rFonts w:eastAsia="Times New Roman"/>
          <w:color w:val="auto"/>
          <w:szCs w:val="22"/>
          <w:lang w:eastAsia="en-GB"/>
        </w:rPr>
        <w:t>s</w:t>
      </w:r>
      <w:r w:rsidRPr="00460492">
        <w:rPr>
          <w:rFonts w:eastAsia="Times New Roman"/>
          <w:color w:val="auto"/>
          <w:szCs w:val="22"/>
          <w:lang w:eastAsia="en-GB"/>
        </w:rPr>
        <w:t xml:space="preserve"> that ESMA await the formal publication of the European Commission Delegated Act (DA) before determination of the </w:t>
      </w:r>
      <w:r w:rsidR="0075055D">
        <w:rPr>
          <w:rFonts w:eastAsia="Times New Roman"/>
          <w:color w:val="auto"/>
          <w:szCs w:val="22"/>
          <w:lang w:eastAsia="en-GB"/>
        </w:rPr>
        <w:t xml:space="preserve">identifying </w:t>
      </w:r>
      <w:r w:rsidRPr="00460492">
        <w:rPr>
          <w:rFonts w:eastAsia="Times New Roman"/>
          <w:color w:val="auto"/>
          <w:szCs w:val="22"/>
          <w:lang w:eastAsia="en-GB"/>
        </w:rPr>
        <w:t>reference data for OTC derivatives</w:t>
      </w:r>
      <w:r w:rsidR="00E5139C">
        <w:rPr>
          <w:rFonts w:eastAsia="Times New Roman"/>
          <w:color w:val="auto"/>
          <w:szCs w:val="22"/>
          <w:lang w:eastAsia="en-GB"/>
        </w:rPr>
        <w:t>. T</w:t>
      </w:r>
      <w:r w:rsidRPr="00460492">
        <w:rPr>
          <w:rFonts w:eastAsia="Times New Roman"/>
          <w:color w:val="auto"/>
          <w:szCs w:val="22"/>
          <w:lang w:eastAsia="en-GB"/>
        </w:rPr>
        <w:t xml:space="preserve">he SAG remains available to further discuss and support </w:t>
      </w:r>
      <w:r w:rsidR="00FD2FAD">
        <w:rPr>
          <w:rFonts w:eastAsia="Times New Roman"/>
          <w:color w:val="auto"/>
          <w:szCs w:val="22"/>
          <w:lang w:eastAsia="en-GB"/>
        </w:rPr>
        <w:t xml:space="preserve">the use of ISO standards </w:t>
      </w:r>
      <w:r w:rsidR="00A65DE1">
        <w:rPr>
          <w:rFonts w:eastAsia="Times New Roman"/>
          <w:color w:val="auto"/>
          <w:szCs w:val="22"/>
          <w:lang w:eastAsia="en-GB"/>
        </w:rPr>
        <w:t xml:space="preserve">as </w:t>
      </w:r>
      <w:r w:rsidR="00015129">
        <w:rPr>
          <w:rFonts w:eastAsia="Times New Roman"/>
          <w:color w:val="auto"/>
          <w:szCs w:val="22"/>
          <w:lang w:eastAsia="en-GB"/>
        </w:rPr>
        <w:t xml:space="preserve">needed </w:t>
      </w:r>
      <w:r w:rsidR="00FD2FAD">
        <w:rPr>
          <w:rFonts w:eastAsia="Times New Roman"/>
          <w:color w:val="auto"/>
          <w:szCs w:val="22"/>
          <w:lang w:eastAsia="en-GB"/>
        </w:rPr>
        <w:t xml:space="preserve">by ESMA </w:t>
      </w:r>
      <w:r w:rsidR="00015129">
        <w:rPr>
          <w:rFonts w:eastAsia="Times New Roman"/>
          <w:color w:val="auto"/>
          <w:szCs w:val="22"/>
          <w:lang w:eastAsia="en-GB"/>
        </w:rPr>
        <w:t xml:space="preserve">to develop </w:t>
      </w:r>
      <w:r w:rsidR="00FD2FAD">
        <w:rPr>
          <w:rFonts w:eastAsia="Times New Roman"/>
          <w:color w:val="auto"/>
          <w:szCs w:val="22"/>
          <w:lang w:eastAsia="en-GB"/>
        </w:rPr>
        <w:t>a</w:t>
      </w:r>
      <w:r w:rsidR="00015129">
        <w:rPr>
          <w:rFonts w:eastAsia="Times New Roman"/>
          <w:color w:val="auto"/>
          <w:szCs w:val="22"/>
          <w:lang w:eastAsia="en-GB"/>
        </w:rPr>
        <w:t xml:space="preserve"> </w:t>
      </w:r>
      <w:r w:rsidR="00F45BC8">
        <w:rPr>
          <w:rFonts w:eastAsia="Times New Roman"/>
          <w:color w:val="auto"/>
          <w:szCs w:val="22"/>
          <w:lang w:eastAsia="en-GB"/>
        </w:rPr>
        <w:t>complete</w:t>
      </w:r>
      <w:r w:rsidR="00015129">
        <w:rPr>
          <w:rFonts w:eastAsia="Times New Roman"/>
          <w:color w:val="auto"/>
          <w:szCs w:val="22"/>
          <w:lang w:eastAsia="en-GB"/>
        </w:rPr>
        <w:t xml:space="preserve"> proposal</w:t>
      </w:r>
      <w:r w:rsidRPr="00460492">
        <w:rPr>
          <w:rFonts w:eastAsia="Times New Roman"/>
          <w:color w:val="auto"/>
          <w:szCs w:val="22"/>
          <w:lang w:eastAsia="en-GB"/>
        </w:rPr>
        <w:t>.</w:t>
      </w:r>
    </w:p>
    <w:p w14:paraId="12FEE8FA" w14:textId="6C9F4720" w:rsidR="005D3762" w:rsidRPr="0079106C" w:rsidRDefault="004123C2" w:rsidP="0079106C">
      <w:pPr>
        <w:spacing w:before="240" w:after="240" w:line="240" w:lineRule="auto"/>
        <w:rPr>
          <w:rFonts w:ascii="Times New Roman" w:eastAsia="Times New Roman" w:hAnsi="Times New Roman" w:cs="Times New Roman"/>
          <w:color w:val="auto"/>
          <w:szCs w:val="22"/>
          <w:lang w:eastAsia="en-GB"/>
        </w:rPr>
      </w:pPr>
      <w:r>
        <w:rPr>
          <w:rFonts w:eastAsia="Times New Roman"/>
          <w:color w:val="auto"/>
          <w:szCs w:val="22"/>
          <w:lang w:eastAsia="en-GB"/>
        </w:rPr>
        <w:t>The SAG is</w:t>
      </w:r>
      <w:r w:rsidR="00D57D06" w:rsidRPr="0079106C">
        <w:rPr>
          <w:rFonts w:eastAsia="Times New Roman"/>
          <w:color w:val="auto"/>
          <w:szCs w:val="22"/>
          <w:lang w:eastAsia="en-GB"/>
        </w:rPr>
        <w:t xml:space="preserve"> unsure how field 47a</w:t>
      </w:r>
      <w:r w:rsidR="0079106C">
        <w:rPr>
          <w:rFonts w:eastAsia="Times New Roman"/>
          <w:color w:val="auto"/>
          <w:szCs w:val="22"/>
          <w:lang w:eastAsia="en-GB"/>
        </w:rPr>
        <w:t xml:space="preserve">, </w:t>
      </w:r>
      <w:r w:rsidR="00D57D06" w:rsidRPr="0079106C">
        <w:rPr>
          <w:rFonts w:eastAsia="Times New Roman"/>
          <w:color w:val="auto"/>
          <w:szCs w:val="22"/>
          <w:lang w:eastAsia="en-GB"/>
        </w:rPr>
        <w:t>the DTI of an underlier traded on a blockchain</w:t>
      </w:r>
      <w:r w:rsidR="0079106C">
        <w:rPr>
          <w:rFonts w:eastAsia="Times New Roman"/>
          <w:color w:val="auto"/>
          <w:szCs w:val="22"/>
          <w:lang w:eastAsia="en-GB"/>
        </w:rPr>
        <w:t>,</w:t>
      </w:r>
      <w:r w:rsidR="00D57D06" w:rsidRPr="0079106C">
        <w:rPr>
          <w:rFonts w:eastAsia="Times New Roman"/>
          <w:color w:val="auto"/>
          <w:szCs w:val="22"/>
          <w:lang w:eastAsia="en-GB"/>
        </w:rPr>
        <w:t xml:space="preserve"> can be included in the list of fields to be left blank if an ISIN is used in field 41, as this data element is not included </w:t>
      </w:r>
      <w:r w:rsidR="00D57D06" w:rsidRPr="0079106C">
        <w:rPr>
          <w:rFonts w:eastAsia="Times New Roman"/>
          <w:color w:val="auto"/>
          <w:szCs w:val="22"/>
          <w:lang w:eastAsia="en-GB"/>
        </w:rPr>
        <w:lastRenderedPageBreak/>
        <w:t xml:space="preserve">in RTS 23 reference data submission at any point (as per the recent RTS 23 consultation). </w:t>
      </w:r>
      <w:r w:rsidR="0079106C" w:rsidRPr="0079106C">
        <w:rPr>
          <w:rFonts w:eastAsia="Times New Roman"/>
          <w:color w:val="auto"/>
          <w:szCs w:val="22"/>
          <w:lang w:eastAsia="en-GB"/>
        </w:rPr>
        <w:t xml:space="preserve">Therefore, </w:t>
      </w:r>
      <w:r w:rsidR="00D57D06" w:rsidRPr="0079106C">
        <w:rPr>
          <w:rFonts w:eastAsia="Times New Roman"/>
          <w:color w:val="auto"/>
          <w:szCs w:val="22"/>
          <w:lang w:eastAsia="en-GB"/>
        </w:rPr>
        <w:t xml:space="preserve">ESMA </w:t>
      </w:r>
      <w:r>
        <w:rPr>
          <w:rFonts w:eastAsia="Times New Roman"/>
          <w:color w:val="auto"/>
          <w:szCs w:val="22"/>
          <w:lang w:eastAsia="en-GB"/>
        </w:rPr>
        <w:t>would</w:t>
      </w:r>
      <w:r w:rsidRPr="0079106C">
        <w:rPr>
          <w:rFonts w:eastAsia="Times New Roman"/>
          <w:color w:val="auto"/>
          <w:szCs w:val="22"/>
          <w:lang w:eastAsia="en-GB"/>
        </w:rPr>
        <w:t xml:space="preserve"> </w:t>
      </w:r>
      <w:r w:rsidR="00D57D06" w:rsidRPr="0079106C">
        <w:rPr>
          <w:rFonts w:eastAsia="Times New Roman"/>
          <w:color w:val="auto"/>
          <w:szCs w:val="22"/>
          <w:lang w:eastAsia="en-GB"/>
        </w:rPr>
        <w:t>need to ensure that the requisite changes are made</w:t>
      </w:r>
      <w:r w:rsidR="001E380D" w:rsidRPr="0079106C">
        <w:rPr>
          <w:rFonts w:eastAsia="Times New Roman"/>
          <w:color w:val="auto"/>
          <w:szCs w:val="22"/>
          <w:lang w:eastAsia="en-GB"/>
        </w:rPr>
        <w:t xml:space="preserve"> to RTS 23 </w:t>
      </w:r>
      <w:r w:rsidR="0079106C">
        <w:rPr>
          <w:rFonts w:eastAsia="Times New Roman"/>
          <w:color w:val="auto"/>
          <w:szCs w:val="22"/>
          <w:lang w:eastAsia="en-GB"/>
        </w:rPr>
        <w:t>and</w:t>
      </w:r>
      <w:r w:rsidR="001E380D" w:rsidRPr="0079106C">
        <w:rPr>
          <w:rFonts w:eastAsia="Times New Roman"/>
          <w:color w:val="auto"/>
          <w:szCs w:val="22"/>
          <w:lang w:eastAsia="en-GB"/>
        </w:rPr>
        <w:t xml:space="preserve"> that this field is populated </w:t>
      </w:r>
      <w:r w:rsidR="00091899">
        <w:rPr>
          <w:rFonts w:eastAsia="Times New Roman"/>
          <w:color w:val="auto"/>
          <w:szCs w:val="22"/>
          <w:lang w:eastAsia="en-GB"/>
        </w:rPr>
        <w:t xml:space="preserve">in FIRDS </w:t>
      </w:r>
      <w:r w:rsidR="001E380D" w:rsidRPr="0079106C">
        <w:rPr>
          <w:rFonts w:eastAsia="Times New Roman"/>
          <w:color w:val="auto"/>
          <w:szCs w:val="22"/>
          <w:lang w:eastAsia="en-GB"/>
        </w:rPr>
        <w:t>(where applicable) when an ISIN is present in field 41</w:t>
      </w:r>
      <w:r w:rsidR="0079106C" w:rsidRPr="0079106C">
        <w:rPr>
          <w:rFonts w:eastAsia="Times New Roman"/>
          <w:color w:val="auto"/>
          <w:szCs w:val="22"/>
          <w:lang w:eastAsia="en-GB"/>
        </w:rPr>
        <w:t>.</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lastRenderedPageBreak/>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6FD086F9" w14:textId="77777777" w:rsidR="005D3762" w:rsidRDefault="005D3762" w:rsidP="005D3762">
      <w:pPr>
        <w:spacing w:after="0"/>
      </w:pPr>
      <w:permStart w:id="923106790" w:edGrp="everyone"/>
      <w:r>
        <w:t>TYPE YOUR TEXT HERE</w:t>
      </w:r>
    </w:p>
    <w:permEnd w:id="923106790"/>
    <w:p w14:paraId="2DD70268" w14:textId="42F94DCA" w:rsidR="005D3762" w:rsidRDefault="005D3762" w:rsidP="005D3762">
      <w:pPr>
        <w:spacing w:after="0"/>
      </w:pPr>
      <w:r>
        <w:lastRenderedPageBreak/>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lastRenderedPageBreak/>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1C03A" w14:textId="77777777" w:rsidR="004D21A3" w:rsidRDefault="004D21A3" w:rsidP="00F716D4">
      <w:r>
        <w:separator/>
      </w:r>
    </w:p>
    <w:p w14:paraId="61686B5A" w14:textId="77777777" w:rsidR="004D21A3" w:rsidRDefault="004D21A3" w:rsidP="00F716D4"/>
  </w:endnote>
  <w:endnote w:type="continuationSeparator" w:id="0">
    <w:p w14:paraId="45F57D79" w14:textId="77777777" w:rsidR="004D21A3" w:rsidRDefault="004D21A3" w:rsidP="00F716D4">
      <w:r>
        <w:continuationSeparator/>
      </w:r>
    </w:p>
    <w:p w14:paraId="75DB6218" w14:textId="77777777" w:rsidR="004D21A3" w:rsidRDefault="004D21A3" w:rsidP="00F716D4"/>
  </w:endnote>
  <w:endnote w:type="continuationNotice" w:id="1">
    <w:p w14:paraId="06CE6923" w14:textId="77777777" w:rsidR="004D21A3" w:rsidRDefault="004D21A3"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EUAlbertina">
    <w:altName w:val="Calibri"/>
    <w:panose1 w:val="020B0604020202020204"/>
    <w:charset w:val="00"/>
    <w:family w:val="swiss"/>
    <w:notTrueType/>
    <w:pitch w:val="default"/>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Liberation Serif">
    <w:altName w:val="Times New Roman"/>
    <w:panose1 w:val="020B0604020202020204"/>
    <w:charset w:val="00"/>
    <w:family w:val="roman"/>
    <w:pitch w:val="variable"/>
  </w:font>
  <w:font w:name="Myriad Pro Light">
    <w:altName w:val="Corbel"/>
    <w:panose1 w:val="020B06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CED341" w14:textId="77777777" w:rsidR="004D21A3" w:rsidRDefault="004D21A3" w:rsidP="00F716D4">
      <w:r>
        <w:separator/>
      </w:r>
    </w:p>
    <w:p w14:paraId="0B8B2CEC" w14:textId="77777777" w:rsidR="004D21A3" w:rsidRDefault="004D21A3" w:rsidP="00F716D4"/>
  </w:footnote>
  <w:footnote w:type="continuationSeparator" w:id="0">
    <w:p w14:paraId="43736F89" w14:textId="77777777" w:rsidR="004D21A3" w:rsidRDefault="004D21A3" w:rsidP="00F716D4">
      <w:r>
        <w:continuationSeparator/>
      </w:r>
    </w:p>
    <w:p w14:paraId="3E8AC47E" w14:textId="77777777" w:rsidR="004D21A3" w:rsidRDefault="004D21A3" w:rsidP="00F716D4"/>
  </w:footnote>
  <w:footnote w:type="continuationNotice" w:id="1">
    <w:p w14:paraId="76C7382D" w14:textId="77777777" w:rsidR="004D21A3" w:rsidRDefault="004D21A3"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2849"/>
    <w:rsid w:val="00013471"/>
    <w:rsid w:val="00013CCE"/>
    <w:rsid w:val="000140D5"/>
    <w:rsid w:val="0001410B"/>
    <w:rsid w:val="000141D6"/>
    <w:rsid w:val="00014A95"/>
    <w:rsid w:val="00015129"/>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054A"/>
    <w:rsid w:val="00033A94"/>
    <w:rsid w:val="000344D6"/>
    <w:rsid w:val="00034960"/>
    <w:rsid w:val="00036FAE"/>
    <w:rsid w:val="00040FBA"/>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6DE4"/>
    <w:rsid w:val="0006723C"/>
    <w:rsid w:val="00070376"/>
    <w:rsid w:val="00070630"/>
    <w:rsid w:val="00070974"/>
    <w:rsid w:val="00071EAD"/>
    <w:rsid w:val="00071F4E"/>
    <w:rsid w:val="00072271"/>
    <w:rsid w:val="00072B54"/>
    <w:rsid w:val="0007463D"/>
    <w:rsid w:val="00074979"/>
    <w:rsid w:val="000749F0"/>
    <w:rsid w:val="00074FD5"/>
    <w:rsid w:val="0007609D"/>
    <w:rsid w:val="00077C67"/>
    <w:rsid w:val="00080976"/>
    <w:rsid w:val="00081CEB"/>
    <w:rsid w:val="00081E60"/>
    <w:rsid w:val="00082D8E"/>
    <w:rsid w:val="00082E31"/>
    <w:rsid w:val="00083AA3"/>
    <w:rsid w:val="00085947"/>
    <w:rsid w:val="000868FE"/>
    <w:rsid w:val="000878D1"/>
    <w:rsid w:val="00091050"/>
    <w:rsid w:val="00091899"/>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00C"/>
    <w:rsid w:val="000A43CC"/>
    <w:rsid w:val="000A7314"/>
    <w:rsid w:val="000A7904"/>
    <w:rsid w:val="000A7B53"/>
    <w:rsid w:val="000A7B64"/>
    <w:rsid w:val="000B275C"/>
    <w:rsid w:val="000B2C3D"/>
    <w:rsid w:val="000B468A"/>
    <w:rsid w:val="000B55C0"/>
    <w:rsid w:val="000B5DF2"/>
    <w:rsid w:val="000C06C9"/>
    <w:rsid w:val="000C1DCC"/>
    <w:rsid w:val="000C1FBC"/>
    <w:rsid w:val="000C2B6A"/>
    <w:rsid w:val="000C2F88"/>
    <w:rsid w:val="000C4A61"/>
    <w:rsid w:val="000C55C8"/>
    <w:rsid w:val="000C57C4"/>
    <w:rsid w:val="000C5FD3"/>
    <w:rsid w:val="000C701D"/>
    <w:rsid w:val="000C773C"/>
    <w:rsid w:val="000C7C4A"/>
    <w:rsid w:val="000D17AA"/>
    <w:rsid w:val="000D2D0B"/>
    <w:rsid w:val="000D4660"/>
    <w:rsid w:val="000D705D"/>
    <w:rsid w:val="000D71F1"/>
    <w:rsid w:val="000D76D8"/>
    <w:rsid w:val="000D7EB9"/>
    <w:rsid w:val="000E0223"/>
    <w:rsid w:val="000E0CF3"/>
    <w:rsid w:val="000E16AA"/>
    <w:rsid w:val="000E18A8"/>
    <w:rsid w:val="000E1AEC"/>
    <w:rsid w:val="000E3937"/>
    <w:rsid w:val="000E4926"/>
    <w:rsid w:val="000E49B7"/>
    <w:rsid w:val="000E5ACC"/>
    <w:rsid w:val="000E5F7F"/>
    <w:rsid w:val="000E64F1"/>
    <w:rsid w:val="000E7086"/>
    <w:rsid w:val="000E7C65"/>
    <w:rsid w:val="000F04D2"/>
    <w:rsid w:val="000F55B7"/>
    <w:rsid w:val="000F604F"/>
    <w:rsid w:val="000F7399"/>
    <w:rsid w:val="00101BF1"/>
    <w:rsid w:val="001027F1"/>
    <w:rsid w:val="00104E00"/>
    <w:rsid w:val="00104F2E"/>
    <w:rsid w:val="001056D8"/>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482B"/>
    <w:rsid w:val="001459E3"/>
    <w:rsid w:val="00146A0B"/>
    <w:rsid w:val="0014761E"/>
    <w:rsid w:val="0015061C"/>
    <w:rsid w:val="00151907"/>
    <w:rsid w:val="001543A8"/>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380D"/>
    <w:rsid w:val="001E407D"/>
    <w:rsid w:val="001E40FB"/>
    <w:rsid w:val="001E66EC"/>
    <w:rsid w:val="001E68C5"/>
    <w:rsid w:val="001E6BFC"/>
    <w:rsid w:val="001E7BD3"/>
    <w:rsid w:val="001F0F63"/>
    <w:rsid w:val="001F3996"/>
    <w:rsid w:val="001F3EB2"/>
    <w:rsid w:val="001F44A4"/>
    <w:rsid w:val="001F579D"/>
    <w:rsid w:val="001F65EF"/>
    <w:rsid w:val="001F697B"/>
    <w:rsid w:val="0020045C"/>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15A1"/>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157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8FD"/>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2F7B0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26CCA"/>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9734D"/>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06"/>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23C2"/>
    <w:rsid w:val="004142ED"/>
    <w:rsid w:val="0041634D"/>
    <w:rsid w:val="004168AB"/>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0C3A"/>
    <w:rsid w:val="0045175A"/>
    <w:rsid w:val="00451ED9"/>
    <w:rsid w:val="00452180"/>
    <w:rsid w:val="00453072"/>
    <w:rsid w:val="004539F8"/>
    <w:rsid w:val="00453F26"/>
    <w:rsid w:val="0045503F"/>
    <w:rsid w:val="00455273"/>
    <w:rsid w:val="00457874"/>
    <w:rsid w:val="00460492"/>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76D6B"/>
    <w:rsid w:val="0048104E"/>
    <w:rsid w:val="004814BB"/>
    <w:rsid w:val="004815DA"/>
    <w:rsid w:val="00482458"/>
    <w:rsid w:val="004837ED"/>
    <w:rsid w:val="00483942"/>
    <w:rsid w:val="00484247"/>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928"/>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2FE"/>
    <w:rsid w:val="004D1410"/>
    <w:rsid w:val="004D1478"/>
    <w:rsid w:val="004D19EE"/>
    <w:rsid w:val="004D1CF2"/>
    <w:rsid w:val="004D21A3"/>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2AF"/>
    <w:rsid w:val="00531531"/>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572C"/>
    <w:rsid w:val="00575BA9"/>
    <w:rsid w:val="005765C0"/>
    <w:rsid w:val="00576714"/>
    <w:rsid w:val="005778DE"/>
    <w:rsid w:val="00580B3F"/>
    <w:rsid w:val="005825F2"/>
    <w:rsid w:val="0058344D"/>
    <w:rsid w:val="00583885"/>
    <w:rsid w:val="005860AF"/>
    <w:rsid w:val="00587F1D"/>
    <w:rsid w:val="00590348"/>
    <w:rsid w:val="00591161"/>
    <w:rsid w:val="00592318"/>
    <w:rsid w:val="00593133"/>
    <w:rsid w:val="00594729"/>
    <w:rsid w:val="005948AB"/>
    <w:rsid w:val="0059575D"/>
    <w:rsid w:val="00596156"/>
    <w:rsid w:val="00596825"/>
    <w:rsid w:val="005A06A0"/>
    <w:rsid w:val="005A150A"/>
    <w:rsid w:val="005A1E77"/>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46CB"/>
    <w:rsid w:val="005B5B3C"/>
    <w:rsid w:val="005B64CB"/>
    <w:rsid w:val="005B65C0"/>
    <w:rsid w:val="005B6AAA"/>
    <w:rsid w:val="005B7554"/>
    <w:rsid w:val="005B7C78"/>
    <w:rsid w:val="005C0FB2"/>
    <w:rsid w:val="005C1169"/>
    <w:rsid w:val="005C16E2"/>
    <w:rsid w:val="005C24EF"/>
    <w:rsid w:val="005C2796"/>
    <w:rsid w:val="005C3C6C"/>
    <w:rsid w:val="005C3F4C"/>
    <w:rsid w:val="005C4317"/>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1F6E"/>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052AC"/>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055D"/>
    <w:rsid w:val="007506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B98"/>
    <w:rsid w:val="00763F36"/>
    <w:rsid w:val="007648A0"/>
    <w:rsid w:val="00766F4D"/>
    <w:rsid w:val="00770268"/>
    <w:rsid w:val="007706B9"/>
    <w:rsid w:val="007707ED"/>
    <w:rsid w:val="00771C3B"/>
    <w:rsid w:val="007726F9"/>
    <w:rsid w:val="00773B94"/>
    <w:rsid w:val="00773C65"/>
    <w:rsid w:val="00774F07"/>
    <w:rsid w:val="00775937"/>
    <w:rsid w:val="00777046"/>
    <w:rsid w:val="007770DA"/>
    <w:rsid w:val="007805B9"/>
    <w:rsid w:val="00780C3A"/>
    <w:rsid w:val="007834A1"/>
    <w:rsid w:val="00787AC3"/>
    <w:rsid w:val="0079106C"/>
    <w:rsid w:val="00791DC8"/>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931"/>
    <w:rsid w:val="007A7678"/>
    <w:rsid w:val="007B0CD8"/>
    <w:rsid w:val="007B0DE0"/>
    <w:rsid w:val="007B12E4"/>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5E7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36C5"/>
    <w:rsid w:val="007E4207"/>
    <w:rsid w:val="007E4AAA"/>
    <w:rsid w:val="007E4BD2"/>
    <w:rsid w:val="007E4C29"/>
    <w:rsid w:val="007E5E44"/>
    <w:rsid w:val="007F0DDA"/>
    <w:rsid w:val="007F1939"/>
    <w:rsid w:val="007F1B7A"/>
    <w:rsid w:val="007F365C"/>
    <w:rsid w:val="007F5066"/>
    <w:rsid w:val="007F621C"/>
    <w:rsid w:val="007F7155"/>
    <w:rsid w:val="00800C28"/>
    <w:rsid w:val="0080245E"/>
    <w:rsid w:val="00802E10"/>
    <w:rsid w:val="00803480"/>
    <w:rsid w:val="0080359C"/>
    <w:rsid w:val="008037AE"/>
    <w:rsid w:val="008037F6"/>
    <w:rsid w:val="00803901"/>
    <w:rsid w:val="008043F4"/>
    <w:rsid w:val="00804BB4"/>
    <w:rsid w:val="00805D9F"/>
    <w:rsid w:val="00807A4D"/>
    <w:rsid w:val="00807F30"/>
    <w:rsid w:val="008103DC"/>
    <w:rsid w:val="0081119F"/>
    <w:rsid w:val="0081134D"/>
    <w:rsid w:val="00811EDA"/>
    <w:rsid w:val="00812403"/>
    <w:rsid w:val="00812E39"/>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6E1"/>
    <w:rsid w:val="00871F04"/>
    <w:rsid w:val="008746C1"/>
    <w:rsid w:val="00880224"/>
    <w:rsid w:val="0088244C"/>
    <w:rsid w:val="00883367"/>
    <w:rsid w:val="00883EE0"/>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5F51"/>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281"/>
    <w:rsid w:val="008F7BC4"/>
    <w:rsid w:val="009003B8"/>
    <w:rsid w:val="00900E7A"/>
    <w:rsid w:val="00903E11"/>
    <w:rsid w:val="00903EBE"/>
    <w:rsid w:val="009041DE"/>
    <w:rsid w:val="00904BF8"/>
    <w:rsid w:val="00905D59"/>
    <w:rsid w:val="009062CA"/>
    <w:rsid w:val="00907631"/>
    <w:rsid w:val="00907776"/>
    <w:rsid w:val="00907865"/>
    <w:rsid w:val="0091049A"/>
    <w:rsid w:val="00913401"/>
    <w:rsid w:val="00913567"/>
    <w:rsid w:val="009137B6"/>
    <w:rsid w:val="009137EE"/>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27D2"/>
    <w:rsid w:val="009838B0"/>
    <w:rsid w:val="00983A3C"/>
    <w:rsid w:val="00983EFA"/>
    <w:rsid w:val="00984C15"/>
    <w:rsid w:val="00987829"/>
    <w:rsid w:val="00987F7A"/>
    <w:rsid w:val="00991276"/>
    <w:rsid w:val="009923E7"/>
    <w:rsid w:val="00992697"/>
    <w:rsid w:val="00992D4E"/>
    <w:rsid w:val="009934BB"/>
    <w:rsid w:val="009940BA"/>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68F9"/>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2D1"/>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618"/>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5DE1"/>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1E85"/>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4973"/>
    <w:rsid w:val="00B155DF"/>
    <w:rsid w:val="00B156CF"/>
    <w:rsid w:val="00B1570E"/>
    <w:rsid w:val="00B176B9"/>
    <w:rsid w:val="00B17AD5"/>
    <w:rsid w:val="00B17DC8"/>
    <w:rsid w:val="00B17E1E"/>
    <w:rsid w:val="00B207F1"/>
    <w:rsid w:val="00B20A42"/>
    <w:rsid w:val="00B20BDE"/>
    <w:rsid w:val="00B20C41"/>
    <w:rsid w:val="00B2138D"/>
    <w:rsid w:val="00B21768"/>
    <w:rsid w:val="00B21A94"/>
    <w:rsid w:val="00B23F86"/>
    <w:rsid w:val="00B248A0"/>
    <w:rsid w:val="00B24B42"/>
    <w:rsid w:val="00B24DC6"/>
    <w:rsid w:val="00B24E30"/>
    <w:rsid w:val="00B258F3"/>
    <w:rsid w:val="00B25E0D"/>
    <w:rsid w:val="00B2656C"/>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2D80"/>
    <w:rsid w:val="00B6351C"/>
    <w:rsid w:val="00B6439A"/>
    <w:rsid w:val="00B6443B"/>
    <w:rsid w:val="00B6517B"/>
    <w:rsid w:val="00B65E71"/>
    <w:rsid w:val="00B66C26"/>
    <w:rsid w:val="00B67829"/>
    <w:rsid w:val="00B71FB3"/>
    <w:rsid w:val="00B73492"/>
    <w:rsid w:val="00B75107"/>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1D9B"/>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0356"/>
    <w:rsid w:val="00BE19EF"/>
    <w:rsid w:val="00BE425B"/>
    <w:rsid w:val="00BE4606"/>
    <w:rsid w:val="00BE51BB"/>
    <w:rsid w:val="00BE7595"/>
    <w:rsid w:val="00BE77D3"/>
    <w:rsid w:val="00BF0138"/>
    <w:rsid w:val="00BF114B"/>
    <w:rsid w:val="00BF1620"/>
    <w:rsid w:val="00BF1AC3"/>
    <w:rsid w:val="00BF1B02"/>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43FA"/>
    <w:rsid w:val="00C353A0"/>
    <w:rsid w:val="00C368D7"/>
    <w:rsid w:val="00C36B56"/>
    <w:rsid w:val="00C36FD1"/>
    <w:rsid w:val="00C371A5"/>
    <w:rsid w:val="00C400B0"/>
    <w:rsid w:val="00C413FC"/>
    <w:rsid w:val="00C42424"/>
    <w:rsid w:val="00C43D33"/>
    <w:rsid w:val="00C44140"/>
    <w:rsid w:val="00C44407"/>
    <w:rsid w:val="00C456E8"/>
    <w:rsid w:val="00C46630"/>
    <w:rsid w:val="00C46E0C"/>
    <w:rsid w:val="00C47A2F"/>
    <w:rsid w:val="00C50D18"/>
    <w:rsid w:val="00C51179"/>
    <w:rsid w:val="00C5282C"/>
    <w:rsid w:val="00C52FBE"/>
    <w:rsid w:val="00C5355E"/>
    <w:rsid w:val="00C535E2"/>
    <w:rsid w:val="00C53FC1"/>
    <w:rsid w:val="00C54034"/>
    <w:rsid w:val="00C546C7"/>
    <w:rsid w:val="00C551D2"/>
    <w:rsid w:val="00C56438"/>
    <w:rsid w:val="00C570B3"/>
    <w:rsid w:val="00C57114"/>
    <w:rsid w:val="00C6009F"/>
    <w:rsid w:val="00C60417"/>
    <w:rsid w:val="00C6046F"/>
    <w:rsid w:val="00C638C2"/>
    <w:rsid w:val="00C651D4"/>
    <w:rsid w:val="00C6669E"/>
    <w:rsid w:val="00C672B0"/>
    <w:rsid w:val="00C729C7"/>
    <w:rsid w:val="00C74BC8"/>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9716B"/>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3B17"/>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1D34"/>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57D06"/>
    <w:rsid w:val="00D6081B"/>
    <w:rsid w:val="00D60960"/>
    <w:rsid w:val="00D61551"/>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3BFE"/>
    <w:rsid w:val="00DA5B13"/>
    <w:rsid w:val="00DA6917"/>
    <w:rsid w:val="00DA6926"/>
    <w:rsid w:val="00DB0283"/>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6073"/>
    <w:rsid w:val="00E2723D"/>
    <w:rsid w:val="00E27C77"/>
    <w:rsid w:val="00E3179E"/>
    <w:rsid w:val="00E32AC9"/>
    <w:rsid w:val="00E354DA"/>
    <w:rsid w:val="00E354F5"/>
    <w:rsid w:val="00E35EED"/>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39C"/>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77ABC"/>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2E87"/>
    <w:rsid w:val="00EB309B"/>
    <w:rsid w:val="00EB3AA2"/>
    <w:rsid w:val="00EB4763"/>
    <w:rsid w:val="00EB62F1"/>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468"/>
    <w:rsid w:val="00ED19D7"/>
    <w:rsid w:val="00ED2167"/>
    <w:rsid w:val="00ED2E03"/>
    <w:rsid w:val="00ED351E"/>
    <w:rsid w:val="00ED4B27"/>
    <w:rsid w:val="00ED543C"/>
    <w:rsid w:val="00ED6BA4"/>
    <w:rsid w:val="00ED7DA7"/>
    <w:rsid w:val="00EE0598"/>
    <w:rsid w:val="00EE311C"/>
    <w:rsid w:val="00EE5690"/>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4134"/>
    <w:rsid w:val="00F3568B"/>
    <w:rsid w:val="00F377CD"/>
    <w:rsid w:val="00F40416"/>
    <w:rsid w:val="00F40C3B"/>
    <w:rsid w:val="00F40CE0"/>
    <w:rsid w:val="00F42DBC"/>
    <w:rsid w:val="00F4308D"/>
    <w:rsid w:val="00F43521"/>
    <w:rsid w:val="00F44012"/>
    <w:rsid w:val="00F44947"/>
    <w:rsid w:val="00F458EF"/>
    <w:rsid w:val="00F45BC8"/>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437"/>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FAD"/>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uiPriority w:val="99"/>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28227310">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21001471">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1948149958">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esma.europa.eu/about-esma/data-protection"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56e8fde9-f66a-4997-8251-f5f2550eef39" xsi:nil="true"/>
    <SharedWithUsers xmlns="56e8fde9-f66a-4997-8251-f5f2550eef39">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_Version xmlns="http://schemas.microsoft.com/sharepoint/v3/fields" xsi:nil="true"/>
    <lcf76f155ced4ddcb4097134ff3c332f xmlns="1ab9889e-1560-4440-87cb-c03200e41b86">
      <Terms xmlns="http://schemas.microsoft.com/office/infopath/2007/PartnerControls"/>
    </lcf76f155ced4ddcb4097134ff3c332f>
    <Released xmlns="1ab9889e-1560-4440-87cb-c03200e41b86" xsi:nil="true"/>
    <CABApproved xmlns="1ab9889e-1560-4440-87cb-c03200e41b8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50DD203F22D5E4D998BCDD61A96F6A5" ma:contentTypeVersion="33" ma:contentTypeDescription="Create a new document." ma:contentTypeScope="" ma:versionID="6b1de0d6dd8b2d4e1b37232b43bb7def">
  <xsd:schema xmlns:xsd="http://www.w3.org/2001/XMLSchema" xmlns:xs="http://www.w3.org/2001/XMLSchema" xmlns:p="http://schemas.microsoft.com/office/2006/metadata/properties" xmlns:ns2="56e8fde9-f66a-4997-8251-f5f2550eef39" xmlns:ns3="1ab9889e-1560-4440-87cb-c03200e41b86" xmlns:ns4="http://schemas.microsoft.com/sharepoint/v3/fields" targetNamespace="http://schemas.microsoft.com/office/2006/metadata/properties" ma:root="true" ma:fieldsID="a06ea4a8d07050a55acbb003525b22ee" ns2:_="" ns3:_="" ns4:_="">
    <xsd:import namespace="56e8fde9-f66a-4997-8251-f5f2550eef39"/>
    <xsd:import namespace="1ab9889e-1560-4440-87cb-c03200e41b86"/>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4:_Vers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Released" minOccurs="0"/>
                <xsd:element ref="ns3:CABApprov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8fde9-f66a-4997-8251-f5f2550eef3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ead7c8c7-cbfe-4445-8c93-5e017a8041f1}" ma:internalName="TaxCatchAll" ma:showField="CatchAllData" ma:web="56e8fde9-f66a-4997-8251-f5f2550eef3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b9889e-1560-4440-87cb-c03200e41b8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c7092a5-376c-49bb-b001-2afca4e87105" ma:termSetId="09814cd3-568e-fe90-9814-8d621ff8fb84" ma:anchorId="fba54fb3-c3e1-fe81-a776-ca4b69148c4d" ma:open="true" ma:isKeyword="false">
      <xsd:complexType>
        <xsd:sequence>
          <xsd:element ref="pc:Terms" minOccurs="0" maxOccurs="1"/>
        </xsd:sequence>
      </xsd:complexType>
    </xsd:element>
    <xsd:element name="Released" ma:index="25" nillable="true" ma:displayName="Released" ma:format="Dropdown" ma:internalName="Released">
      <xsd:simpleType>
        <xsd:restriction base="dms:Choice">
          <xsd:enumeration value="Yes"/>
          <xsd:enumeration value="No"/>
          <xsd:enumeration value="On Hold"/>
        </xsd:restriction>
      </xsd:simpleType>
    </xsd:element>
    <xsd:element name="CABApproved" ma:index="26" nillable="true" ma:displayName="CAB Approved" ma:format="Dropdown" ma:internalName="CABApproved">
      <xsd:simpleType>
        <xsd:restriction base="dms:Choice">
          <xsd:enumeration value="Approved"/>
          <xsd:enumeration value="No"/>
          <xsd:enumeration value="For Further Review"/>
          <xsd:enumeration value="For CAB Review"/>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7"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2.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3.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56e8fde9-f66a-4997-8251-f5f2550eef39"/>
    <ds:schemaRef ds:uri="http://schemas.microsoft.com/sharepoint/v3/fields"/>
    <ds:schemaRef ds:uri="1ab9889e-1560-4440-87cb-c03200e41b86"/>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1028B9A6-9382-41B0-AFF5-BC5ADE8B2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8fde9-f66a-4997-8251-f5f2550eef39"/>
    <ds:schemaRef ds:uri="1ab9889e-1560-4440-87cb-c03200e41b86"/>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3161</Words>
  <Characters>18018</Characters>
  <Application>Microsoft Office Word</Application>
  <DocSecurity>0</DocSecurity>
  <Lines>150</Lines>
  <Paragraphs>42</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21137</CharactersWithSpaces>
  <SharedDoc>false</SharedDoc>
  <HLinks>
    <vt:vector size="36"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ariant>
        <vt:i4>3932286</vt:i4>
      </vt:variant>
      <vt:variant>
        <vt:i4>9</vt:i4>
      </vt:variant>
      <vt:variant>
        <vt:i4>0</vt:i4>
      </vt:variant>
      <vt:variant>
        <vt:i4>5</vt:i4>
      </vt:variant>
      <vt:variant>
        <vt:lpwstr>http://www.esma.europa.eu/</vt:lpwstr>
      </vt:variant>
      <vt:variant>
        <vt:lpwstr/>
      </vt:variant>
      <vt:variant>
        <vt:i4>7733262</vt:i4>
      </vt:variant>
      <vt:variant>
        <vt:i4>6</vt:i4>
      </vt:variant>
      <vt:variant>
        <vt:i4>0</vt:i4>
      </vt:variant>
      <vt:variant>
        <vt:i4>5</vt:i4>
      </vt:variant>
      <vt:variant>
        <vt:lpwstr>https://securitiesandmarketsauth.sharepoint.com/sites/sherpa-daru/_layouts/15/DocIdRedir.aspx?ID=ESMA12-2121844265-3960</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Peter Warms</cp:lastModifiedBy>
  <cp:revision>3</cp:revision>
  <cp:lastPrinted>2015-02-18T11:01:00Z</cp:lastPrinted>
  <dcterms:created xsi:type="dcterms:W3CDTF">2025-01-14T16:15:00Z</dcterms:created>
  <dcterms:modified xsi:type="dcterms:W3CDTF">2025-01-14T16:17:00Z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0x010100350DD203F22D5E4D998BCDD61A96F6A5</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