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showingPlcHdr/>
            <w:text/>
          </w:sdtPr>
          <w:sdtContent>
            <w:tc>
              <w:tcPr>
                <w:tcW w:w="5595" w:type="dxa"/>
                <w:shd w:val="clear" w:color="auto" w:fill="auto"/>
                <w:vAlign w:val="center"/>
              </w:tcPr>
              <w:p w14:paraId="633DB1B6" w14:textId="77777777" w:rsidR="00C2682A" w:rsidRPr="00104E00" w:rsidRDefault="00C2682A" w:rsidP="00104E00">
                <w:pPr>
                  <w:jc w:val="left"/>
                  <w:rPr>
                    <w:rStyle w:val="PlaceholderText"/>
                  </w:rPr>
                </w:pPr>
                <w:r w:rsidRPr="00104E00">
                  <w:rPr>
                    <w:rStyle w:val="PlaceholderText"/>
                  </w:rPr>
                  <w:t>Click here to enter text.</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77777777"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C2682A" w:rsidRPr="00104E00">
                  <w:t>Choose an item.</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77777777" w:rsidR="00C2682A" w:rsidRPr="00104E00" w:rsidRDefault="00C2682A" w:rsidP="00104E00">
                <w:pPr>
                  <w:jc w:val="left"/>
                </w:pPr>
                <w:r w:rsidRPr="00104E00">
                  <w:rPr>
                    <w:rStyle w:val="PlaceholderText"/>
                  </w:rPr>
                  <w:t>Choose an item.</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lastRenderedPageBreak/>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462B5396" w14:textId="77777777" w:rsidR="00B26E6B" w:rsidRDefault="00B26E6B" w:rsidP="006B5DF1">
      <w:pPr>
        <w:spacing w:after="0"/>
        <w:rPr>
          <w:rFonts w:eastAsia="Times New Roman"/>
          <w:color w:val="000000"/>
          <w:lang w:eastAsia="en-GB"/>
        </w:rPr>
      </w:pPr>
      <w:r w:rsidRPr="007A53B3">
        <w:rPr>
          <w:rFonts w:eastAsia="Times New Roman"/>
          <w:color w:val="000000"/>
          <w:lang w:eastAsia="en-GB"/>
        </w:rPr>
        <w:t>We note potential complexities in the implementation of this field, particularly for securities transactions given the variety of settlement date arrangements in use. However, our members have noted examples of derivatives where this would be beneficial.</w:t>
      </w:r>
    </w:p>
    <w:p w14:paraId="67DBB5A7" w14:textId="7A165798"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7107641" w14:textId="77777777" w:rsidR="00A73E29" w:rsidRDefault="00A73E29" w:rsidP="006B5DF1">
      <w:pPr>
        <w:spacing w:after="0"/>
        <w:rPr>
          <w:rFonts w:eastAsia="Times New Roman"/>
          <w:color w:val="000000"/>
          <w:lang w:eastAsia="en-GB"/>
        </w:rPr>
      </w:pPr>
      <w:r w:rsidRPr="007A53B3">
        <w:rPr>
          <w:rFonts w:eastAsia="Times New Roman"/>
          <w:color w:val="000000"/>
          <w:lang w:eastAsia="en-GB"/>
        </w:rPr>
        <w:t>Convention is that the effective date of a transaction in shares is that defined on the trade confirmation, being the date of execution. This is already covered in RTS 22, and hence a separate effective date for shares would appear not to be relevant.</w:t>
      </w:r>
    </w:p>
    <w:p w14:paraId="7294A4EF" w14:textId="01D9AEB8"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1F01FD73" w14:textId="77777777" w:rsidR="00407BCC" w:rsidRDefault="00407BCC" w:rsidP="006B5DF1">
      <w:pPr>
        <w:spacing w:after="0"/>
        <w:rPr>
          <w:rFonts w:eastAsia="Times New Roman"/>
          <w:color w:val="000000"/>
          <w:lang w:eastAsia="en-GB"/>
        </w:rPr>
      </w:pPr>
      <w:r w:rsidRPr="007A53B3">
        <w:rPr>
          <w:rFonts w:eastAsia="Times New Roman"/>
          <w:color w:val="000000"/>
          <w:lang w:eastAsia="en-GB"/>
        </w:rPr>
        <w:t>We see no value in the inclusion of this field.</w:t>
      </w:r>
    </w:p>
    <w:p w14:paraId="6BD62104" w14:textId="46D61C21"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031F214B" w14:textId="77777777" w:rsidR="00262FF6" w:rsidRDefault="00262FF6" w:rsidP="00262FF6">
      <w:pPr>
        <w:spacing w:after="120" w:line="240" w:lineRule="auto"/>
        <w:rPr>
          <w:rFonts w:eastAsia="Times New Roman"/>
          <w:color w:val="000000"/>
          <w:lang w:eastAsia="en-GB"/>
        </w:rPr>
      </w:pPr>
      <w:r w:rsidRPr="007A53B3">
        <w:rPr>
          <w:rFonts w:eastAsia="Times New Roman"/>
          <w:color w:val="000000"/>
          <w:lang w:eastAsia="en-GB"/>
        </w:rPr>
        <w:t xml:space="preserve">We note there will be considerable implementation complexities, particularly with regards to passing this information between investment firms to fulfil their reporting obligations, and particularly where trades are brought onto venues manually, where the venue operates non-electronically (i.e., voice) or where the decision to bring an execution on-venue takes place away from the execution process. </w:t>
      </w:r>
    </w:p>
    <w:p w14:paraId="5C4CE999" w14:textId="77777777" w:rsidR="00262FF6" w:rsidRDefault="00262FF6" w:rsidP="00262FF6">
      <w:pPr>
        <w:spacing w:after="120" w:line="240" w:lineRule="auto"/>
        <w:rPr>
          <w:rFonts w:eastAsia="Times New Roman"/>
          <w:color w:val="000000"/>
          <w:lang w:eastAsia="en-GB"/>
        </w:rPr>
      </w:pPr>
      <w:r w:rsidRPr="007A53B3">
        <w:rPr>
          <w:rFonts w:eastAsia="Times New Roman"/>
          <w:color w:val="000000"/>
          <w:lang w:eastAsia="en-GB"/>
        </w:rPr>
        <w:t>We also note that it is not clear from the proposal how far up a chain of firms the same TVTIC is required on their transaction reports, and therefore how many firms need to have this information. We believe it is appropriate and sufficient for only the venue participant to provide the TVTIC on their transaction report and recommend this be made clear in the proposal, particularly given the proposed inclusion of a chain identifier to handle more complex chains of firms.</w:t>
      </w:r>
    </w:p>
    <w:p w14:paraId="3EEEFD58" w14:textId="77777777" w:rsidR="00262FF6" w:rsidRDefault="00262FF6" w:rsidP="00262FF6">
      <w:pPr>
        <w:spacing w:after="0"/>
      </w:pPr>
      <w:r w:rsidRPr="007A53B3">
        <w:t xml:space="preserve">We note that any requirement to pass information between firms (including, but not limited to, TVTIC) will impose a significant implementation burden and may be problematic for non-electronic trading flows. On this basis, we would have concerns should validation rules be implemented very strictly. </w:t>
      </w:r>
    </w:p>
    <w:p w14:paraId="2E9C537F" w14:textId="145FEC0A" w:rsidR="006B5DF1" w:rsidRDefault="006B5DF1" w:rsidP="00262FF6">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A4D6B0B" w14:textId="77777777" w:rsidR="0017669F" w:rsidRDefault="0017669F" w:rsidP="006B5DF1">
      <w:pPr>
        <w:spacing w:after="0"/>
        <w:rPr>
          <w:rFonts w:eastAsia="Times New Roman"/>
          <w:color w:val="000000"/>
          <w:lang w:eastAsia="en-GB"/>
        </w:rPr>
      </w:pPr>
      <w:r w:rsidRPr="007A53B3">
        <w:rPr>
          <w:rFonts w:eastAsia="Times New Roman"/>
          <w:color w:val="000000"/>
          <w:lang w:eastAsia="en-GB"/>
        </w:rPr>
        <w:t>We note our response to Q11 which highlights the complexities arising from extending the scope; However, we agree with the principle that for in-scope transactions on venues, the TVTIC should be made mandatory.</w:t>
      </w:r>
    </w:p>
    <w:p w14:paraId="7ECA10E7" w14:textId="5FDA070D"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6B9E02E3" w14:textId="77777777" w:rsidR="0015214F" w:rsidRPr="007A53B3" w:rsidRDefault="0015214F" w:rsidP="0015214F">
      <w:pPr>
        <w:spacing w:after="120" w:line="240" w:lineRule="auto"/>
        <w:rPr>
          <w:rFonts w:eastAsia="Times New Roman"/>
          <w:color w:val="000000"/>
          <w:lang w:eastAsia="en-GB"/>
        </w:rPr>
      </w:pPr>
      <w:r w:rsidRPr="007A53B3">
        <w:rPr>
          <w:rFonts w:eastAsia="Times New Roman"/>
          <w:color w:val="000000"/>
          <w:lang w:eastAsia="en-GB"/>
        </w:rPr>
        <w:t xml:space="preserve">We note that third country venues, being outside the MiFID/MiFIR perimeter, are under no obligation to provide transaction identifiers in any </w:t>
      </w:r>
      <w:proofErr w:type="gramStart"/>
      <w:r w:rsidRPr="007A53B3">
        <w:rPr>
          <w:rFonts w:eastAsia="Times New Roman"/>
          <w:color w:val="000000"/>
          <w:lang w:eastAsia="en-GB"/>
        </w:rPr>
        <w:t>particular format</w:t>
      </w:r>
      <w:proofErr w:type="gramEnd"/>
      <w:r w:rsidRPr="007A53B3">
        <w:rPr>
          <w:rFonts w:eastAsia="Times New Roman"/>
          <w:color w:val="000000"/>
          <w:lang w:eastAsia="en-GB"/>
        </w:rPr>
        <w:t>. We believe that any proposal that requires this will therefore be unworkable in practice.</w:t>
      </w:r>
    </w:p>
    <w:p w14:paraId="27E1ACB0" w14:textId="77777777" w:rsidR="0015214F" w:rsidRPr="007A53B3" w:rsidRDefault="0015214F" w:rsidP="0015214F">
      <w:pPr>
        <w:pStyle w:val="paragraph"/>
        <w:spacing w:before="0" w:after="120"/>
        <w:rPr>
          <w:rFonts w:ascii="Arial" w:hAnsi="Arial" w:cs="Arial"/>
          <w:sz w:val="22"/>
          <w:szCs w:val="22"/>
        </w:rPr>
      </w:pPr>
      <w:r w:rsidRPr="007A53B3">
        <w:rPr>
          <w:rFonts w:ascii="Arial" w:hAnsi="Arial" w:cs="Arial"/>
          <w:sz w:val="22"/>
          <w:szCs w:val="22"/>
        </w:rPr>
        <w:t>Our recommendation therefore is that the TIC for third country venue executions be assigned by the first firm to receive the execution in the EU (who may be a participant of the third country venue or use a third country broker). Furthermore, we recommend these be treated as TICs, rather than having a new ‘non-EEA TVTIC’ concept as this would simplify implementation.</w:t>
      </w:r>
    </w:p>
    <w:p w14:paraId="17AA96E9" w14:textId="77777777" w:rsidR="0015214F" w:rsidRPr="007A53B3" w:rsidRDefault="0015214F" w:rsidP="0015214F">
      <w:pPr>
        <w:pStyle w:val="paragraph"/>
        <w:spacing w:before="0" w:after="120"/>
        <w:rPr>
          <w:rFonts w:ascii="Arial" w:hAnsi="Arial" w:cs="Arial"/>
          <w:color w:val="000000"/>
          <w:sz w:val="22"/>
          <w:szCs w:val="22"/>
        </w:rPr>
      </w:pPr>
      <w:r w:rsidRPr="007A53B3">
        <w:rPr>
          <w:rFonts w:ascii="Arial" w:hAnsi="Arial" w:cs="Arial"/>
          <w:color w:val="000000"/>
          <w:sz w:val="22"/>
          <w:szCs w:val="22"/>
        </w:rPr>
        <w:t xml:space="preserve">We would like to seek clarification as to precisely what is meant by ‘non-EEA </w:t>
      </w:r>
      <w:r>
        <w:rPr>
          <w:rFonts w:ascii="Arial" w:hAnsi="Arial" w:cs="Arial"/>
          <w:color w:val="000000"/>
          <w:sz w:val="22"/>
          <w:szCs w:val="22"/>
        </w:rPr>
        <w:t>venue’</w:t>
      </w:r>
      <w:r w:rsidRPr="007A53B3">
        <w:rPr>
          <w:rFonts w:ascii="Arial" w:hAnsi="Arial" w:cs="Arial"/>
          <w:color w:val="000000"/>
          <w:sz w:val="22"/>
          <w:szCs w:val="22"/>
        </w:rPr>
        <w:t>, specifically whether this includes both recognised and unrecognised venues.</w:t>
      </w:r>
    </w:p>
    <w:p w14:paraId="4B58DD9F" w14:textId="77777777" w:rsidR="0015214F" w:rsidRDefault="0015214F" w:rsidP="0015214F">
      <w:pPr>
        <w:spacing w:after="0"/>
        <w:rPr>
          <w:color w:val="000000"/>
          <w:szCs w:val="22"/>
        </w:rPr>
      </w:pPr>
      <w:r w:rsidRPr="007A53B3">
        <w:rPr>
          <w:color w:val="000000"/>
          <w:szCs w:val="22"/>
        </w:rPr>
        <w:t xml:space="preserve">Regarding syntax, we have a general comment regarding the proposal for this identifier, noting that not all instruments have ISINs, where instruments do have ISINs it might not be sufficient to completely uniquely identify the instrument being traded, and that the syntax appears to replicate data already present in other fields on the transaction report. We believe the requirement should be stated at a higher level, simply stating that the identifier needs to be unique for the executing entity on that day, and then leave it to firms to implement a syntax of their choice so long as it achieves these requirements. We note the desire to reference the third country venue’s transaction identifier. However, we believe this to be unworkable in practice for </w:t>
      </w:r>
      <w:proofErr w:type="gramStart"/>
      <w:r w:rsidRPr="007A53B3">
        <w:rPr>
          <w:color w:val="000000"/>
          <w:szCs w:val="22"/>
        </w:rPr>
        <w:t>a number of</w:t>
      </w:r>
      <w:proofErr w:type="gramEnd"/>
      <w:r w:rsidRPr="007A53B3">
        <w:rPr>
          <w:color w:val="000000"/>
          <w:szCs w:val="22"/>
        </w:rPr>
        <w:t xml:space="preserve"> reasons and do not see how it would improve the quality of data.</w:t>
      </w:r>
    </w:p>
    <w:p w14:paraId="7D6A453F" w14:textId="136CADEB" w:rsidR="006B5DF1" w:rsidRDefault="006B5DF1" w:rsidP="0015214F">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lastRenderedPageBreak/>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040E29E1" w14:textId="77777777" w:rsidR="005C0AFB" w:rsidRPr="007A53B3" w:rsidRDefault="005C0AFB" w:rsidP="005C0AFB">
      <w:pPr>
        <w:spacing w:after="120" w:line="240" w:lineRule="auto"/>
        <w:rPr>
          <w:rFonts w:eastAsia="Times New Roman"/>
          <w:color w:val="000000"/>
          <w:lang w:eastAsia="en-GB"/>
        </w:rPr>
      </w:pPr>
      <w:r w:rsidRPr="007A53B3">
        <w:rPr>
          <w:rFonts w:eastAsia="Times New Roman"/>
          <w:color w:val="000000"/>
          <w:lang w:eastAsia="en-GB"/>
        </w:rPr>
        <w:t>We do not agree and refer to our response to Q13 for details.</w:t>
      </w:r>
    </w:p>
    <w:p w14:paraId="178C4EC8" w14:textId="77777777" w:rsidR="005C0AFB" w:rsidRDefault="005C0AFB" w:rsidP="005C0AFB">
      <w:pPr>
        <w:spacing w:after="0"/>
        <w:rPr>
          <w:color w:val="000000"/>
          <w:szCs w:val="22"/>
        </w:rPr>
      </w:pPr>
      <w:r w:rsidRPr="007A53B3">
        <w:rPr>
          <w:color w:val="000000"/>
          <w:szCs w:val="22"/>
        </w:rPr>
        <w:t xml:space="preserve">We would like to seek clarification as to precisely what is meant by ‘non-EEA </w:t>
      </w:r>
      <w:r>
        <w:rPr>
          <w:color w:val="000000"/>
          <w:szCs w:val="22"/>
        </w:rPr>
        <w:t>venue’</w:t>
      </w:r>
      <w:r w:rsidRPr="007A53B3">
        <w:rPr>
          <w:color w:val="000000"/>
          <w:szCs w:val="22"/>
        </w:rPr>
        <w:t>, specifically whether this includes both recognised and unrecognised venues.</w:t>
      </w:r>
    </w:p>
    <w:p w14:paraId="7A83D384" w14:textId="730EBD97" w:rsidR="006B5DF1" w:rsidRDefault="006B5DF1" w:rsidP="005C0AFB">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7C233A6C" w14:textId="77777777" w:rsidR="00C204BD" w:rsidRDefault="00C204BD" w:rsidP="00C204BD">
      <w:pPr>
        <w:spacing w:after="120" w:line="240" w:lineRule="auto"/>
        <w:rPr>
          <w:rFonts w:eastAsia="Times New Roman"/>
          <w:color w:val="000000"/>
          <w:lang w:eastAsia="en-GB"/>
        </w:rPr>
      </w:pPr>
      <w:r w:rsidRPr="007A53B3">
        <w:rPr>
          <w:rFonts w:eastAsia="Times New Roman"/>
          <w:color w:val="000000"/>
          <w:lang w:eastAsia="en-GB"/>
        </w:rPr>
        <w:t>We note that it is not clear from the proposal how far up a chain of firms the same TIC is required on their transaction reports, and therefore how many firms need to have this information. We believe it is appropriate and sufficient for only the firm generating the TIC and that firm’s client to provide the TIC on their transaction reports and recommend this be made clear in the proposal.</w:t>
      </w:r>
    </w:p>
    <w:p w14:paraId="6E853D2A" w14:textId="77777777" w:rsidR="00C204BD" w:rsidRDefault="00C204BD" w:rsidP="00C204BD">
      <w:pPr>
        <w:spacing w:after="120" w:line="240" w:lineRule="auto"/>
        <w:rPr>
          <w:rFonts w:eastAsia="Times New Roman"/>
          <w:color w:val="000000"/>
          <w:lang w:eastAsia="en-GB"/>
        </w:rPr>
      </w:pPr>
      <w:r w:rsidRPr="007A53B3">
        <w:rPr>
          <w:rFonts w:eastAsia="Times New Roman"/>
          <w:color w:val="000000"/>
          <w:lang w:eastAsia="en-GB"/>
        </w:rPr>
        <w:t>We would like to point out that many OTC transactions, such as those where a broker’s client is not a MiFID investment firm or otherwise exempt from transaction reporting, will result in a single transaction report containing the TIC.</w:t>
      </w:r>
    </w:p>
    <w:p w14:paraId="08885EE2" w14:textId="77777777" w:rsidR="00C204BD" w:rsidRPr="00B5360F" w:rsidRDefault="00C204BD" w:rsidP="00C204BD">
      <w:pPr>
        <w:spacing w:after="120" w:line="240" w:lineRule="auto"/>
        <w:rPr>
          <w:color w:val="000000"/>
        </w:rPr>
      </w:pPr>
      <w:r w:rsidRPr="007A53B3">
        <w:rPr>
          <w:color w:val="000000"/>
        </w:rPr>
        <w:t>Regarding syntax, we have a general comment regarding the proposal for this identifier, noting that not all instruments have ISINs, where instruments do have ISINs it might not be sufficient to completely uniquely identify the instrument being traded, and that the syntax appears to replicate data already present in other fields on the transaction report. We believe the requirement should be stated at a higher level, simply stating that the identifier needs to be unique for the executing entity on that day, and then leave it to firms to implement a syntax of their choice so long as it achieves these requirements. An option is to consider usage of the ISO UTI format, which consists of 52 alphanumeric characters starting with the LEI of issuing entity, particularly for derivatives. This would promote international alignment and avoid an EU specific syntax here.</w:t>
      </w:r>
    </w:p>
    <w:p w14:paraId="199419DD" w14:textId="77777777" w:rsidR="00C204BD" w:rsidRDefault="00C204BD" w:rsidP="00C204BD">
      <w:pPr>
        <w:spacing w:after="0"/>
      </w:pPr>
      <w:r w:rsidRPr="007A53B3">
        <w:t>We note that any requirement to pass information between firms (including, but not limited to, TIC) will impose a significant implementation burden and may be problematic for non-electronic trading flows.</w:t>
      </w:r>
    </w:p>
    <w:p w14:paraId="3A64410A" w14:textId="6DE8DDDB" w:rsidR="006B5DF1" w:rsidRDefault="006B5DF1" w:rsidP="00C204BD">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lastRenderedPageBreak/>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3B90E264" w14:textId="77777777" w:rsidR="00204257" w:rsidRDefault="00204257" w:rsidP="006B5DF1">
      <w:pPr>
        <w:spacing w:after="0"/>
        <w:rPr>
          <w:rFonts w:eastAsia="Times New Roman"/>
          <w:color w:val="000000"/>
          <w:lang w:eastAsia="en-GB"/>
        </w:rPr>
      </w:pPr>
      <w:r w:rsidRPr="007A53B3">
        <w:rPr>
          <w:rFonts w:eastAsia="Times New Roman"/>
          <w:color w:val="000000"/>
          <w:lang w:eastAsia="en-GB"/>
        </w:rPr>
        <w:t xml:space="preserve">We believe that always having the seller issue the TIC will introduce a complexity to the way data are shared between firms. Making TIC generation the responsibility of the seller would result in the TIC needing to be passed down from a broker’s client to the broker </w:t>
      </w:r>
      <w:proofErr w:type="gramStart"/>
      <w:r w:rsidRPr="007A53B3">
        <w:rPr>
          <w:rFonts w:eastAsia="Times New Roman"/>
          <w:color w:val="000000"/>
          <w:lang w:eastAsia="en-GB"/>
        </w:rPr>
        <w:t>in the event that</w:t>
      </w:r>
      <w:proofErr w:type="gramEnd"/>
      <w:r w:rsidRPr="007A53B3">
        <w:rPr>
          <w:rFonts w:eastAsia="Times New Roman"/>
          <w:color w:val="000000"/>
          <w:lang w:eastAsia="en-GB"/>
        </w:rPr>
        <w:t xml:space="preserve"> the broker was the buyer. The natural flow of execution information is in the other direction, so this would be problematic to implement. Our recommendation therefore is that TICs are always generated by the firm generating the transaction and passed up the execution chain. </w:t>
      </w:r>
    </w:p>
    <w:p w14:paraId="061AC34A" w14:textId="6819A9B8"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16F78887" w:rsidR="006B5DF1" w:rsidRDefault="00196F3C" w:rsidP="00196F3C">
      <w:pPr>
        <w:tabs>
          <w:tab w:val="left" w:pos="3656"/>
        </w:tabs>
      </w:pPr>
      <w:r>
        <w:tab/>
      </w:r>
    </w:p>
    <w:p w14:paraId="19286DDF" w14:textId="43C7E6F0" w:rsidR="006B5DF1" w:rsidRDefault="006B5DF1" w:rsidP="006B5DF1">
      <w:pPr>
        <w:spacing w:after="0"/>
      </w:pPr>
      <w:r>
        <w:t>&lt;ESMA_QUESTION_</w:t>
      </w:r>
      <w:r w:rsidR="00DF3781">
        <w:t>RTS2224</w:t>
      </w:r>
      <w:r>
        <w:t>_</w:t>
      </w:r>
      <w:r w:rsidR="003E7313">
        <w:t>17</w:t>
      </w:r>
      <w:r>
        <w:t>&gt;</w:t>
      </w:r>
    </w:p>
    <w:p w14:paraId="03E494C1" w14:textId="77777777" w:rsidR="00344726" w:rsidRDefault="00344726" w:rsidP="00344726">
      <w:pPr>
        <w:pStyle w:val="ListBullet"/>
        <w:numPr>
          <w:ilvl w:val="0"/>
          <w:numId w:val="0"/>
        </w:numPr>
        <w:spacing w:line="240" w:lineRule="auto"/>
        <w:rPr>
          <w:rFonts w:ascii="Arial" w:hAnsi="Arial"/>
        </w:rPr>
      </w:pPr>
      <w:r w:rsidRPr="007A53B3">
        <w:rPr>
          <w:rFonts w:ascii="Arial" w:hAnsi="Arial"/>
        </w:rPr>
        <w:t xml:space="preserve">We have analysed </w:t>
      </w:r>
      <w:proofErr w:type="gramStart"/>
      <w:r w:rsidRPr="007A53B3">
        <w:rPr>
          <w:rFonts w:ascii="Arial" w:hAnsi="Arial"/>
        </w:rPr>
        <w:t>a number of</w:t>
      </w:r>
      <w:proofErr w:type="gramEnd"/>
      <w:r w:rsidRPr="007A53B3">
        <w:rPr>
          <w:rFonts w:ascii="Arial" w:hAnsi="Arial"/>
        </w:rPr>
        <w:t xml:space="preserve"> scenarios involving INTC and believe that the proposal is workable in principle, and hence support it. </w:t>
      </w:r>
    </w:p>
    <w:p w14:paraId="732B6CBA" w14:textId="77777777" w:rsidR="00344726" w:rsidRDefault="00344726" w:rsidP="00344726">
      <w:pPr>
        <w:pStyle w:val="ListBullet"/>
        <w:numPr>
          <w:ilvl w:val="0"/>
          <w:numId w:val="0"/>
        </w:numPr>
        <w:spacing w:line="240" w:lineRule="auto"/>
        <w:rPr>
          <w:rFonts w:ascii="Arial" w:hAnsi="Arial"/>
        </w:rPr>
      </w:pPr>
      <w:r w:rsidRPr="007A53B3">
        <w:rPr>
          <w:rFonts w:ascii="Arial" w:hAnsi="Arial"/>
          <w:lang w:val="en-US"/>
        </w:rPr>
        <w:t xml:space="preserve">We believe that there is never a requirement to pass the INTC identifier from one firm to another (i.e., it is only ever reported by a single firm) and would like this confirmed. </w:t>
      </w:r>
    </w:p>
    <w:p w14:paraId="63F719BF" w14:textId="77777777" w:rsidR="00344726" w:rsidRDefault="00344726" w:rsidP="00344726">
      <w:pPr>
        <w:pStyle w:val="ListBullet"/>
        <w:numPr>
          <w:ilvl w:val="0"/>
          <w:numId w:val="0"/>
        </w:numPr>
        <w:spacing w:line="240" w:lineRule="auto"/>
        <w:rPr>
          <w:rFonts w:ascii="Arial" w:hAnsi="Arial"/>
        </w:rPr>
      </w:pPr>
      <w:r w:rsidRPr="007A53B3">
        <w:rPr>
          <w:rFonts w:ascii="Arial" w:hAnsi="Arial"/>
        </w:rPr>
        <w:t xml:space="preserve">We do however have a general comment regarding the proposed syntax for this identifier, noting that </w:t>
      </w:r>
      <w:r>
        <w:rPr>
          <w:rFonts w:ascii="Arial" w:hAnsi="Arial"/>
        </w:rPr>
        <w:t xml:space="preserve">a) </w:t>
      </w:r>
      <w:r w:rsidRPr="007A53B3">
        <w:rPr>
          <w:rFonts w:ascii="Arial" w:hAnsi="Arial"/>
        </w:rPr>
        <w:t xml:space="preserve">not all instruments have ISINs, </w:t>
      </w:r>
      <w:r>
        <w:rPr>
          <w:rFonts w:ascii="Arial" w:hAnsi="Arial"/>
        </w:rPr>
        <w:t xml:space="preserve">b) </w:t>
      </w:r>
      <w:r w:rsidRPr="007A53B3">
        <w:rPr>
          <w:rFonts w:ascii="Arial" w:hAnsi="Arial"/>
        </w:rPr>
        <w:t xml:space="preserve">where instruments do have ISINs it might not be sufficient to completely uniquely identify the instrument being traded, and </w:t>
      </w:r>
      <w:r>
        <w:rPr>
          <w:rFonts w:ascii="Arial" w:hAnsi="Arial"/>
        </w:rPr>
        <w:t xml:space="preserve">c) </w:t>
      </w:r>
      <w:r w:rsidRPr="007A53B3">
        <w:rPr>
          <w:rFonts w:ascii="Arial" w:hAnsi="Arial"/>
        </w:rPr>
        <w:t xml:space="preserve">that the syntax appears to replicate data already present in other fields on the transaction report. We believe the requirement should be stated at a higher level, simply stating that the identifier needs to be unique for the executing entity on that day, and then leave it to firms to implement a syntax of their choice so long as it achieves these requirements. </w:t>
      </w:r>
      <w:r w:rsidRPr="007A53B3">
        <w:rPr>
          <w:rFonts w:ascii="Arial" w:hAnsi="Arial"/>
          <w:color w:val="000000"/>
        </w:rPr>
        <w:t>An option is to consider usage of the ISO UTI format, which consists of 52 alphanumeric characters starting with the LEI of issuing entity, particularly for derivatives. This would promote international alignment and avoid an EU specific syntax here.</w:t>
      </w:r>
    </w:p>
    <w:p w14:paraId="14DCA208" w14:textId="77777777" w:rsidR="00344726" w:rsidRDefault="00344726" w:rsidP="00344726">
      <w:pPr>
        <w:spacing w:after="0"/>
      </w:pPr>
      <w:r w:rsidRPr="007A53B3">
        <w:t>We note discussions on transaction reporting under way by the FCA (including this topic) and that it would be highly problematic for implementing firms to have different solutions to the same problems in different jurisdictions.</w:t>
      </w:r>
    </w:p>
    <w:p w14:paraId="434B1CE3" w14:textId="433CF700" w:rsidR="006B5DF1" w:rsidRDefault="006B5DF1" w:rsidP="00344726">
      <w:pPr>
        <w:spacing w:after="0"/>
      </w:pPr>
      <w:r>
        <w:lastRenderedPageBreak/>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5AEF9DDA" w14:textId="77777777" w:rsidR="0086207E" w:rsidRDefault="0086207E" w:rsidP="0086207E">
      <w:pPr>
        <w:spacing w:after="120" w:line="240" w:lineRule="auto"/>
        <w:rPr>
          <w:rFonts w:eastAsia="Times New Roman"/>
          <w:color w:val="000000"/>
          <w:lang w:eastAsia="en-GB"/>
        </w:rPr>
      </w:pPr>
      <w:r w:rsidRPr="007A53B3">
        <w:rPr>
          <w:rFonts w:eastAsia="Times New Roman"/>
          <w:color w:val="000000"/>
          <w:lang w:eastAsia="en-GB"/>
        </w:rPr>
        <w:t>Yes, our scenario analysis supports this.</w:t>
      </w:r>
    </w:p>
    <w:p w14:paraId="75292734" w14:textId="77777777" w:rsidR="0086207E" w:rsidRDefault="0086207E" w:rsidP="0086207E">
      <w:pPr>
        <w:spacing w:after="0"/>
        <w:rPr>
          <w:lang w:val="en-US"/>
        </w:rPr>
      </w:pPr>
      <w:r w:rsidRPr="007A53B3">
        <w:rPr>
          <w:lang w:val="en-US"/>
        </w:rPr>
        <w:t>We believe that there is never a requirement to pass the INTC identifier from one firm to another (i.e., it is only ever reported by a single firm) and would like this confirmed.</w:t>
      </w:r>
    </w:p>
    <w:p w14:paraId="51F035B1" w14:textId="42DEB742" w:rsidR="006B5DF1" w:rsidRDefault="006B5DF1" w:rsidP="0086207E">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19CA6E9E" w14:textId="77777777" w:rsidR="009269D5" w:rsidRPr="009269D5" w:rsidRDefault="009269D5" w:rsidP="009269D5">
      <w:pPr>
        <w:spacing w:after="120" w:line="240" w:lineRule="auto"/>
        <w:rPr>
          <w:color w:val="000000"/>
          <w:szCs w:val="22"/>
        </w:rPr>
      </w:pPr>
      <w:r w:rsidRPr="009269D5">
        <w:rPr>
          <w:color w:val="000000"/>
          <w:szCs w:val="22"/>
        </w:rPr>
        <w:t>We have a general comment regarding the proposal for the syntax for this identifier, noting that not all instruments have ISINs, where instruments do have ISINs it might not be sufficient to completely uniquely identify the instrument being traded, and that the syntax appears to replicate data already present in other fields on the transaction report. We believe the requirement should be stated at a higher level, simply stating that the identifier needs to be unique for the executing entity on that day, and then leave it to firms to implement a syntax of their choice so long as it achieves these requirements. An option is to consider usage of the ISO UTI format, which consists of 52 alphanumeric characters starting with the LEI of issuing entity, particularly for derivatives. This would promote international alignment and avoid an EU specific syntax here.</w:t>
      </w:r>
    </w:p>
    <w:p w14:paraId="060273A7" w14:textId="77777777" w:rsidR="009269D5" w:rsidRPr="009269D5" w:rsidRDefault="009269D5" w:rsidP="009269D5">
      <w:pPr>
        <w:spacing w:after="120" w:line="240" w:lineRule="auto"/>
        <w:rPr>
          <w:color w:val="000000"/>
          <w:szCs w:val="22"/>
        </w:rPr>
      </w:pPr>
      <w:r w:rsidRPr="009269D5">
        <w:rPr>
          <w:color w:val="000000"/>
          <w:szCs w:val="22"/>
        </w:rPr>
        <w:t xml:space="preserve">More broadly, there are </w:t>
      </w:r>
      <w:proofErr w:type="gramStart"/>
      <w:r w:rsidRPr="009269D5">
        <w:rPr>
          <w:color w:val="000000"/>
          <w:szCs w:val="22"/>
        </w:rPr>
        <w:t>a number of</w:t>
      </w:r>
      <w:proofErr w:type="gramEnd"/>
      <w:r w:rsidRPr="009269D5">
        <w:rPr>
          <w:color w:val="000000"/>
          <w:szCs w:val="22"/>
        </w:rPr>
        <w:t xml:space="preserve"> aspects of this proposal that are unclear to us. For example:</w:t>
      </w:r>
    </w:p>
    <w:p w14:paraId="271B6F63" w14:textId="77777777" w:rsidR="009269D5" w:rsidRPr="009269D5" w:rsidRDefault="009269D5" w:rsidP="009269D5">
      <w:pPr>
        <w:pStyle w:val="ListBullet"/>
        <w:spacing w:line="240" w:lineRule="auto"/>
        <w:rPr>
          <w:rFonts w:ascii="Arial" w:hAnsi="Arial"/>
          <w:sz w:val="22"/>
          <w:szCs w:val="22"/>
        </w:rPr>
      </w:pPr>
      <w:r w:rsidRPr="009269D5">
        <w:rPr>
          <w:rFonts w:ascii="Arial" w:hAnsi="Arial"/>
          <w:sz w:val="22"/>
          <w:szCs w:val="22"/>
        </w:rPr>
        <w:t>Do these only apply where there is a transmission agreement, or in any unbroken chain of transactions regardless of the presence of such an agreement? Our understanding it that the chain ID requirement applies independent of the existence of an RTO agreement, and hence applies anywhere where transmission is flagged on an order with or without an RTO agreement being in place, but it would be good to have this confirmed.</w:t>
      </w:r>
    </w:p>
    <w:p w14:paraId="628CF8C3" w14:textId="77777777" w:rsidR="009269D5" w:rsidRPr="009269D5" w:rsidRDefault="009269D5" w:rsidP="009269D5">
      <w:pPr>
        <w:pStyle w:val="ListBullet"/>
        <w:spacing w:line="240" w:lineRule="auto"/>
        <w:rPr>
          <w:rFonts w:ascii="Arial" w:hAnsi="Arial"/>
          <w:sz w:val="22"/>
          <w:szCs w:val="22"/>
        </w:rPr>
      </w:pPr>
      <w:r w:rsidRPr="009269D5">
        <w:rPr>
          <w:rFonts w:ascii="Arial" w:hAnsi="Arial"/>
          <w:sz w:val="22"/>
          <w:szCs w:val="22"/>
        </w:rPr>
        <w:t>Is a chain ID applicable when using MTCH or DEAL capacity?</w:t>
      </w:r>
    </w:p>
    <w:p w14:paraId="55303BD6" w14:textId="77777777" w:rsidR="009269D5" w:rsidRPr="009269D5" w:rsidRDefault="009269D5" w:rsidP="009269D5">
      <w:pPr>
        <w:pStyle w:val="ListBullet"/>
        <w:spacing w:line="240" w:lineRule="auto"/>
        <w:rPr>
          <w:rFonts w:ascii="Arial" w:hAnsi="Arial"/>
          <w:sz w:val="22"/>
          <w:szCs w:val="22"/>
        </w:rPr>
      </w:pPr>
      <w:r w:rsidRPr="009269D5">
        <w:rPr>
          <w:rFonts w:ascii="Arial" w:hAnsi="Arial"/>
          <w:sz w:val="22"/>
          <w:szCs w:val="22"/>
        </w:rPr>
        <w:t>Where does the chain end? For example, if one of the firms uses INTC for order aggregation or similar, does that create a new chain?</w:t>
      </w:r>
    </w:p>
    <w:p w14:paraId="36746945" w14:textId="77777777" w:rsidR="009269D5" w:rsidRPr="009269D5" w:rsidRDefault="009269D5" w:rsidP="009269D5">
      <w:pPr>
        <w:pStyle w:val="ListBullet"/>
        <w:numPr>
          <w:ilvl w:val="0"/>
          <w:numId w:val="0"/>
        </w:numPr>
        <w:spacing w:line="240" w:lineRule="auto"/>
        <w:rPr>
          <w:rFonts w:ascii="Arial" w:hAnsi="Arial"/>
          <w:sz w:val="22"/>
          <w:szCs w:val="22"/>
        </w:rPr>
      </w:pPr>
      <w:r w:rsidRPr="009269D5">
        <w:rPr>
          <w:rFonts w:ascii="Arial" w:hAnsi="Arial"/>
          <w:sz w:val="22"/>
          <w:szCs w:val="22"/>
        </w:rPr>
        <w:lastRenderedPageBreak/>
        <w:t xml:space="preserve">Due to the existence of questions such as these, we strongly believe that an expert group comprising industry participants and regulators be convened to discuss various trading scenarios and understand and document their reporting requirements. For example, rather than introduce a new chain ID, it may be appropriate to meet the requirements by modifying the proposals for usage of TICs/TVTICs, and it is possible that this may work for a wider range of scenarios (including, possibly, those involving third country actors, noting our comments on Q15) and potentially carry a lower implementation burden. We have conducted a detailed and thorough scenario analysis and believe, with some confidence, this approach would work. We would be glad to share our findings with you. </w:t>
      </w:r>
    </w:p>
    <w:p w14:paraId="2AF73E74" w14:textId="77777777" w:rsidR="009269D5" w:rsidRPr="009269D5" w:rsidRDefault="009269D5" w:rsidP="009269D5">
      <w:pPr>
        <w:pStyle w:val="ListBullet"/>
        <w:numPr>
          <w:ilvl w:val="0"/>
          <w:numId w:val="0"/>
        </w:numPr>
        <w:spacing w:line="240" w:lineRule="auto"/>
        <w:rPr>
          <w:rFonts w:ascii="Arial" w:hAnsi="Arial"/>
          <w:sz w:val="22"/>
          <w:szCs w:val="22"/>
        </w:rPr>
      </w:pPr>
      <w:r w:rsidRPr="009269D5">
        <w:rPr>
          <w:rFonts w:ascii="Arial" w:hAnsi="Arial"/>
          <w:sz w:val="22"/>
          <w:szCs w:val="22"/>
        </w:rPr>
        <w:t>Without such discussions with the right range of participants, it is very hard to make firm recommendations regarding the correct design. This approach would also have the benefit of formulating language for inclusion in level 3 transaction reporting guidelines, speeding up the process of writing those guidelines and avoiding further compression of implementation timelines.</w:t>
      </w:r>
    </w:p>
    <w:p w14:paraId="6A23BF6E" w14:textId="77777777" w:rsidR="009269D5" w:rsidRDefault="009269D5" w:rsidP="009269D5">
      <w:pPr>
        <w:pStyle w:val="ListBullet"/>
        <w:numPr>
          <w:ilvl w:val="0"/>
          <w:numId w:val="0"/>
        </w:numPr>
        <w:spacing w:line="240" w:lineRule="auto"/>
        <w:rPr>
          <w:rFonts w:ascii="Arial" w:hAnsi="Arial"/>
        </w:rPr>
      </w:pPr>
      <w:r w:rsidRPr="009269D5">
        <w:rPr>
          <w:rFonts w:ascii="Arial" w:hAnsi="Arial"/>
          <w:sz w:val="22"/>
          <w:szCs w:val="22"/>
        </w:rPr>
        <w:t>We note that any requirement to pass information between firms (including, but not limited to, chain id) will impose a significant implementation burden and may be problematic for non-electronic trading flows. We also note the reference to ‘confirmation’ in paragraph 79 of the consultation and note that if the intent is to include such identifiers on post-trade</w:t>
      </w:r>
      <w:r w:rsidRPr="007A53B3">
        <w:rPr>
          <w:rFonts w:ascii="Arial" w:hAnsi="Arial"/>
        </w:rPr>
        <w:t xml:space="preserve"> confirmations, this will impose a large implementation burden.</w:t>
      </w:r>
    </w:p>
    <w:p w14:paraId="75EC7E06" w14:textId="77777777" w:rsidR="009269D5" w:rsidRDefault="009269D5" w:rsidP="009269D5">
      <w:pPr>
        <w:spacing w:after="0"/>
      </w:pPr>
      <w:r w:rsidRPr="007A53B3">
        <w:t>We also note discussions on transaction reporting under way by the FCA and that it would be highly problematic for implementing firms to have different solutions to the same problems in different jurisdictions.</w:t>
      </w:r>
    </w:p>
    <w:p w14:paraId="3AD2704A" w14:textId="01B77412" w:rsidR="006B5DF1" w:rsidRDefault="006B5DF1" w:rsidP="009269D5">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3E6F86D1" w14:textId="77777777" w:rsidR="004E7E7F" w:rsidRDefault="004E7E7F" w:rsidP="006B5DF1">
      <w:pPr>
        <w:spacing w:after="0"/>
        <w:rPr>
          <w:rFonts w:eastAsia="Times New Roman"/>
          <w:color w:val="000000"/>
          <w:lang w:eastAsia="en-GB"/>
        </w:rPr>
      </w:pPr>
      <w:r w:rsidRPr="007A53B3">
        <w:rPr>
          <w:rFonts w:eastAsia="Times New Roman"/>
          <w:color w:val="000000"/>
          <w:lang w:eastAsia="en-GB"/>
        </w:rPr>
        <w:t>We refer to our response to Q19.</w:t>
      </w:r>
    </w:p>
    <w:p w14:paraId="693695D5" w14:textId="7C86120D"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lastRenderedPageBreak/>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49492258" w14:textId="77777777" w:rsidR="009D63E0" w:rsidRDefault="009D63E0" w:rsidP="009D63E0">
      <w:pPr>
        <w:spacing w:after="120" w:line="240" w:lineRule="auto"/>
        <w:rPr>
          <w:rFonts w:eastAsia="Times New Roman"/>
          <w:color w:val="000000"/>
          <w:lang w:eastAsia="en-GB"/>
        </w:rPr>
      </w:pPr>
      <w:r w:rsidRPr="007A53B3">
        <w:rPr>
          <w:rFonts w:eastAsia="Times New Roman"/>
          <w:color w:val="000000"/>
          <w:lang w:eastAsia="en-GB"/>
        </w:rPr>
        <w:t>We note that the industry will need significant time to implement proposed changes to transaction reporting, and that any requirements that require firms to pass data to each other (e.g</w:t>
      </w:r>
      <w:r>
        <w:rPr>
          <w:rFonts w:eastAsia="Times New Roman"/>
          <w:color w:val="000000"/>
          <w:lang w:eastAsia="en-GB"/>
        </w:rPr>
        <w:t xml:space="preserve">., </w:t>
      </w:r>
      <w:r w:rsidRPr="007A53B3">
        <w:rPr>
          <w:rFonts w:eastAsia="Times New Roman"/>
          <w:color w:val="000000"/>
          <w:lang w:eastAsia="en-GB"/>
        </w:rPr>
        <w:t>TICs and chain ids), with the need for coordinated testing and development of common standards, can be particularly onerous. With reference to our comments on Q19, we believe that convening an expert group to validate the proposals and come up with the optimum design is essential.</w:t>
      </w:r>
    </w:p>
    <w:p w14:paraId="20386154" w14:textId="77777777" w:rsidR="009D63E0" w:rsidRDefault="009D63E0" w:rsidP="009D63E0">
      <w:pPr>
        <w:spacing w:after="0"/>
        <w:rPr>
          <w:rFonts w:eastAsia="Times New Roman"/>
          <w:color w:val="000000"/>
          <w:lang w:eastAsia="en-GB"/>
        </w:rPr>
      </w:pPr>
      <w:r w:rsidRPr="007A53B3">
        <w:rPr>
          <w:rFonts w:eastAsia="Times New Roman"/>
          <w:color w:val="000000"/>
          <w:lang w:eastAsia="en-GB"/>
        </w:rPr>
        <w:t>We also note that the current T+1 migration timelines will overlap with implementation of these transaction reporting changes with the potential for contention of scarce resources and resultant implementation risks.</w:t>
      </w:r>
    </w:p>
    <w:p w14:paraId="103F6D06" w14:textId="1068D176" w:rsidR="006B5DF1" w:rsidRDefault="006B5DF1" w:rsidP="009D63E0">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45368B4A" w14:textId="77777777" w:rsidR="00363660" w:rsidRDefault="00363660" w:rsidP="006B5DF1">
      <w:pPr>
        <w:spacing w:after="0"/>
        <w:rPr>
          <w:rFonts w:eastAsia="Times New Roman"/>
          <w:color w:val="000000"/>
          <w:lang w:eastAsia="en-GB"/>
        </w:rPr>
      </w:pPr>
      <w:r w:rsidRPr="007A53B3">
        <w:rPr>
          <w:rFonts w:eastAsia="Times New Roman"/>
          <w:color w:val="000000"/>
          <w:lang w:eastAsia="en-GB"/>
        </w:rPr>
        <w:t xml:space="preserve">Being mindful of the fact that the UK and EU transaction reporting regimes are based on the same regulation, we would be very keen to see as much alignment as possible between the two regimes </w:t>
      </w:r>
      <w:proofErr w:type="gramStart"/>
      <w:r w:rsidRPr="007A53B3">
        <w:rPr>
          <w:rFonts w:eastAsia="Times New Roman"/>
          <w:color w:val="000000"/>
          <w:lang w:eastAsia="en-GB"/>
        </w:rPr>
        <w:t>in order to</w:t>
      </w:r>
      <w:proofErr w:type="gramEnd"/>
      <w:r w:rsidRPr="007A53B3">
        <w:rPr>
          <w:rFonts w:eastAsia="Times New Roman"/>
          <w:color w:val="000000"/>
          <w:lang w:eastAsia="en-GB"/>
        </w:rPr>
        <w:t xml:space="preserve"> maintain data quality and consistency and minimise the implementation and compliance burden faced by firms operating in both regions.</w:t>
      </w:r>
    </w:p>
    <w:p w14:paraId="70F87526" w14:textId="31EBFC30"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ADDF2BE" w14:textId="77777777" w:rsidR="00346E1E" w:rsidRDefault="00346E1E" w:rsidP="006B5DF1">
      <w:pPr>
        <w:spacing w:after="0"/>
        <w:rPr>
          <w:rFonts w:eastAsia="Times New Roman"/>
          <w:color w:val="000000"/>
          <w:lang w:eastAsia="en-GB"/>
        </w:rPr>
      </w:pPr>
      <w:r w:rsidRPr="007A53B3">
        <w:rPr>
          <w:rFonts w:eastAsia="Times New Roman"/>
          <w:color w:val="000000"/>
          <w:lang w:eastAsia="en-GB"/>
        </w:rPr>
        <w:t>We are in principle supportive of alignment with EMIR and SFTR. We note this will introduce implementation work and therefore cost.</w:t>
      </w:r>
    </w:p>
    <w:p w14:paraId="3D62CC04" w14:textId="2256112F"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lastRenderedPageBreak/>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lastRenderedPageBreak/>
        <w:t>&lt;ESMA_QUESTION_</w:t>
      </w:r>
      <w:r w:rsidR="00DF3781">
        <w:t>RTS2224</w:t>
      </w:r>
      <w:r>
        <w:t>_</w:t>
      </w:r>
      <w:r w:rsidR="003E7313">
        <w:t>29</w:t>
      </w:r>
      <w:r>
        <w:t>&gt;</w:t>
      </w:r>
    </w:p>
    <w:p w14:paraId="2A510E1C" w14:textId="77777777" w:rsidR="00C26518" w:rsidRDefault="00C26518" w:rsidP="005D3762">
      <w:pPr>
        <w:spacing w:after="0"/>
        <w:rPr>
          <w:rFonts w:eastAsia="Times New Roman"/>
          <w:color w:val="000000"/>
          <w:lang w:eastAsia="en-GB"/>
        </w:rPr>
      </w:pPr>
      <w:r w:rsidRPr="007A53B3">
        <w:rPr>
          <w:rFonts w:eastAsia="Times New Roman"/>
          <w:color w:val="000000"/>
          <w:lang w:eastAsia="en-GB"/>
        </w:rPr>
        <w:t>We support this proposal.</w:t>
      </w:r>
    </w:p>
    <w:p w14:paraId="64D40008" w14:textId="621A6993"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C777654" w14:textId="77777777" w:rsidR="008768F2" w:rsidRPr="00D54D75" w:rsidRDefault="008768F2" w:rsidP="008768F2">
      <w:pPr>
        <w:spacing w:after="120" w:line="240" w:lineRule="auto"/>
        <w:rPr>
          <w:szCs w:val="22"/>
        </w:rPr>
      </w:pPr>
      <w:r w:rsidRPr="00D54D75">
        <w:rPr>
          <w:szCs w:val="22"/>
        </w:rPr>
        <w:t xml:space="preserve">We are supportive of the approach in principle. However, we note that the delegated act identifying reference data to be used for OTC derivatives referred specifically to transparency and would seek clarification as to whether the proposed changes to instrument definitions apply also to transaction reporting, particularly noting the broader scope of the latter.  </w:t>
      </w:r>
    </w:p>
    <w:p w14:paraId="2E0336FA" w14:textId="77777777" w:rsidR="008768F2" w:rsidRPr="00D54D75" w:rsidRDefault="008768F2" w:rsidP="008768F2">
      <w:pPr>
        <w:spacing w:after="120" w:line="240" w:lineRule="auto"/>
        <w:rPr>
          <w:szCs w:val="22"/>
        </w:rPr>
      </w:pPr>
      <w:r w:rsidRPr="00D54D75">
        <w:rPr>
          <w:szCs w:val="22"/>
        </w:rPr>
        <w:t>We note the inclusion of some fields that are not in the OTC derivatives delegated act:</w:t>
      </w:r>
    </w:p>
    <w:p w14:paraId="4C60F314" w14:textId="77777777" w:rsidR="008768F2" w:rsidRPr="00D54D75" w:rsidRDefault="008768F2" w:rsidP="008768F2">
      <w:pPr>
        <w:pStyle w:val="ListBullet"/>
        <w:spacing w:line="240" w:lineRule="auto"/>
        <w:rPr>
          <w:rFonts w:ascii="Arial" w:hAnsi="Arial"/>
          <w:sz w:val="22"/>
          <w:szCs w:val="22"/>
        </w:rPr>
      </w:pPr>
      <w:r w:rsidRPr="00D54D75">
        <w:rPr>
          <w:rFonts w:ascii="Arial" w:hAnsi="Arial"/>
          <w:sz w:val="22"/>
          <w:szCs w:val="22"/>
        </w:rPr>
        <w:t xml:space="preserve">43a – MiFIR identifier, where we note comments made by us in an earlier consultation response questioning the need for this where we already have CFI code. </w:t>
      </w:r>
    </w:p>
    <w:p w14:paraId="3E5A3370" w14:textId="77777777" w:rsidR="008768F2" w:rsidRPr="00D54D75" w:rsidRDefault="008768F2" w:rsidP="008768F2">
      <w:pPr>
        <w:pStyle w:val="ListBullet"/>
        <w:spacing w:line="240" w:lineRule="auto"/>
        <w:rPr>
          <w:rFonts w:ascii="Arial" w:hAnsi="Arial"/>
          <w:sz w:val="22"/>
          <w:szCs w:val="22"/>
        </w:rPr>
      </w:pPr>
      <w:r w:rsidRPr="00D54D75">
        <w:rPr>
          <w:rFonts w:ascii="Arial" w:hAnsi="Arial"/>
          <w:sz w:val="22"/>
          <w:szCs w:val="22"/>
        </w:rPr>
        <w:t>This comment applies also to field 56a “Parameter”.</w:t>
      </w:r>
    </w:p>
    <w:p w14:paraId="25741C1E" w14:textId="77777777" w:rsidR="008768F2" w:rsidRPr="00D54D75" w:rsidRDefault="008768F2" w:rsidP="008768F2">
      <w:pPr>
        <w:spacing w:after="120" w:line="240" w:lineRule="auto"/>
        <w:rPr>
          <w:szCs w:val="22"/>
        </w:rPr>
      </w:pPr>
      <w:r w:rsidRPr="00D54D75">
        <w:rPr>
          <w:szCs w:val="22"/>
        </w:rPr>
        <w:t>We would like to see greater clarification in some of the field names:</w:t>
      </w:r>
    </w:p>
    <w:p w14:paraId="726768DD" w14:textId="77777777" w:rsidR="008768F2" w:rsidRPr="00D54D75" w:rsidRDefault="008768F2" w:rsidP="008768F2">
      <w:pPr>
        <w:pStyle w:val="ListBullet"/>
        <w:spacing w:line="240" w:lineRule="auto"/>
        <w:rPr>
          <w:rFonts w:ascii="Arial" w:hAnsi="Arial"/>
          <w:sz w:val="22"/>
          <w:szCs w:val="22"/>
        </w:rPr>
      </w:pPr>
      <w:r w:rsidRPr="00D54D75">
        <w:rPr>
          <w:rFonts w:ascii="Arial" w:hAnsi="Arial"/>
          <w:sz w:val="22"/>
          <w:szCs w:val="22"/>
        </w:rPr>
        <w:lastRenderedPageBreak/>
        <w:t>41 “ISIN” and 47 “Underlying identification” are inconsistently and incompletely named; we recommend “Instrument ISIN” and “Underlying instrument ISIN” respectively.</w:t>
      </w:r>
    </w:p>
    <w:p w14:paraId="042EC872" w14:textId="77777777" w:rsidR="008768F2" w:rsidRPr="00D54D75" w:rsidRDefault="008768F2" w:rsidP="008768F2">
      <w:pPr>
        <w:pStyle w:val="ListBullet"/>
        <w:spacing w:line="240" w:lineRule="auto"/>
        <w:rPr>
          <w:rFonts w:ascii="Arial" w:hAnsi="Arial"/>
          <w:sz w:val="22"/>
          <w:szCs w:val="22"/>
        </w:rPr>
      </w:pPr>
      <w:r w:rsidRPr="00D54D75">
        <w:rPr>
          <w:rFonts w:ascii="Arial" w:hAnsi="Arial"/>
          <w:sz w:val="22"/>
          <w:szCs w:val="22"/>
        </w:rPr>
        <w:t>56a “Parameter” – given this refers specifically to the MiFIR identifier, this reference should be in the field name, e.g., “MiFIR identifier sub-parameter”</w:t>
      </w:r>
    </w:p>
    <w:p w14:paraId="11CC6F18" w14:textId="77777777" w:rsidR="008768F2" w:rsidRPr="00D54D75" w:rsidRDefault="008768F2" w:rsidP="008768F2">
      <w:pPr>
        <w:pStyle w:val="ListBullet"/>
        <w:spacing w:line="240" w:lineRule="auto"/>
        <w:rPr>
          <w:rFonts w:ascii="Arial" w:hAnsi="Arial"/>
          <w:sz w:val="22"/>
          <w:szCs w:val="22"/>
        </w:rPr>
      </w:pPr>
      <w:r w:rsidRPr="00D54D75">
        <w:rPr>
          <w:rFonts w:ascii="Arial" w:hAnsi="Arial"/>
          <w:sz w:val="22"/>
          <w:szCs w:val="22"/>
        </w:rPr>
        <w:t>We query how field 47a will be populated. Given that this field is included within the field range which can be left blank when an ISIN is applied in field 41, this field would then need to be populated from the data submitted to FIRDS under RTS 23 reporting. However, we did not see this field added to the RTS 23 annex in the recent consultation.</w:t>
      </w:r>
    </w:p>
    <w:p w14:paraId="215A9D24" w14:textId="77777777" w:rsidR="008768F2" w:rsidRPr="00A83954" w:rsidRDefault="008768F2" w:rsidP="00A83954">
      <w:pPr>
        <w:pStyle w:val="ListBullet"/>
        <w:rPr>
          <w:rFonts w:ascii="Arial" w:hAnsi="Arial"/>
          <w:sz w:val="22"/>
          <w:szCs w:val="22"/>
        </w:rPr>
      </w:pPr>
      <w:r w:rsidRPr="00A83954">
        <w:rPr>
          <w:rFonts w:ascii="Arial" w:hAnsi="Arial"/>
          <w:sz w:val="22"/>
          <w:szCs w:val="22"/>
        </w:rPr>
        <w:t xml:space="preserve">We note fields 47b and 47c, which relate to the situation where the MiFIR identifier in field 43a indicates a derivative or securitised derivative. We presume that these fields are picked up from FIRDS </w:t>
      </w:r>
      <w:proofErr w:type="gramStart"/>
      <w:r w:rsidRPr="00A83954">
        <w:rPr>
          <w:rFonts w:ascii="Arial" w:hAnsi="Arial"/>
          <w:sz w:val="22"/>
          <w:szCs w:val="22"/>
        </w:rPr>
        <w:t>as a result of</w:t>
      </w:r>
      <w:proofErr w:type="gramEnd"/>
      <w:r w:rsidRPr="00A83954">
        <w:rPr>
          <w:rFonts w:ascii="Arial" w:hAnsi="Arial"/>
          <w:sz w:val="22"/>
          <w:szCs w:val="22"/>
        </w:rPr>
        <w:t xml:space="preserve"> RTS 23 reporting but would like clarification that they are not intended to be included in the fields against which an OTC derivative ISIN is allocated.</w:t>
      </w:r>
    </w:p>
    <w:p w14:paraId="583C778A" w14:textId="183E193B" w:rsidR="005D3762" w:rsidRDefault="005D3762" w:rsidP="008768F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3FCAE50A" w14:textId="77777777" w:rsidR="00117968" w:rsidRDefault="00117968" w:rsidP="00117968">
      <w:pPr>
        <w:spacing w:after="120" w:line="240" w:lineRule="auto"/>
        <w:rPr>
          <w:rFonts w:eastAsia="Times New Roman"/>
          <w:color w:val="000000"/>
          <w:lang w:eastAsia="en-GB"/>
        </w:rPr>
      </w:pPr>
      <w:r w:rsidRPr="007A53B3">
        <w:rPr>
          <w:rFonts w:eastAsia="Times New Roman"/>
          <w:color w:val="000000"/>
          <w:lang w:eastAsia="en-GB"/>
        </w:rPr>
        <w:t xml:space="preserve">We have no comment to make on the client categorisation field. </w:t>
      </w:r>
    </w:p>
    <w:p w14:paraId="65C17E1B" w14:textId="77777777" w:rsidR="00117968" w:rsidRDefault="00117968" w:rsidP="00117968">
      <w:pPr>
        <w:spacing w:after="120" w:line="240" w:lineRule="auto"/>
        <w:rPr>
          <w:rFonts w:eastAsia="Times New Roman"/>
          <w:color w:val="000000"/>
          <w:lang w:eastAsia="en-GB"/>
        </w:rPr>
      </w:pPr>
      <w:r w:rsidRPr="007A53B3">
        <w:rPr>
          <w:rFonts w:eastAsia="Times New Roman"/>
          <w:color w:val="000000"/>
          <w:lang w:eastAsia="en-GB"/>
        </w:rPr>
        <w:t>We support the reporting timestamp but request that clarification be provided as to who should set it (e.g., the reporting firm or, where they use one, their ARM).</w:t>
      </w:r>
    </w:p>
    <w:p w14:paraId="4B0FCAF8" w14:textId="77777777" w:rsidR="00117968" w:rsidRDefault="00117968" w:rsidP="00117968">
      <w:pPr>
        <w:spacing w:after="120" w:line="240" w:lineRule="auto"/>
        <w:rPr>
          <w:rFonts w:eastAsia="Times New Roman"/>
          <w:color w:val="000000"/>
          <w:lang w:val="en-US" w:eastAsia="en-GB"/>
        </w:rPr>
      </w:pPr>
      <w:r w:rsidRPr="007A53B3">
        <w:rPr>
          <w:rFonts w:eastAsia="Times New Roman"/>
          <w:color w:val="000000"/>
          <w:lang w:val="en-US" w:eastAsia="en-GB"/>
        </w:rPr>
        <w:t xml:space="preserve">If this new field is to be introduced, it is not clear if this would impact trade/order flow to a venue for their transaction reporting and record-keeping requirements. Typically, this data today lives downstream of the trading platform and the firm’s transaction report can be enriched accordingly with client details for reporting. But this data does not get passed in the order and trade flow or from member to venues. It could be gathered outside of the trading platform by venues if required, as part of their existing client short code/long code mapping process. </w:t>
      </w:r>
    </w:p>
    <w:p w14:paraId="1689E9BA" w14:textId="77777777" w:rsidR="00117968" w:rsidRDefault="00117968" w:rsidP="00117968">
      <w:pPr>
        <w:spacing w:after="0"/>
        <w:rPr>
          <w:rFonts w:eastAsia="Times New Roman"/>
          <w:color w:val="000000"/>
          <w:lang w:val="en-US" w:eastAsia="en-GB"/>
        </w:rPr>
      </w:pPr>
      <w:r w:rsidRPr="007A53B3">
        <w:rPr>
          <w:rFonts w:eastAsia="Times New Roman"/>
          <w:color w:val="000000"/>
          <w:lang w:val="en-US" w:eastAsia="en-GB"/>
        </w:rPr>
        <w:t>We note that any requirement to pass information between firms/venues (including, but not limited to, client classification) will impose a significant implementation burden and may be problematic for non-electronic trading flows.</w:t>
      </w:r>
    </w:p>
    <w:p w14:paraId="7A1722CA" w14:textId="1AB46B6D" w:rsidR="005D3762" w:rsidRDefault="005D3762" w:rsidP="00117968">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3A530C5B" w14:textId="77777777" w:rsidR="006504BE" w:rsidRDefault="006504BE" w:rsidP="006504BE">
      <w:pPr>
        <w:spacing w:after="120" w:line="240" w:lineRule="auto"/>
        <w:rPr>
          <w:rFonts w:eastAsia="Times New Roman"/>
          <w:color w:val="000000"/>
          <w:lang w:eastAsia="en-GB"/>
        </w:rPr>
      </w:pPr>
      <w:r w:rsidRPr="007A53B3">
        <w:rPr>
          <w:rFonts w:eastAsia="Times New Roman"/>
          <w:color w:val="000000"/>
          <w:lang w:eastAsia="en-GB"/>
        </w:rPr>
        <w:lastRenderedPageBreak/>
        <w:t>As a general principle, we welcome movement of text from the level 3 transaction reporting guidelines to the relevant RTS(s).</w:t>
      </w:r>
    </w:p>
    <w:p w14:paraId="1F0DDD82"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We would like to make the following comments on the table of updated flags accompanying paragraph 126:</w:t>
      </w:r>
    </w:p>
    <w:p w14:paraId="71F7894F"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1 We see no harm in this change, though note it introduces implementation effort and cost for what would appear to be little benefit.</w:t>
      </w:r>
    </w:p>
    <w:p w14:paraId="405B87AC"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4 We note that not all indices have ISINs, and it is unclear how these should be identified.</w:t>
      </w:r>
    </w:p>
    <w:p w14:paraId="1270A196"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5 We recommend some minor wording changes as follows: “‘INTC’ shall be used to designate usage of an aggregate client account within the investment firm either to report a transfer into or out of that account or to report an associated allocation to the individual clients out of or into that account.”</w:t>
      </w:r>
    </w:p>
    <w:p w14:paraId="05F3B1A4"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 xml:space="preserve">6 We note that there is an occurrence of “true” that needs to </w:t>
      </w:r>
      <w:proofErr w:type="spellStart"/>
      <w:proofErr w:type="gramStart"/>
      <w:r w:rsidRPr="007A53B3">
        <w:rPr>
          <w:rFonts w:eastAsia="Times New Roman"/>
          <w:color w:val="000000"/>
          <w:lang w:eastAsia="en-GB"/>
        </w:rPr>
        <w:t>removed</w:t>
      </w:r>
      <w:proofErr w:type="spellEnd"/>
      <w:proofErr w:type="gramEnd"/>
      <w:r w:rsidRPr="007A53B3">
        <w:rPr>
          <w:rFonts w:eastAsia="Times New Roman"/>
          <w:color w:val="000000"/>
          <w:lang w:eastAsia="en-GB"/>
        </w:rPr>
        <w:t xml:space="preserve"> from the last column</w:t>
      </w:r>
    </w:p>
    <w:p w14:paraId="70F29241"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7 We support this proposal.</w:t>
      </w:r>
    </w:p>
    <w:p w14:paraId="24E1B1DD" w14:textId="77777777" w:rsidR="006504BE" w:rsidRDefault="006504BE" w:rsidP="006504BE">
      <w:pPr>
        <w:spacing w:after="120" w:line="240" w:lineRule="auto"/>
        <w:rPr>
          <w:rFonts w:eastAsia="Times New Roman"/>
          <w:color w:val="000000"/>
          <w:lang w:eastAsia="en-GB"/>
        </w:rPr>
      </w:pPr>
      <w:r w:rsidRPr="007A53B3">
        <w:rPr>
          <w:rFonts w:eastAsia="Times New Roman"/>
          <w:color w:val="000000"/>
          <w:lang w:eastAsia="en-GB"/>
        </w:rPr>
        <w:t>8 We support this proposal.</w:t>
      </w:r>
    </w:p>
    <w:p w14:paraId="017134A5"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9 We are in principle supportive of aligning the transaction reporting flag lists with the associated post-trade transparency lists. However, there are issues with the proposed list of flags under the OTC post-trade indicator field, specifically:</w:t>
      </w:r>
    </w:p>
    <w:p w14:paraId="6EFD4ABF" w14:textId="77777777" w:rsidR="006504BE" w:rsidRPr="007A53B3" w:rsidRDefault="006504BE" w:rsidP="006504BE">
      <w:pPr>
        <w:pStyle w:val="ListParagraph"/>
        <w:numPr>
          <w:ilvl w:val="0"/>
          <w:numId w:val="37"/>
        </w:numPr>
        <w:spacing w:after="120" w:line="240" w:lineRule="auto"/>
        <w:jc w:val="left"/>
        <w:rPr>
          <w:rFonts w:eastAsia="Times New Roman"/>
          <w:color w:val="000000"/>
          <w:lang w:eastAsia="en-GB"/>
        </w:rPr>
      </w:pPr>
      <w:r w:rsidRPr="007A53B3">
        <w:rPr>
          <w:rFonts w:eastAsia="Times New Roman"/>
          <w:color w:val="000000"/>
          <w:lang w:eastAsia="en-GB"/>
        </w:rPr>
        <w:t>Flags ALGO, RFPT, PRIC, NLIQ and OILQ do not apply to OTC transactions and should not be in this field.</w:t>
      </w:r>
    </w:p>
    <w:p w14:paraId="0629730F" w14:textId="77777777" w:rsidR="006504BE" w:rsidRPr="007A53B3" w:rsidRDefault="006504BE" w:rsidP="006504BE">
      <w:pPr>
        <w:pStyle w:val="ListParagraph"/>
        <w:numPr>
          <w:ilvl w:val="0"/>
          <w:numId w:val="37"/>
        </w:numPr>
        <w:spacing w:after="120" w:line="240" w:lineRule="auto"/>
        <w:jc w:val="left"/>
        <w:rPr>
          <w:rFonts w:eastAsia="Times New Roman"/>
          <w:color w:val="000000"/>
          <w:lang w:eastAsia="en-GB"/>
        </w:rPr>
      </w:pPr>
      <w:r w:rsidRPr="007A53B3">
        <w:rPr>
          <w:rFonts w:eastAsia="Times New Roman"/>
          <w:color w:val="000000"/>
          <w:lang w:eastAsia="en-GB"/>
        </w:rPr>
        <w:t>While noting that the CANC and AMND flags are not changing, and with reference to our response to Q47, we note that is not clear how cancellations of transactions are handled and suggest this be made clearer.</w:t>
      </w:r>
    </w:p>
    <w:p w14:paraId="7F2FB43A" w14:textId="77777777" w:rsidR="006504BE" w:rsidRPr="007A53B3" w:rsidRDefault="006504BE" w:rsidP="006504BE">
      <w:pPr>
        <w:pStyle w:val="ListParagraph"/>
        <w:numPr>
          <w:ilvl w:val="0"/>
          <w:numId w:val="37"/>
        </w:numPr>
        <w:spacing w:after="120" w:line="240" w:lineRule="auto"/>
        <w:jc w:val="left"/>
        <w:rPr>
          <w:rFonts w:eastAsia="Times New Roman"/>
          <w:color w:val="000000"/>
          <w:lang w:eastAsia="en-GB"/>
        </w:rPr>
      </w:pPr>
      <w:r w:rsidRPr="007A53B3">
        <w:rPr>
          <w:rFonts w:eastAsia="Times New Roman"/>
          <w:color w:val="000000"/>
          <w:lang w:eastAsia="en-GB"/>
        </w:rPr>
        <w:t>The definition of LRGS “Post-trade large-in-scale transactions” has potential to be misinterpreted as meaning any transaction above large in scale, as opposed to qualifying for deferral, which we believe to be the intent. We recommend that the description of this field be changed to match that in the annex to RTS 1. We also note LRGS appears a second time in the list “(Large in scale”) and assume this to be an error.</w:t>
      </w:r>
    </w:p>
    <w:p w14:paraId="64221499" w14:textId="77777777" w:rsidR="006504BE" w:rsidRDefault="006504BE" w:rsidP="006504BE">
      <w:pPr>
        <w:pStyle w:val="ListParagraph"/>
        <w:numPr>
          <w:ilvl w:val="0"/>
          <w:numId w:val="37"/>
        </w:numPr>
        <w:spacing w:after="120" w:line="240" w:lineRule="auto"/>
        <w:jc w:val="left"/>
        <w:rPr>
          <w:rFonts w:eastAsia="Times New Roman"/>
          <w:color w:val="000000"/>
          <w:lang w:eastAsia="en-GB"/>
        </w:rPr>
      </w:pPr>
      <w:r w:rsidRPr="007A53B3">
        <w:rPr>
          <w:rFonts w:eastAsia="Times New Roman"/>
          <w:color w:val="000000"/>
          <w:lang w:eastAsia="en-GB"/>
        </w:rPr>
        <w:t>We would like to make the point that adding new flags to the OTC post-trade indicator has the potential to incur significant implementation costs, particularly when flags need to be passed between investment firms for accurate transaction reporting. The post-trade deferral flags for fixed income would be a good example.</w:t>
      </w:r>
    </w:p>
    <w:p w14:paraId="0A7D116B" w14:textId="77777777" w:rsidR="006504BE" w:rsidRPr="007A53B3" w:rsidRDefault="006504BE" w:rsidP="006504BE">
      <w:pPr>
        <w:spacing w:after="120" w:line="240" w:lineRule="auto"/>
        <w:rPr>
          <w:rFonts w:eastAsia="Times New Roman"/>
          <w:color w:val="000000"/>
          <w:lang w:eastAsia="en-GB"/>
        </w:rPr>
      </w:pPr>
      <w:r w:rsidRPr="007A53B3">
        <w:rPr>
          <w:rFonts w:eastAsia="Times New Roman"/>
          <w:color w:val="000000"/>
          <w:lang w:eastAsia="en-GB"/>
        </w:rPr>
        <w:t>Regarding the table on national identifiers accompanying paragraph 127 and the proposed wording change to article 6, we note some overall concerns including:</w:t>
      </w:r>
    </w:p>
    <w:p w14:paraId="7B11F58F" w14:textId="77777777" w:rsidR="006504BE" w:rsidRPr="006504BE" w:rsidRDefault="006504BE" w:rsidP="006504BE">
      <w:pPr>
        <w:pStyle w:val="ListParagraph"/>
        <w:numPr>
          <w:ilvl w:val="0"/>
          <w:numId w:val="37"/>
        </w:numPr>
        <w:spacing w:after="120" w:line="240" w:lineRule="auto"/>
        <w:jc w:val="left"/>
        <w:rPr>
          <w:rFonts w:eastAsia="Times New Roman"/>
          <w:color w:val="000000"/>
          <w:lang w:eastAsia="en-GB"/>
        </w:rPr>
      </w:pPr>
      <w:r w:rsidRPr="006504BE">
        <w:rPr>
          <w:rFonts w:eastAsia="Times New Roman"/>
          <w:color w:val="000000"/>
          <w:lang w:eastAsia="en-GB"/>
        </w:rPr>
        <w:t>It not being clear why article 6 of RTS 22 refers just to a ‘highest priority’ identifier, while Annex II allows for lower priority identifiers.</w:t>
      </w:r>
    </w:p>
    <w:p w14:paraId="42D973A0" w14:textId="77777777" w:rsidR="006504BE" w:rsidRPr="000D14CA" w:rsidRDefault="006504BE" w:rsidP="000D14CA">
      <w:pPr>
        <w:pStyle w:val="ListParagraph"/>
        <w:numPr>
          <w:ilvl w:val="0"/>
          <w:numId w:val="37"/>
        </w:numPr>
        <w:spacing w:after="120" w:line="240" w:lineRule="auto"/>
        <w:jc w:val="left"/>
        <w:rPr>
          <w:rFonts w:eastAsia="Times New Roman"/>
          <w:color w:val="000000"/>
          <w:lang w:eastAsia="en-GB"/>
        </w:rPr>
      </w:pPr>
      <w:r w:rsidRPr="000D14CA">
        <w:rPr>
          <w:rFonts w:eastAsia="Times New Roman"/>
          <w:color w:val="000000"/>
          <w:lang w:eastAsia="en-GB"/>
        </w:rPr>
        <w:t>The proposal for Finland may cause problems for Finnish residents using financial services in other countries.</w:t>
      </w:r>
    </w:p>
    <w:p w14:paraId="145FE6FA" w14:textId="2572DEC8" w:rsidR="005D3762" w:rsidRDefault="005D3762" w:rsidP="006504BE">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lastRenderedPageBreak/>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ABFD6E7" w14:textId="77777777" w:rsidR="001259C0" w:rsidRDefault="001259C0" w:rsidP="005D3762">
      <w:pPr>
        <w:spacing w:after="0"/>
        <w:rPr>
          <w:rFonts w:eastAsia="Times New Roman"/>
          <w:color w:val="000000"/>
          <w:lang w:eastAsia="en-GB"/>
        </w:rPr>
      </w:pPr>
      <w:r w:rsidRPr="007A53B3">
        <w:rPr>
          <w:rFonts w:eastAsia="Times New Roman"/>
          <w:color w:val="000000"/>
          <w:lang w:eastAsia="en-GB"/>
        </w:rPr>
        <w:t xml:space="preserve">Our view is that XML and JSON are fairly </w:t>
      </w:r>
      <w:proofErr w:type="gramStart"/>
      <w:r w:rsidRPr="007A53B3">
        <w:rPr>
          <w:rFonts w:eastAsia="Times New Roman"/>
          <w:color w:val="000000"/>
          <w:lang w:eastAsia="en-GB"/>
        </w:rPr>
        <w:t>similar</w:t>
      </w:r>
      <w:proofErr w:type="gramEnd"/>
      <w:r w:rsidRPr="007A53B3">
        <w:rPr>
          <w:rFonts w:eastAsia="Times New Roman"/>
          <w:color w:val="000000"/>
          <w:lang w:eastAsia="en-GB"/>
        </w:rPr>
        <w:t xml:space="preserve"> and both would be fit for purpose for transaction reporting. We see no benefit to the industry in moving from XML to JSON and note this will introduce costs. We also note that the choice of encoding (XML vs. JSON or indeed any other representation) is really a technical specification matter and question whether this level of detail should be written into regulation at all.</w:t>
      </w:r>
    </w:p>
    <w:p w14:paraId="2DD70268" w14:textId="7D6A1BF7"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2F01504E" w14:textId="77777777" w:rsidR="0092259E" w:rsidRDefault="0092259E" w:rsidP="005D3762">
      <w:pPr>
        <w:spacing w:after="0"/>
        <w:rPr>
          <w:rFonts w:eastAsia="Times New Roman"/>
          <w:color w:val="000000"/>
          <w:lang w:eastAsia="en-GB"/>
        </w:rPr>
      </w:pPr>
      <w:r w:rsidRPr="007A53B3">
        <w:rPr>
          <w:rFonts w:eastAsia="Times New Roman"/>
          <w:color w:val="000000"/>
          <w:lang w:eastAsia="en-GB"/>
        </w:rPr>
        <w:t>It is hard to answer this question without a more detailed description of the proposed methodology, specifically which values of which fields on which reports would be used to calculate these data. We would be happy to assist with any detailed discussions on this topic.</w:t>
      </w:r>
    </w:p>
    <w:p w14:paraId="20B17A70" w14:textId="434AFE0F" w:rsidR="005D3762" w:rsidRDefault="005D3762" w:rsidP="005D3762">
      <w:pPr>
        <w:spacing w:after="0"/>
      </w:pPr>
      <w:r>
        <w:lastRenderedPageBreak/>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4CAD4323" w14:textId="77777777" w:rsidR="00661F13" w:rsidRDefault="00661F13" w:rsidP="005D3762">
      <w:pPr>
        <w:spacing w:after="0"/>
        <w:rPr>
          <w:rFonts w:eastAsia="Times New Roman"/>
          <w:color w:val="000000"/>
          <w:lang w:eastAsia="en-GB"/>
        </w:rPr>
      </w:pPr>
      <w:r w:rsidRPr="007A53B3">
        <w:rPr>
          <w:rFonts w:eastAsia="Times New Roman"/>
          <w:color w:val="000000"/>
          <w:lang w:eastAsia="en-GB"/>
        </w:rPr>
        <w:t>We refer to our response to Q42.</w:t>
      </w:r>
    </w:p>
    <w:p w14:paraId="0ECACA55" w14:textId="450E3252"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6A0C0E36" w14:textId="77777777" w:rsidR="009C2AE2" w:rsidRDefault="009C2AE2" w:rsidP="005D3762">
      <w:pPr>
        <w:spacing w:after="0"/>
        <w:rPr>
          <w:rFonts w:eastAsia="Times New Roman"/>
          <w:color w:val="000000"/>
          <w:lang w:eastAsia="en-GB"/>
        </w:rPr>
      </w:pPr>
      <w:r w:rsidRPr="007A53B3">
        <w:rPr>
          <w:rFonts w:eastAsia="Times New Roman"/>
          <w:color w:val="000000"/>
          <w:lang w:eastAsia="en-GB"/>
        </w:rPr>
        <w:t>We do not think that there should be any format prescribed for how firms store their order book data. However, we can see the rationale behind requiring a common format for transmitting such data to NCAs and recommend this be aligned with the format used for transaction reporting. We refer also to our response on Q40 which covers the question of XML and JSON.</w:t>
      </w:r>
    </w:p>
    <w:p w14:paraId="04793554" w14:textId="3D511128"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44B4CB0B" w14:textId="77777777" w:rsidR="00D35A41" w:rsidRDefault="00D35A41" w:rsidP="005D3762">
      <w:pPr>
        <w:spacing w:after="0"/>
        <w:rPr>
          <w:rFonts w:eastAsia="Times New Roman"/>
          <w:color w:val="000000"/>
          <w:lang w:eastAsia="en-GB"/>
        </w:rPr>
      </w:pPr>
      <w:r w:rsidRPr="007A53B3">
        <w:rPr>
          <w:rFonts w:eastAsia="Times New Roman"/>
          <w:color w:val="000000"/>
          <w:lang w:eastAsia="en-GB"/>
        </w:rPr>
        <w:t>As per our response to Q44, we recommend format for transmitting order book data to NCAs be aligned with the format used for transaction reporting.</w:t>
      </w:r>
    </w:p>
    <w:p w14:paraId="5F3D4CB2" w14:textId="55193F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lastRenderedPageBreak/>
        <w:t>&lt;ESMA_QUESTION_</w:t>
      </w:r>
      <w:r w:rsidR="00DF3781">
        <w:t>RTS2224</w:t>
      </w:r>
      <w:r>
        <w:t>_</w:t>
      </w:r>
      <w:r w:rsidR="00BE02A2">
        <w:t>46</w:t>
      </w:r>
      <w:r>
        <w:t>&gt;</w:t>
      </w:r>
    </w:p>
    <w:p w14:paraId="25D6F712" w14:textId="77777777" w:rsidR="00F65C07" w:rsidRDefault="00F65C07" w:rsidP="005D3762">
      <w:pPr>
        <w:spacing w:after="0"/>
        <w:rPr>
          <w:rFonts w:eastAsia="Times New Roman"/>
          <w:color w:val="000000"/>
          <w:lang w:eastAsia="en-GB"/>
        </w:rPr>
      </w:pPr>
      <w:r w:rsidRPr="007A53B3">
        <w:rPr>
          <w:rFonts w:eastAsia="Times New Roman"/>
          <w:color w:val="000000"/>
          <w:lang w:eastAsia="en-GB"/>
        </w:rPr>
        <w:t>We support this proposal in principle.</w:t>
      </w:r>
    </w:p>
    <w:p w14:paraId="2EE5064F" w14:textId="01E0BD9E"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0E31AC8D" w14:textId="77777777" w:rsidR="009D4C8E" w:rsidRDefault="009D4C8E" w:rsidP="005D3762">
      <w:pPr>
        <w:spacing w:after="0"/>
        <w:rPr>
          <w:rFonts w:eastAsia="Times New Roman"/>
          <w:color w:val="000000"/>
          <w:lang w:eastAsia="en-GB"/>
        </w:rPr>
      </w:pPr>
      <w:proofErr w:type="gramStart"/>
      <w:r w:rsidRPr="007A53B3">
        <w:rPr>
          <w:rFonts w:eastAsia="Times New Roman"/>
          <w:color w:val="000000"/>
          <w:lang w:eastAsia="en-GB"/>
        </w:rPr>
        <w:t>With regard to</w:t>
      </w:r>
      <w:proofErr w:type="gramEnd"/>
      <w:r w:rsidRPr="007A53B3">
        <w:rPr>
          <w:rFonts w:eastAsia="Times New Roman"/>
          <w:color w:val="000000"/>
          <w:lang w:eastAsia="en-GB"/>
        </w:rPr>
        <w:t xml:space="preserve"> transaction cancellation, we note that it is not clear (either with or without the proposed new Transaction Cancellation Date and Time field) how transaction cancellations are expected to be handled under both RTS 24 and RTS 22. For example, if an order has multiple transactions (executions) and more than one of them are cancelled, it is not clear how a single timestamp should be populated. On this basis, we do not support this proposal and recommend instead that reference be made to transaction reporting records for transaction cancellations.</w:t>
      </w:r>
    </w:p>
    <w:p w14:paraId="1B9C0209" w14:textId="50EC2419"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2425ADD8" w14:textId="77777777" w:rsidR="00EE39B4" w:rsidRPr="007A53B3" w:rsidRDefault="00EE39B4" w:rsidP="00EE39B4">
      <w:pPr>
        <w:spacing w:after="120" w:line="240" w:lineRule="auto"/>
        <w:rPr>
          <w:rFonts w:eastAsia="Times New Roman"/>
          <w:color w:val="000000"/>
          <w:lang w:eastAsia="en-GB"/>
        </w:rPr>
      </w:pPr>
      <w:r w:rsidRPr="007A53B3">
        <w:rPr>
          <w:rFonts w:eastAsia="Times New Roman"/>
          <w:color w:val="000000"/>
          <w:lang w:eastAsia="en-GB"/>
        </w:rPr>
        <w:t xml:space="preserve">We note that order record </w:t>
      </w:r>
      <w:proofErr w:type="gramStart"/>
      <w:r w:rsidRPr="007A53B3">
        <w:rPr>
          <w:rFonts w:eastAsia="Times New Roman"/>
          <w:color w:val="000000"/>
          <w:lang w:eastAsia="en-GB"/>
        </w:rPr>
        <w:t>keeping</w:t>
      </w:r>
      <w:proofErr w:type="gramEnd"/>
      <w:r w:rsidRPr="007A53B3">
        <w:rPr>
          <w:rFonts w:eastAsia="Times New Roman"/>
          <w:color w:val="000000"/>
          <w:lang w:eastAsia="en-GB"/>
        </w:rPr>
        <w:t xml:space="preserve"> and transaction reporting are not the same, and see little justification for imposing implementation costs to bring data in line across these two areas. Having said that, the specific case of aligning AGGR with INTC does seem to be a reasonable change.</w:t>
      </w:r>
    </w:p>
    <w:p w14:paraId="4EBBCAA7" w14:textId="77777777" w:rsidR="00EE39B4" w:rsidRDefault="00EE39B4" w:rsidP="00EE39B4">
      <w:pPr>
        <w:spacing w:after="0"/>
        <w:rPr>
          <w:rFonts w:eastAsia="Times New Roman"/>
          <w:color w:val="000000"/>
          <w:lang w:eastAsia="en-GB"/>
        </w:rPr>
      </w:pPr>
      <w:r w:rsidRPr="007A53B3">
        <w:rPr>
          <w:rFonts w:eastAsia="Times New Roman"/>
          <w:color w:val="000000"/>
          <w:lang w:eastAsia="en-GB"/>
        </w:rPr>
        <w:t>We would also like to note that making changes such as this introduces a backwards-compatibility issue where equivalent data take different values at different points in time, and this increases complexity.</w:t>
      </w:r>
    </w:p>
    <w:p w14:paraId="78142E4A" w14:textId="28012381" w:rsidR="005D3762" w:rsidRDefault="005D3762" w:rsidP="00EE39B4">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7D4E817" w14:textId="77777777" w:rsidR="007662E5" w:rsidRDefault="007662E5" w:rsidP="005D3762">
      <w:pPr>
        <w:spacing w:after="0"/>
        <w:rPr>
          <w:rFonts w:eastAsia="Times New Roman"/>
          <w:color w:val="000000"/>
          <w:lang w:eastAsia="en-GB"/>
        </w:rPr>
      </w:pPr>
      <w:r w:rsidRPr="007A53B3">
        <w:rPr>
          <w:rFonts w:eastAsia="Times New Roman"/>
          <w:color w:val="000000"/>
          <w:lang w:eastAsia="en-GB"/>
        </w:rPr>
        <w:t>We have no specified comments other than to recommend that changes in RTS 24 be limited to the minimum required to align with changes in RTS 22 and thereby limit the implementation burden to the industry.</w:t>
      </w:r>
    </w:p>
    <w:p w14:paraId="1128D292" w14:textId="0E5401C7"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2723E" w14:textId="77777777" w:rsidR="00937B76" w:rsidRDefault="00937B76" w:rsidP="00F716D4">
      <w:r>
        <w:separator/>
      </w:r>
    </w:p>
    <w:p w14:paraId="53D57D94" w14:textId="77777777" w:rsidR="00937B76" w:rsidRDefault="00937B76" w:rsidP="00F716D4"/>
  </w:endnote>
  <w:endnote w:type="continuationSeparator" w:id="0">
    <w:p w14:paraId="5D625562" w14:textId="77777777" w:rsidR="00937B76" w:rsidRDefault="00937B76" w:rsidP="00F716D4">
      <w:r>
        <w:continuationSeparator/>
      </w:r>
    </w:p>
    <w:p w14:paraId="20727E00" w14:textId="77777777" w:rsidR="00937B76" w:rsidRDefault="00937B76" w:rsidP="00F716D4"/>
  </w:endnote>
  <w:endnote w:type="continuationNotice" w:id="1">
    <w:p w14:paraId="5558820F" w14:textId="77777777" w:rsidR="00937B76" w:rsidRDefault="00937B76"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FB597" w14:textId="77777777" w:rsidR="00937B76" w:rsidRDefault="00937B76" w:rsidP="00F716D4">
      <w:r>
        <w:separator/>
      </w:r>
    </w:p>
    <w:p w14:paraId="42B6424A" w14:textId="77777777" w:rsidR="00937B76" w:rsidRDefault="00937B76" w:rsidP="00F716D4"/>
  </w:footnote>
  <w:footnote w:type="continuationSeparator" w:id="0">
    <w:p w14:paraId="2CFE3C03" w14:textId="77777777" w:rsidR="00937B76" w:rsidRDefault="00937B76" w:rsidP="00F716D4">
      <w:r>
        <w:continuationSeparator/>
      </w:r>
    </w:p>
    <w:p w14:paraId="305107EC" w14:textId="77777777" w:rsidR="00937B76" w:rsidRDefault="00937B76" w:rsidP="00F716D4"/>
  </w:footnote>
  <w:footnote w:type="continuationNotice" w:id="1">
    <w:p w14:paraId="1C0AF090" w14:textId="77777777" w:rsidR="00937B76" w:rsidRDefault="00937B76"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5342D13"/>
    <w:multiLevelType w:val="hybridMultilevel"/>
    <w:tmpl w:val="60F4102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6"/>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7"/>
  </w:num>
  <w:num w:numId="37" w16cid:durableId="640695185">
    <w:abstractNumId w:val="34"/>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4C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968"/>
    <w:rsid w:val="00117C20"/>
    <w:rsid w:val="00120F0E"/>
    <w:rsid w:val="00121A5D"/>
    <w:rsid w:val="00121BED"/>
    <w:rsid w:val="00123D39"/>
    <w:rsid w:val="001244CD"/>
    <w:rsid w:val="0012566F"/>
    <w:rsid w:val="001259C0"/>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214F"/>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0DA8"/>
    <w:rsid w:val="00171183"/>
    <w:rsid w:val="001725A5"/>
    <w:rsid w:val="00172681"/>
    <w:rsid w:val="0017312F"/>
    <w:rsid w:val="00173AC7"/>
    <w:rsid w:val="001745D7"/>
    <w:rsid w:val="00175754"/>
    <w:rsid w:val="0017669F"/>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96F3C"/>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257"/>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2FF6"/>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4726"/>
    <w:rsid w:val="00345968"/>
    <w:rsid w:val="00346E1E"/>
    <w:rsid w:val="00347667"/>
    <w:rsid w:val="003507E2"/>
    <w:rsid w:val="003522B2"/>
    <w:rsid w:val="0035455E"/>
    <w:rsid w:val="00354A6F"/>
    <w:rsid w:val="00354B48"/>
    <w:rsid w:val="00355789"/>
    <w:rsid w:val="003609B6"/>
    <w:rsid w:val="00361119"/>
    <w:rsid w:val="00363660"/>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07BCC"/>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6F4C"/>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E7E7F"/>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AFB"/>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4BE"/>
    <w:rsid w:val="006509B0"/>
    <w:rsid w:val="006521F3"/>
    <w:rsid w:val="006524D5"/>
    <w:rsid w:val="00652BBD"/>
    <w:rsid w:val="00653633"/>
    <w:rsid w:val="00653F69"/>
    <w:rsid w:val="00654936"/>
    <w:rsid w:val="00655485"/>
    <w:rsid w:val="006558B3"/>
    <w:rsid w:val="00660BF0"/>
    <w:rsid w:val="0066189C"/>
    <w:rsid w:val="00661F13"/>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2E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07E"/>
    <w:rsid w:val="00862DDD"/>
    <w:rsid w:val="0086312D"/>
    <w:rsid w:val="0086326D"/>
    <w:rsid w:val="00863CC1"/>
    <w:rsid w:val="00865B01"/>
    <w:rsid w:val="00866D7A"/>
    <w:rsid w:val="00866EE3"/>
    <w:rsid w:val="00871F04"/>
    <w:rsid w:val="008746C1"/>
    <w:rsid w:val="008768F2"/>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259E"/>
    <w:rsid w:val="00923BCF"/>
    <w:rsid w:val="00925AEC"/>
    <w:rsid w:val="009269D5"/>
    <w:rsid w:val="0092751A"/>
    <w:rsid w:val="009305C4"/>
    <w:rsid w:val="00931FAF"/>
    <w:rsid w:val="00932478"/>
    <w:rsid w:val="009360F6"/>
    <w:rsid w:val="009371DC"/>
    <w:rsid w:val="0093759D"/>
    <w:rsid w:val="00937B76"/>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AE2"/>
    <w:rsid w:val="009C2BA4"/>
    <w:rsid w:val="009C6091"/>
    <w:rsid w:val="009C634F"/>
    <w:rsid w:val="009D0219"/>
    <w:rsid w:val="009D0D55"/>
    <w:rsid w:val="009D2295"/>
    <w:rsid w:val="009D2511"/>
    <w:rsid w:val="009D3E7C"/>
    <w:rsid w:val="009D4C8E"/>
    <w:rsid w:val="009D55CA"/>
    <w:rsid w:val="009D5661"/>
    <w:rsid w:val="009D5EF0"/>
    <w:rsid w:val="009D63E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3E29"/>
    <w:rsid w:val="00A74F9F"/>
    <w:rsid w:val="00A750B3"/>
    <w:rsid w:val="00A75559"/>
    <w:rsid w:val="00A7623D"/>
    <w:rsid w:val="00A8217C"/>
    <w:rsid w:val="00A824A7"/>
    <w:rsid w:val="00A83644"/>
    <w:rsid w:val="00A8395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E6B"/>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4BD"/>
    <w:rsid w:val="00C2094B"/>
    <w:rsid w:val="00C20DC5"/>
    <w:rsid w:val="00C228C1"/>
    <w:rsid w:val="00C2294E"/>
    <w:rsid w:val="00C22A5B"/>
    <w:rsid w:val="00C23412"/>
    <w:rsid w:val="00C264C7"/>
    <w:rsid w:val="00C26518"/>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5A4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39B4"/>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097"/>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5C07"/>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paragraph" w:customStyle="1" w:styleId="paragraph">
    <w:name w:val="paragraph"/>
    <w:basedOn w:val="Normal"/>
    <w:rsid w:val="0015214F"/>
    <w:pPr>
      <w:suppressAutoHyphens/>
      <w:autoSpaceDN w:val="0"/>
      <w:spacing w:before="100" w:after="100" w:line="240" w:lineRule="auto"/>
      <w:jc w:val="left"/>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2c5ca5-c1a5-4565-81c0-9216d07212e2">
      <Value>6</Value>
      <Value>54</Value>
      <Value>329</Value>
    </TaxCatchAll>
    <SharedWithUsers xmlns="692c5ca5-c1a5-4565-81c0-9216d07212e2">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dcf83731-3086-4851-8d0f-20613e53e4a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260B2B05731BEA4BA060E7AE02292DC2" ma:contentTypeVersion="17" ma:contentTypeDescription="Create a new document." ma:contentTypeScope="" ma:versionID="28ea3e2c19419d7d20c514103b983c1d">
  <xsd:schema xmlns:xsd="http://www.w3.org/2001/XMLSchema" xmlns:xs="http://www.w3.org/2001/XMLSchema" xmlns:p="http://schemas.microsoft.com/office/2006/metadata/properties" xmlns:ns2="dcf83731-3086-4851-8d0f-20613e53e4a8" xmlns:ns3="692c5ca5-c1a5-4565-81c0-9216d07212e2" targetNamespace="http://schemas.microsoft.com/office/2006/metadata/properties" ma:root="true" ma:fieldsID="05889f7f30c209a509b7c440e6ad4a78" ns2:_="" ns3:_="">
    <xsd:import namespace="dcf83731-3086-4851-8d0f-20613e53e4a8"/>
    <xsd:import namespace="692c5ca5-c1a5-4565-81c0-9216d07212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83731-3086-4851-8d0f-20613e53e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74c218-7e7d-42eb-a9d8-ee0b985739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c5ca5-c1a5-4565-81c0-9216d07212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7ec9f1-8905-4462-bfd3-8e5974a0de00}" ma:internalName="TaxCatchAll" ma:showField="CatchAllData" ma:web="692c5ca5-c1a5-4565-81c0-9216d07212e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692c5ca5-c1a5-4565-81c0-9216d07212e2"/>
    <ds:schemaRef ds:uri="dcf83731-3086-4851-8d0f-20613e53e4a8"/>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8FCB4CF1-9574-47A1-BCA5-98472E645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83731-3086-4851-8d0f-20613e53e4a8"/>
    <ds:schemaRef ds:uri="692c5ca5-c1a5-4565-81c0-9216d0721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22</Pages>
  <Words>5188</Words>
  <Characters>29577</Characters>
  <Application>Microsoft Office Word</Application>
  <DocSecurity>0</DocSecurity>
  <Lines>246</Lines>
  <Paragraphs>69</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34696</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Jim Kaye</cp:lastModifiedBy>
  <cp:revision>53</cp:revision>
  <cp:lastPrinted>2015-02-18T11:01:00Z</cp:lastPrinted>
  <dcterms:created xsi:type="dcterms:W3CDTF">2024-06-20T11:55:00Z</dcterms:created>
  <dcterms:modified xsi:type="dcterms:W3CDTF">2025-01-16T05:19:00Z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0x010100260B2B05731BEA4BA060E7AE02292DC2</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