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nip Same-side Corner of Rectangle 1"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2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w14:anchorId="75666898">
                <v:fill type="frame" o:title="" recolor="t" rotate="t" r:id="rId14"/>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t xml:space="preserve">ESMA invites comments on all matters in the Consultation Paper and </w:t>
      </w:r>
      <w:bookmarkStart w:id="7" w:name="_Int_YyoilzQg"/>
      <w:r>
        <w:t>in particular on</w:t>
      </w:r>
      <w:bookmarkEnd w:id="7"/>
      <w:r>
        <w:t xml:space="preserve"> the specific questions in this reply form.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1755B809" w:rsidR="00E70E2E" w:rsidRDefault="00E70E2E" w:rsidP="00E70E2E">
      <w:pPr>
        <w:rPr>
          <w:b/>
        </w:rPr>
      </w:pPr>
      <w:r w:rsidRPr="005B6B12">
        <w:t xml:space="preserve">ESMA will consider all comments </w:t>
      </w:r>
      <w:r w:rsidRPr="009E1C55">
        <w:t xml:space="preserve">received by </w:t>
      </w:r>
      <w:r w:rsidR="002E2DC6">
        <w:rPr>
          <w:b/>
        </w:rPr>
        <w:t>3</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bookmarkStart w:id="8" w:name="_Int_8Md3IRK7"/>
      <w:r>
        <w:t>In order to</w:t>
      </w:r>
      <w:bookmarkEnd w:id="8"/>
      <w:r>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38D4459A">
      <w:pPr>
        <w:pStyle w:val="ListParagraph"/>
        <w:numPr>
          <w:ilvl w:val="0"/>
          <w:numId w:val="35"/>
        </w:numPr>
      </w:pPr>
      <w:r>
        <w:t>Please do not remove tags of the type &lt;ESMA_QUESTION</w:t>
      </w:r>
      <w:r w:rsidR="00C05202">
        <w:t>_</w:t>
      </w:r>
      <w:r w:rsidR="00835CC2">
        <w:t>CP</w:t>
      </w:r>
      <w:r w:rsidR="009E1C55">
        <w:t>3</w:t>
      </w:r>
      <w:r w:rsidR="00C05202">
        <w:t>_</w:t>
      </w:r>
      <w:r>
        <w:t xml:space="preserve">1&gt;. Your response to each question </w:t>
      </w:r>
      <w:bookmarkStart w:id="9" w:name="_Int_QvOjW5yd"/>
      <w:r>
        <w:t>has to</w:t>
      </w:r>
      <w:bookmarkEnd w:id="9"/>
      <w:r>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38D4459A">
      <w:pPr>
        <w:pStyle w:val="ListParagraph"/>
        <w:numPr>
          <w:ilvl w:val="0"/>
          <w:numId w:val="35"/>
        </w:numPr>
      </w:pPr>
      <w:r>
        <w:t>Upload the Word reply form containing your responses to ESMA’s website (</w:t>
      </w:r>
      <w:r w:rsidRPr="38D4459A">
        <w:rPr>
          <w:b/>
          <w:bCs/>
        </w:rPr>
        <w:t>pdf documents will not be considered except for annexes</w:t>
      </w:r>
      <w:r>
        <w:t xml:space="preserve">). All contributions should be submitted online at </w:t>
      </w:r>
      <w:hyperlink r:id="rId21">
        <w:r w:rsidRPr="38D4459A">
          <w:rPr>
            <w:rStyle w:val="Hyperlink"/>
          </w:rPr>
          <w:t>www.esma.europa.eu</w:t>
        </w:r>
      </w:hyperlink>
      <w:r>
        <w:t xml:space="preserve"> under the heading ‘Your input - Consultations</w:t>
      </w:r>
      <w:bookmarkStart w:id="10" w:name="_Int_BDWCxenz"/>
      <w:r>
        <w:t>’.</w:t>
      </w:r>
      <w:bookmarkEnd w:id="10"/>
      <w:r>
        <w:t xml:space="preserve">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t xml:space="preserve">All contributions received will be published following the close of the </w:t>
      </w:r>
      <w:bookmarkStart w:id="11" w:name="_Int_T4kzlYME"/>
      <w:r>
        <w:t>consultation, unless</w:t>
      </w:r>
      <w:bookmarkEnd w:id="11"/>
      <w:r>
        <w:t xml:space="preserve">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12" w:name="_Toc335141334"/>
    </w:p>
    <w:p w14:paraId="6CA781B8" w14:textId="77777777" w:rsidR="00332304" w:rsidRDefault="00332304" w:rsidP="00F716D4">
      <w:pPr>
        <w:rPr>
          <w:lang w:eastAsia="en-GB"/>
        </w:rPr>
      </w:pPr>
      <w:bookmarkStart w:id="13" w:name="_Toc335141335"/>
      <w:bookmarkEnd w:id="12"/>
    </w:p>
    <w:bookmarkEnd w:id="13"/>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4"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51CBA8F9" w:rsidR="00C2682A" w:rsidRPr="00104E00" w:rsidRDefault="00DE6FD9" w:rsidP="00104E00">
                <w:pPr>
                  <w:jc w:val="left"/>
                  <w:rPr>
                    <w:rStyle w:val="PlaceholderText"/>
                  </w:rPr>
                </w:pPr>
                <w:r>
                  <w:rPr>
                    <w:rStyle w:val="PlaceholderText"/>
                  </w:rPr>
                  <w:t>MAP Financial Technologies (Europe) Ltd</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6BA316A6"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DE6FD9">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3FEE2EA9" w:rsidR="00C2682A" w:rsidRPr="00104E00" w:rsidRDefault="00DE6FD9" w:rsidP="00104E00">
                <w:pPr>
                  <w:jc w:val="left"/>
                </w:pPr>
                <w:r>
                  <w:t>Cyprus</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5" w:name="_Hlk124780170"/>
    </w:p>
    <w:bookmarkEnd w:id="14"/>
    <w:bookmarkEnd w:id="15"/>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bookmarkStart w:id="16" w:name="_Int_vfO7bE51"/>
      <w:r>
        <w:t>enter into</w:t>
      </w:r>
      <w:bookmarkEnd w:id="16"/>
      <w:r>
        <w:t xml:space="preserve"> scope of the revised Article 26(2)?</w:t>
      </w:r>
    </w:p>
    <w:p w14:paraId="1F1D5D7D" w14:textId="77777777" w:rsidR="006B5DF1" w:rsidRDefault="006B5DF1" w:rsidP="006B5DF1"/>
    <w:p w14:paraId="3C453C7F" w14:textId="270E5DE5" w:rsidR="006B5DF1" w:rsidRDefault="006B5DF1" w:rsidP="006B5DF1">
      <w:pPr>
        <w:spacing w:after="0"/>
      </w:pPr>
      <w:r>
        <w:t>&lt;ESMA_QUESTION_CP3_01&gt;</w:t>
      </w:r>
    </w:p>
    <w:p w14:paraId="15110437" w14:textId="77777777" w:rsidR="0055673E" w:rsidRDefault="003B3773" w:rsidP="006B5DF1">
      <w:pPr>
        <w:spacing w:after="0"/>
      </w:pPr>
      <w:permStart w:id="1107116594" w:edGrp="everyone"/>
      <w:r>
        <w:t xml:space="preserve">We would appreciate if ESMA could provide some further clarity </w:t>
      </w:r>
      <w:r w:rsidR="009E236D">
        <w:t>on an opinion the Authority has prov</w:t>
      </w:r>
      <w:r w:rsidR="00D07FC6">
        <w:t xml:space="preserve">ided regarding TOTV, document reference </w:t>
      </w:r>
      <w:hyperlink r:id="rId27" w:history="1">
        <w:r w:rsidR="00D07FC6" w:rsidRPr="00624CE2">
          <w:rPr>
            <w:rStyle w:val="Hyperlink"/>
          </w:rPr>
          <w:t>ESMA70-156-117</w:t>
        </w:r>
      </w:hyperlink>
      <w:r w:rsidR="007F39F3">
        <w:t xml:space="preserve">. </w:t>
      </w:r>
      <w:bookmarkStart w:id="17" w:name="_Int_3vSAVQRU"/>
      <w:r w:rsidR="007F39F3">
        <w:t>We’ve</w:t>
      </w:r>
      <w:bookmarkEnd w:id="17"/>
      <w:r w:rsidR="007F39F3">
        <w:t xml:space="preserve"> encountered ma</w:t>
      </w:r>
      <w:r w:rsidR="00563FAC">
        <w:t xml:space="preserve">ny a times issues with the language of the opinion, with respect to </w:t>
      </w:r>
      <w:r w:rsidR="0055673E">
        <w:t>the concept of TOTVs. Our current conservative approach on the subject is as follows:</w:t>
      </w:r>
    </w:p>
    <w:p w14:paraId="29095023" w14:textId="7DB8B40B" w:rsidR="005A7BE2" w:rsidRPr="005A7BE2" w:rsidRDefault="00D07FC6" w:rsidP="005A7BE2">
      <w:pPr>
        <w:pStyle w:val="ListParagraph"/>
        <w:numPr>
          <w:ilvl w:val="0"/>
          <w:numId w:val="37"/>
        </w:numPr>
        <w:spacing w:after="0" w:line="240" w:lineRule="auto"/>
        <w:ind w:left="1701"/>
        <w:rPr>
          <w:rFonts w:eastAsia="Times New Roman"/>
          <w:color w:val="auto"/>
          <w:szCs w:val="22"/>
        </w:rPr>
      </w:pPr>
      <w:r w:rsidRPr="005A7BE2">
        <w:rPr>
          <w:sz w:val="24"/>
          <w:szCs w:val="22"/>
        </w:rPr>
        <w:t xml:space="preserve"> </w:t>
      </w:r>
      <w:r w:rsidR="005A7BE2" w:rsidRPr="005A7BE2">
        <w:rPr>
          <w:rFonts w:eastAsia="Times New Roman"/>
          <w:color w:val="auto"/>
          <w:szCs w:val="22"/>
        </w:rPr>
        <w:t xml:space="preserve">match the ISIN of the instrument (if it has one) with </w:t>
      </w:r>
      <w:r w:rsidR="005A7BE2">
        <w:rPr>
          <w:rFonts w:eastAsia="Times New Roman"/>
          <w:color w:val="auto"/>
          <w:szCs w:val="22"/>
        </w:rPr>
        <w:t>ESMA’s</w:t>
      </w:r>
      <w:r w:rsidR="005A7BE2" w:rsidRPr="005A7BE2">
        <w:rPr>
          <w:rFonts w:eastAsia="Times New Roman"/>
          <w:color w:val="auto"/>
          <w:szCs w:val="22"/>
        </w:rPr>
        <w:t xml:space="preserve"> FIRDs (in which case Art 26(2)(a) applies)</w:t>
      </w:r>
    </w:p>
    <w:p w14:paraId="65542388" w14:textId="31E010F1" w:rsidR="005A7BE2" w:rsidRPr="005A7BE2" w:rsidRDefault="005A7BE2" w:rsidP="005A7BE2">
      <w:pPr>
        <w:numPr>
          <w:ilvl w:val="0"/>
          <w:numId w:val="37"/>
        </w:numPr>
        <w:spacing w:after="0" w:line="240" w:lineRule="auto"/>
        <w:ind w:left="1701"/>
        <w:contextualSpacing/>
        <w:jc w:val="left"/>
        <w:rPr>
          <w:rFonts w:eastAsia="Times New Roman"/>
          <w:color w:val="auto"/>
          <w:szCs w:val="22"/>
        </w:rPr>
      </w:pPr>
      <w:r w:rsidRPr="005A7BE2">
        <w:rPr>
          <w:rFonts w:eastAsia="Times New Roman"/>
          <w:color w:val="auto"/>
          <w:szCs w:val="22"/>
        </w:rPr>
        <w:t>in case of no hit in step 1, and where the instrument in question is a derivative identify the immediate underlying according to its ISIN, using data vendors and examine whether said ISIN matches with an ISIN found on FIRDS (in which case Art 26(2)(b) applies)</w:t>
      </w:r>
    </w:p>
    <w:p w14:paraId="67E409EC" w14:textId="7BF6CCA2" w:rsidR="005A7BE2" w:rsidRPr="005A7BE2" w:rsidRDefault="005A7BE2" w:rsidP="005A7BE2">
      <w:pPr>
        <w:numPr>
          <w:ilvl w:val="0"/>
          <w:numId w:val="37"/>
        </w:numPr>
        <w:spacing w:after="0" w:line="240" w:lineRule="auto"/>
        <w:ind w:left="1701"/>
        <w:contextualSpacing/>
        <w:jc w:val="left"/>
        <w:rPr>
          <w:rFonts w:eastAsia="Times New Roman"/>
          <w:color w:val="auto"/>
          <w:szCs w:val="22"/>
        </w:rPr>
      </w:pPr>
      <w:r w:rsidRPr="005A7BE2">
        <w:rPr>
          <w:rFonts w:eastAsia="Times New Roman"/>
          <w:color w:val="auto"/>
          <w:szCs w:val="22"/>
        </w:rPr>
        <w:t>in case of no hit in steps 1 and 2, and where the instrument in question is a derivative identify the underlying index or basket constituents, using data vendors, and examine whether any of the ISIN of the basket or index constituents is found on FIRDS (in which case Art. 26(2)(c) applies)</w:t>
      </w:r>
    </w:p>
    <w:p w14:paraId="325D83B1" w14:textId="06C8B6AC" w:rsidR="005A7BE2" w:rsidRDefault="005A7BE2" w:rsidP="38D4459A">
      <w:pPr>
        <w:spacing w:after="0"/>
        <w:rPr>
          <w:rFonts w:eastAsia="Times New Roman"/>
          <w:color w:val="auto"/>
        </w:rPr>
      </w:pPr>
      <w:r w:rsidRPr="38D4459A">
        <w:rPr>
          <w:rFonts w:eastAsia="Times New Roman"/>
          <w:color w:val="auto"/>
        </w:rPr>
        <w:t xml:space="preserve"> Further to above we need to clarify that where we say </w:t>
      </w:r>
      <w:bookmarkStart w:id="18" w:name="_Int_lIq4BFF3"/>
      <w:r w:rsidRPr="38D4459A">
        <w:rPr>
          <w:rFonts w:eastAsia="Times New Roman"/>
          <w:color w:val="auto"/>
        </w:rPr>
        <w:t>underlying</w:t>
      </w:r>
      <w:bookmarkEnd w:id="18"/>
      <w:r w:rsidRPr="38D4459A">
        <w:rPr>
          <w:rFonts w:eastAsia="Times New Roman"/>
          <w:color w:val="auto"/>
        </w:rPr>
        <w:t xml:space="preserve"> we imply the immediate underlying and not the ultimate, e.g. Options on Futures on Equity Index, the immediate underlying is the </w:t>
      </w:r>
      <w:bookmarkStart w:id="19" w:name="_Int_bVb5lAdP"/>
      <w:r w:rsidRPr="38D4459A">
        <w:rPr>
          <w:rFonts w:eastAsia="Times New Roman"/>
          <w:color w:val="auto"/>
        </w:rPr>
        <w:t>Future</w:t>
      </w:r>
      <w:bookmarkEnd w:id="19"/>
      <w:r w:rsidRPr="38D4459A">
        <w:rPr>
          <w:rFonts w:eastAsia="Times New Roman"/>
          <w:color w:val="auto"/>
        </w:rPr>
        <w:t xml:space="preserve"> and this is cut off point. Moreover where we say FIRDs we imply that where an instrument appears on FIRDS but the data were supplied by an SI only, i.e. no trading venue supplied the data, we do not consider that the said instrument is captured by the MiFIR reporting obligation, as SIs are not included in the definition of Art.2(1)(16) of MiFIR re -trading venues. </w:t>
      </w:r>
    </w:p>
    <w:p w14:paraId="7CFF088A" w14:textId="77777777" w:rsidR="005A7BE2" w:rsidRDefault="005A7BE2" w:rsidP="005A7BE2">
      <w:pPr>
        <w:spacing w:after="0"/>
        <w:rPr>
          <w:rFonts w:eastAsia="Times New Roman"/>
          <w:color w:val="auto"/>
          <w:szCs w:val="22"/>
        </w:rPr>
      </w:pPr>
    </w:p>
    <w:p w14:paraId="5C4387EC" w14:textId="4E1A59F7" w:rsidR="005A7BE2" w:rsidRPr="005A7BE2" w:rsidRDefault="005A7BE2" w:rsidP="005A7BE2">
      <w:pPr>
        <w:spacing w:after="0"/>
        <w:rPr>
          <w:rFonts w:eastAsia="Times New Roman"/>
          <w:color w:val="auto"/>
          <w:szCs w:val="22"/>
        </w:rPr>
      </w:pPr>
      <w:r>
        <w:rPr>
          <w:rFonts w:eastAsia="Times New Roman"/>
          <w:color w:val="auto"/>
          <w:szCs w:val="22"/>
        </w:rPr>
        <w:t xml:space="preserve">We would appreciate if the TOTV opinion was revisited </w:t>
      </w:r>
      <w:r w:rsidR="00EE4997">
        <w:rPr>
          <w:rFonts w:eastAsia="Times New Roman"/>
          <w:color w:val="auto"/>
          <w:szCs w:val="22"/>
        </w:rPr>
        <w:t xml:space="preserve">and further clarified. </w:t>
      </w:r>
    </w:p>
    <w:p w14:paraId="472EA06A" w14:textId="4891F8CA" w:rsidR="006B5DF1" w:rsidRDefault="006B5DF1" w:rsidP="006B5DF1">
      <w:pPr>
        <w:spacing w:after="0"/>
      </w:pPr>
    </w:p>
    <w:permEnd w:id="1107116594"/>
    <w:p w14:paraId="62CCD8E6" w14:textId="61A9810B" w:rsidR="006B5DF1" w:rsidRDefault="006B5DF1" w:rsidP="006B5DF1">
      <w:pPr>
        <w:spacing w:after="0"/>
      </w:pPr>
      <w:r>
        <w:t>&lt;ESMA_QUESTION_CP3_01&gt;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1CD6CB9E" w:rsidR="006B5DF1" w:rsidRDefault="006B5DF1" w:rsidP="006B5DF1">
      <w:pPr>
        <w:spacing w:after="0"/>
      </w:pPr>
      <w:r>
        <w:t>&lt;ESMA_QUESTION_CP3_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517BDFE1" w:rsidR="006B5DF1" w:rsidRDefault="006B5DF1" w:rsidP="006B5DF1">
      <w:pPr>
        <w:spacing w:after="0"/>
      </w:pPr>
      <w:r>
        <w:t>&lt;ESMA_QUESTION_CP3_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54CF36D7" w:rsidR="006B5DF1" w:rsidRDefault="006B5DF1" w:rsidP="006B5DF1">
      <w:pPr>
        <w:spacing w:after="0"/>
      </w:pPr>
      <w:r>
        <w:t>&lt;ESMA_QUESTION_CP3_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6C53DAC9" w:rsidR="006B5DF1" w:rsidRDefault="006B5DF1" w:rsidP="006B5DF1">
      <w:pPr>
        <w:spacing w:after="0"/>
      </w:pPr>
      <w:r>
        <w:t>&lt;ESMA_QUESTION_CP3_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lastRenderedPageBreak/>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0C94C1A" w:rsidR="006B5DF1" w:rsidRDefault="006B5DF1" w:rsidP="006B5DF1">
      <w:pPr>
        <w:spacing w:after="0"/>
      </w:pPr>
      <w:r>
        <w:t>&lt;ESMA_QUESTION_CP3_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2A151697" w:rsidR="006B5DF1" w:rsidRDefault="006B5DF1" w:rsidP="006B5DF1">
      <w:pPr>
        <w:spacing w:after="0"/>
      </w:pPr>
      <w:r>
        <w:t>&lt;ESMA_QUESTION_CP3_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bookmarkStart w:id="20" w:name="_Int_ARyyDmSC"/>
      <w:r>
        <w:t>a(</w:t>
      </w:r>
      <w:bookmarkEnd w:id="20"/>
      <w:r>
        <w:t>2) of MiFIR? Please provide details in your answer.</w:t>
      </w:r>
    </w:p>
    <w:p w14:paraId="577A82F6" w14:textId="77777777" w:rsidR="006B5DF1" w:rsidRDefault="006B5DF1" w:rsidP="006B5DF1"/>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2DCE2C80" w:rsidR="006B5DF1" w:rsidRDefault="006B5DF1" w:rsidP="006B5DF1">
      <w:pPr>
        <w:spacing w:after="0"/>
      </w:pPr>
      <w:r>
        <w:t>&lt;ESMA_QUESTION_CP3_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742EADEC" w:rsidR="006B5DF1" w:rsidRDefault="006B5DF1" w:rsidP="006B5DF1">
      <w:pPr>
        <w:spacing w:after="0"/>
      </w:pPr>
      <w:r>
        <w:t>&lt;ESMA_QUESTION_CP3_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49C51E" w:rsidR="006B5DF1" w:rsidRDefault="006B5DF1" w:rsidP="006B5DF1">
      <w:pPr>
        <w:spacing w:after="0"/>
      </w:pPr>
      <w:r>
        <w:t>&lt;ESMA_QUESTION_CP3_</w:t>
      </w:r>
      <w:r w:rsidR="003E7313">
        <w:t>08</w:t>
      </w:r>
      <w:r>
        <w:t>&gt;</w:t>
      </w:r>
    </w:p>
    <w:p w14:paraId="207F398E" w14:textId="6F9D72AC" w:rsidR="00D77743" w:rsidRDefault="00BB005A" w:rsidP="006B5DF1">
      <w:pPr>
        <w:spacing w:after="0"/>
      </w:pPr>
      <w:permStart w:id="1395752143" w:edGrp="everyone"/>
      <w:r>
        <w:lastRenderedPageBreak/>
        <w:t>We are of the view that</w:t>
      </w:r>
      <w:r w:rsidR="00D3440B">
        <w:t xml:space="preserve"> the inclusion of such a field </w:t>
      </w:r>
      <w:r>
        <w:t>does not provide</w:t>
      </w:r>
      <w:r w:rsidR="00842150">
        <w:t xml:space="preserve"> much insight with respect to</w:t>
      </w:r>
      <w:r w:rsidR="00EE346F">
        <w:t xml:space="preserve"> the overarching purpose and intent of MiFIR reporting</w:t>
      </w:r>
      <w:r w:rsidR="00A475C4">
        <w:t>,</w:t>
      </w:r>
      <w:r w:rsidR="00EE346F">
        <w:t xml:space="preserve"> which is to provide NCA’s with </w:t>
      </w:r>
      <w:r w:rsidR="005575AB">
        <w:t>the tools to investigate and or pre-empt market abuse within the meaning of the Market Abuse Regulation</w:t>
      </w:r>
      <w:r w:rsidR="00D77743">
        <w:t xml:space="preserve"> (Regulation 596/2014)</w:t>
      </w:r>
      <w:r w:rsidR="00842150">
        <w:t xml:space="preserve">. We note that the spirit and </w:t>
      </w:r>
      <w:r w:rsidR="006D41A8">
        <w:t>intent of MiFIR reporting,</w:t>
      </w:r>
      <w:r w:rsidR="00D77743">
        <w:t xml:space="preserve"> is completely distinct and separate to the intent and purpose of EMIR. </w:t>
      </w:r>
    </w:p>
    <w:p w14:paraId="7B4014DC" w14:textId="77777777" w:rsidR="00D77743" w:rsidRDefault="00D77743" w:rsidP="006B5DF1">
      <w:pPr>
        <w:spacing w:after="0"/>
      </w:pPr>
    </w:p>
    <w:p w14:paraId="2EDCCE1B" w14:textId="292B2A43" w:rsidR="006B5DF1" w:rsidRDefault="00D77743" w:rsidP="006B5DF1">
      <w:pPr>
        <w:spacing w:after="0"/>
      </w:pPr>
      <w:r>
        <w:t>In EMIR effective date is</w:t>
      </w:r>
      <w:r w:rsidR="00A475C4">
        <w:t>,</w:t>
      </w:r>
      <w:r>
        <w:t xml:space="preserve"> </w:t>
      </w:r>
      <w:r w:rsidR="003B1E90">
        <w:t xml:space="preserve">the date when the rights and obligations of the contract </w:t>
      </w:r>
      <w:r w:rsidR="006D41A8">
        <w:t>come into effect</w:t>
      </w:r>
      <w:r w:rsidR="00A475C4">
        <w:t>,</w:t>
      </w:r>
      <w:r w:rsidR="00AF626F">
        <w:t xml:space="preserve"> and considering that EMIR reporting is intended to provide NCA’s with an overview of the risk firms are facing with respect to derivatives</w:t>
      </w:r>
      <w:r w:rsidR="00D228A0">
        <w:t xml:space="preserve"> (counterparty default risk)</w:t>
      </w:r>
      <w:r w:rsidR="00AF626F">
        <w:t xml:space="preserve">, a date when </w:t>
      </w:r>
      <w:r w:rsidR="00D228A0">
        <w:t>obligations and rights come into effect is meaningful</w:t>
      </w:r>
      <w:r w:rsidR="002B3EB0">
        <w:t xml:space="preserve">. Consider e.g. the following example a </w:t>
      </w:r>
      <w:r w:rsidR="00DA2AC5">
        <w:t xml:space="preserve">NDF for the sale of energy (colloquially a Virtual Power Purchase Agreement or VPPA) </w:t>
      </w:r>
      <w:r w:rsidR="00306419">
        <w:t>is signed today</w:t>
      </w:r>
      <w:r w:rsidR="00AF626F">
        <w:t xml:space="preserve"> (day T)</w:t>
      </w:r>
      <w:r w:rsidR="00306419">
        <w:t xml:space="preserve"> by the counterparties to the trade and the billing of the energy output will commence </w:t>
      </w:r>
      <w:r w:rsidR="00AF626F">
        <w:t>in 180 days post signing. In this case effective date = T+180, execution date = T.</w:t>
      </w:r>
      <w:r w:rsidR="00675A5D">
        <w:t xml:space="preserve"> For the same contract Settlement date i.e. the date upon which all outstanding obligations under the contract will be settled</w:t>
      </w:r>
      <w:r w:rsidR="00E47B6A">
        <w:t xml:space="preserve"> is again useful as time between Effective and Settlement is an indicator of the risk time period arising from the contract. </w:t>
      </w:r>
    </w:p>
    <w:p w14:paraId="11DE4322" w14:textId="77777777" w:rsidR="00AD7997" w:rsidRDefault="00AD7997" w:rsidP="006B5DF1">
      <w:pPr>
        <w:spacing w:after="0"/>
      </w:pPr>
    </w:p>
    <w:p w14:paraId="3148EA7B" w14:textId="55E67B79" w:rsidR="00AD7997" w:rsidRDefault="00AD7997" w:rsidP="006B5DF1">
      <w:pPr>
        <w:spacing w:after="0"/>
      </w:pPr>
      <w:r>
        <w:t xml:space="preserve">Conversely such information is not particularly important for the purposes of market abuse which is the </w:t>
      </w:r>
      <w:r w:rsidR="002A0CE7">
        <w:t xml:space="preserve">raison </w:t>
      </w:r>
      <w:proofErr w:type="spellStart"/>
      <w:r w:rsidR="002A0CE7">
        <w:t>d’etre</w:t>
      </w:r>
      <w:proofErr w:type="spellEnd"/>
      <w:r w:rsidR="002A0CE7">
        <w:t xml:space="preserve"> for </w:t>
      </w:r>
      <w:r w:rsidR="00EA32A9">
        <w:t>MiFIR transaction reporting. We note the following from Regulation (EU) 600/2014 preamble paragraph 32</w:t>
      </w:r>
    </w:p>
    <w:p w14:paraId="72343A95" w14:textId="77777777" w:rsidR="00EA32A9" w:rsidRDefault="00EA32A9" w:rsidP="006B5DF1">
      <w:pPr>
        <w:spacing w:after="0"/>
      </w:pPr>
    </w:p>
    <w:p w14:paraId="35DB9562" w14:textId="2EB9AEBA" w:rsidR="00EA32A9" w:rsidRPr="00EA32A9" w:rsidRDefault="00EA32A9" w:rsidP="00EA32A9">
      <w:pPr>
        <w:spacing w:after="0"/>
        <w:ind w:left="709"/>
        <w:rPr>
          <w:i/>
          <w:iCs/>
        </w:rPr>
      </w:pPr>
      <w:r w:rsidRPr="00EA32A9">
        <w:rPr>
          <w:i/>
          <w:iCs/>
        </w:rPr>
        <w:t>T</w:t>
      </w:r>
      <w:r w:rsidRPr="00EA32A9">
        <w:rPr>
          <w:i/>
          <w:iCs/>
        </w:rPr>
        <w:t>he details of transactions in financial instruments should be reported to competent authorities to enable them to detect and investigate potential cases of market abuse, to monitor the fair and orderly functioning of markets, as well as the activities of investment firms</w:t>
      </w:r>
      <w:r>
        <w:rPr>
          <w:i/>
          <w:iCs/>
        </w:rPr>
        <w:t>.</w:t>
      </w:r>
    </w:p>
    <w:p w14:paraId="22CEBC64" w14:textId="492BC387" w:rsidR="00D228A0" w:rsidRDefault="00D228A0" w:rsidP="006B5DF1">
      <w:pPr>
        <w:spacing w:after="0"/>
      </w:pPr>
    </w:p>
    <w:p w14:paraId="534227ED" w14:textId="176C2739" w:rsidR="00CF6A5B" w:rsidRDefault="00CF6A5B" w:rsidP="006B5DF1">
      <w:pPr>
        <w:spacing w:after="0"/>
      </w:pPr>
      <w:r>
        <w:t>As we have said, such a datapoint is indeed valuable for EMIR purposes</w:t>
      </w:r>
      <w:r w:rsidR="00895BA9">
        <w:t xml:space="preserve"> (risk exposures)</w:t>
      </w:r>
      <w:r>
        <w:t xml:space="preserve"> but for MiFIR </w:t>
      </w:r>
      <w:r w:rsidR="00895BA9">
        <w:t>(market abuse)</w:t>
      </w:r>
      <w:r>
        <w:t xml:space="preserve"> </w:t>
      </w:r>
      <w:r w:rsidR="00D657BC">
        <w:t>will not provide much additional insights.</w:t>
      </w:r>
    </w:p>
    <w:permEnd w:id="1395752143"/>
    <w:p w14:paraId="67DBB5A7" w14:textId="70DD107E" w:rsidR="006B5DF1" w:rsidRDefault="006B5DF1" w:rsidP="006B5DF1">
      <w:pPr>
        <w:spacing w:after="0"/>
      </w:pPr>
      <w:r>
        <w:t>&lt;ESMA_QUESTION_CP3_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086B4F0F" w:rsidR="006B5DF1" w:rsidRDefault="006B5DF1" w:rsidP="006B5DF1">
      <w:pPr>
        <w:spacing w:after="0"/>
      </w:pPr>
      <w:r>
        <w:t>&lt;ESMA_QUESTION_CP3_</w:t>
      </w:r>
      <w:r w:rsidR="003E7313">
        <w:t>09</w:t>
      </w:r>
      <w:r>
        <w:t>&gt;</w:t>
      </w:r>
    </w:p>
    <w:p w14:paraId="50A24705" w14:textId="058DCD52" w:rsidR="00712FCF" w:rsidRDefault="00895BA9" w:rsidP="00925205">
      <w:pPr>
        <w:spacing w:after="0"/>
      </w:pPr>
      <w:permStart w:id="1354110368" w:edGrp="everyone"/>
      <w:r>
        <w:t xml:space="preserve"> </w:t>
      </w:r>
      <w:r w:rsidR="002E4ED1">
        <w:t xml:space="preserve">See </w:t>
      </w:r>
      <w:r w:rsidR="00861C39">
        <w:t xml:space="preserve">also </w:t>
      </w:r>
      <w:r w:rsidR="002E4ED1">
        <w:t>our answer to question 8. Effective date for the inten</w:t>
      </w:r>
      <w:r w:rsidR="00716268">
        <w:t>t</w:t>
      </w:r>
      <w:r w:rsidR="002E4ED1">
        <w:t xml:space="preserve"> of MiFIR reporting (Market Abuse) offers no </w:t>
      </w:r>
      <w:r w:rsidR="00715F7E">
        <w:t xml:space="preserve">additional </w:t>
      </w:r>
      <w:r w:rsidR="00712FCF">
        <w:t>insight</w:t>
      </w:r>
      <w:r w:rsidR="002E4ED1">
        <w:t xml:space="preserve">. </w:t>
      </w:r>
      <w:r w:rsidR="1C084486">
        <w:t>Moreover,</w:t>
      </w:r>
      <w:r w:rsidR="002E4ED1">
        <w:t xml:space="preserve"> </w:t>
      </w:r>
      <w:r w:rsidR="00FA57C5">
        <w:t>and for the specific case of shares</w:t>
      </w:r>
      <w:r w:rsidR="00712FCF">
        <w:t>,</w:t>
      </w:r>
      <w:r w:rsidR="00FA57C5">
        <w:t xml:space="preserve"> </w:t>
      </w:r>
      <w:r w:rsidR="00593889">
        <w:t xml:space="preserve">settlement date is not </w:t>
      </w:r>
      <w:r w:rsidR="00593889">
        <w:lastRenderedPageBreak/>
        <w:t xml:space="preserve">the effective date. </w:t>
      </w:r>
      <w:r w:rsidR="00EA5174">
        <w:t>Effective date is</w:t>
      </w:r>
      <w:r w:rsidR="00593889">
        <w:t xml:space="preserve"> define</w:t>
      </w:r>
      <w:r w:rsidR="00EA5174">
        <w:t>d</w:t>
      </w:r>
      <w:r w:rsidR="00E82BBB">
        <w:t xml:space="preserve"> </w:t>
      </w:r>
      <w:r w:rsidR="00EA5174">
        <w:t>as</w:t>
      </w:r>
      <w:r w:rsidR="00564C93">
        <w:t xml:space="preserve"> the date at which obligation under the contract come into effect. </w:t>
      </w:r>
    </w:p>
    <w:p w14:paraId="0C4D9F70" w14:textId="77777777" w:rsidR="00712FCF" w:rsidRDefault="00712FCF" w:rsidP="00925205">
      <w:pPr>
        <w:spacing w:after="0"/>
      </w:pPr>
    </w:p>
    <w:p w14:paraId="1C1AE2BE" w14:textId="13F293DF" w:rsidR="00E95AB6" w:rsidRDefault="00564C93" w:rsidP="00925205">
      <w:pPr>
        <w:spacing w:after="0"/>
      </w:pPr>
      <w:r>
        <w:t>On</w:t>
      </w:r>
      <w:r w:rsidR="001453C4">
        <w:t xml:space="preserve"> the flipside </w:t>
      </w:r>
      <w:r w:rsidR="001A6A40">
        <w:t xml:space="preserve">Settlement Date is </w:t>
      </w:r>
      <w:r w:rsidR="00D657BC">
        <w:t xml:space="preserve">as per the </w:t>
      </w:r>
      <w:hyperlink r:id="rId28" w:history="1">
        <w:r w:rsidR="00D657BC" w:rsidRPr="00540C00">
          <w:rPr>
            <w:rStyle w:val="Hyperlink"/>
          </w:rPr>
          <w:t>CDE</w:t>
        </w:r>
      </w:hyperlink>
      <w:r w:rsidR="00E95AB6">
        <w:t xml:space="preserve"> is</w:t>
      </w:r>
      <w:r w:rsidR="00D657BC">
        <w:t xml:space="preserve"> </w:t>
      </w:r>
      <w:r w:rsidR="001A6A40">
        <w:t>the</w:t>
      </w:r>
      <w:r w:rsidR="00E95AB6">
        <w:t>:</w:t>
      </w:r>
    </w:p>
    <w:p w14:paraId="41A12EF3" w14:textId="77777777" w:rsidR="00540C00" w:rsidRDefault="00540C00" w:rsidP="00925205">
      <w:pPr>
        <w:spacing w:after="0"/>
      </w:pPr>
    </w:p>
    <w:p w14:paraId="4F47E49D" w14:textId="74B69910" w:rsidR="00D657BC" w:rsidRDefault="001A6A40" w:rsidP="00E95AB6">
      <w:pPr>
        <w:spacing w:after="0"/>
        <w:ind w:left="426"/>
      </w:pPr>
      <w:r>
        <w:t xml:space="preserve"> </w:t>
      </w:r>
      <w:r w:rsidRPr="38D4459A">
        <w:rPr>
          <w:i/>
          <w:iCs/>
        </w:rPr>
        <w:t xml:space="preserve">Unadjusted date as per the contract, by which all transfer of cash or assets should take </w:t>
      </w:r>
      <w:bookmarkStart w:id="21" w:name="_Int_C49ymeo2"/>
      <w:r w:rsidRPr="38D4459A">
        <w:rPr>
          <w:i/>
          <w:iCs/>
        </w:rPr>
        <w:t>place</w:t>
      </w:r>
      <w:bookmarkEnd w:id="21"/>
      <w:r w:rsidRPr="38D4459A">
        <w:rPr>
          <w:i/>
          <w:iCs/>
        </w:rPr>
        <w:t xml:space="preserve"> and the counterparties should no longer have any outstanding obligations to each other under that contract.</w:t>
      </w:r>
      <w:r w:rsidR="00593889">
        <w:t xml:space="preserve"> </w:t>
      </w:r>
    </w:p>
    <w:p w14:paraId="4C73F21F" w14:textId="77777777" w:rsidR="00D657BC" w:rsidRDefault="00D657BC" w:rsidP="00925205">
      <w:pPr>
        <w:spacing w:after="0"/>
      </w:pPr>
    </w:p>
    <w:p w14:paraId="1E3F044C" w14:textId="2258FFEE" w:rsidR="006B5DF1" w:rsidRDefault="001A6A40" w:rsidP="00925205">
      <w:pPr>
        <w:spacing w:after="0"/>
      </w:pPr>
      <w:r>
        <w:t xml:space="preserve">The concepts of settlement and effective date are mutually exclusive in the specific case of shares. The settlement date is the date when there are no more obligations </w:t>
      </w:r>
      <w:r w:rsidR="00861C39">
        <w:t xml:space="preserve">under the purchase/sale agreement for shares. </w:t>
      </w:r>
      <w:r w:rsidR="000A14EF">
        <w:t xml:space="preserve">If anything, the execution </w:t>
      </w:r>
      <w:r w:rsidR="008442FE">
        <w:t xml:space="preserve">date-time is </w:t>
      </w:r>
      <w:bookmarkStart w:id="22" w:name="_Int_IrXk3Gwz"/>
      <w:r w:rsidR="008442FE">
        <w:t>practically the</w:t>
      </w:r>
      <w:bookmarkEnd w:id="22"/>
      <w:r w:rsidR="008442FE">
        <w:t xml:space="preserve"> effective date for trading shares, (i.e. the date when both counterparties agree to </w:t>
      </w:r>
      <w:r w:rsidR="00F81DA4">
        <w:t xml:space="preserve">purchase/sell shares, i.e. the date when obligations come into effect). </w:t>
      </w:r>
      <w:r w:rsidR="004D7F7D">
        <w:t>Given that execution date time exists as a data point in the RTS there is no need to add an additional data point</w:t>
      </w:r>
      <w:r w:rsidR="00B52D4C">
        <w:t xml:space="preserve"> for the specific case of shares.</w:t>
      </w:r>
    </w:p>
    <w:p w14:paraId="23A21A81" w14:textId="0C6F5370" w:rsidR="00861C39" w:rsidRDefault="00861C39" w:rsidP="00925205">
      <w:pPr>
        <w:spacing w:after="0"/>
      </w:pPr>
      <w:r>
        <w:t xml:space="preserve">We do not agree with settlement date being the effective date for shares. </w:t>
      </w:r>
    </w:p>
    <w:permEnd w:id="1354110368"/>
    <w:p w14:paraId="7294A4EF" w14:textId="741B646A" w:rsidR="006B5DF1" w:rsidRDefault="006B5DF1" w:rsidP="006B5DF1">
      <w:pPr>
        <w:spacing w:after="0"/>
      </w:pPr>
      <w:r>
        <w:t>&lt;ESMA_QUESTION_CP3_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7CA789F" w:rsidR="006B5DF1" w:rsidRDefault="006B5DF1" w:rsidP="006B5DF1">
      <w:pPr>
        <w:spacing w:after="0"/>
      </w:pPr>
      <w:r>
        <w:t>&lt;ESMA_QUESTION_CP3_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5485A2F2" w:rsidR="006B5DF1" w:rsidRDefault="006B5DF1" w:rsidP="006B5DF1">
      <w:pPr>
        <w:spacing w:after="0"/>
      </w:pPr>
      <w:r>
        <w:t>&lt;ESMA_QUESTION_CP3_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44B3489A" w:rsidR="006B5DF1" w:rsidRDefault="006B5DF1" w:rsidP="006B5DF1">
      <w:pPr>
        <w:spacing w:after="0"/>
      </w:pPr>
      <w:r>
        <w:t>&lt;ESMA_QUESTION_CP3_</w:t>
      </w:r>
      <w:r w:rsidR="003E7313">
        <w:t>11</w:t>
      </w:r>
      <w:r>
        <w:t>&gt;</w:t>
      </w:r>
    </w:p>
    <w:p w14:paraId="4D9A2C25" w14:textId="0182A823" w:rsidR="006B5DF1" w:rsidRDefault="006E110A" w:rsidP="006B5DF1">
      <w:pPr>
        <w:spacing w:after="0"/>
      </w:pPr>
      <w:permStart w:id="1475742058" w:edGrp="everyone"/>
      <w:r>
        <w:t>We agree that the TV</w:t>
      </w:r>
      <w:r w:rsidR="00025715">
        <w:t>TIC should cover negotiated trades i.e. trades that are executed outside the trading venue but under the rules of the exchange.</w:t>
      </w:r>
      <w:r w:rsidR="0071517D">
        <w:t xml:space="preserve"> </w:t>
      </w:r>
    </w:p>
    <w:permEnd w:id="1475742058"/>
    <w:p w14:paraId="2E9C537F" w14:textId="1B5711B5" w:rsidR="006B5DF1" w:rsidRDefault="006B5DF1" w:rsidP="006B5DF1">
      <w:pPr>
        <w:spacing w:after="0"/>
      </w:pPr>
      <w:r>
        <w:t>&lt;ESMA_QUESTION_CP3_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2FFB1153" w:rsidR="006B5DF1" w:rsidRDefault="006B5DF1" w:rsidP="006B5DF1">
      <w:pPr>
        <w:spacing w:after="0"/>
      </w:pPr>
      <w:r>
        <w:t>&lt;ESMA_QUESTION_CP3_</w:t>
      </w:r>
      <w:r w:rsidR="003E7313">
        <w:t>12</w:t>
      </w:r>
      <w:r>
        <w:t>&gt;</w:t>
      </w:r>
    </w:p>
    <w:p w14:paraId="4AB78DDC" w14:textId="7E491945" w:rsidR="006B5DF1" w:rsidRDefault="00B1270A" w:rsidP="006B5DF1">
      <w:pPr>
        <w:spacing w:after="0"/>
      </w:pPr>
      <w:permStart w:id="368387494" w:edGrp="everyone"/>
      <w:r>
        <w:t>We agree with the view that ESMA has expressed in its consultation paper regarding trades taking place on</w:t>
      </w:r>
    </w:p>
    <w:p w14:paraId="3088F70D" w14:textId="610E85DD" w:rsidR="00B1270A" w:rsidRDefault="00B1270A" w:rsidP="00B1270A">
      <w:pPr>
        <w:pStyle w:val="ListParagraph"/>
        <w:numPr>
          <w:ilvl w:val="0"/>
          <w:numId w:val="38"/>
        </w:numPr>
        <w:spacing w:after="0"/>
      </w:pPr>
      <w:r>
        <w:t>An EEA Trading Venue</w:t>
      </w:r>
    </w:p>
    <w:p w14:paraId="6CEE6254" w14:textId="6CF7D11F" w:rsidR="00B1270A" w:rsidRDefault="00AA1A33" w:rsidP="00B1270A">
      <w:pPr>
        <w:pStyle w:val="ListParagraph"/>
        <w:numPr>
          <w:ilvl w:val="0"/>
          <w:numId w:val="38"/>
        </w:numPr>
        <w:spacing w:after="0"/>
      </w:pPr>
      <w:r>
        <w:t xml:space="preserve">Outside the EEA Trading Venue but under the rules of the exchange and negotiated trades. </w:t>
      </w:r>
    </w:p>
    <w:p w14:paraId="7E567A0C" w14:textId="4A583283" w:rsidR="00AA1A33" w:rsidRDefault="00AA1A33" w:rsidP="00AA1A33">
      <w:pPr>
        <w:spacing w:after="0"/>
      </w:pPr>
      <w:r>
        <w:t xml:space="preserve">With respect to the syntax of the TVTIC we note that different exchanges take different approaches on the issue we present </w:t>
      </w:r>
      <w:r w:rsidR="00D30791">
        <w:t>here below</w:t>
      </w:r>
      <w:r>
        <w:t xml:space="preserve"> 2 such examples. </w:t>
      </w:r>
    </w:p>
    <w:p w14:paraId="690C6ADB" w14:textId="77777777" w:rsidR="00D30791" w:rsidRDefault="00D30791" w:rsidP="00D30791">
      <w:pPr>
        <w:spacing w:after="0"/>
        <w:rPr>
          <w:rFonts w:eastAsia="Times New Roman"/>
          <w:color w:val="auto"/>
          <w:szCs w:val="22"/>
        </w:rPr>
      </w:pPr>
    </w:p>
    <w:p w14:paraId="247230F0" w14:textId="141E4A13" w:rsidR="00D30791" w:rsidRPr="00D30791" w:rsidRDefault="00D30791" w:rsidP="00D30791">
      <w:pPr>
        <w:spacing w:after="0"/>
        <w:rPr>
          <w:rFonts w:eastAsia="Times New Roman"/>
          <w:color w:val="auto"/>
          <w:szCs w:val="22"/>
        </w:rPr>
      </w:pPr>
      <w:hyperlink r:id="rId29" w:history="1">
        <w:r w:rsidRPr="00D30791">
          <w:rPr>
            <w:rFonts w:eastAsia="Times New Roman"/>
            <w:color w:val="0044D6"/>
            <w:szCs w:val="22"/>
            <w:u w:val="thick"/>
          </w:rPr>
          <w:t>Eurex</w:t>
        </w:r>
      </w:hyperlink>
      <w:r w:rsidRPr="00D30791">
        <w:rPr>
          <w:rFonts w:eastAsia="Times New Roman"/>
          <w:color w:val="auto"/>
          <w:szCs w:val="22"/>
        </w:rPr>
        <w:t xml:space="preserve"> (an EEA trading venue) guides its members to generate the TVTIC by using elements in the trade confirmation, some of which are not then used in MiFIR transaction reporting.</w:t>
      </w:r>
    </w:p>
    <w:p w14:paraId="4BCC2048" w14:textId="77777777" w:rsidR="00D30791" w:rsidRPr="00D30791" w:rsidRDefault="00D30791" w:rsidP="00D30791">
      <w:pPr>
        <w:spacing w:after="0" w:line="240" w:lineRule="auto"/>
        <w:ind w:left="993" w:hanging="993"/>
        <w:rPr>
          <w:rFonts w:eastAsia="Times New Roman"/>
          <w:color w:val="auto"/>
          <w:szCs w:val="22"/>
        </w:rPr>
      </w:pPr>
      <w:r w:rsidRPr="00D30791">
        <w:rPr>
          <w:rFonts w:eastAsia="Times New Roman"/>
          <w:color w:val="auto"/>
          <w:szCs w:val="22"/>
        </w:rPr>
        <w:t xml:space="preserve"> </w:t>
      </w:r>
    </w:p>
    <w:p w14:paraId="70FF53BA" w14:textId="77777777" w:rsidR="00D30791" w:rsidRPr="00D30791" w:rsidRDefault="00D30791" w:rsidP="00D30791">
      <w:pPr>
        <w:spacing w:after="0"/>
        <w:rPr>
          <w:rFonts w:eastAsia="Times New Roman"/>
          <w:color w:val="auto"/>
          <w:szCs w:val="22"/>
        </w:rPr>
      </w:pPr>
      <w:r w:rsidRPr="00D30791">
        <w:rPr>
          <w:rFonts w:eastAsia="Times New Roman"/>
          <w:color w:val="auto"/>
          <w:szCs w:val="22"/>
        </w:rPr>
        <w:t xml:space="preserve">TVTIC = </w:t>
      </w:r>
      <w:proofErr w:type="spellStart"/>
      <w:r w:rsidRPr="00D30791">
        <w:rPr>
          <w:rFonts w:eastAsia="Times New Roman"/>
          <w:color w:val="auto"/>
          <w:szCs w:val="22"/>
        </w:rPr>
        <w:t>Envir_</w:t>
      </w:r>
      <w:r w:rsidRPr="00D30791">
        <w:t>Flag</w:t>
      </w:r>
      <w:proofErr w:type="spellEnd"/>
      <w:r w:rsidRPr="00D30791">
        <w:rPr>
          <w:rFonts w:eastAsia="Times New Roman"/>
          <w:color w:val="auto"/>
          <w:szCs w:val="22"/>
        </w:rPr>
        <w:t xml:space="preserve"> (1) + T7 </w:t>
      </w:r>
      <w:proofErr w:type="spellStart"/>
      <w:r w:rsidRPr="00D30791">
        <w:rPr>
          <w:rFonts w:eastAsia="Times New Roman"/>
          <w:color w:val="auto"/>
          <w:szCs w:val="22"/>
        </w:rPr>
        <w:t>SecurityID</w:t>
      </w:r>
      <w:proofErr w:type="spellEnd"/>
      <w:r w:rsidRPr="00D30791">
        <w:rPr>
          <w:rFonts w:eastAsia="Times New Roman"/>
          <w:color w:val="auto"/>
          <w:szCs w:val="22"/>
        </w:rPr>
        <w:t xml:space="preserve"> (20) + </w:t>
      </w:r>
      <w:proofErr w:type="spellStart"/>
      <w:r w:rsidRPr="00D30791">
        <w:rPr>
          <w:rFonts w:eastAsia="Times New Roman"/>
          <w:color w:val="auto"/>
          <w:szCs w:val="22"/>
        </w:rPr>
        <w:t>TranTime</w:t>
      </w:r>
      <w:proofErr w:type="spellEnd"/>
      <w:r w:rsidRPr="00D30791">
        <w:rPr>
          <w:rFonts w:eastAsia="Times New Roman"/>
          <w:color w:val="auto"/>
          <w:szCs w:val="22"/>
        </w:rPr>
        <w:t xml:space="preserve">(20) + </w:t>
      </w:r>
      <w:proofErr w:type="spellStart"/>
      <w:r w:rsidRPr="00D30791">
        <w:rPr>
          <w:rFonts w:eastAsia="Times New Roman"/>
          <w:color w:val="auto"/>
          <w:szCs w:val="22"/>
        </w:rPr>
        <w:t>DealType</w:t>
      </w:r>
      <w:proofErr w:type="spellEnd"/>
      <w:r w:rsidRPr="00D30791">
        <w:rPr>
          <w:rFonts w:eastAsia="Times New Roman"/>
          <w:color w:val="auto"/>
          <w:szCs w:val="22"/>
        </w:rPr>
        <w:t xml:space="preserve">(1) + </w:t>
      </w:r>
      <w:proofErr w:type="spellStart"/>
      <w:r w:rsidRPr="00D30791">
        <w:rPr>
          <w:rFonts w:eastAsia="Times New Roman"/>
          <w:color w:val="auto"/>
          <w:szCs w:val="22"/>
        </w:rPr>
        <w:t>MatchStepID</w:t>
      </w:r>
      <w:proofErr w:type="spellEnd"/>
      <w:r w:rsidRPr="00D30791">
        <w:rPr>
          <w:rFonts w:eastAsia="Times New Roman"/>
          <w:color w:val="auto"/>
          <w:szCs w:val="22"/>
        </w:rPr>
        <w:t>(10)</w:t>
      </w:r>
    </w:p>
    <w:p w14:paraId="0E3C0427" w14:textId="77777777" w:rsidR="00D30791" w:rsidRPr="00D30791" w:rsidRDefault="00D30791" w:rsidP="00D30791">
      <w:pPr>
        <w:spacing w:after="0" w:line="240" w:lineRule="auto"/>
        <w:ind w:left="993"/>
        <w:rPr>
          <w:rFonts w:eastAsia="Times New Roman"/>
          <w:color w:val="auto"/>
          <w:szCs w:val="22"/>
        </w:rPr>
      </w:pPr>
    </w:p>
    <w:p w14:paraId="2F781021" w14:textId="77777777" w:rsidR="00D30791" w:rsidRPr="00D30791" w:rsidRDefault="00D30791" w:rsidP="00D30791">
      <w:pPr>
        <w:spacing w:after="0"/>
        <w:rPr>
          <w:rFonts w:eastAsia="Times New Roman"/>
          <w:color w:val="auto"/>
          <w:szCs w:val="22"/>
        </w:rPr>
      </w:pPr>
      <w:r w:rsidRPr="00D30791">
        <w:rPr>
          <w:rFonts w:eastAsia="Times New Roman"/>
          <w:color w:val="auto"/>
          <w:szCs w:val="22"/>
        </w:rPr>
        <w:t xml:space="preserve">Different trading </w:t>
      </w:r>
      <w:r w:rsidRPr="00D30791">
        <w:t>venues</w:t>
      </w:r>
      <w:r w:rsidRPr="00D30791">
        <w:rPr>
          <w:rFonts w:eastAsia="Times New Roman"/>
          <w:color w:val="auto"/>
          <w:szCs w:val="22"/>
        </w:rPr>
        <w:t xml:space="preserve"> deploy other methodologies for generating the TVTIC see </w:t>
      </w:r>
      <w:hyperlink r:id="rId30" w:history="1">
        <w:r w:rsidRPr="00D30791">
          <w:rPr>
            <w:rFonts w:eastAsia="Times New Roman"/>
            <w:color w:val="0044D6"/>
            <w:szCs w:val="22"/>
            <w:u w:val="thick"/>
          </w:rPr>
          <w:t>Euronext</w:t>
        </w:r>
      </w:hyperlink>
      <w:r w:rsidRPr="00D30791">
        <w:rPr>
          <w:rFonts w:eastAsia="Times New Roman"/>
          <w:color w:val="auto"/>
          <w:szCs w:val="22"/>
        </w:rPr>
        <w:t xml:space="preserve"> (a market operator operating many EEA venues)</w:t>
      </w:r>
    </w:p>
    <w:p w14:paraId="2C0F922A" w14:textId="77777777" w:rsidR="00D30791" w:rsidRPr="00D30791" w:rsidRDefault="00D30791" w:rsidP="00D30791">
      <w:pPr>
        <w:spacing w:after="0" w:line="240" w:lineRule="auto"/>
        <w:ind w:left="993"/>
        <w:rPr>
          <w:rFonts w:eastAsia="Times New Roman"/>
          <w:color w:val="auto"/>
          <w:szCs w:val="22"/>
          <w:lang w:val="en-US"/>
        </w:rPr>
      </w:pPr>
    </w:p>
    <w:p w14:paraId="6C67165E" w14:textId="77777777" w:rsidR="00D30791" w:rsidRPr="00D30791" w:rsidRDefault="00D30791" w:rsidP="00D30791">
      <w:pPr>
        <w:spacing w:after="0"/>
        <w:rPr>
          <w:rFonts w:ascii="Times New Roman" w:eastAsia="Times New Roman" w:hAnsi="Times New Roman" w:cs="Times New Roman"/>
          <w:color w:val="auto"/>
          <w:sz w:val="20"/>
        </w:rPr>
      </w:pPr>
      <w:r w:rsidRPr="00D30791">
        <w:rPr>
          <w:rFonts w:eastAsia="Times New Roman"/>
          <w:color w:val="auto"/>
          <w:szCs w:val="22"/>
        </w:rPr>
        <w:t>TVTIC = Symbol Index + EMM + Execution ID</w:t>
      </w:r>
    </w:p>
    <w:p w14:paraId="47617DF1" w14:textId="77777777" w:rsidR="00D30791" w:rsidRDefault="00D30791" w:rsidP="00AA1A33">
      <w:pPr>
        <w:spacing w:after="0"/>
        <w:rPr>
          <w:rFonts w:eastAsia="Times New Roman"/>
          <w:color w:val="auto"/>
          <w:szCs w:val="22"/>
        </w:rPr>
      </w:pPr>
    </w:p>
    <w:p w14:paraId="5D8AF488" w14:textId="0CBF5F81" w:rsidR="00F47B9D" w:rsidRDefault="00F47B9D" w:rsidP="38D4459A">
      <w:pPr>
        <w:spacing w:after="0"/>
        <w:rPr>
          <w:rFonts w:eastAsia="Times New Roman"/>
          <w:color w:val="auto"/>
        </w:rPr>
      </w:pPr>
      <w:r w:rsidRPr="38D4459A">
        <w:rPr>
          <w:rFonts w:eastAsia="Times New Roman"/>
          <w:color w:val="auto"/>
        </w:rPr>
        <w:t xml:space="preserve">We believe the TVTIC should be concatenation of elements already reported in the annex of RTS22 which </w:t>
      </w:r>
      <w:r w:rsidR="00FE5EFB" w:rsidRPr="38D4459A">
        <w:rPr>
          <w:rFonts w:eastAsia="Times New Roman"/>
          <w:color w:val="auto"/>
        </w:rPr>
        <w:t xml:space="preserve">will alleviate the burden on firms to source </w:t>
      </w:r>
      <w:r w:rsidR="00540C00" w:rsidRPr="38D4459A">
        <w:rPr>
          <w:rFonts w:eastAsia="Times New Roman"/>
          <w:color w:val="auto"/>
        </w:rPr>
        <w:t>TVTIC</w:t>
      </w:r>
      <w:r w:rsidR="00FE5EFB" w:rsidRPr="38D4459A">
        <w:rPr>
          <w:rFonts w:eastAsia="Times New Roman"/>
          <w:color w:val="auto"/>
        </w:rPr>
        <w:t xml:space="preserve"> from disparate datasets. As such for the cases of </w:t>
      </w:r>
      <w:r w:rsidR="00A140B2" w:rsidRPr="38D4459A">
        <w:rPr>
          <w:rFonts w:eastAsia="Times New Roman"/>
          <w:color w:val="auto"/>
        </w:rPr>
        <w:t xml:space="preserve">points a) and b) above we are of the view </w:t>
      </w:r>
      <w:r w:rsidR="00A44C13" w:rsidRPr="38D4459A">
        <w:rPr>
          <w:rFonts w:eastAsia="Times New Roman"/>
          <w:color w:val="auto"/>
        </w:rPr>
        <w:t xml:space="preserve">that the </w:t>
      </w:r>
      <w:r w:rsidR="005A0CF7" w:rsidRPr="38D4459A">
        <w:rPr>
          <w:rFonts w:eastAsia="Times New Roman"/>
          <w:color w:val="auto"/>
        </w:rPr>
        <w:t>TVTIC could be comprised of the following elements [LEI/MIC Code</w:t>
      </w:r>
      <w:r w:rsidR="00BB6A20" w:rsidRPr="38D4459A">
        <w:rPr>
          <w:rFonts w:eastAsia="Times New Roman"/>
          <w:color w:val="auto"/>
        </w:rPr>
        <w:t xml:space="preserve"> of </w:t>
      </w:r>
      <w:r w:rsidR="00540C00" w:rsidRPr="38D4459A">
        <w:rPr>
          <w:rFonts w:eastAsia="Times New Roman"/>
          <w:color w:val="auto"/>
        </w:rPr>
        <w:t xml:space="preserve">Execution </w:t>
      </w:r>
      <w:bookmarkStart w:id="23" w:name="_Int_yUogSNi6"/>
      <w:r w:rsidR="00540C00" w:rsidRPr="38D4459A">
        <w:rPr>
          <w:rFonts w:eastAsia="Times New Roman"/>
          <w:color w:val="auto"/>
        </w:rPr>
        <w:t>Venue</w:t>
      </w:r>
      <w:r w:rsidR="00BB6A20" w:rsidRPr="38D4459A">
        <w:rPr>
          <w:rFonts w:eastAsia="Times New Roman"/>
          <w:color w:val="auto"/>
        </w:rPr>
        <w:t>]+</w:t>
      </w:r>
      <w:bookmarkEnd w:id="23"/>
      <w:r w:rsidR="0001761D" w:rsidRPr="38D4459A">
        <w:rPr>
          <w:rFonts w:eastAsia="Times New Roman"/>
          <w:color w:val="auto"/>
        </w:rPr>
        <w:t xml:space="preserve">[LEI of Executing </w:t>
      </w:r>
      <w:bookmarkStart w:id="24" w:name="_Int_2EVP7Wzb"/>
      <w:r w:rsidR="0001761D" w:rsidRPr="38D4459A">
        <w:rPr>
          <w:rFonts w:eastAsia="Times New Roman"/>
          <w:color w:val="auto"/>
        </w:rPr>
        <w:t>Entity]+</w:t>
      </w:r>
      <w:bookmarkEnd w:id="24"/>
      <w:r w:rsidR="00BB6A20" w:rsidRPr="38D4459A">
        <w:rPr>
          <w:rFonts w:eastAsia="Times New Roman"/>
          <w:color w:val="auto"/>
        </w:rPr>
        <w:t xml:space="preserve">[CFI </w:t>
      </w:r>
      <w:bookmarkStart w:id="25" w:name="_Int_CkV0XvQy"/>
      <w:r w:rsidR="00BB6A20" w:rsidRPr="38D4459A">
        <w:rPr>
          <w:rFonts w:eastAsia="Times New Roman"/>
          <w:color w:val="auto"/>
        </w:rPr>
        <w:t>code]+</w:t>
      </w:r>
      <w:bookmarkEnd w:id="25"/>
      <w:r w:rsidR="00BB6A20" w:rsidRPr="38D4459A">
        <w:rPr>
          <w:rFonts w:eastAsia="Times New Roman"/>
          <w:color w:val="auto"/>
        </w:rPr>
        <w:t xml:space="preserve">[Instrument </w:t>
      </w:r>
      <w:bookmarkStart w:id="26" w:name="_Int_T07a5hMn"/>
      <w:r w:rsidR="00BB6A20" w:rsidRPr="38D4459A">
        <w:rPr>
          <w:rFonts w:eastAsia="Times New Roman"/>
          <w:color w:val="auto"/>
        </w:rPr>
        <w:t>identifier]+</w:t>
      </w:r>
      <w:bookmarkEnd w:id="26"/>
      <w:r w:rsidR="00BB6A20" w:rsidRPr="38D4459A">
        <w:rPr>
          <w:rFonts w:eastAsia="Times New Roman"/>
          <w:color w:val="auto"/>
        </w:rPr>
        <w:t>[Datetime of Confirmation of the Trade</w:t>
      </w:r>
      <w:r w:rsidR="007A7CEA" w:rsidRPr="38D4459A">
        <w:rPr>
          <w:rFonts w:eastAsia="Times New Roman"/>
          <w:color w:val="auto"/>
        </w:rPr>
        <w:t xml:space="preserve"> by the Executing Entity</w:t>
      </w:r>
      <w:r w:rsidR="00BB6A20" w:rsidRPr="38D4459A">
        <w:rPr>
          <w:rFonts w:eastAsia="Times New Roman"/>
          <w:color w:val="auto"/>
        </w:rPr>
        <w:t xml:space="preserve">]. </w:t>
      </w:r>
    </w:p>
    <w:p w14:paraId="1F5D8CB0" w14:textId="35403D73" w:rsidR="00912534" w:rsidRDefault="00912534" w:rsidP="00AA1A33">
      <w:pPr>
        <w:spacing w:after="0"/>
        <w:rPr>
          <w:rFonts w:eastAsia="Times New Roman"/>
          <w:color w:val="auto"/>
          <w:szCs w:val="22"/>
        </w:rPr>
      </w:pPr>
      <w:r>
        <w:rPr>
          <w:rFonts w:eastAsia="Times New Roman"/>
          <w:color w:val="auto"/>
          <w:szCs w:val="22"/>
        </w:rPr>
        <w:t>We would like to stress the following, the Instrument Identifier for instruments listed on EEA trading venues could be the ISIN</w:t>
      </w:r>
      <w:r w:rsidR="00B70137">
        <w:rPr>
          <w:rFonts w:eastAsia="Times New Roman"/>
          <w:color w:val="auto"/>
          <w:szCs w:val="22"/>
        </w:rPr>
        <w:t xml:space="preserve"> (particularly for instruments of Article 26(2)(a) of MiFIR), however for instruments of Art. 26(2)(b) and 26(2)(c), this approach may not be best suited or indeed available. </w:t>
      </w:r>
    </w:p>
    <w:p w14:paraId="72A5E11D" w14:textId="77777777" w:rsidR="0001761D" w:rsidRDefault="0001761D" w:rsidP="00AA1A33">
      <w:pPr>
        <w:spacing w:after="0"/>
        <w:rPr>
          <w:rFonts w:eastAsia="Times New Roman"/>
          <w:color w:val="auto"/>
          <w:szCs w:val="22"/>
        </w:rPr>
      </w:pPr>
    </w:p>
    <w:p w14:paraId="5B6A65EF" w14:textId="77777777" w:rsidR="0001761D" w:rsidRPr="0001761D" w:rsidRDefault="0001761D" w:rsidP="0001761D">
      <w:pPr>
        <w:spacing w:after="0"/>
      </w:pPr>
      <w:r w:rsidRPr="0001761D">
        <w:rPr>
          <w:u w:val="single"/>
        </w:rPr>
        <w:t>Executing Entity</w:t>
      </w:r>
      <w:r w:rsidRPr="0001761D">
        <w:t xml:space="preserve"> has the same meaning as ESMA Document Best Execution Under MiFID Document Reference </w:t>
      </w:r>
      <w:hyperlink r:id="rId31" w:history="1">
        <w:r w:rsidRPr="0001761D">
          <w:rPr>
            <w:rStyle w:val="Hyperlink"/>
          </w:rPr>
          <w:t>CESR/07-230</w:t>
        </w:r>
      </w:hyperlink>
      <w:r w:rsidRPr="0001761D">
        <w:t xml:space="preserve"> and in particular, the Execution Entity is the last intermediary in a transmission chain that places the order for execution on an execution venue.</w:t>
      </w:r>
    </w:p>
    <w:p w14:paraId="08716235" w14:textId="77777777" w:rsidR="0001761D" w:rsidRDefault="0001761D" w:rsidP="00AA1A33">
      <w:pPr>
        <w:spacing w:after="0"/>
      </w:pPr>
    </w:p>
    <w:permEnd w:id="368387494"/>
    <w:p w14:paraId="7ECA10E7" w14:textId="072891FE" w:rsidR="006B5DF1" w:rsidRDefault="006B5DF1" w:rsidP="006B5DF1">
      <w:pPr>
        <w:spacing w:after="0"/>
      </w:pPr>
      <w:r>
        <w:t>&lt;ESMA_QUESTION_CP3_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bookmarkStart w:id="27" w:name="_Int_MY7cwlFM"/>
      <w:r>
        <w:t>( non</w:t>
      </w:r>
      <w:bookmarkEnd w:id="27"/>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4C4A7102" w:rsidR="006B5DF1" w:rsidRDefault="006B5DF1" w:rsidP="006B5DF1">
      <w:pPr>
        <w:spacing w:after="0"/>
      </w:pPr>
      <w:r>
        <w:t>&lt;ESMA_QUESTION_CP3_</w:t>
      </w:r>
      <w:r w:rsidR="003E7313">
        <w:t>13</w:t>
      </w:r>
      <w:r>
        <w:t>&gt;</w:t>
      </w:r>
    </w:p>
    <w:p w14:paraId="4F25619A" w14:textId="77777777" w:rsidR="001158EA" w:rsidRDefault="00C506B6" w:rsidP="006B5DF1">
      <w:pPr>
        <w:spacing w:after="0"/>
      </w:pPr>
      <w:permStart w:id="1298809498" w:edGrp="everyone"/>
      <w:r>
        <w:t xml:space="preserve"> </w:t>
      </w:r>
      <w:r w:rsidR="00963885">
        <w:t>Refer to our previous answer to Question 12 of this CP</w:t>
      </w:r>
      <w:r w:rsidR="002F3BD2" w:rsidRPr="002F3BD2">
        <w:t>.</w:t>
      </w:r>
      <w:r w:rsidR="00963885">
        <w:t xml:space="preserve"> The ISIN is not universally adopted by all trading venues including</w:t>
      </w:r>
      <w:r w:rsidR="0038786D">
        <w:t>,</w:t>
      </w:r>
      <w:r w:rsidR="00963885">
        <w:t xml:space="preserve"> but not limited</w:t>
      </w:r>
      <w:r w:rsidR="0038786D">
        <w:t>,</w:t>
      </w:r>
      <w:r w:rsidR="00963885">
        <w:t xml:space="preserve"> to US trading venues. Consider for example Equity Futures listed on any US venues (e.g. the CME), </w:t>
      </w:r>
      <w:r w:rsidR="00D17A0A">
        <w:t xml:space="preserve">such instruments may be captured by the MiFIR Reporting obligation by virtue of Art. 26(2)(b) or </w:t>
      </w:r>
      <w:r w:rsidR="006B377B">
        <w:t xml:space="preserve">26(2)(c), however </w:t>
      </w:r>
      <w:r w:rsidR="001158EA">
        <w:t xml:space="preserve"> said </w:t>
      </w:r>
      <w:r w:rsidR="006B377B">
        <w:t xml:space="preserve">derivative instruments are not always assigned with an ISIN, therefore ESMA’s proposed syntax may be problematic as there is no ISIN available for such products. </w:t>
      </w:r>
    </w:p>
    <w:p w14:paraId="6984455E" w14:textId="77777777" w:rsidR="001158EA" w:rsidRDefault="001158EA" w:rsidP="006B5DF1">
      <w:pPr>
        <w:spacing w:after="0"/>
      </w:pPr>
    </w:p>
    <w:p w14:paraId="2956AE52" w14:textId="0F4A0A56" w:rsidR="006B5DF1" w:rsidRDefault="006B377B" w:rsidP="006B5DF1">
      <w:pPr>
        <w:spacing w:after="0"/>
      </w:pPr>
      <w:r>
        <w:t xml:space="preserve">As such </w:t>
      </w:r>
      <w:r w:rsidR="0045553F">
        <w:t xml:space="preserve">while we propose to maintain the syntax pattern as per Q7, </w:t>
      </w:r>
      <w:r w:rsidR="005A5C2E">
        <w:t xml:space="preserve">i.e. </w:t>
      </w:r>
      <w:r w:rsidR="005A5C2E" w:rsidRPr="005A5C2E">
        <w:t xml:space="preserve">[LEI/MIC Code of </w:t>
      </w:r>
      <w:r w:rsidR="00F55D32">
        <w:t>Execution Venue</w:t>
      </w:r>
      <w:r w:rsidR="005A5C2E" w:rsidRPr="005A5C2E">
        <w:t>]+</w:t>
      </w:r>
      <w:r w:rsidR="00D433C3">
        <w:t>[LEI of Executing Entity]+</w:t>
      </w:r>
      <w:r w:rsidR="005A5C2E" w:rsidRPr="005A5C2E">
        <w:t>[CFI code]+[Instrument identifier]+[Datetime of Confirmation of the Trade</w:t>
      </w:r>
      <w:r w:rsidR="007A7CEA">
        <w:t xml:space="preserve"> by the </w:t>
      </w:r>
      <w:r w:rsidR="007A7CEA" w:rsidRPr="00D433C3">
        <w:t>Executing Entity</w:t>
      </w:r>
      <w:r w:rsidR="005A5C2E" w:rsidRPr="005A5C2E">
        <w:t>]</w:t>
      </w:r>
      <w:r w:rsidR="00EF502F">
        <w:t>,</w:t>
      </w:r>
      <w:r w:rsidR="001158EA">
        <w:t xml:space="preserve"> f</w:t>
      </w:r>
      <w:r w:rsidR="005A5C2E">
        <w:t>or instruments of Art. 26(2)(b)-(c) where the Instrument is not Identified with an ISIN</w:t>
      </w:r>
      <w:r w:rsidR="00D144BC">
        <w:t xml:space="preserve"> (</w:t>
      </w:r>
      <w:r w:rsidR="00E179AF">
        <w:t>and/</w:t>
      </w:r>
      <w:r w:rsidR="00D144BC">
        <w:t>or where they are identified with an ISIN said ISIN does not exist on ESMA’s FIRDS)</w:t>
      </w:r>
      <w:r w:rsidR="005A5C2E">
        <w:t xml:space="preserve">, an alternative needs to be </w:t>
      </w:r>
      <w:r w:rsidR="00AE212B">
        <w:t xml:space="preserve">inserted. Again by following the same paradigm we have stated in Question 7 we believe that the non-EEA TVTIC must be a concatenation of data that are already reported in the Annex of RTS </w:t>
      </w:r>
      <w:r w:rsidR="007652FF">
        <w:t>22</w:t>
      </w:r>
      <w:r w:rsidR="00AE212B">
        <w:t xml:space="preserve">, as such we propose </w:t>
      </w:r>
      <w:r w:rsidR="00355113">
        <w:t xml:space="preserve">for instruments of 26(2)(b) and (c) for the Instrument Identifier to be </w:t>
      </w:r>
      <w:bookmarkStart w:id="28" w:name="_Hlk183787741"/>
      <w:r w:rsidR="00355113">
        <w:t xml:space="preserve">the same value as </w:t>
      </w:r>
      <w:r w:rsidR="00185AF1">
        <w:t xml:space="preserve">Item number </w:t>
      </w:r>
      <w:r w:rsidR="007D67A1">
        <w:t>42 of the table in the Annex of RTS 22 [Instrument Full Name]</w:t>
      </w:r>
      <w:r w:rsidR="006038DE">
        <w:t>, whereby the instrument full name will be the same name as assigned to the instrument by the non-EEA trading Venue</w:t>
      </w:r>
      <w:bookmarkEnd w:id="28"/>
      <w:r w:rsidR="001158EA">
        <w:t xml:space="preserve"> (e.g. the trading symbol). </w:t>
      </w:r>
    </w:p>
    <w:p w14:paraId="647D95A8" w14:textId="77777777" w:rsidR="00EF502F" w:rsidRDefault="00EF502F" w:rsidP="006B5DF1">
      <w:pPr>
        <w:spacing w:after="0"/>
      </w:pPr>
    </w:p>
    <w:p w14:paraId="147AFE73" w14:textId="67371951" w:rsidR="00EF502F" w:rsidRDefault="00EF502F" w:rsidP="006B5DF1">
      <w:pPr>
        <w:spacing w:after="0"/>
      </w:pPr>
      <w:r w:rsidRPr="00EF502F">
        <w:rPr>
          <w:u w:val="single"/>
        </w:rPr>
        <w:t>Executing Entity</w:t>
      </w:r>
      <w:r>
        <w:t xml:space="preserve"> has the same meaning as ESMA Document Best Execution Under MiFID Document Reference </w:t>
      </w:r>
      <w:hyperlink r:id="rId32" w:history="1">
        <w:r w:rsidRPr="007616B4">
          <w:rPr>
            <w:rStyle w:val="Hyperlink"/>
          </w:rPr>
          <w:t>CESR/07-230</w:t>
        </w:r>
      </w:hyperlink>
      <w:r>
        <w:t xml:space="preserve"> and in particular, the Execution Entity is the last intermediary in a transmission chain that places the order for execution on an execution venue</w:t>
      </w:r>
      <w:r w:rsidRPr="002809A3">
        <w:t>.</w:t>
      </w:r>
    </w:p>
    <w:permEnd w:id="1298809498"/>
    <w:p w14:paraId="7D6A453F" w14:textId="2F87CE64" w:rsidR="006B5DF1" w:rsidRDefault="006B5DF1" w:rsidP="006B5DF1">
      <w:pPr>
        <w:spacing w:after="0"/>
      </w:pPr>
      <w:r>
        <w:t>&lt;ESMA_QUESTION_CP3_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6FF299C4" w:rsidR="006B5DF1" w:rsidRDefault="006B5DF1" w:rsidP="006B5DF1">
      <w:pPr>
        <w:spacing w:after="0"/>
      </w:pPr>
      <w:r>
        <w:t>&lt;ESMA_QUESTION_CP3_</w:t>
      </w:r>
      <w:r w:rsidR="003E7313">
        <w:t>14</w:t>
      </w:r>
      <w:r>
        <w:t>&gt;</w:t>
      </w:r>
    </w:p>
    <w:p w14:paraId="3748AF8F" w14:textId="683C7E42" w:rsidR="006B5DF1" w:rsidRDefault="00B34C94" w:rsidP="006B5DF1">
      <w:pPr>
        <w:spacing w:after="0"/>
      </w:pPr>
      <w:permStart w:id="1859999702" w:edGrp="everyone"/>
      <w:r>
        <w:lastRenderedPageBreak/>
        <w:t xml:space="preserve">We believe that </w:t>
      </w:r>
      <w:r w:rsidR="00D144BC">
        <w:t xml:space="preserve">while </w:t>
      </w:r>
      <w:r w:rsidR="003635CA">
        <w:t xml:space="preserve">a non-EEA TVTIC should be provided where </w:t>
      </w:r>
      <w:r w:rsidR="00C1314B">
        <w:t xml:space="preserve">execution took place on a non-EEA TV, it will be challenging for non-EEA TVs to generate create and disseminate the TVTIC. </w:t>
      </w:r>
      <w:r w:rsidR="007659A3">
        <w:t xml:space="preserve">Refer also to our response to question 15 of this Consultation Paper, </w:t>
      </w:r>
      <w:r w:rsidR="00870D81">
        <w:t xml:space="preserve">regarding clear guidance from ESMA so that the </w:t>
      </w:r>
      <w:r w:rsidR="00870D81" w:rsidRPr="00A25941">
        <w:rPr>
          <w:u w:val="single"/>
        </w:rPr>
        <w:t>Executing Entity</w:t>
      </w:r>
      <w:r w:rsidR="00870D81">
        <w:t xml:space="preserve"> can generate the EEA TVTIC</w:t>
      </w:r>
      <w:r w:rsidR="00691AF6">
        <w:t xml:space="preserve"> using data in the execution confirmation</w:t>
      </w:r>
      <w:bookmarkStart w:id="29" w:name="_Int_NxUoqdv1"/>
      <w:r w:rsidR="00691AF6">
        <w:t xml:space="preserve">. </w:t>
      </w:r>
      <w:r w:rsidR="00B76C36">
        <w:t xml:space="preserve"> </w:t>
      </w:r>
      <w:bookmarkEnd w:id="29"/>
    </w:p>
    <w:permEnd w:id="1859999702"/>
    <w:p w14:paraId="7A83D384" w14:textId="2CB8AEB2" w:rsidR="006B5DF1" w:rsidRDefault="006B5DF1" w:rsidP="006B5DF1">
      <w:pPr>
        <w:spacing w:after="0"/>
      </w:pPr>
      <w:r>
        <w:t>&lt;ESMA_QUESTION_CP3_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bookmarkStart w:id="30" w:name="_Int_1m1DsZi8"/>
      <w:r>
        <w:t>fields, or</w:t>
      </w:r>
      <w:bookmarkEnd w:id="30"/>
      <w:r>
        <w:t xml:space="preserve"> suggest alternatives.</w:t>
      </w:r>
    </w:p>
    <w:p w14:paraId="3BFC4064" w14:textId="77777777" w:rsidR="006B5DF1" w:rsidRDefault="006B5DF1" w:rsidP="006B5DF1"/>
    <w:p w14:paraId="761CC5DB" w14:textId="523B6D29" w:rsidR="006B5DF1" w:rsidRDefault="006B5DF1" w:rsidP="006B5DF1">
      <w:pPr>
        <w:spacing w:after="0"/>
      </w:pPr>
      <w:r>
        <w:t>&lt;ESMA_QUESTION_CP3_</w:t>
      </w:r>
      <w:r w:rsidR="003E7313">
        <w:t>15</w:t>
      </w:r>
      <w:r>
        <w:t>&gt;</w:t>
      </w:r>
    </w:p>
    <w:p w14:paraId="48DF5247" w14:textId="0B973ECD" w:rsidR="006B5DF1" w:rsidRDefault="001E3E38" w:rsidP="006B5DF1">
      <w:pPr>
        <w:spacing w:after="0"/>
      </w:pPr>
      <w:permStart w:id="1859985972" w:edGrp="everyone"/>
      <w:r>
        <w:t xml:space="preserve">We agree in principle with ESMA’s </w:t>
      </w:r>
      <w:r w:rsidR="007B738F">
        <w:t xml:space="preserve">view that off venue transactions need to be linked </w:t>
      </w:r>
      <w:bookmarkStart w:id="31" w:name="_Int_uSLepP6I"/>
      <w:r w:rsidR="007B738F">
        <w:t>in order to</w:t>
      </w:r>
      <w:bookmarkEnd w:id="31"/>
      <w:r w:rsidR="007B738F">
        <w:t xml:space="preserve"> better accommodate NCA’s ability to investigate, review and monitor market activities. </w:t>
      </w:r>
      <w:r w:rsidR="089A2D32">
        <w:t>However,</w:t>
      </w:r>
      <w:r w:rsidR="007B738F">
        <w:t xml:space="preserve"> we do not agree with the addition of another data point</w:t>
      </w:r>
      <w:r w:rsidR="005F0AB5">
        <w:t xml:space="preserve">. We suggest </w:t>
      </w:r>
      <w:r w:rsidR="00A71A76">
        <w:t>repurposing</w:t>
      </w:r>
      <w:r w:rsidR="005F0AB5">
        <w:t xml:space="preserve"> </w:t>
      </w:r>
      <w:r w:rsidR="00A1716F">
        <w:t>Item 2 of Table 2 of the Annex to RTS 22 “Transaction Reference Number”</w:t>
      </w:r>
      <w:r w:rsidR="0032524B">
        <w:t xml:space="preserve"> - TRN</w:t>
      </w:r>
      <w:r w:rsidR="00A1716F">
        <w:t xml:space="preserve"> which currently is only an identifier for reporting purposes</w:t>
      </w:r>
      <w:r w:rsidR="00A71A76">
        <w:t xml:space="preserve"> and </w:t>
      </w:r>
      <w:r w:rsidR="00D12B57">
        <w:t xml:space="preserve">does not provide </w:t>
      </w:r>
      <w:r w:rsidR="00D57E57">
        <w:t>any other information to a reviewing NCA.</w:t>
      </w:r>
      <w:r w:rsidR="00A1716F">
        <w:t xml:space="preserve"> </w:t>
      </w:r>
      <w:r w:rsidR="0032524B">
        <w:t>Considering also the practices followed by TRs</w:t>
      </w:r>
      <w:r w:rsidR="00D57E57">
        <w:t xml:space="preserve"> for EMIR</w:t>
      </w:r>
      <w:r w:rsidR="0032524B">
        <w:t xml:space="preserve"> for the identification of </w:t>
      </w:r>
      <w:r w:rsidR="00D57E57">
        <w:t>EMIR</w:t>
      </w:r>
      <w:r w:rsidR="0032524B">
        <w:t xml:space="preserve"> reports, </w:t>
      </w:r>
      <w:r w:rsidR="00561572">
        <w:t xml:space="preserve">each report is unique by virtue of the </w:t>
      </w:r>
      <w:r w:rsidR="00A71A76">
        <w:t>so-called three-way</w:t>
      </w:r>
      <w:r w:rsidR="00561572">
        <w:t xml:space="preserve"> key (i.e. LEI of CP1 – LEI of CP2 – UTI) this </w:t>
      </w:r>
      <w:r w:rsidR="002D7400">
        <w:t>three-way</w:t>
      </w:r>
      <w:r w:rsidR="00561572">
        <w:t xml:space="preserve"> key allows the TR</w:t>
      </w:r>
      <w:r w:rsidR="002D7400">
        <w:t>s</w:t>
      </w:r>
      <w:r w:rsidR="00561572">
        <w:t xml:space="preserve"> to pair </w:t>
      </w:r>
      <w:r w:rsidR="00426AE4">
        <w:t xml:space="preserve">the dual sided reports. </w:t>
      </w:r>
      <w:r w:rsidR="00A71A76">
        <w:t xml:space="preserve">The TRN will be repurposed as the TIC </w:t>
      </w:r>
      <w:r w:rsidR="00070F31">
        <w:t>and each off-exchange MiFIR report will be identified by the TIC</w:t>
      </w:r>
      <w:r w:rsidR="00E7130D">
        <w:t>-Executing Entity-Buyer-Seller</w:t>
      </w:r>
      <w:r w:rsidR="00D3713F">
        <w:t xml:space="preserve"> </w:t>
      </w:r>
      <w:r w:rsidR="00380932">
        <w:t>combination</w:t>
      </w:r>
      <w:r w:rsidR="00D3713F">
        <w:t xml:space="preserve">. </w:t>
      </w:r>
    </w:p>
    <w:p w14:paraId="5346C7C9" w14:textId="77777777" w:rsidR="00BE49F4" w:rsidRDefault="00BE49F4" w:rsidP="006B5DF1">
      <w:pPr>
        <w:spacing w:after="0"/>
      </w:pPr>
    </w:p>
    <w:p w14:paraId="6A8817A3" w14:textId="308A1DBC" w:rsidR="00D3713F" w:rsidRDefault="00D3713F" w:rsidP="006B5DF1">
      <w:pPr>
        <w:spacing w:after="0"/>
      </w:pPr>
      <w:r>
        <w:t xml:space="preserve">As for the syntax refer to our responses to </w:t>
      </w:r>
      <w:r w:rsidR="00BE49F4">
        <w:t>Questions 12 and 13</w:t>
      </w:r>
      <w:r w:rsidR="00A41555">
        <w:t xml:space="preserve"> i.e. the TIC should be a concatenation of =</w:t>
      </w:r>
      <w:r w:rsidR="00BE49F4">
        <w:t xml:space="preserve"> </w:t>
      </w:r>
      <w:r w:rsidR="00A41555">
        <w:t xml:space="preserve">[LEI/MIC Code of </w:t>
      </w:r>
      <w:r w:rsidR="00CE1158">
        <w:t xml:space="preserve">execution </w:t>
      </w:r>
      <w:bookmarkStart w:id="32" w:name="_Int_LqwvsL8v"/>
      <w:r w:rsidR="00CE1158">
        <w:t>venue</w:t>
      </w:r>
      <w:r w:rsidR="00A41555">
        <w:t>]+</w:t>
      </w:r>
      <w:bookmarkEnd w:id="32"/>
      <w:r w:rsidR="00FC367E">
        <w:t xml:space="preserve">[LEI of Executing </w:t>
      </w:r>
      <w:bookmarkStart w:id="33" w:name="_Int_4Fae68eA"/>
      <w:r w:rsidR="00FC367E">
        <w:t>Entity]+</w:t>
      </w:r>
      <w:bookmarkEnd w:id="33"/>
      <w:r w:rsidR="00A41555">
        <w:t xml:space="preserve">[CFI </w:t>
      </w:r>
      <w:bookmarkStart w:id="34" w:name="_Int_wHEkqCRF"/>
      <w:r w:rsidR="00A41555">
        <w:t>code]+</w:t>
      </w:r>
      <w:bookmarkEnd w:id="34"/>
      <w:r w:rsidR="00A41555">
        <w:t xml:space="preserve">[Instrument </w:t>
      </w:r>
      <w:bookmarkStart w:id="35" w:name="_Int_jrxQ19ab"/>
      <w:r w:rsidR="00A41555">
        <w:t>identifier]+</w:t>
      </w:r>
      <w:bookmarkEnd w:id="35"/>
      <w:r w:rsidR="00A41555">
        <w:t>[Datetime of Confirmation of the Trade</w:t>
      </w:r>
      <w:r w:rsidR="007A7CEA">
        <w:t xml:space="preserve"> by the Executing Entity</w:t>
      </w:r>
      <w:r w:rsidR="00A41555">
        <w:t>]. Where the instrument is not</w:t>
      </w:r>
      <w:r w:rsidR="00AD19B6">
        <w:t xml:space="preserve"> traded on an EEA trading venue then the Instrument Identifier should </w:t>
      </w:r>
      <w:r w:rsidR="004B100D">
        <w:t xml:space="preserve">be </w:t>
      </w:r>
      <w:r w:rsidR="00AD19B6">
        <w:t xml:space="preserve">the </w:t>
      </w:r>
      <w:r w:rsidR="002809A3">
        <w:t>same value as Item number 42 of the table in the Annex of RTS 22 [Instrument Full Name], whereby the instrument full name will be the same name as assigned to the instrument by the non-EEA trading Venue</w:t>
      </w:r>
      <w:r w:rsidR="00852933">
        <w:t xml:space="preserve"> or in case of OTC derivatives the name assigned by the </w:t>
      </w:r>
      <w:r w:rsidR="00CE1158">
        <w:t>Execution Venue</w:t>
      </w:r>
      <w:r w:rsidR="002809A3">
        <w:t>.</w:t>
      </w:r>
      <w:r w:rsidR="007A7CEA">
        <w:t xml:space="preserve"> The E</w:t>
      </w:r>
      <w:r w:rsidR="00556F9D">
        <w:t xml:space="preserve">xecuting Entity will transmit the TIC to </w:t>
      </w:r>
      <w:r w:rsidR="00F43410">
        <w:t>its immediate counterparty</w:t>
      </w:r>
      <w:r w:rsidR="00E95AB0">
        <w:t xml:space="preserve">, who will then transmit the same TIC </w:t>
      </w:r>
      <w:r w:rsidR="00057C02">
        <w:t xml:space="preserve">further down the transmission chain. We believe that </w:t>
      </w:r>
      <w:r w:rsidR="007659A3">
        <w:t>this repurposing of the TRN will be effective and cost efficient</w:t>
      </w:r>
      <w:bookmarkStart w:id="36" w:name="_Int_UpZAmZJN"/>
      <w:r w:rsidR="007659A3">
        <w:t xml:space="preserve">. </w:t>
      </w:r>
      <w:r w:rsidR="00556F9D">
        <w:t xml:space="preserve"> </w:t>
      </w:r>
      <w:bookmarkEnd w:id="36"/>
    </w:p>
    <w:p w14:paraId="0EC63FA5" w14:textId="0E259A90" w:rsidR="00556F9D" w:rsidRDefault="00556F9D" w:rsidP="006B5DF1">
      <w:pPr>
        <w:spacing w:after="0"/>
      </w:pPr>
    </w:p>
    <w:p w14:paraId="14C1334A" w14:textId="012B1D64" w:rsidR="00556F9D" w:rsidRDefault="002F5D1C" w:rsidP="006B5DF1">
      <w:pPr>
        <w:spacing w:after="0"/>
      </w:pPr>
      <w:r>
        <w:t>Irrespective of the above</w:t>
      </w:r>
      <w:r w:rsidRPr="002F5D1C">
        <w:t xml:space="preserve">, we do note that in a given transmission chain there may be several non-EEA investment firms (i.e. firms established in third countries not authorised in the EEA under </w:t>
      </w:r>
      <w:r w:rsidRPr="002F5D1C">
        <w:lastRenderedPageBreak/>
        <w:t xml:space="preserve">Directive 2014/65/EU) as such we believe that even with this measure there will be </w:t>
      </w:r>
      <w:r w:rsidR="00B0365C">
        <w:t xml:space="preserve">several </w:t>
      </w:r>
      <w:r w:rsidRPr="002F5D1C">
        <w:t>instances where the</w:t>
      </w:r>
      <w:r>
        <w:t xml:space="preserve"> TIC code will be</w:t>
      </w:r>
      <w:r w:rsidR="00761B1E">
        <w:t xml:space="preserve"> not- be-transmitted </w:t>
      </w:r>
      <w:r w:rsidR="000E3F53">
        <w:t>by the non-EEA firms in a given transmission and this might lead to a fragmentation/break-up of reports</w:t>
      </w:r>
      <w:r w:rsidR="00761B1E">
        <w:t>. This measure needs to be carefully considered further</w:t>
      </w:r>
      <w:r w:rsidR="00B0365C">
        <w:t xml:space="preserve">. </w:t>
      </w:r>
    </w:p>
    <w:permEnd w:id="1859985972"/>
    <w:p w14:paraId="3A64410A" w14:textId="467D6C35" w:rsidR="006B5DF1" w:rsidRDefault="006B5DF1" w:rsidP="006B5DF1">
      <w:pPr>
        <w:spacing w:after="0"/>
      </w:pPr>
      <w:r>
        <w:t>&lt;ESMA_QUESTION_CP3_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0772BD10" w:rsidR="006B5DF1" w:rsidRDefault="006B5DF1" w:rsidP="006B5DF1">
      <w:pPr>
        <w:spacing w:after="0"/>
      </w:pPr>
      <w:r>
        <w:t>&lt;ESMA_QUESTION_CP3_</w:t>
      </w:r>
      <w:r w:rsidR="003E7313">
        <w:t>16</w:t>
      </w:r>
      <w:r>
        <w:t>&gt;</w:t>
      </w:r>
    </w:p>
    <w:p w14:paraId="19F2790E" w14:textId="21335CE7" w:rsidR="006B5DF1" w:rsidRDefault="00E95AB0" w:rsidP="006B5DF1">
      <w:pPr>
        <w:spacing w:after="0"/>
      </w:pPr>
      <w:permStart w:id="1850953902" w:edGrp="everyone"/>
      <w:r>
        <w:t xml:space="preserve">See our response to Question 15. We believe that the Executing Entity will need </w:t>
      </w:r>
      <w:r w:rsidR="003677B3">
        <w:t xml:space="preserve">to supply the </w:t>
      </w:r>
      <w:r w:rsidR="0067774E">
        <w:t xml:space="preserve">TIC </w:t>
      </w:r>
      <w:r w:rsidR="00F243E8">
        <w:t xml:space="preserve">irrespective of whether </w:t>
      </w:r>
      <w:bookmarkStart w:id="37" w:name="_Int_vOjK5XMh"/>
      <w:r w:rsidR="00F243E8">
        <w:t>it’s</w:t>
      </w:r>
      <w:bookmarkEnd w:id="37"/>
      <w:r w:rsidR="00F243E8">
        <w:t xml:space="preserve"> the buyer or the seller. </w:t>
      </w:r>
    </w:p>
    <w:permEnd w:id="1850953902"/>
    <w:p w14:paraId="061AC34A" w14:textId="508BC611" w:rsidR="006B5DF1" w:rsidRDefault="006B5DF1" w:rsidP="006B5DF1">
      <w:pPr>
        <w:spacing w:after="0"/>
      </w:pPr>
      <w:r>
        <w:t>&lt;ESMA_QUESTION_CP3_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086B4926" w:rsidR="006B5DF1" w:rsidRDefault="006B5DF1" w:rsidP="006B5DF1">
      <w:pPr>
        <w:spacing w:after="0"/>
      </w:pPr>
      <w:r>
        <w:t>&lt;ESMA_QUESTION_CP3_</w:t>
      </w:r>
      <w:r w:rsidR="003E7313">
        <w:t>17</w:t>
      </w:r>
      <w:r>
        <w:t>&gt;</w:t>
      </w:r>
    </w:p>
    <w:p w14:paraId="3F0BD084" w14:textId="59B2FA6F" w:rsidR="006B5DF1" w:rsidRDefault="00691AF6" w:rsidP="006B5DF1">
      <w:pPr>
        <w:spacing w:after="0"/>
      </w:pPr>
      <w:permStart w:id="938018820" w:edGrp="everyone"/>
      <w:r>
        <w:t xml:space="preserve">We agree that NCAs must be </w:t>
      </w:r>
      <w:bookmarkStart w:id="38" w:name="_Int_S1A2icUj"/>
      <w:r>
        <w:t>in a position</w:t>
      </w:r>
      <w:bookmarkEnd w:id="38"/>
      <w:r>
        <w:t xml:space="preserve"> to link the Market Facing side with the Client </w:t>
      </w:r>
      <w:r w:rsidR="009A5F05">
        <w:t>side</w:t>
      </w:r>
      <w:r>
        <w:t xml:space="preserve"> of the INTC convention. We note that the UK’s FCA has issued a </w:t>
      </w:r>
      <w:hyperlink r:id="rId33" w:history="1">
        <w:r w:rsidRPr="004A2B23">
          <w:rPr>
            <w:rStyle w:val="Hyperlink"/>
          </w:rPr>
          <w:t>Discussion Paper</w:t>
        </w:r>
      </w:hyperlink>
      <w:r w:rsidR="00276556">
        <w:t xml:space="preserve">, the said Paper paragraphs 5.48 through to 5.49 </w:t>
      </w:r>
      <w:r w:rsidR="00496163">
        <w:t xml:space="preserve">puts forward the option of replacing the INTC convention with a linking code(s). </w:t>
      </w:r>
      <w:r w:rsidR="00E95B0C">
        <w:t xml:space="preserve">The linking code will be inserted in the buyer/seller </w:t>
      </w:r>
      <w:r w:rsidR="00B85FD6">
        <w:t xml:space="preserve">fields </w:t>
      </w:r>
      <w:r w:rsidR="00E95B0C">
        <w:t xml:space="preserve">instead of INTC in both the Market Facing and Client side of a transaction thus linking the 2 legs. We are of the view that ESMA could adopt a similar approach limiting the addition of new fields. </w:t>
      </w:r>
      <w:r w:rsidR="00F913EF">
        <w:t>The</w:t>
      </w:r>
      <w:r w:rsidR="00981579">
        <w:t xml:space="preserve"> executing firm could then disseminate the said code further down in the transmission chain. </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246574AF" w:rsidR="006B5DF1" w:rsidRDefault="006B5DF1" w:rsidP="006B5DF1">
      <w:pPr>
        <w:spacing w:after="0"/>
      </w:pPr>
      <w:r>
        <w:t>&lt;ESMA_QUESTION_CP3_</w:t>
      </w:r>
      <w:r w:rsidR="003E7313">
        <w:t>18</w:t>
      </w:r>
      <w:r>
        <w:t>&gt;</w:t>
      </w:r>
    </w:p>
    <w:p w14:paraId="0D5A07F7" w14:textId="7CE2911F" w:rsidR="006B5DF1" w:rsidRDefault="00803C55" w:rsidP="006B5DF1">
      <w:pPr>
        <w:spacing w:after="0"/>
      </w:pPr>
      <w:permStart w:id="1092633402" w:edGrp="everyone"/>
      <w:r>
        <w:lastRenderedPageBreak/>
        <w:t xml:space="preserve">We agree that the executing firm should generate </w:t>
      </w:r>
      <w:r w:rsidR="00F913EF">
        <w:t>the INTC</w:t>
      </w:r>
      <w:r w:rsidR="00981579">
        <w:t>,</w:t>
      </w:r>
      <w:r w:rsidR="00F913EF">
        <w:t xml:space="preserve"> s</w:t>
      </w:r>
      <w:r w:rsidR="00E95B0C">
        <w:t>ee our response to</w:t>
      </w:r>
      <w:r>
        <w:t xml:space="preserve"> Q17</w:t>
      </w:r>
      <w:r w:rsidR="00A65203">
        <w:t>.</w:t>
      </w:r>
    </w:p>
    <w:permEnd w:id="1092633402"/>
    <w:p w14:paraId="51F035B1" w14:textId="224D6D8F"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t>&lt;ESMA_QUESTION_CP3_</w:t>
      </w:r>
      <w:r w:rsidR="003E7313">
        <w:t>19</w:t>
      </w:r>
      <w:r>
        <w:t>&gt;</w:t>
      </w:r>
    </w:p>
    <w:p w14:paraId="58E0F0C9" w14:textId="66684E58" w:rsidR="00CB3880" w:rsidRDefault="005A53AB" w:rsidP="00BC3A9C">
      <w:pPr>
        <w:spacing w:after="0"/>
      </w:pPr>
      <w:permStart w:id="1566987131" w:edGrp="everyone"/>
      <w:r>
        <w:t xml:space="preserve">The INTC </w:t>
      </w:r>
      <w:r w:rsidR="00AB018A">
        <w:t>convention should be replaced in the buyer/seller fields with a specific code</w:t>
      </w:r>
      <w:r w:rsidR="4EFEE17D">
        <w:t xml:space="preserve"> </w:t>
      </w:r>
      <w:r w:rsidR="004134AC">
        <w:t>(see also our response to Question 17 of this Consultation Paper)</w:t>
      </w:r>
      <w:r w:rsidR="00F75FB4">
        <w:t>, instead of adding a new data point</w:t>
      </w:r>
      <w:r w:rsidR="00AB018A">
        <w:t xml:space="preserve">. We agree with ESMA’s proposal that the said code should </w:t>
      </w:r>
      <w:r w:rsidR="00F01523">
        <w:t>be standardized. The proposals set forth by ESMA</w:t>
      </w:r>
      <w:r w:rsidR="00115D10">
        <w:t xml:space="preserve"> </w:t>
      </w:r>
      <w:r w:rsidR="004134AC">
        <w:t xml:space="preserve">whereby the linking </w:t>
      </w:r>
      <w:r w:rsidR="00F75FB4">
        <w:t>code would include elements such as ISIN coul</w:t>
      </w:r>
      <w:r w:rsidR="00AB6A07">
        <w:t>d be problematic</w:t>
      </w:r>
      <w:r w:rsidR="00C12122">
        <w:t xml:space="preserve"> (see also our responses to Questions 13 and 14 of this Consultation)</w:t>
      </w:r>
      <w:r w:rsidR="00AB6A07">
        <w:t xml:space="preserve">. </w:t>
      </w:r>
      <w:r w:rsidR="004235FE">
        <w:t xml:space="preserve">We propose the INTC replacement </w:t>
      </w:r>
      <w:r w:rsidR="000974AC">
        <w:t>to be concatenation of fol</w:t>
      </w:r>
      <w:r w:rsidR="00CB3880">
        <w:t>lowing elements:</w:t>
      </w:r>
    </w:p>
    <w:p w14:paraId="76767E26" w14:textId="04336014" w:rsidR="006B5DF1" w:rsidRDefault="00BE2307" w:rsidP="00BC3A9C">
      <w:pPr>
        <w:spacing w:after="0"/>
      </w:pPr>
      <w:r>
        <w:t>[</w:t>
      </w:r>
      <w:r w:rsidR="00C12122">
        <w:t xml:space="preserve">LEI of Executing Firm (meaning the last intermediary in the transmission chain which places the order on an Execution Venue for </w:t>
      </w:r>
      <w:r w:rsidR="00EB779C">
        <w:t>execution) +</w:t>
      </w:r>
      <w:r w:rsidR="00C12122">
        <w:t xml:space="preserve"> </w:t>
      </w:r>
      <w:r w:rsidR="00CB3880">
        <w:t>[</w:t>
      </w:r>
      <w:r w:rsidR="00C12122">
        <w:t>LEI/MIC of the Execution Venue</w:t>
      </w:r>
      <w:r w:rsidR="00CB3880">
        <w:t>]</w:t>
      </w:r>
      <w:r w:rsidR="00C12122">
        <w:t xml:space="preserve"> + </w:t>
      </w:r>
      <w:r w:rsidR="002B3DBC">
        <w:t xml:space="preserve">[CFI </w:t>
      </w:r>
      <w:bookmarkStart w:id="39" w:name="_Int_YRUAG1e0"/>
      <w:r w:rsidR="002B3DBC">
        <w:t>code]+</w:t>
      </w:r>
      <w:bookmarkEnd w:id="39"/>
      <w:r w:rsidR="002B3DBC">
        <w:t xml:space="preserve">[Instrument </w:t>
      </w:r>
      <w:bookmarkStart w:id="40" w:name="_Int_oWshFLz2"/>
      <w:r w:rsidR="002B3DBC">
        <w:t>identifier]+</w:t>
      </w:r>
      <w:bookmarkEnd w:id="40"/>
      <w:r w:rsidR="002B3DBC">
        <w:t>[Datetime of Confirmation of the Trade by the Executing Entity]. The Instrument Identifier could be the ISIN for instrument</w:t>
      </w:r>
      <w:r w:rsidR="00CB3880">
        <w:t>s</w:t>
      </w:r>
      <w:r w:rsidR="002B3DBC">
        <w:t xml:space="preserve"> listed on EEA Trading Venue) or for instruments not listed on EEA venues as well for unlisted instruments, Instrument Identifier could be the same value as Item number 42 of the table in the Annex of RTS 22 [Instrument Full Name], whereby the instrument full name will be the same name as assigned to the instrument by the </w:t>
      </w:r>
      <w:r w:rsidR="00CB3880">
        <w:t xml:space="preserve">Execution Venue (meaning non-EEA trading venue and other liquidity providers). </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0F42F38F" w:rsidR="006B5DF1" w:rsidRDefault="006B5DF1" w:rsidP="006B5DF1">
      <w:pPr>
        <w:spacing w:after="0"/>
      </w:pPr>
      <w:r>
        <w:t>&lt;ESMA_QUESTION_CP3_</w:t>
      </w:r>
      <w:r w:rsidR="003E7313">
        <w:t>20</w:t>
      </w:r>
      <w:r>
        <w:t>&gt;</w:t>
      </w:r>
    </w:p>
    <w:p w14:paraId="7F57DFED" w14:textId="308C5AE7" w:rsidR="006B5DF1" w:rsidRDefault="00535A1D" w:rsidP="003F06E6">
      <w:pPr>
        <w:spacing w:after="0"/>
      </w:pPr>
      <w:permStart w:id="1381705258" w:edGrp="everyone"/>
      <w:r>
        <w:t xml:space="preserve">We agree with </w:t>
      </w:r>
      <w:r w:rsidR="0B672971">
        <w:t>the</w:t>
      </w:r>
      <w:r>
        <w:t xml:space="preserve"> proposal, see also our response to Question 17 of this consultation paper. </w:t>
      </w:r>
    </w:p>
    <w:permEnd w:id="1381705258"/>
    <w:p w14:paraId="693695D5" w14:textId="1915377C" w:rsidR="006B5DF1" w:rsidRDefault="006B5DF1" w:rsidP="006B5DF1">
      <w:pPr>
        <w:spacing w:after="0"/>
      </w:pPr>
      <w:r>
        <w:t>&lt;ESMA_QUESTION_CP3_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18C37ADD" w:rsidR="006B5DF1" w:rsidRDefault="006B5DF1" w:rsidP="006B5DF1">
      <w:pPr>
        <w:spacing w:after="0"/>
      </w:pPr>
      <w:r>
        <w:t>&lt;ESMA_QUESTION_CP3_</w:t>
      </w:r>
      <w:r w:rsidR="003E7313">
        <w:t>21</w:t>
      </w:r>
      <w:r>
        <w:t>&gt;</w:t>
      </w:r>
    </w:p>
    <w:p w14:paraId="2EBD2BFA" w14:textId="26E119F3" w:rsidR="006B5DF1" w:rsidRDefault="00FF35FD" w:rsidP="006B5DF1">
      <w:pPr>
        <w:spacing w:after="0"/>
      </w:pPr>
      <w:permStart w:id="2065267156" w:edGrp="everyone"/>
      <w:r>
        <w:t xml:space="preserve">We </w:t>
      </w:r>
      <w:r w:rsidR="00C35431">
        <w:t xml:space="preserve">agree with ESMA’s </w:t>
      </w:r>
      <w:r>
        <w:t xml:space="preserve">alignment </w:t>
      </w:r>
      <w:r w:rsidR="00C35431">
        <w:t>of the definition of index in</w:t>
      </w:r>
      <w:r>
        <w:t xml:space="preserve"> </w:t>
      </w:r>
      <w:r w:rsidR="00C35431">
        <w:t xml:space="preserve">RTS </w:t>
      </w:r>
      <w:r w:rsidR="007652FF">
        <w:t xml:space="preserve">22 </w:t>
      </w:r>
      <w:r w:rsidR="00C35431">
        <w:t xml:space="preserve">with that of the BMR. </w:t>
      </w:r>
    </w:p>
    <w:permEnd w:id="2065267156"/>
    <w:p w14:paraId="2A4CCFD1" w14:textId="4186CDB1"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006B5DF1" w:rsidP="006B5DF1">
      <w:pPr>
        <w:spacing w:after="0"/>
      </w:pPr>
      <w:r>
        <w:t>&lt;ESMA_QUESTION_CP3_</w:t>
      </w:r>
      <w:r w:rsidR="003E7313">
        <w:t>22</w:t>
      </w:r>
      <w:r>
        <w:t>&gt;</w:t>
      </w:r>
    </w:p>
    <w:p w14:paraId="396F9A4E" w14:textId="67717EA9" w:rsidR="008D7C30" w:rsidRDefault="008D7C30" w:rsidP="006B5DF1">
      <w:pPr>
        <w:spacing w:after="0"/>
      </w:pPr>
      <w:permStart w:id="549856685" w:edGrp="everyone"/>
      <w:r>
        <w:t>TYPE YOUR TEXT HERE</w:t>
      </w:r>
      <w:permEnd w:id="549856685"/>
    </w:p>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2D5562D1" w:rsidR="006B5DF1" w:rsidRDefault="006B5DF1" w:rsidP="006B5DF1">
      <w:pPr>
        <w:spacing w:after="0"/>
      </w:pPr>
      <w:r>
        <w:t>&lt;ESMA_QUESTION_CP3_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74AF3BAB" w:rsidR="006B5DF1" w:rsidRDefault="006B5DF1" w:rsidP="006B5DF1">
      <w:pPr>
        <w:spacing w:after="0"/>
      </w:pPr>
      <w:r>
        <w:t>&lt;ESMA_QUESTION_CP3_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3AB5269C" w:rsidR="006B5DF1" w:rsidRDefault="006B5DF1" w:rsidP="006B5DF1">
      <w:pPr>
        <w:spacing w:after="0"/>
      </w:pPr>
      <w:r>
        <w:t>&lt;ESMA_QUESTION_CP3_</w:t>
      </w:r>
      <w:r w:rsidR="003E7313">
        <w:t>24</w:t>
      </w:r>
      <w:r>
        <w:t>&gt;</w:t>
      </w:r>
    </w:p>
    <w:p w14:paraId="5CF851B1" w14:textId="520FC0DC" w:rsidR="006B5DF1" w:rsidRDefault="00CA2BD6" w:rsidP="006B5DF1">
      <w:pPr>
        <w:spacing w:after="0"/>
      </w:pPr>
      <w:permStart w:id="604202828" w:edGrp="everyone"/>
      <w:r>
        <w:t xml:space="preserve">We note that </w:t>
      </w:r>
      <w:r w:rsidR="00234983">
        <w:t xml:space="preserve">Items: N.61 and 63 (waiver indicator and OTC post trade indicator) </w:t>
      </w:r>
      <w:r w:rsidR="00232B8F">
        <w:t xml:space="preserve">are </w:t>
      </w:r>
      <w:bookmarkStart w:id="41" w:name="_Int_J1NLwnt6"/>
      <w:r w:rsidR="00232B8F">
        <w:t>often times</w:t>
      </w:r>
      <w:bookmarkEnd w:id="41"/>
      <w:r w:rsidR="00232B8F">
        <w:t xml:space="preserve"> too problematic and ambiguous for firms to populate. </w:t>
      </w:r>
      <w:r w:rsidR="1892AB7A">
        <w:t>Moreover,</w:t>
      </w:r>
      <w:r w:rsidR="00232B8F">
        <w:t xml:space="preserve"> we note that the FCA in a recent </w:t>
      </w:r>
      <w:hyperlink r:id="rId34" w:history="1">
        <w:r w:rsidR="002273AC" w:rsidRPr="002273AC">
          <w:rPr>
            <w:rStyle w:val="Hyperlink"/>
          </w:rPr>
          <w:t xml:space="preserve">Discussion Paper </w:t>
        </w:r>
      </w:hyperlink>
      <w:r w:rsidR="002273AC">
        <w:t xml:space="preserve">(paragraphs 5.34 </w:t>
      </w:r>
      <w:r w:rsidR="00E917B6">
        <w:t xml:space="preserve">– 5.36) is proposing to remove the said fields. We </w:t>
      </w:r>
      <w:r w:rsidR="002A1BDB">
        <w:t xml:space="preserve">consider that ESMA could follow </w:t>
      </w:r>
      <w:r w:rsidR="00846987">
        <w:t>a similar</w:t>
      </w:r>
      <w:r w:rsidR="002A1BDB">
        <w:t xml:space="preserve"> approach and eliminate </w:t>
      </w:r>
      <w:r w:rsidR="00846987">
        <w:t xml:space="preserve">item 61 </w:t>
      </w:r>
      <w:r w:rsidR="00562827">
        <w:t>while</w:t>
      </w:r>
      <w:r w:rsidR="00846987">
        <w:t xml:space="preserve"> limit</w:t>
      </w:r>
      <w:r w:rsidR="00562827">
        <w:t>ing</w:t>
      </w:r>
      <w:r w:rsidR="00232B8F">
        <w:t xml:space="preserve"> </w:t>
      </w:r>
      <w:r w:rsidR="00846987">
        <w:t xml:space="preserve">the scope of item 63. We believe that item 63 </w:t>
      </w:r>
      <w:r w:rsidR="00F85112">
        <w:t xml:space="preserve">allowable values should be limited to Agency </w:t>
      </w:r>
      <w:r w:rsidR="00562827">
        <w:t xml:space="preserve">Cross Trade (ACTX) and </w:t>
      </w:r>
      <w:r w:rsidR="003F29DA">
        <w:t xml:space="preserve">Packaged Trade (TPAC). We note that some </w:t>
      </w:r>
      <w:r w:rsidR="00743427">
        <w:t xml:space="preserve">of the elements of item 63 were never used as they do not trigger a reporting obligation </w:t>
      </w:r>
      <w:r w:rsidR="00492B77">
        <w:t xml:space="preserve">under Art 26 of MiFIR (e.g. </w:t>
      </w:r>
      <w:r w:rsidR="00FB01BC">
        <w:t xml:space="preserve">RPRI – price improvement, </w:t>
      </w:r>
      <w:r w:rsidR="00FF1883">
        <w:t xml:space="preserve">SDIV – special dividend). </w:t>
      </w:r>
    </w:p>
    <w:permEnd w:id="604202828"/>
    <w:p w14:paraId="3D62CC04" w14:textId="456B415E" w:rsidR="006B5DF1" w:rsidRDefault="006B5DF1" w:rsidP="006B5DF1">
      <w:pPr>
        <w:spacing w:after="0"/>
      </w:pPr>
      <w:r>
        <w:t>&lt;ESMA_QUESTION_CP3_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5C5B027A" w:rsidR="006B5DF1" w:rsidRDefault="006B5DF1" w:rsidP="006B5DF1">
      <w:pPr>
        <w:spacing w:after="0"/>
      </w:pPr>
      <w:r>
        <w:t>&lt;ESMA_QUESTION_CP3_</w:t>
      </w:r>
      <w:r w:rsidR="003E7313">
        <w:t>25</w:t>
      </w:r>
      <w:r>
        <w:t>&gt;</w:t>
      </w:r>
    </w:p>
    <w:p w14:paraId="22FD2603" w14:textId="0876C2FE" w:rsidR="006B5DF1" w:rsidRDefault="009632ED" w:rsidP="006B5DF1">
      <w:pPr>
        <w:spacing w:after="0"/>
      </w:pPr>
      <w:permStart w:id="1792834567" w:edGrp="everyone"/>
      <w:r>
        <w:t xml:space="preserve">We agree with ESMA’s proposal to align </w:t>
      </w:r>
      <w:r w:rsidR="00641B50">
        <w:t xml:space="preserve">MiFIR and EMIR with respect to the buyer seller fields. We note that there are several instruments (especially those under Art.26(2)(b) and (c)) where the designation buyer/seller is not always applicable. E.g. a total return swap on equity or equity index, is not bought or sold per-se but rather counterparties agree to exchange the economic benefit of the index/equity and a pre-set rate. </w:t>
      </w:r>
    </w:p>
    <w:permEnd w:id="1792834567"/>
    <w:p w14:paraId="64A80114" w14:textId="64B75614" w:rsidR="006B5DF1" w:rsidRDefault="006B5DF1" w:rsidP="006B5DF1">
      <w:pPr>
        <w:spacing w:after="0"/>
      </w:pPr>
      <w:r>
        <w:t>&lt;ESMA_QUESTION_CP3_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62D53457" w:rsidR="006B5DF1" w:rsidRDefault="006B5DF1" w:rsidP="006B5DF1">
      <w:pPr>
        <w:spacing w:after="0"/>
      </w:pPr>
      <w:r>
        <w:t>&lt;ESMA_QUESTION_CP3_</w:t>
      </w:r>
      <w:r w:rsidR="003E7313">
        <w:t>2</w:t>
      </w:r>
      <w:r>
        <w:t>6&gt;</w:t>
      </w:r>
    </w:p>
    <w:p w14:paraId="3A023F1B" w14:textId="43E17DFD" w:rsidR="006B5DF1" w:rsidRDefault="00737292" w:rsidP="006B5DF1">
      <w:pPr>
        <w:spacing w:after="0"/>
      </w:pPr>
      <w:permStart w:id="2128023615" w:edGrp="everyone"/>
      <w:r>
        <w:t>For the specific case of option contracts. W</w:t>
      </w:r>
      <w:r w:rsidR="002972C5">
        <w:t xml:space="preserve">e propose to maintain the current status quo where price of the contract = option premium, or </w:t>
      </w:r>
      <w:r w:rsidR="003C60D2">
        <w:t xml:space="preserve">alternatively, option premium is not reported at all. This is </w:t>
      </w:r>
      <w:bookmarkStart w:id="42" w:name="_Int_UqEzGsSu"/>
      <w:r w:rsidR="003C60D2">
        <w:t>due to the fact that</w:t>
      </w:r>
      <w:bookmarkEnd w:id="42"/>
      <w:r w:rsidR="003C60D2">
        <w:t xml:space="preserve"> </w:t>
      </w:r>
      <w:r w:rsidR="00A8536A">
        <w:t xml:space="preserve">option premium is a </w:t>
      </w:r>
      <w:r w:rsidR="00CB3E61">
        <w:t>factor of the intrinsic value of the option (meaning the amount of money if the option exercised at the pre-set strike price vs market for the underlying</w:t>
      </w:r>
      <w:r w:rsidR="00E70F0D">
        <w:t xml:space="preserve">) and a time value. </w:t>
      </w:r>
      <w:r w:rsidR="00462991">
        <w:t>Moreover</w:t>
      </w:r>
      <w:r w:rsidR="00AE52F1">
        <w:t xml:space="preserve">, </w:t>
      </w:r>
      <w:r w:rsidR="00D13E33">
        <w:t>for options, strike price is a more important/key factor for market monitoring purposes than the premium.</w:t>
      </w:r>
    </w:p>
    <w:p w14:paraId="2704C53E" w14:textId="75D7E8DA" w:rsidR="00FE0487" w:rsidRDefault="00FE0487" w:rsidP="006B5DF1">
      <w:pPr>
        <w:spacing w:after="0"/>
      </w:pPr>
      <w:r>
        <w:t xml:space="preserve">As such we believe that ESMA should maintain the status quo or </w:t>
      </w:r>
      <w:r w:rsidR="003D4CB6">
        <w:t>allow the NOAP where the ISIN pertains to an option or, in the absence of an ISIN, the CFI code pertains to an option (either O****</w:t>
      </w:r>
      <w:r w:rsidR="00856EF5">
        <w:t xml:space="preserve"> or H*****).</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2694C4E8" w:rsidR="006B5DF1" w:rsidRDefault="006B5DF1" w:rsidP="006B5DF1">
      <w:pPr>
        <w:spacing w:after="0"/>
      </w:pPr>
      <w:r>
        <w:t>&lt;ESMA_QUESTION_CP3_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5A2A5226"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lastRenderedPageBreak/>
        <w:t>Do you agree with adding the field ‘Package transaction price’ to align the reporting under MiFIR with EMIR Refit and CDE Technical Guidance?</w:t>
      </w:r>
    </w:p>
    <w:p w14:paraId="24E90255" w14:textId="77777777" w:rsidR="005D3762" w:rsidRDefault="005D3762" w:rsidP="005D3762"/>
    <w:p w14:paraId="7C4630B3" w14:textId="1C464FF0" w:rsidR="005D3762" w:rsidRDefault="005D3762" w:rsidP="005D3762">
      <w:pPr>
        <w:spacing w:after="0"/>
      </w:pPr>
      <w:r>
        <w:t>&lt;ESMA_QUESTION_CP3_</w:t>
      </w:r>
      <w:r w:rsidR="003E7313">
        <w:t>28</w:t>
      </w:r>
      <w:r>
        <w:t>&gt;</w:t>
      </w:r>
    </w:p>
    <w:p w14:paraId="2BC73DE9" w14:textId="09F95EED" w:rsidR="005D3762" w:rsidRDefault="00D04E90" w:rsidP="00D04E90">
      <w:pPr>
        <w:spacing w:after="0"/>
      </w:pPr>
      <w:permStart w:id="1129537263" w:edGrp="everyone"/>
      <w:r w:rsidRPr="00D04E90">
        <w:t xml:space="preserve"> Packaged transactions are more often than naught come with a single price and then some firms worked backwards to identify the price of each individual asset included in the package or reported the agreed price for all instruments included in the package trade. We are of the view that that a situation whereby a single price is agreed for a package deal the said price should be reported across the board. As such </w:t>
      </w:r>
      <w:bookmarkStart w:id="43" w:name="_Int_ceI4KLSV"/>
      <w:r w:rsidRPr="00D04E90">
        <w:t>we’re</w:t>
      </w:r>
      <w:bookmarkEnd w:id="43"/>
      <w:r w:rsidRPr="00D04E90">
        <w:t xml:space="preserve"> in favour of including an additional price field for complex trades. We need to stress however that while the individual price per leg may not always be available the agreed complex price must always be reported.</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5934B920" w:rsidR="005D3762" w:rsidRDefault="005D3762" w:rsidP="005D3762">
      <w:pPr>
        <w:spacing w:after="0"/>
      </w:pPr>
      <w:r>
        <w:t>&lt;ESMA_QUESTION_CP3_</w:t>
      </w:r>
      <w:r w:rsidR="003E7313">
        <w:t>29</w:t>
      </w:r>
      <w:r>
        <w:t>&gt;</w:t>
      </w:r>
    </w:p>
    <w:p w14:paraId="7F414801" w14:textId="46B3EACB" w:rsidR="00222045" w:rsidRDefault="00222045" w:rsidP="00222045">
      <w:pPr>
        <w:spacing w:after="0"/>
      </w:pPr>
      <w:permStart w:id="1588948984" w:edGrp="everyone"/>
      <w:r>
        <w:t xml:space="preserve">We do not believe that a Digital Token Identifier will bring much clarity to the NCAs. Explaining, the overwhelming majority of tokenised securities are in the form of referential instruments, e.g. OTC derivatives priced in the native token of the blockchain they’re trading on and in a lot of cases such trading occurs outside established financial centres such as the US, EU, UK etc., where the regulatory regime for such trading is more relaxed (if any regulatory regime exists at all). As such </w:t>
      </w:r>
      <w:bookmarkStart w:id="44" w:name="_Int_FFlus3YX"/>
      <w:r>
        <w:t>the overwhelming majority of</w:t>
      </w:r>
      <w:bookmarkEnd w:id="44"/>
      <w:r>
        <w:t xml:space="preserve"> such assets are not assigned a DTI and this evident from the </w:t>
      </w:r>
      <w:hyperlink r:id="rId35" w:history="1">
        <w:r w:rsidRPr="00B60332">
          <w:rPr>
            <w:rStyle w:val="Hyperlink"/>
          </w:rPr>
          <w:t>Digital Token Identifier Foundation</w:t>
        </w:r>
      </w:hyperlink>
      <w:r>
        <w:t xml:space="preserve"> own data (download registry). Approximately 2600 DTI codes have been </w:t>
      </w:r>
      <w:bookmarkStart w:id="45" w:name="_Int_PCJTWL9m"/>
      <w:r>
        <w:t>issued</w:t>
      </w:r>
      <w:bookmarkEnd w:id="45"/>
      <w:r>
        <w:t xml:space="preserve"> and these codes correspond not only to tokenised securities but also for instruments not captured by the MiFIR transaction obligation (e.g. tokenised derivatives such as </w:t>
      </w:r>
      <w:hyperlink r:id="rId36" w:history="1">
        <w:r w:rsidRPr="00CC4DB8">
          <w:rPr>
            <w:rStyle w:val="Hyperlink"/>
          </w:rPr>
          <w:t>Binance’s</w:t>
        </w:r>
      </w:hyperlink>
      <w:r>
        <w:t xml:space="preserve"> bitcoin so called futures, </w:t>
      </w:r>
      <w:bookmarkStart w:id="46" w:name="_Int_LenY3R0Z"/>
      <w:r>
        <w:t>crypto-assets</w:t>
      </w:r>
      <w:bookmarkEnd w:id="46"/>
      <w:r>
        <w:t xml:space="preserve"> such as bitcoin, ether etc.). In contrast. as per news outlets, about 500,000 new tokens (not crypto currencies) launched by Q1-Q2 of </w:t>
      </w:r>
      <w:hyperlink r:id="rId37" w:history="1">
        <w:r w:rsidRPr="00FE0ED2">
          <w:rPr>
            <w:rStyle w:val="Hyperlink"/>
          </w:rPr>
          <w:t>2024 alone</w:t>
        </w:r>
      </w:hyperlink>
      <w:r>
        <w:t xml:space="preserve">. Granted, these tokens do </w:t>
      </w:r>
      <w:r w:rsidR="00BE2307">
        <w:t xml:space="preserve">not </w:t>
      </w:r>
      <w:r>
        <w:t xml:space="preserve">necessarily reflect tokenised securities, nor does this mean that they are all actively traded, but DTI’s will not capture the full extent of tokenised securities. </w:t>
      </w:r>
    </w:p>
    <w:p w14:paraId="11BBF3AC" w14:textId="77777777" w:rsidR="00AA4AF4" w:rsidRDefault="00AA4AF4" w:rsidP="00222045">
      <w:pPr>
        <w:spacing w:after="0"/>
      </w:pPr>
    </w:p>
    <w:p w14:paraId="4053AB00" w14:textId="5E0E5394" w:rsidR="005D3762" w:rsidRDefault="00222045" w:rsidP="005D3762">
      <w:pPr>
        <w:spacing w:after="0"/>
      </w:pPr>
      <w:r>
        <w:t xml:space="preserve">As such we believe that the best way forward is to emulate EMIR, and instead of adopting a DTI code, </w:t>
      </w:r>
      <w:r w:rsidR="007C05A7">
        <w:t xml:space="preserve">ESMA </w:t>
      </w:r>
      <w:r>
        <w:t xml:space="preserve">could insert a Boolean field (Y/N) </w:t>
      </w:r>
      <w:bookmarkStart w:id="47" w:name="_Int_XXUWL5j4"/>
      <w:r>
        <w:t>along the lines of</w:t>
      </w:r>
      <w:bookmarkEnd w:id="47"/>
      <w:r>
        <w:t xml:space="preserve"> the “Derivative based on </w:t>
      </w:r>
      <w:proofErr w:type="spellStart"/>
      <w:r>
        <w:t>cryptoasset</w:t>
      </w:r>
      <w:bookmarkStart w:id="48" w:name="_Int_XvbkE9SG"/>
      <w:proofErr w:type="spellEnd"/>
      <w:r>
        <w:t>”.</w:t>
      </w:r>
      <w:bookmarkEnd w:id="48"/>
      <w:r>
        <w:t xml:space="preserve"> E.g. Tokenised Security Y/N</w:t>
      </w:r>
      <w:r w:rsidR="00E74B60">
        <w:t xml:space="preserve"> and/or Underlying </w:t>
      </w:r>
      <w:r w:rsidR="0097260C">
        <w:t>Based on crypto</w:t>
      </w:r>
      <w:r w:rsidR="006C1394">
        <w:t xml:space="preserve"> Y/N</w:t>
      </w:r>
      <w:r>
        <w:t xml:space="preserve">. </w:t>
      </w:r>
    </w:p>
    <w:permEnd w:id="1588948984"/>
    <w:p w14:paraId="64D40008" w14:textId="0DA7EC93" w:rsidR="005D3762" w:rsidRDefault="005D3762" w:rsidP="005D3762">
      <w:pPr>
        <w:spacing w:after="0"/>
      </w:pPr>
      <w:r>
        <w:t>&lt;ESMA_QUESTION_CP3_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lastRenderedPageBreak/>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632EF669" w:rsidR="005D3762" w:rsidRDefault="005D3762" w:rsidP="005D3762">
      <w:pPr>
        <w:spacing w:after="0"/>
      </w:pPr>
      <w:r>
        <w:t>&lt;ESMA_QUESTION_CP3_3</w:t>
      </w:r>
      <w:r w:rsidR="003E7313">
        <w:t>0</w:t>
      </w:r>
      <w:r>
        <w:t>&gt;</w:t>
      </w:r>
    </w:p>
    <w:p w14:paraId="0D6BE477" w14:textId="766D645E" w:rsidR="00C30CAB" w:rsidRDefault="00E16B3A" w:rsidP="00C30CAB">
      <w:pPr>
        <w:spacing w:after="0"/>
      </w:pPr>
      <w:permStart w:id="717119251" w:edGrp="everyone"/>
      <w:r>
        <w:t xml:space="preserve"> We agree with the proposed amendments to Art.4 of RTS 22 </w:t>
      </w:r>
      <w:bookmarkStart w:id="49" w:name="_Int_PqTkNQIA"/>
      <w:r>
        <w:t>in order to</w:t>
      </w:r>
      <w:bookmarkEnd w:id="49"/>
      <w:r>
        <w:t xml:space="preserve"> include </w:t>
      </w:r>
      <w:r w:rsidR="00F8685A">
        <w:t xml:space="preserve">cases </w:t>
      </w:r>
      <w:r w:rsidR="009708C2">
        <w:t xml:space="preserve">where the transmitting firm is </w:t>
      </w:r>
      <w:r w:rsidR="00424FFF">
        <w:t>acting under a DEAL capacity</w:t>
      </w:r>
      <w:r w:rsidR="00F8685A">
        <w:t xml:space="preserve">. We do not understand why those specific cases </w:t>
      </w:r>
      <w:r w:rsidR="6C214843">
        <w:t>were</w:t>
      </w:r>
      <w:r w:rsidR="00F8685A">
        <w:t xml:space="preserve"> excluded originally as </w:t>
      </w:r>
      <w:r w:rsidR="00804869">
        <w:t>Art.4 allow</w:t>
      </w:r>
      <w:r w:rsidR="00644313">
        <w:t>s</w:t>
      </w:r>
      <w:r w:rsidR="00804869">
        <w:t xml:space="preserve"> for the delegation of the reporting obligation from the transmitting to the receiving firm. </w:t>
      </w:r>
      <w:r w:rsidR="00793313">
        <w:t xml:space="preserve">Moreover, the transmission mechanism </w:t>
      </w:r>
      <w:r w:rsidR="009E480F">
        <w:t xml:space="preserve">for transmitting companies trading under DEAL capacity would be easier to implement for both the receiving and transmitting firm as </w:t>
      </w:r>
      <w:r w:rsidR="009350E6">
        <w:t xml:space="preserve">the amount of information the transmitting firm will need to provide the receiving firm will be substantially less as there are no underlying clients(see Art.4(2) of the RTS). </w:t>
      </w:r>
    </w:p>
    <w:p w14:paraId="485CF5BD" w14:textId="77777777" w:rsidR="00C30CAB" w:rsidRDefault="00C30CAB" w:rsidP="00C30CAB">
      <w:pPr>
        <w:spacing w:after="0"/>
      </w:pPr>
    </w:p>
    <w:p w14:paraId="3E872E93" w14:textId="566275D8" w:rsidR="00C30CAB" w:rsidRPr="00C30CAB" w:rsidRDefault="00804869" w:rsidP="00C30CAB">
      <w:pPr>
        <w:spacing w:after="0"/>
      </w:pPr>
      <w:r>
        <w:t>Moreover</w:t>
      </w:r>
      <w:r w:rsidR="00C30CAB">
        <w:t>, w</w:t>
      </w:r>
      <w:r w:rsidR="00C30CAB" w:rsidRPr="00C30CAB">
        <w:t xml:space="preserve">e believe that the language of </w:t>
      </w:r>
      <w:r w:rsidR="00C30CAB">
        <w:t>A</w:t>
      </w:r>
      <w:r w:rsidR="00C30CAB" w:rsidRPr="00C30CAB">
        <w:t>rticle 4 require</w:t>
      </w:r>
      <w:r w:rsidR="00C30CAB">
        <w:t>s</w:t>
      </w:r>
      <w:r w:rsidR="00C30CAB" w:rsidRPr="00C30CAB">
        <w:t xml:space="preserve"> clean-up. The Transmission Flag could be renamed to be better representative of the intent, i.e. only where all the conditions of Art.4 are met the said flag should be tagged. This may also require an amendment to Art.26(4) of EU </w:t>
      </w:r>
      <w:hyperlink r:id="rId38" w:history="1">
        <w:r w:rsidR="00C30CAB" w:rsidRPr="00C30CAB">
          <w:rPr>
            <w:rStyle w:val="Hyperlink"/>
          </w:rPr>
          <w:t>Regulation 600/2014</w:t>
        </w:r>
      </w:hyperlink>
      <w:r w:rsidR="00C30CAB" w:rsidRPr="00C30CAB">
        <w:t xml:space="preserve">,  copied pasted below: </w:t>
      </w:r>
    </w:p>
    <w:p w14:paraId="6312A121" w14:textId="77777777" w:rsidR="00C30CAB" w:rsidRPr="00C30CAB" w:rsidRDefault="00C30CAB" w:rsidP="00C30CAB">
      <w:pPr>
        <w:spacing w:after="0"/>
      </w:pPr>
    </w:p>
    <w:p w14:paraId="5CBC661F" w14:textId="77777777" w:rsidR="00C30CAB" w:rsidRPr="00C30CAB" w:rsidRDefault="00C30CAB" w:rsidP="00AA4AF4">
      <w:pPr>
        <w:spacing w:after="0"/>
        <w:ind w:left="284"/>
        <w:rPr>
          <w:i/>
          <w:iCs/>
        </w:rPr>
      </w:pPr>
      <w:r w:rsidRPr="00C30CAB">
        <w:rPr>
          <w:i/>
          <w:iCs/>
        </w:rPr>
        <w:t>Investment firms which transmit orders shall include in the transmission of that order all the details as specified in paragraphs 1 and 3. Instead of including the mentioned details when transmitting orders, an investment firm may choose to report the transmitted order, if it is executed, as a transaction in accordance with the requirements under paragraph 1. In that case, the transaction report by the investment firm shall state that it pertains to a transmitted order.</w:t>
      </w:r>
    </w:p>
    <w:p w14:paraId="42A6AC1F" w14:textId="77777777" w:rsidR="00C30CAB" w:rsidRPr="00C30CAB" w:rsidRDefault="00C30CAB" w:rsidP="00C30CAB">
      <w:pPr>
        <w:spacing w:after="0"/>
        <w:rPr>
          <w:i/>
          <w:iCs/>
        </w:rPr>
      </w:pPr>
    </w:p>
    <w:p w14:paraId="0F25FA94" w14:textId="5DB05E96" w:rsidR="00C30CAB" w:rsidRPr="00C30CAB" w:rsidRDefault="00C30CAB" w:rsidP="00C30CAB">
      <w:pPr>
        <w:spacing w:after="0"/>
      </w:pPr>
      <w:r>
        <w:t xml:space="preserve">We believe that the essence and intent of Art.4 of RTS 22 and 26(4) of MiFIR do not require any </w:t>
      </w:r>
      <w:r w:rsidR="19058769">
        <w:t>changes,</w:t>
      </w:r>
      <w:r>
        <w:t xml:space="preserve"> but the language requires a clean-up. From our experience, when the </w:t>
      </w:r>
      <w:proofErr w:type="spellStart"/>
      <w:r>
        <w:t>MiFIDII</w:t>
      </w:r>
      <w:proofErr w:type="spellEnd"/>
      <w:r>
        <w:t>/MiFIR and associated RTSs came into effect, several investment firms, considered themselves as exempted from reporting because they offered the investment service “Reception and Transmission of Client Orders”</w:t>
      </w:r>
      <w:r w:rsidR="00556346">
        <w:t xml:space="preserve"> and conflated the investment service with the exemptions of Art 26(4) of MiFIR </w:t>
      </w:r>
      <w:bookmarkStart w:id="50" w:name="_Int_pGEvubJH"/>
      <w:r w:rsidR="00556346">
        <w:t>re-Transmitting</w:t>
      </w:r>
      <w:bookmarkEnd w:id="50"/>
      <w:r w:rsidR="00556346">
        <w:t xml:space="preserve"> Firms</w:t>
      </w:r>
      <w:r>
        <w:t>.</w:t>
      </w:r>
    </w:p>
    <w:p w14:paraId="3915BB40" w14:textId="3F0AC706" w:rsidR="00E16B3A" w:rsidRDefault="00E16B3A" w:rsidP="00E16B3A">
      <w:pPr>
        <w:spacing w:after="0"/>
      </w:pPr>
    </w:p>
    <w:p w14:paraId="37E7E22F" w14:textId="30525DD2" w:rsidR="005D3762" w:rsidRDefault="00E82502" w:rsidP="00E82502">
      <w:pPr>
        <w:spacing w:after="0"/>
      </w:pPr>
      <w:r>
        <w:t>.</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D168E90" w:rsidR="005D3762" w:rsidRDefault="005D3762" w:rsidP="005D3762">
      <w:pPr>
        <w:spacing w:after="0"/>
      </w:pPr>
      <w:r>
        <w:t>&lt;ESMA_QUESTION_CP3_3</w:t>
      </w:r>
      <w:r w:rsidR="003E7313">
        <w:t>1</w:t>
      </w:r>
      <w:r>
        <w:t>&gt;</w:t>
      </w:r>
    </w:p>
    <w:p w14:paraId="22E2FE6C" w14:textId="77777777" w:rsidR="00715A20" w:rsidRDefault="00715A20" w:rsidP="00AD5E7E">
      <w:pPr>
        <w:spacing w:after="0"/>
      </w:pPr>
      <w:permStart w:id="5922041" w:edGrp="everyone"/>
      <w:r>
        <w:lastRenderedPageBreak/>
        <w:t xml:space="preserve">We agree in principle with ESMA’s proposal to include additional clarifications to Art.7 of RTS 22 </w:t>
      </w:r>
    </w:p>
    <w:p w14:paraId="7AAB1F61" w14:textId="48A2A6BA" w:rsidR="005D3762" w:rsidRDefault="00B8488C" w:rsidP="00AD5E7E">
      <w:pPr>
        <w:spacing w:after="0"/>
      </w:pPr>
      <w:r>
        <w:t xml:space="preserve">We need to draw ESMA’s attention to the following, many Fund managers (meaning AIFMs and UCITS Management Companies) may outsource the function of </w:t>
      </w:r>
      <w:r w:rsidR="002C4B76">
        <w:t xml:space="preserve">managing a fund’s portfolios to investment firms, authorised for the service of portfolio management </w:t>
      </w:r>
      <w:r w:rsidR="00EA78C6">
        <w:t xml:space="preserve">(within the meaning of Annex I section A point (4) of Directive 2014/65/EU). In such cases buyer/seller is identified as </w:t>
      </w:r>
      <w:r w:rsidR="00715A20">
        <w:t xml:space="preserve">the Fund while the investment decision maker fields are identified as the outsourced portfolio manager. </w:t>
      </w:r>
    </w:p>
    <w:p w14:paraId="400CE653" w14:textId="6D67508E" w:rsidR="00715A20" w:rsidRDefault="00715A20" w:rsidP="00AD5E7E">
      <w:pPr>
        <w:spacing w:after="0"/>
      </w:pPr>
      <w:r>
        <w:t xml:space="preserve">Where the Fund Manager does not outsource the </w:t>
      </w:r>
      <w:r w:rsidR="00B73620">
        <w:t xml:space="preserve">managing of a funds’ portfolios to a third party (investment firm) the buyer/seller fields </w:t>
      </w:r>
      <w:r w:rsidR="00AD7067">
        <w:t>should be identified as the</w:t>
      </w:r>
      <w:r w:rsidR="00B73620">
        <w:t xml:space="preserve"> fund </w:t>
      </w:r>
      <w:r w:rsidR="00AD7067">
        <w:t xml:space="preserve">while the investment decision maker should be the Fund Manager. </w:t>
      </w: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4BDEAB3D" w:rsidR="005D3762" w:rsidRDefault="005D3762" w:rsidP="005D3762">
      <w:pPr>
        <w:spacing w:after="0"/>
      </w:pPr>
      <w:r>
        <w:t>&lt;ESMA_QUESTION_CP3_3</w:t>
      </w:r>
      <w:r w:rsidR="003E7313">
        <w:t>2</w:t>
      </w:r>
      <w:r>
        <w:t>&gt;</w:t>
      </w:r>
    </w:p>
    <w:p w14:paraId="5C6177B5" w14:textId="5806F435" w:rsidR="00A21042" w:rsidRDefault="00A21042" w:rsidP="005D3762">
      <w:pPr>
        <w:spacing w:after="0"/>
      </w:pPr>
      <w:permStart w:id="787828672" w:edGrp="everyone"/>
      <w:r>
        <w:t>Please see our comments below</w:t>
      </w:r>
    </w:p>
    <w:p w14:paraId="32A6875A" w14:textId="77777777" w:rsidR="00A21042" w:rsidRDefault="00A21042" w:rsidP="005D3762">
      <w:pPr>
        <w:spacing w:after="0"/>
      </w:pPr>
    </w:p>
    <w:p w14:paraId="12FEE8FA" w14:textId="717F28C0" w:rsidR="005D3762" w:rsidRDefault="00A21042" w:rsidP="00A21042">
      <w:pPr>
        <w:pStyle w:val="ListParagraph"/>
        <w:numPr>
          <w:ilvl w:val="0"/>
          <w:numId w:val="39"/>
        </w:numPr>
        <w:spacing w:after="0"/>
      </w:pPr>
      <w:r>
        <w:t>I</w:t>
      </w:r>
      <w:r w:rsidR="007B555D">
        <w:t>tem 43a.</w:t>
      </w:r>
      <w:r w:rsidR="00D253FC">
        <w:t xml:space="preserve"> MiFIR identifier (for e.g. shares = SHRS) overlaps with item 43 </w:t>
      </w:r>
      <w:r w:rsidR="00EC1BCC">
        <w:t>Product Classification (e.g. CFI Code for shares</w:t>
      </w:r>
      <w:r w:rsidR="00776BD3">
        <w:t xml:space="preserve"> ES****), moreover 43a. is </w:t>
      </w:r>
      <w:r w:rsidR="00044638">
        <w:t xml:space="preserve">far </w:t>
      </w:r>
      <w:r w:rsidR="00776BD3">
        <w:t>less descriptive than 43</w:t>
      </w:r>
      <w:r w:rsidR="00044638">
        <w:t xml:space="preserve">, </w:t>
      </w:r>
      <w:r w:rsidR="00776BD3">
        <w:t xml:space="preserve">e.g. </w:t>
      </w:r>
      <w:r w:rsidR="00493122">
        <w:t xml:space="preserve">CFI code for shares contains information on voting rights, ownership/transfer/sale restrictions, </w:t>
      </w:r>
      <w:r w:rsidR="00044638">
        <w:t>payment status (fully paid upfront, not paid etc.)</w:t>
      </w:r>
      <w:r w:rsidR="0047548C">
        <w:t xml:space="preserve">, negotiability and transmission (bearer shares, registered or other). As such we </w:t>
      </w:r>
      <w:r w:rsidR="18CFA42A">
        <w:t>do not</w:t>
      </w:r>
      <w:r w:rsidR="0047548C">
        <w:t xml:space="preserve">’ believe how this new data point offers any </w:t>
      </w:r>
      <w:r w:rsidR="00B91A31">
        <w:t xml:space="preserve">additional information to the NCAs. </w:t>
      </w:r>
    </w:p>
    <w:p w14:paraId="10842F61" w14:textId="77777777" w:rsidR="00B91A31" w:rsidRDefault="00B91A31" w:rsidP="005D3762">
      <w:pPr>
        <w:spacing w:after="0"/>
      </w:pPr>
    </w:p>
    <w:p w14:paraId="71DC2084" w14:textId="364B38AC" w:rsidR="00B91A31" w:rsidRDefault="00A21042" w:rsidP="00A21042">
      <w:pPr>
        <w:pStyle w:val="ListParagraph"/>
        <w:numPr>
          <w:ilvl w:val="0"/>
          <w:numId w:val="39"/>
        </w:numPr>
        <w:spacing w:after="0"/>
      </w:pPr>
      <w:r>
        <w:t xml:space="preserve">Item </w:t>
      </w:r>
      <w:r w:rsidR="00F12E54">
        <w:t>47a.</w:t>
      </w:r>
      <w:r>
        <w:t xml:space="preserve"> Underlying DLT code</w:t>
      </w:r>
      <w:r w:rsidR="004958E2">
        <w:t>.</w:t>
      </w:r>
      <w:r w:rsidR="00F12E54">
        <w:t xml:space="preserve"> </w:t>
      </w:r>
      <w:r>
        <w:t xml:space="preserve">Please see our response to this consultation paper question </w:t>
      </w:r>
      <w:r w:rsidR="004958E2">
        <w:t xml:space="preserve">29, </w:t>
      </w:r>
      <w:r w:rsidR="00B266B8">
        <w:t xml:space="preserve">we </w:t>
      </w:r>
      <w:r w:rsidR="3CA529DC">
        <w:t>do not</w:t>
      </w:r>
      <w:r w:rsidR="00B266B8">
        <w:t xml:space="preserve"> believe that the DLT code is widely </w:t>
      </w:r>
      <w:bookmarkStart w:id="51" w:name="_Int_qX7hiAUZ"/>
      <w:r w:rsidR="00B266B8">
        <w:t>available</w:t>
      </w:r>
      <w:bookmarkEnd w:id="51"/>
      <w:r w:rsidR="00B266B8">
        <w:t xml:space="preserve"> and we </w:t>
      </w:r>
      <w:r w:rsidR="00A04E7C">
        <w:t>suggest</w:t>
      </w:r>
      <w:r w:rsidR="00B266B8">
        <w:t xml:space="preserve"> replacing the </w:t>
      </w:r>
      <w:r w:rsidR="00A04E7C">
        <w:t>proposed field</w:t>
      </w:r>
      <w:r w:rsidR="004958E2">
        <w:t xml:space="preserve"> with a data point </w:t>
      </w:r>
      <w:bookmarkStart w:id="52" w:name="_Int_cgttoGZp"/>
      <w:r w:rsidR="004958E2">
        <w:t>similar to</w:t>
      </w:r>
      <w:bookmarkEnd w:id="52"/>
      <w:r w:rsidR="004958E2">
        <w:t xml:space="preserve"> EMIR </w:t>
      </w:r>
      <w:r w:rsidR="00CB0D4B">
        <w:t xml:space="preserve">e.g. Tokenised Security or Underlying is a </w:t>
      </w:r>
      <w:proofErr w:type="spellStart"/>
      <w:r w:rsidR="00CB0D4B">
        <w:t>cryptoasset</w:t>
      </w:r>
      <w:proofErr w:type="spellEnd"/>
      <w:r w:rsidR="00CB0D4B">
        <w:t xml:space="preserve"> Boolean Y/N value. </w:t>
      </w:r>
    </w:p>
    <w:p w14:paraId="4E77ABA2" w14:textId="77777777" w:rsidR="004C2FFD" w:rsidRDefault="004C2FFD" w:rsidP="004C2FFD">
      <w:pPr>
        <w:pStyle w:val="ListParagraph"/>
      </w:pPr>
    </w:p>
    <w:p w14:paraId="3A0DCEB6" w14:textId="7ECA001D" w:rsidR="004C2FFD" w:rsidRDefault="004C2FFD" w:rsidP="00A21042">
      <w:pPr>
        <w:pStyle w:val="ListParagraph"/>
        <w:numPr>
          <w:ilvl w:val="0"/>
          <w:numId w:val="39"/>
        </w:numPr>
        <w:spacing w:after="0"/>
      </w:pPr>
      <w:r>
        <w:t xml:space="preserve">Items 47b Asset of the underlying, </w:t>
      </w:r>
      <w:r w:rsidR="008F59DE">
        <w:t xml:space="preserve">47c Underlying type are again overlapping with item 43 Product classification. </w:t>
      </w:r>
      <w:r w:rsidR="130D7476">
        <w:t>Moreover,</w:t>
      </w:r>
      <w:r w:rsidR="008F59DE">
        <w:t xml:space="preserve"> the said flags do not provide any additional information than the one contained in field 43</w:t>
      </w:r>
      <w:r w:rsidR="003133F2">
        <w:t xml:space="preserve"> in fact field 43 when properly deployed provides </w:t>
      </w:r>
      <w:bookmarkStart w:id="53" w:name="_Int_XFYFSa1r"/>
      <w:r w:rsidR="003133F2">
        <w:t>substantially more</w:t>
      </w:r>
      <w:bookmarkEnd w:id="53"/>
      <w:r w:rsidR="003133F2">
        <w:t xml:space="preserve"> information about the nature of the financial instrument than the proposed insertions. </w:t>
      </w:r>
    </w:p>
    <w:p w14:paraId="15C58F58" w14:textId="77777777" w:rsidR="003133F2" w:rsidRDefault="003133F2" w:rsidP="003133F2">
      <w:pPr>
        <w:pStyle w:val="ListParagraph"/>
      </w:pPr>
    </w:p>
    <w:p w14:paraId="6E75F666" w14:textId="3045D1D2" w:rsidR="003133F2" w:rsidRDefault="00923EB5" w:rsidP="00A21042">
      <w:pPr>
        <w:pStyle w:val="ListParagraph"/>
        <w:numPr>
          <w:ilvl w:val="0"/>
          <w:numId w:val="39"/>
        </w:numPr>
        <w:spacing w:after="0"/>
      </w:pPr>
      <w:r>
        <w:t xml:space="preserve">Item 49h Issuance date of the underlying bond. This will be extremely difficult to </w:t>
      </w:r>
      <w:r w:rsidR="005D13B5">
        <w:t>populate where</w:t>
      </w:r>
      <w:r w:rsidR="00EB5C02">
        <w:t xml:space="preserve"> the underlying bonds to a derivative asset are more than one (which is usually the case). See e.g. </w:t>
      </w:r>
      <w:hyperlink r:id="rId39">
        <w:r w:rsidR="00EB5C02" w:rsidRPr="38D4459A">
          <w:rPr>
            <w:rStyle w:val="Hyperlink"/>
          </w:rPr>
          <w:t>Eurex</w:t>
        </w:r>
      </w:hyperlink>
      <w:r w:rsidR="004B7F89">
        <w:t xml:space="preserve"> </w:t>
      </w:r>
      <w:r w:rsidR="00F42B4A">
        <w:t>German debt futures (for German Schat</w:t>
      </w:r>
      <w:r w:rsidR="00553F20">
        <w:t xml:space="preserve">z but similar considerations </w:t>
      </w:r>
      <w:r w:rsidR="00553F20">
        <w:lastRenderedPageBreak/>
        <w:t>apply to all other such instruments)</w:t>
      </w:r>
      <w:r w:rsidR="00F42B4A">
        <w:t>, the futures’ underlying debt is a basket of Schatz</w:t>
      </w:r>
      <w:r w:rsidR="00553F20">
        <w:t xml:space="preserve"> with varying maturities. We believe that the problems will be insurmountable for </w:t>
      </w:r>
      <w:r w:rsidR="0087698D">
        <w:t>reporting firms as trading venues or other execution venues do not provide</w:t>
      </w:r>
      <w:r w:rsidR="00A04E7C">
        <w:t xml:space="preserve"> the </w:t>
      </w:r>
      <w:r w:rsidR="007240F8">
        <w:t>issuance date of each individual bond within a credit instrument</w:t>
      </w:r>
      <w:r w:rsidR="0087698D">
        <w:t>. We pr</w:t>
      </w:r>
      <w:r w:rsidR="008C0C20">
        <w:t>opose replacing the said field with “</w:t>
      </w:r>
      <w:r w:rsidR="002F4121">
        <w:t>Average years till maturity” which is a readily available value.</w:t>
      </w:r>
    </w:p>
    <w:p w14:paraId="2F954A35" w14:textId="77777777" w:rsidR="00B600A3" w:rsidRDefault="00B600A3" w:rsidP="00B600A3">
      <w:pPr>
        <w:pStyle w:val="ListParagraph"/>
      </w:pPr>
    </w:p>
    <w:p w14:paraId="1A871CC6" w14:textId="4A8F9EFE" w:rsidR="00B600A3" w:rsidRDefault="005D46DA" w:rsidP="00A21042">
      <w:pPr>
        <w:pStyle w:val="ListParagraph"/>
        <w:numPr>
          <w:ilvl w:val="0"/>
          <w:numId w:val="39"/>
        </w:numPr>
        <w:spacing w:after="0"/>
      </w:pPr>
      <w:r>
        <w:t>Item 56a Parameter for equity swaps, portfolio swa</w:t>
      </w:r>
      <w:r w:rsidR="002D50C1">
        <w:t xml:space="preserve">ps. We note that there is again overlap between this value and item 43 Product Classification </w:t>
      </w:r>
      <w:r w:rsidR="004659AA">
        <w:t xml:space="preserve">e.g. consider the following example a standard single Equity Swap </w:t>
      </w:r>
      <w:r w:rsidR="00B06FAA">
        <w:t xml:space="preserve">(code SES**) </w:t>
      </w:r>
      <w:r w:rsidR="004659AA">
        <w:t>the</w:t>
      </w:r>
      <w:r w:rsidR="00B06FAA">
        <w:t xml:space="preserve"> 2</w:t>
      </w:r>
      <w:r w:rsidR="00B06FAA" w:rsidRPr="00B06FAA">
        <w:rPr>
          <w:vertAlign w:val="superscript"/>
        </w:rPr>
        <w:t>nd</w:t>
      </w:r>
      <w:r w:rsidR="00B06FAA">
        <w:t xml:space="preserve"> attribute confers </w:t>
      </w:r>
      <w:r w:rsidR="00C65E0A">
        <w:t>the return or the payout trigger and includes, Total Return</w:t>
      </w:r>
      <w:r w:rsidR="006B1C81">
        <w:t xml:space="preserve"> (price return + dividends)</w:t>
      </w:r>
      <w:r w:rsidR="00C65E0A">
        <w:t>, Variance, Volatility, Price return</w:t>
      </w:r>
      <w:r w:rsidR="00BC4EE8">
        <w:t xml:space="preserve"> (no dividends),</w:t>
      </w:r>
      <w:r w:rsidR="00C65E0A">
        <w:t xml:space="preserve"> Dividend. E.g. a S</w:t>
      </w:r>
      <w:r w:rsidR="00020A7B">
        <w:t xml:space="preserve">ingle Equity Swap whose </w:t>
      </w:r>
      <w:r w:rsidR="006B1C81">
        <w:t>payout trigger or return is based on dividends will be SES</w:t>
      </w:r>
      <w:r w:rsidR="006B1C81" w:rsidRPr="00F97569">
        <w:rPr>
          <w:b/>
          <w:bCs/>
          <w:u w:val="single"/>
        </w:rPr>
        <w:t>D</w:t>
      </w:r>
      <w:r w:rsidR="006B1C81">
        <w:t>*</w:t>
      </w:r>
      <w:r w:rsidR="004F0B1A">
        <w:t xml:space="preserve"> vs a Single Equity Swap on volatility SES</w:t>
      </w:r>
      <w:r w:rsidR="004F0B1A" w:rsidRPr="004F0B1A">
        <w:rPr>
          <w:b/>
          <w:bCs/>
          <w:u w:val="single"/>
        </w:rPr>
        <w:t>L</w:t>
      </w:r>
      <w:r w:rsidR="004F0B1A">
        <w:t>*.</w:t>
      </w:r>
      <w:r w:rsidR="00F97569">
        <w:t xml:space="preserve"> We believe that this value is unnecessary as that information is already contained within </w:t>
      </w:r>
      <w:r w:rsidR="004F0B1A">
        <w:t xml:space="preserve">item 43. </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45C8BC61" w:rsidR="005D3762" w:rsidRDefault="005D3762" w:rsidP="005D3762">
      <w:pPr>
        <w:spacing w:after="0"/>
      </w:pPr>
      <w:r>
        <w:t>&lt;ESMA_QUESTION_CP3_3</w:t>
      </w:r>
      <w:r w:rsidR="003E7313">
        <w:t>3</w:t>
      </w:r>
      <w:r>
        <w:t>&gt;</w:t>
      </w:r>
    </w:p>
    <w:p w14:paraId="5967B1A6" w14:textId="2DC2A9F0" w:rsidR="005D3762" w:rsidRDefault="00F866B0" w:rsidP="005D3762">
      <w:pPr>
        <w:spacing w:after="0"/>
      </w:pPr>
      <w:permStart w:id="1750278235" w:edGrp="everyone"/>
      <w:r>
        <w:t xml:space="preserve">We agree with the inclusion of the fields mentioned in </w:t>
      </w:r>
      <w:r w:rsidR="00A45E46">
        <w:t>sections116 – 118 of the CP. We note that the inclusion of a Client Category data point (Retail</w:t>
      </w:r>
      <w:r w:rsidR="009111AD">
        <w:t xml:space="preserve">, Per-se Professional, Elective Professional, Eligible Counterparties) will provide NCAs with additional clarity regarding potentials for abuse and allow them to focus their supervisory activities. </w:t>
      </w:r>
    </w:p>
    <w:permEnd w:id="1750278235"/>
    <w:p w14:paraId="7A1722CA" w14:textId="45F9E57D" w:rsidR="005D3762" w:rsidRDefault="005D3762" w:rsidP="005D3762">
      <w:pPr>
        <w:spacing w:after="0"/>
      </w:pPr>
      <w:r>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718B848E" w:rsidR="005D3762" w:rsidRDefault="005D3762" w:rsidP="005D3762">
      <w:pPr>
        <w:spacing w:after="0"/>
      </w:pPr>
      <w:r>
        <w:t>&lt;ESMA_QUESTION_CP3_3</w:t>
      </w:r>
      <w:r w:rsidR="003E7313">
        <w:t>4</w:t>
      </w:r>
      <w:r>
        <w:t>&gt;</w:t>
      </w:r>
    </w:p>
    <w:p w14:paraId="516B170B" w14:textId="71DE4E89" w:rsidR="005D3762" w:rsidRDefault="00EF11EB" w:rsidP="005D3762">
      <w:pPr>
        <w:spacing w:after="0"/>
      </w:pPr>
      <w:permStart w:id="40110413" w:edGrp="everyone"/>
      <w:r>
        <w:t>See our feedback below</w:t>
      </w:r>
      <w:r w:rsidR="00196F78">
        <w:t xml:space="preserve"> for paragraph 116 of the Consultation Paper (table)</w:t>
      </w:r>
    </w:p>
    <w:p w14:paraId="43000D91" w14:textId="77777777" w:rsidR="002D1A6F" w:rsidRDefault="002D1A6F" w:rsidP="005D3762">
      <w:pPr>
        <w:spacing w:after="0"/>
      </w:pPr>
    </w:p>
    <w:p w14:paraId="3FDB59F9" w14:textId="6A12CE66" w:rsidR="00EF11EB" w:rsidRDefault="00196F78" w:rsidP="00196F78">
      <w:pPr>
        <w:pStyle w:val="ListParagraph"/>
        <w:numPr>
          <w:ilvl w:val="0"/>
          <w:numId w:val="39"/>
        </w:numPr>
        <w:spacing w:after="0"/>
      </w:pPr>
      <w:r>
        <w:t xml:space="preserve">Item 4 </w:t>
      </w:r>
      <w:r w:rsidR="00CD2E37">
        <w:t xml:space="preserve">Underlying Instrument to cover cases where the underlying is </w:t>
      </w:r>
      <w:r w:rsidR="002D1A6F">
        <w:t xml:space="preserve">a Basket of Indices and require all the ISINs of the </w:t>
      </w:r>
      <w:bookmarkStart w:id="54" w:name="_Int_Q203hcpv"/>
      <w:r w:rsidR="002D1A6F">
        <w:t>aforesaid</w:t>
      </w:r>
      <w:bookmarkEnd w:id="54"/>
      <w:r w:rsidR="002D1A6F">
        <w:t xml:space="preserve"> indices (where available). ESMA should consider the cases where there are no ISINs attached to the said indices and allow the field </w:t>
      </w:r>
      <w:bookmarkStart w:id="55" w:name="_Int_RfikCdZI"/>
      <w:r w:rsidR="002D1A6F">
        <w:t>be</w:t>
      </w:r>
      <w:bookmarkEnd w:id="55"/>
      <w:r w:rsidR="002D1A6F">
        <w:t xml:space="preserve"> left blank. </w:t>
      </w:r>
      <w:r w:rsidR="000830D5">
        <w:t xml:space="preserve">Please refer to a list of equity indices compiled by </w:t>
      </w:r>
      <w:hyperlink r:id="rId40">
        <w:r w:rsidR="000830D5" w:rsidRPr="38D4459A">
          <w:rPr>
            <w:rStyle w:val="Hyperlink"/>
          </w:rPr>
          <w:t>ANNA-DSB</w:t>
        </w:r>
      </w:hyperlink>
      <w:r w:rsidR="000830D5">
        <w:t xml:space="preserve"> for the UPI generation, as you will notice a substantial number of indices are not identified with an ISIN, as </w:t>
      </w:r>
      <w:r w:rsidR="000830D5">
        <w:lastRenderedPageBreak/>
        <w:t xml:space="preserve">such where ESMA intends to amend the aforesaid item as described, ESMA should consider the scenario where no ISIN for the </w:t>
      </w:r>
      <w:r w:rsidR="00F55D87">
        <w:t xml:space="preserve">indices included in the basket exists. </w:t>
      </w:r>
    </w:p>
    <w:p w14:paraId="1DC8E6F5" w14:textId="77777777" w:rsidR="00500B90" w:rsidRDefault="00500B90" w:rsidP="00500B90">
      <w:pPr>
        <w:pStyle w:val="ListParagraph"/>
        <w:spacing w:after="0"/>
      </w:pPr>
    </w:p>
    <w:p w14:paraId="6A3CAE59" w14:textId="19889B1E" w:rsidR="00EF11EB" w:rsidRDefault="00F55D87" w:rsidP="00CC7973">
      <w:pPr>
        <w:pStyle w:val="ListParagraph"/>
        <w:numPr>
          <w:ilvl w:val="0"/>
          <w:numId w:val="39"/>
        </w:numPr>
        <w:spacing w:after="0"/>
      </w:pPr>
      <w:r>
        <w:t xml:space="preserve">Item 5 Buyer/Seller </w:t>
      </w:r>
      <w:r w:rsidR="00B06A4E">
        <w:t>ID code. Refer</w:t>
      </w:r>
      <w:r w:rsidR="00D2547D">
        <w:t xml:space="preserve"> to our answers in Questions 17-19 of this consultation paper. We believe that the convention INTC should be withdrawn and both the market facing and the </w:t>
      </w:r>
      <w:r w:rsidR="78FB7A0D">
        <w:t>client-side</w:t>
      </w:r>
      <w:r w:rsidR="00CC7973">
        <w:t xml:space="preserve"> leg to be identified with specialised codes under buyer/seller fields, similar approach to the FCA. </w:t>
      </w:r>
    </w:p>
    <w:p w14:paraId="02F69787" w14:textId="77777777" w:rsidR="00500B90" w:rsidRDefault="00500B90" w:rsidP="00500B90">
      <w:pPr>
        <w:pStyle w:val="ListParagraph"/>
      </w:pPr>
    </w:p>
    <w:p w14:paraId="2108B078" w14:textId="58B47043" w:rsidR="00500B90" w:rsidRDefault="00500B90" w:rsidP="00CC7973">
      <w:pPr>
        <w:pStyle w:val="ListParagraph"/>
        <w:numPr>
          <w:ilvl w:val="0"/>
          <w:numId w:val="39"/>
        </w:numPr>
        <w:spacing w:after="0"/>
      </w:pPr>
      <w:r>
        <w:t xml:space="preserve">Item 8 Waiver Indicator, </w:t>
      </w:r>
      <w:r w:rsidR="00AC08EC">
        <w:t xml:space="preserve">see our response to Question 24 of this Consultation Paper, </w:t>
      </w:r>
      <w:r>
        <w:t>we propos</w:t>
      </w:r>
      <w:r w:rsidR="00AC08EC">
        <w:t>e</w:t>
      </w:r>
      <w:r>
        <w:t xml:space="preserve"> for this field to be </w:t>
      </w:r>
      <w:r w:rsidR="00F613EF">
        <w:t xml:space="preserve">abolished entirely instead of converting to a Boolean (Y/N) option. </w:t>
      </w:r>
    </w:p>
    <w:p w14:paraId="0C4A213C" w14:textId="77777777" w:rsidR="00F613EF" w:rsidRDefault="00F613EF" w:rsidP="00F613EF">
      <w:pPr>
        <w:pStyle w:val="ListParagraph"/>
      </w:pPr>
    </w:p>
    <w:p w14:paraId="30276585" w14:textId="113D6159" w:rsidR="00F613EF" w:rsidRDefault="00F613EF" w:rsidP="00CC7973">
      <w:pPr>
        <w:pStyle w:val="ListParagraph"/>
        <w:numPr>
          <w:ilvl w:val="0"/>
          <w:numId w:val="39"/>
        </w:numPr>
        <w:spacing w:after="0"/>
      </w:pPr>
      <w:r>
        <w:t xml:space="preserve">Item 9 </w:t>
      </w:r>
      <w:r w:rsidR="00CC76F2">
        <w:t xml:space="preserve">OTC Post Trade indicator, see our response to question 24 </w:t>
      </w:r>
      <w:r w:rsidR="00E87F9F">
        <w:t xml:space="preserve">of this Consultation Paper. </w:t>
      </w:r>
      <w:r w:rsidR="00CC76F2">
        <w:t xml:space="preserve">We believe that </w:t>
      </w:r>
      <w:r w:rsidR="00E87F9F">
        <w:t xml:space="preserve">the </w:t>
      </w:r>
      <w:bookmarkStart w:id="56" w:name="_Int_N5ehRROd"/>
      <w:r w:rsidR="00E87F9F">
        <w:t>Indicator’s</w:t>
      </w:r>
      <w:bookmarkEnd w:id="56"/>
      <w:r w:rsidR="00E87F9F">
        <w:t xml:space="preserve"> </w:t>
      </w:r>
      <w:r w:rsidR="00CC76F2">
        <w:t>allowable values should be limited to Agency Cross Trade (ACTX) and Packaged Trade (TPAC). We note that some of the elements of item 63 were never used as they do not trigger a reporting obligation under Art 26 of MiFIR (e.g. RPRI – price improvement, SDIV – special dividend).</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74C6F19C" w:rsidR="005D3762" w:rsidRDefault="005D3762" w:rsidP="005D3762">
      <w:pPr>
        <w:spacing w:after="0"/>
      </w:pPr>
      <w:r>
        <w:t>&lt;ESMA_QUESTION_CP3_3</w:t>
      </w:r>
      <w:r w:rsidR="00BE02A2">
        <w:t>5</w:t>
      </w:r>
      <w:r>
        <w:t>&gt;</w:t>
      </w:r>
    </w:p>
    <w:p w14:paraId="758B481A" w14:textId="340F7984" w:rsidR="005D3762" w:rsidRDefault="00491D32" w:rsidP="005D3762">
      <w:pPr>
        <w:spacing w:after="0"/>
      </w:pPr>
      <w:permStart w:id="757149039" w:edGrp="everyone"/>
      <w:r>
        <w:t>We agree with removing all reference to the UK</w:t>
      </w:r>
      <w:r w:rsidR="00B66241">
        <w:t xml:space="preserve"> from Annex II of RTS 22 we note</w:t>
      </w:r>
      <w:r w:rsidR="00C9144B">
        <w:t>,</w:t>
      </w:r>
      <w:r w:rsidR="00B66241">
        <w:t xml:space="preserve"> that post Brexit and given the status of the UK as a third country f</w:t>
      </w:r>
      <w:r w:rsidR="006A74E3">
        <w:t>rom MiFID point of view, we considered it prudent to adjust MiFIR reporting under Art.26 and all UK indiv</w:t>
      </w:r>
      <w:r w:rsidR="008D07B3">
        <w:t xml:space="preserve">iduals were reported using </w:t>
      </w:r>
      <w:r w:rsidR="00E50577">
        <w:t xml:space="preserve">either National Passport Number or CONCAT as applicable to third countries (non-EEA) as per the last entry the table in Annex II of RTS 22. We have no view </w:t>
      </w:r>
      <w:r w:rsidR="005912ED">
        <w:t xml:space="preserve">for the proposed amendments with respect to national ID priority identifiers for </w:t>
      </w:r>
      <w:r w:rsidR="00191E9E">
        <w:t>Finland</w:t>
      </w:r>
      <w:r w:rsidR="005912ED">
        <w:t xml:space="preserve">. </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77777777" w:rsidR="005D3762" w:rsidRDefault="005D3762" w:rsidP="005D3762">
      <w:pPr>
        <w:spacing w:after="0"/>
      </w:pPr>
      <w:r>
        <w:t>&lt;ESMA_QUESTION_CP3_36&gt;</w:t>
      </w:r>
    </w:p>
    <w:p w14:paraId="6DB6207F" w14:textId="77777777" w:rsidR="00C60830" w:rsidRDefault="00C60830" w:rsidP="005D3762">
      <w:pPr>
        <w:spacing w:after="0"/>
      </w:pPr>
      <w:permStart w:id="1330537633" w:edGrp="everyone"/>
      <w:r>
        <w:lastRenderedPageBreak/>
        <w:t>See our responses below</w:t>
      </w:r>
    </w:p>
    <w:p w14:paraId="2CB7AF87" w14:textId="77777777" w:rsidR="00C60830" w:rsidRDefault="00C60830" w:rsidP="005D3762">
      <w:pPr>
        <w:spacing w:after="0"/>
      </w:pPr>
    </w:p>
    <w:p w14:paraId="3B15B94C" w14:textId="77777777" w:rsidR="00F227D5" w:rsidRDefault="00C60830" w:rsidP="00F227D5">
      <w:pPr>
        <w:pStyle w:val="ListParagraph"/>
        <w:numPr>
          <w:ilvl w:val="0"/>
          <w:numId w:val="40"/>
        </w:numPr>
        <w:spacing w:after="0"/>
      </w:pPr>
      <w:r>
        <w:t>For Paragraph 130 of the Consultation Paper – i.e. exemption from reporting in case of liquidation</w:t>
      </w:r>
      <w:r w:rsidR="00B766CE">
        <w:t xml:space="preserve">/bankruptcy insolvency </w:t>
      </w:r>
      <w:r w:rsidR="00F227D5">
        <w:t xml:space="preserve">or orders for the sale of financial instruments. </w:t>
      </w:r>
    </w:p>
    <w:p w14:paraId="4BE17C8B" w14:textId="67AE7E1D" w:rsidR="005D3762" w:rsidRDefault="00750A2D" w:rsidP="00F227D5">
      <w:pPr>
        <w:pStyle w:val="ListParagraph"/>
        <w:spacing w:after="0"/>
      </w:pPr>
      <w:r>
        <w:t xml:space="preserve">We welcome any further clarification on the exemptions </w:t>
      </w:r>
      <w:bookmarkStart w:id="57" w:name="_Int_C1Zut4aI"/>
      <w:r>
        <w:t>side,</w:t>
      </w:r>
      <w:bookmarkEnd w:id="57"/>
      <w:r>
        <w:t xml:space="preserve"> however we do note that we believe that the exe</w:t>
      </w:r>
      <w:r w:rsidR="001E0018">
        <w:t>mption espoused by ESMA’s proposal is already covered by Art.2(5)(</w:t>
      </w:r>
      <w:proofErr w:type="spellStart"/>
      <w:r w:rsidR="001E0018">
        <w:t>i</w:t>
      </w:r>
      <w:proofErr w:type="spellEnd"/>
      <w:r w:rsidR="001E0018">
        <w:t>) copied and pasted below</w:t>
      </w:r>
      <w:r w:rsidR="00E92DC0">
        <w:t>:</w:t>
      </w:r>
    </w:p>
    <w:p w14:paraId="4CCDADD0" w14:textId="60E86054" w:rsidR="00F227D5" w:rsidRPr="0020541D" w:rsidRDefault="00E92DC0" w:rsidP="38D4459A">
      <w:pPr>
        <w:pStyle w:val="ListParagraph"/>
        <w:spacing w:after="0"/>
        <w:ind w:left="1134"/>
        <w:rPr>
          <w:i/>
          <w:iCs/>
        </w:rPr>
      </w:pPr>
      <w:r w:rsidRPr="38D4459A">
        <w:rPr>
          <w:i/>
          <w:iCs/>
        </w:rPr>
        <w:t xml:space="preserve">the creation, </w:t>
      </w:r>
      <w:r w:rsidRPr="38D4459A">
        <w:rPr>
          <w:i/>
          <w:iCs/>
          <w:u w:val="single"/>
        </w:rPr>
        <w:t>expiration or redemption of a financial instrument</w:t>
      </w:r>
      <w:r w:rsidRPr="38D4459A">
        <w:rPr>
          <w:i/>
          <w:iCs/>
        </w:rPr>
        <w:t xml:space="preserve"> </w:t>
      </w:r>
      <w:bookmarkStart w:id="58" w:name="_Int_qC0XZK8K"/>
      <w:r w:rsidRPr="38D4459A">
        <w:rPr>
          <w:i/>
          <w:iCs/>
        </w:rPr>
        <w:t>as a result of</w:t>
      </w:r>
      <w:bookmarkEnd w:id="58"/>
      <w:r w:rsidRPr="38D4459A">
        <w:rPr>
          <w:i/>
          <w:iCs/>
        </w:rPr>
        <w:t xml:space="preserve"> pre-determined contractual terms, or </w:t>
      </w:r>
      <w:bookmarkStart w:id="59" w:name="_Int_ajCpty6z"/>
      <w:r w:rsidRPr="38D4459A">
        <w:rPr>
          <w:i/>
          <w:iCs/>
          <w:u w:val="single"/>
        </w:rPr>
        <w:t>as a result of</w:t>
      </w:r>
      <w:bookmarkEnd w:id="59"/>
      <w:r w:rsidRPr="38D4459A">
        <w:rPr>
          <w:i/>
          <w:iCs/>
          <w:u w:val="single"/>
        </w:rPr>
        <w:t xml:space="preserve"> mandatory events which are beyond the control of the investor where no investment decision by the investor takes place</w:t>
      </w:r>
      <w:r w:rsidRPr="38D4459A">
        <w:rPr>
          <w:i/>
          <w:iCs/>
        </w:rPr>
        <w:t xml:space="preserve"> at the point in time of the creation, expiration or redemption of the financial instrument;</w:t>
      </w:r>
    </w:p>
    <w:p w14:paraId="5F627576" w14:textId="299AB63C" w:rsidR="00E92DC0" w:rsidRDefault="0020541D" w:rsidP="00E92DC0">
      <w:pPr>
        <w:pStyle w:val="ListParagraph"/>
        <w:spacing w:after="0"/>
      </w:pPr>
      <w:r>
        <w:t xml:space="preserve">As such we believe that a mere clarification to this paragraph should be sufficient. </w:t>
      </w:r>
    </w:p>
    <w:permEnd w:id="1330537633"/>
    <w:p w14:paraId="2473C7C0" w14:textId="77777777" w:rsidR="005D3762" w:rsidRDefault="005D3762" w:rsidP="005D3762">
      <w:pPr>
        <w:spacing w:after="0"/>
      </w:pPr>
      <w:r>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0CAD52F1" w:rsidR="005D3762" w:rsidRDefault="005D3762" w:rsidP="005D3762">
      <w:pPr>
        <w:spacing w:after="0"/>
      </w:pPr>
      <w:r>
        <w:t>&lt;ESMA_QUESTION_CP3_3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1524BBE2" w:rsidR="005D3762" w:rsidRDefault="005D3762" w:rsidP="005D3762">
      <w:pPr>
        <w:spacing w:after="0"/>
      </w:pPr>
      <w:r>
        <w:t>&lt;ESMA_QUESTION_CP3_3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086A7534" w:rsidR="005D3762" w:rsidRDefault="005D3762" w:rsidP="005D3762">
      <w:pPr>
        <w:spacing w:after="0"/>
      </w:pPr>
      <w:r>
        <w:t>&lt;ESMA_QUESTION_CP3_3</w:t>
      </w:r>
      <w:r w:rsidR="00BE02A2">
        <w:t>9</w:t>
      </w:r>
      <w:r>
        <w:t>&gt;</w:t>
      </w:r>
    </w:p>
    <w:p w14:paraId="5A378FE5" w14:textId="17387527" w:rsidR="005D3762" w:rsidRDefault="00DD451E" w:rsidP="005D3762">
      <w:pPr>
        <w:spacing w:after="0"/>
      </w:pPr>
      <w:permStart w:id="442242659" w:edGrp="everyone"/>
      <w:r>
        <w:lastRenderedPageBreak/>
        <w:t xml:space="preserve">We agree with ESMA’s proposal of limiting the reporting exemption </w:t>
      </w:r>
      <w:r w:rsidR="00BE2307">
        <w:t>perimeter</w:t>
      </w:r>
      <w:r>
        <w:t xml:space="preserve"> for </w:t>
      </w:r>
      <w:proofErr w:type="spellStart"/>
      <w:r>
        <w:t>novations</w:t>
      </w:r>
      <w:proofErr w:type="spellEnd"/>
      <w:r>
        <w:t xml:space="preserve"> to transa</w:t>
      </w:r>
      <w:r w:rsidR="00DE63AE">
        <w:t xml:space="preserve">ctions having clearing purposes. </w:t>
      </w:r>
      <w:bookmarkStart w:id="60" w:name="_Int_cKLxVp7N"/>
      <w:r w:rsidR="00DE63AE">
        <w:t>We’ve</w:t>
      </w:r>
      <w:bookmarkEnd w:id="60"/>
      <w:r w:rsidR="00DE63AE">
        <w:t xml:space="preserve"> always considered odd that all </w:t>
      </w:r>
      <w:proofErr w:type="spellStart"/>
      <w:r w:rsidR="00DE63AE">
        <w:t>novations</w:t>
      </w:r>
      <w:proofErr w:type="spellEnd"/>
      <w:r w:rsidR="00DE63AE">
        <w:t xml:space="preserve"> </w:t>
      </w:r>
      <w:r w:rsidR="001E002F">
        <w:t xml:space="preserve">were exempted from MiFIR reporting (but were always in scope for EMIR regardless). We welcome the alignment however we </w:t>
      </w:r>
      <w:r w:rsidR="009D7194">
        <w:t>believe that ESMA should consider abolishing the novation exemption altogether</w:t>
      </w:r>
      <w:r w:rsidR="00D47AC9">
        <w:t xml:space="preserve">, to streamline both EMIR and MiFIR to the extent that they can be streamlined (as they serve different purposes) and to minimise the compliance burden of identifying each and every time whether a novation should be reported under MiFIR yes or no. </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t>&lt;ESMA_QUESTION_CP3_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752AB525" w:rsidR="005D3762" w:rsidRDefault="005D3762" w:rsidP="005D3762">
      <w:pPr>
        <w:spacing w:after="0"/>
      </w:pPr>
      <w:r>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3ABCD2F3" w:rsidR="005D3762" w:rsidRDefault="005D3762" w:rsidP="005D3762">
      <w:pPr>
        <w:spacing w:after="0"/>
      </w:pPr>
      <w:r>
        <w:t>&lt;ESMA_QUESTION_CP3_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52328083" w:rsidR="005D3762" w:rsidRDefault="005D3762" w:rsidP="005D3762">
      <w:pPr>
        <w:spacing w:after="0"/>
      </w:pPr>
      <w:r>
        <w:t>&lt;ESMA_QUESTION_CP3_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1A49DD06" w:rsidR="005D3762" w:rsidRDefault="005D3762" w:rsidP="005D3762">
      <w:pPr>
        <w:spacing w:after="0"/>
      </w:pPr>
      <w:r>
        <w:t>&lt;ESMA_QUESTION_CP3_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lastRenderedPageBreak/>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1A30B0E3" w:rsidR="005D3762" w:rsidRDefault="005D3762" w:rsidP="005D3762">
      <w:pPr>
        <w:spacing w:after="0"/>
      </w:pPr>
      <w:r>
        <w:t>&lt;ESMA_QUESTION_CP3_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4C8B52EB" w:rsidR="005D3762" w:rsidRDefault="005D3762" w:rsidP="005D3762">
      <w:pPr>
        <w:spacing w:after="0"/>
      </w:pPr>
      <w:r>
        <w:t>&lt;ESMA_QUESTION_CP3_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 xml:space="preserve">Please provide your views on the format of reporting and any challenges you foresee with the use of JSON format compared to XML. Please provide estimates of the costs, </w:t>
      </w:r>
      <w:bookmarkStart w:id="61" w:name="_Int_DFGA8Ygu"/>
      <w:r>
        <w:t>timelines</w:t>
      </w:r>
      <w:bookmarkEnd w:id="61"/>
      <w:r>
        <w:t xml:space="preserve"> and benefits (short and long term) related to the potential implementation of JSON syntax.</w:t>
      </w:r>
    </w:p>
    <w:p w14:paraId="65B30DB7" w14:textId="77777777" w:rsidR="005D3762" w:rsidRDefault="005D3762" w:rsidP="005D3762"/>
    <w:p w14:paraId="1372D452" w14:textId="2B8D03DD" w:rsidR="005D3762" w:rsidRDefault="005D3762" w:rsidP="005D3762">
      <w:pPr>
        <w:spacing w:after="0"/>
      </w:pPr>
      <w:r>
        <w:t>&lt;ESMA_QUESTION_CP3_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633EB43F" w:rsidR="005D3762" w:rsidRDefault="005D3762" w:rsidP="005D3762">
      <w:pPr>
        <w:spacing w:after="0"/>
      </w:pPr>
      <w:r>
        <w:t>&lt;ESMA_QUESTION_CP3_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49E047BE" w:rsidR="005D3762" w:rsidRDefault="005D3762" w:rsidP="005D3762">
      <w:pPr>
        <w:spacing w:after="0"/>
      </w:pPr>
      <w:r>
        <w:t>&lt;ESMA_QUESTION_CP3_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5B19F277" w:rsidR="005D3762" w:rsidRDefault="005D3762" w:rsidP="005D3762">
      <w:pPr>
        <w:spacing w:after="0"/>
      </w:pPr>
      <w:r>
        <w:t>&lt;ESMA_QUESTION_CP3_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7B11EFD8" w:rsidR="005D3762" w:rsidRDefault="005D3762" w:rsidP="005D3762">
      <w:pPr>
        <w:spacing w:after="0"/>
      </w:pPr>
      <w:r>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2E5A8B08" w:rsidR="005D3762" w:rsidRDefault="005D3762" w:rsidP="005D3762">
      <w:pPr>
        <w:spacing w:after="0"/>
      </w:pPr>
      <w:r>
        <w:t>&lt;ESMA_QUESTION_CP3_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0BFB78E1" w:rsidR="005D3762" w:rsidRDefault="005D3762" w:rsidP="005D3762">
      <w:pPr>
        <w:spacing w:after="0"/>
      </w:pPr>
      <w:r>
        <w:t>&lt;ESMA_QUESTION_CP3_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5C3618E4" w:rsidR="005D3762" w:rsidRDefault="005D3762" w:rsidP="005D3762">
      <w:pPr>
        <w:spacing w:after="0"/>
      </w:pPr>
      <w:r>
        <w:t>&lt;ESMA_QUESTION_CP3_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2284FBBC" w:rsidR="005D3762" w:rsidRDefault="005D3762" w:rsidP="005D3762">
      <w:pPr>
        <w:spacing w:after="0"/>
      </w:pPr>
      <w:r>
        <w:t>&lt;ESMA_QUESTION_CP3_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04558" w14:textId="77777777" w:rsidR="00E4205F" w:rsidRDefault="00E4205F" w:rsidP="00F716D4">
      <w:r>
        <w:separator/>
      </w:r>
    </w:p>
    <w:p w14:paraId="4570FB6A" w14:textId="77777777" w:rsidR="00E4205F" w:rsidRDefault="00E4205F" w:rsidP="00F716D4"/>
  </w:endnote>
  <w:endnote w:type="continuationSeparator" w:id="0">
    <w:p w14:paraId="6A9F1C36" w14:textId="77777777" w:rsidR="00E4205F" w:rsidRDefault="00E4205F" w:rsidP="00F716D4">
      <w:r>
        <w:continuationSeparator/>
      </w:r>
    </w:p>
    <w:p w14:paraId="750A34AE" w14:textId="77777777" w:rsidR="00E4205F" w:rsidRDefault="00E4205F" w:rsidP="00F716D4"/>
  </w:endnote>
  <w:endnote w:type="continuationNotice" w:id="1">
    <w:p w14:paraId="7F1448D7" w14:textId="77777777" w:rsidR="00E4205F" w:rsidRDefault="00E4205F"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DBD39" w14:textId="77777777" w:rsidR="00E4205F" w:rsidRDefault="00E4205F" w:rsidP="00F716D4">
      <w:r>
        <w:separator/>
      </w:r>
    </w:p>
    <w:p w14:paraId="27E0F7D2" w14:textId="77777777" w:rsidR="00E4205F" w:rsidRDefault="00E4205F" w:rsidP="00F716D4"/>
  </w:footnote>
  <w:footnote w:type="continuationSeparator" w:id="0">
    <w:p w14:paraId="38389781" w14:textId="77777777" w:rsidR="00E4205F" w:rsidRDefault="00E4205F" w:rsidP="00F716D4">
      <w:r>
        <w:continuationSeparator/>
      </w:r>
    </w:p>
    <w:p w14:paraId="6E19049B" w14:textId="77777777" w:rsidR="00E4205F" w:rsidRDefault="00E4205F" w:rsidP="00F716D4"/>
  </w:footnote>
  <w:footnote w:type="continuationNotice" w:id="1">
    <w:p w14:paraId="3A3EEECA" w14:textId="77777777" w:rsidR="00E4205F" w:rsidRDefault="00E4205F"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7WBx0wtVHua6WG" int2:id="9uIByLzM">
      <int2:state int2:value="Rejected" int2:type="AugLoop_Text_Critique"/>
    </int2:textHash>
    <int2:textHash int2:hashCode="9mc1ejPLoKiLcM" int2:id="AHHyyVOH">
      <int2:state int2:value="Rejected" int2:type="AugLoop_Text_Critique"/>
    </int2:textHash>
    <int2:textHash int2:hashCode="0FhAZWMQ6ji7cj" int2:id="BZhaX3fh">
      <int2:state int2:value="Rejected" int2:type="AugLoop_Text_Critique"/>
    </int2:textHash>
    <int2:textHash int2:hashCode="eQRQoL4/feGhoX" int2:id="DwY7vdHM">
      <int2:state int2:value="Rejected" int2:type="AugLoop_Text_Critique"/>
    </int2:textHash>
    <int2:textHash int2:hashCode="rYHEw8kdKQBvNV" int2:id="G8Ygyf6q">
      <int2:state int2:value="Rejected" int2:type="AugLoop_Text_Critique"/>
    </int2:textHash>
    <int2:textHash int2:hashCode="XBZSUS8d/ZgSQy" int2:id="JQu2yoiy">
      <int2:state int2:value="Rejected" int2:type="AugLoop_Text_Critique"/>
    </int2:textHash>
    <int2:textHash int2:hashCode="px9REH45J+I9sa" int2:id="L8IyQfOh">
      <int2:state int2:value="Rejected" int2:type="AugLoop_Text_Critique"/>
    </int2:textHash>
    <int2:textHash int2:hashCode="EkZt40hfgaJXSQ" int2:id="RMVvJk6G">
      <int2:state int2:value="Rejected" int2:type="AugLoop_Text_Critique"/>
    </int2:textHash>
    <int2:textHash int2:hashCode="hrtpxGEwrF1PDi" int2:id="VQKsLsl5">
      <int2:state int2:value="Rejected" int2:type="AugLoop_Text_Critique"/>
    </int2:textHash>
    <int2:textHash int2:hashCode="PhgL6aG22a6+p4" int2:id="lds0gkie">
      <int2:state int2:value="Rejected" int2:type="AugLoop_Text_Critique"/>
    </int2:textHash>
    <int2:textHash int2:hashCode="kD4bKpR36FH3g9" int2:id="tXKwW36W">
      <int2:state int2:value="Rejected" int2:type="AugLoop_Text_Critique"/>
    </int2:textHash>
    <int2:textHash int2:hashCode="BC3EUS+j05HFFw" int2:id="uUGaLpY7">
      <int2:state int2:value="Rejected" int2:type="AugLoop_Text_Critique"/>
    </int2:textHash>
    <int2:bookmark int2:bookmarkName="_Int_2EVP7Wzb" int2:invalidationBookmarkName="" int2:hashCode="PH2jxFFctmMENn" int2:id="0hoV5yVE">
      <int2:state int2:value="Rejected" int2:type="AugLoop_Text_Critique"/>
    </int2:bookmark>
    <int2:bookmark int2:bookmarkName="_Int_C49ymeo2" int2:invalidationBookmarkName="" int2:hashCode="najx+n06n9AVrj" int2:id="2hgh1cCL">
      <int2:state int2:value="Rejected" int2:type="AugLoop_Text_Critique"/>
    </int2:bookmark>
    <int2:bookmark int2:bookmarkName="_Int_pGEvubJH" int2:invalidationBookmarkName="" int2:hashCode="dDKCjvqbMG/7g6" int2:id="8J7mJn6X">
      <int2:state int2:value="Rejected" int2:type="AugLoop_Text_Critique"/>
    </int2:bookmark>
    <int2:bookmark int2:bookmarkName="_Int_YyoilzQg" int2:invalidationBookmarkName="" int2:hashCode="vFiIoctkWN2s5M" int2:id="8cJRc3Vt">
      <int2:state int2:value="Rejected" int2:type="AugLoop_Text_Critique"/>
    </int2:bookmark>
    <int2:bookmark int2:bookmarkName="_Int_cKLxVp7N" int2:invalidationBookmarkName="" int2:hashCode="kYux5K1TaHY6qV" int2:id="9DYtCGTd">
      <int2:state int2:value="Rejected" int2:type="AugLoop_Text_Critique"/>
    </int2:bookmark>
    <int2:bookmark int2:bookmarkName="_Int_T4kzlYME" int2:invalidationBookmarkName="" int2:hashCode="l/fHMbOpeq2Hk2" int2:id="ADekYONs">
      <int2:state int2:value="Rejected" int2:type="AugLoop_Text_Critique"/>
    </int2:bookmark>
    <int2:bookmark int2:bookmarkName="_Int_4Fae68eA" int2:invalidationBookmarkName="" int2:hashCode="PH2jxFFctmMENn" int2:id="zg5lA3tH">
      <int2:state int2:value="Rejected" int2:type="AugLoop_Text_Critique"/>
    </int2:bookmark>
    <int2:bookmark int2:bookmarkName="_Int_yUogSNi6" int2:invalidationBookmarkName="" int2:hashCode="jH6ObitBSnmAyT" int2:id="CKtx1n0M">
      <int2:state int2:value="Rejected" int2:type="AugLoop_Text_Critique"/>
    </int2:bookmark>
    <int2:bookmark int2:bookmarkName="_Int_XFYFSa1r" int2:invalidationBookmarkName="" int2:hashCode="o75eiM+w2wQbug" int2:id="EkMn2tg9">
      <int2:state int2:value="Rejected" int2:type="AugLoop_Text_Critique"/>
    </int2:bookmark>
    <int2:bookmark int2:bookmarkName="_Int_ajCpty6z" int2:invalidationBookmarkName="" int2:hashCode="VRd/LyDcPFdCnc" int2:id="FUIYC9Du">
      <int2:state int2:value="Rejected" int2:type="AugLoop_Text_Critique"/>
    </int2:bookmark>
    <int2:bookmark int2:bookmarkName="_Int_UpZAmZJN" int2:invalidationBookmarkName="" int2:hashCode="RoHRJMxsS3O6q/" int2:id="GNjGA53J">
      <int2:state int2:value="Rejected" int2:type="AugLoop_Text_Critique"/>
    </int2:bookmark>
    <int2:bookmark int2:bookmarkName="_Int_LqwvsL8v" int2:invalidationBookmarkName="" int2:hashCode="b8Pbhu8vrROEmS" int2:id="Hp6lHe2b">
      <int2:state int2:value="Rejected" int2:type="AugLoop_Text_Critique"/>
    </int2:bookmark>
    <int2:bookmark int2:bookmarkName="_Int_CkV0XvQy" int2:invalidationBookmarkName="" int2:hashCode="A4YOp2ceRQ971+" int2:id="KMD3ibk1">
      <int2:state int2:value="Rejected" int2:type="AugLoop_Text_Critique"/>
    </int2:bookmark>
    <int2:bookmark int2:bookmarkName="_Int_J1NLwnt6" int2:invalidationBookmarkName="" int2:hashCode="IjutV8xcDRsVvp" int2:id="LLxdBllc">
      <int2:state int2:value="Rejected" int2:type="AugLoop_Text_Critique"/>
    </int2:bookmark>
    <int2:bookmark int2:bookmarkName="_Int_1m1DsZi8" int2:invalidationBookmarkName="" int2:hashCode="n7/SMsn3zrLcgA" int2:id="LkKHaprN">
      <int2:state int2:value="Rejected" int2:type="AugLoop_Text_Critique"/>
    </int2:bookmark>
    <int2:bookmark int2:bookmarkName="_Int_vfO7bE51" int2:invalidationBookmarkName="" int2:hashCode="cTCZZo8EHQ9y1m" int2:id="MEuTztrH">
      <int2:state int2:value="Rejected" int2:type="AugLoop_Text_Critique"/>
    </int2:bookmark>
    <int2:bookmark int2:bookmarkName="_Int_S1A2icUj" int2:invalidationBookmarkName="" int2:hashCode="gynu/b2dBBtVr9" int2:id="N6T5p6dh">
      <int2:state int2:value="Rejected" int2:type="AugLoop_Text_Critique"/>
    </int2:bookmark>
    <int2:bookmark int2:bookmarkName="_Int_PqTkNQIA" int2:invalidationBookmarkName="" int2:hashCode="e0dMsLOcF3PXGS" int2:id="OzyAVhvR">
      <int2:state int2:value="Rejected" int2:type="AugLoop_Text_Critique"/>
    </int2:bookmark>
    <int2:bookmark int2:bookmarkName="_Int_LenY3R0Z" int2:invalidationBookmarkName="" int2:hashCode="tMWj2Qy+zRrBch" int2:id="PHLn40qc">
      <int2:state int2:value="Rejected" int2:type="AugLoop_Text_Critique"/>
    </int2:bookmark>
    <int2:bookmark int2:bookmarkName="_Int_IrXk3Gwz" int2:invalidationBookmarkName="" int2:hashCode="Q/BXOvVLV1ruZU" int2:id="PlIECn8u">
      <int2:state int2:value="Rejected" int2:type="AugLoop_Text_Critique"/>
    </int2:bookmark>
    <int2:bookmark int2:bookmarkName="_Int_BDWCxenz" int2:invalidationBookmarkName="" int2:hashCode="xgDzA50uAYUN6A" int2:id="S2UBhxoB">
      <int2:state int2:value="Rejected" int2:type="AugLoop_Text_Critique"/>
    </int2:bookmark>
    <int2:bookmark int2:bookmarkName="_Int_T07a5hMn" int2:invalidationBookmarkName="" int2:hashCode="oL6vNDTGkYRruI" int2:id="UMwlGLBu">
      <int2:state int2:value="Rejected" int2:type="AugLoop_Text_Critique"/>
    </int2:bookmark>
    <int2:bookmark int2:bookmarkName="_Int_MY7cwlFM" int2:invalidationBookmarkName="" int2:hashCode="5zvNRB5I2Naz8D" int2:id="WLrxol2W">
      <int2:state int2:value="Rejected" int2:type="AugLoop_Text_Critique"/>
    </int2:bookmark>
    <int2:bookmark int2:bookmarkName="_Int_UqEzGsSu" int2:invalidationBookmarkName="" int2:hashCode="v9fu1ddnFE+IM7" int2:id="XoYesU10">
      <int2:state int2:value="Rejected" int2:type="AugLoop_Text_Critique"/>
    </int2:bookmark>
    <int2:bookmark int2:bookmarkName="_Int_ARyyDmSC" int2:invalidationBookmarkName="" int2:hashCode="GId/y8v8GL26LT" int2:id="YAHRnYte">
      <int2:state int2:value="Rejected" int2:type="AugLoop_Text_Critique"/>
    </int2:bookmark>
    <int2:bookmark int2:bookmarkName="_Int_qX7hiAUZ" int2:invalidationBookmarkName="" int2:hashCode="eyMaUKSY7xUeKR" int2:id="YYTz3ewn">
      <int2:state int2:value="Rejected" int2:type="AugLoop_Text_Critique"/>
    </int2:bookmark>
    <int2:bookmark int2:bookmarkName="_Int_Q203hcpv" int2:invalidationBookmarkName="" int2:hashCode="QDKTTMSERBp5VD" int2:id="ZfW0VTe8">
      <int2:state int2:value="Rejected" int2:type="AugLoop_Text_Critique"/>
    </int2:bookmark>
    <int2:bookmark int2:bookmarkName="_Int_oWshFLz2" int2:invalidationBookmarkName="" int2:hashCode="oL6vNDTGkYRruI" int2:id="Zt4XNdBk">
      <int2:state int2:value="Rejected" int2:type="AugLoop_Text_Critique"/>
    </int2:bookmark>
    <int2:bookmark int2:bookmarkName="_Int_XvbkE9SG" int2:invalidationBookmarkName="" int2:hashCode="+hy8M85sF9u9T4" int2:id="bvwT3ylg">
      <int2:state int2:value="Rejected" int2:type="AugLoop_Text_Critique"/>
    </int2:bookmark>
    <int2:bookmark int2:bookmarkName="_Int_XXUWL5j4" int2:invalidationBookmarkName="" int2:hashCode="cSr/kwv4pUQv/6" int2:id="cjwFnA3A">
      <int2:state int2:value="Rejected" int2:type="AugLoop_Text_Critique"/>
    </int2:bookmark>
    <int2:bookmark int2:bookmarkName="_Int_wHEkqCRF" int2:invalidationBookmarkName="" int2:hashCode="A4YOp2ceRQ971+" int2:id="cuNTVZxi">
      <int2:state int2:value="Rejected" int2:type="AugLoop_Text_Critique"/>
    </int2:bookmark>
    <int2:bookmark int2:bookmarkName="_Int_RfikCdZI" int2:invalidationBookmarkName="" int2:hashCode="mGsbweuN6JZDxQ" int2:id="cvDcbhdv">
      <int2:state int2:value="Rejected" int2:type="AugLoop_Text_Critique"/>
    </int2:bookmark>
    <int2:bookmark int2:bookmarkName="_Int_bVb5lAdP" int2:invalidationBookmarkName="" int2:hashCode="BHylQDKhdWwJjT" int2:id="eKP7r40i">
      <int2:state int2:value="Rejected" int2:type="AugLoop_Text_Critique"/>
    </int2:bookmark>
    <int2:bookmark int2:bookmarkName="_Int_QvOjW5yd" int2:invalidationBookmarkName="" int2:hashCode="3aKsP3YcWmO9eC" int2:id="fOJc6Xvf">
      <int2:state int2:value="Rejected" int2:type="AugLoop_Text_Critique"/>
    </int2:bookmark>
    <int2:bookmark int2:bookmarkName="_Int_ceI4KLSV" int2:invalidationBookmarkName="" int2:hashCode="mQFoH0eDtPX24L" int2:id="fnnhgDSi">
      <int2:state int2:value="Rejected" int2:type="AugLoop_Text_Critique"/>
    </int2:bookmark>
    <int2:bookmark int2:bookmarkName="_Int_N5ehRROd" int2:invalidationBookmarkName="" int2:hashCode="ZgIbANvAUAV8cI" int2:id="geApzxN4">
      <int2:state int2:value="Rejected" int2:type="AugLoop_Text_Critique"/>
    </int2:bookmark>
    <int2:bookmark int2:bookmarkName="_Int_3vSAVQRU" int2:invalidationBookmarkName="" int2:hashCode="kYux5K1TaHY6qV" int2:id="lG0zpnb2">
      <int2:state int2:value="Rejected" int2:type="AugLoop_Text_Critique"/>
    </int2:bookmark>
    <int2:bookmark int2:bookmarkName="_Int_8Md3IRK7" int2:invalidationBookmarkName="" int2:hashCode="3KKjJeR/dxf+gy" int2:id="meX3W1tn">
      <int2:state int2:value="Rejected" int2:type="AugLoop_Text_Critique"/>
    </int2:bookmark>
    <int2:bookmark int2:bookmarkName="_Int_FFlus3YX" int2:invalidationBookmarkName="" int2:hashCode="nT0tpFeHlwpmG7" int2:id="miQmuJK9">
      <int2:state int2:value="Rejected" int2:type="AugLoop_Text_Critique"/>
    </int2:bookmark>
    <int2:bookmark int2:bookmarkName="_Int_jrxQ19ab" int2:invalidationBookmarkName="" int2:hashCode="oL6vNDTGkYRruI" int2:id="moKJj157">
      <int2:state int2:value="Rejected" int2:type="AugLoop_Text_Critique"/>
    </int2:bookmark>
    <int2:bookmark int2:bookmarkName="_Int_cgttoGZp" int2:invalidationBookmarkName="" int2:hashCode="E1+Tt6RJBbZOzq" int2:id="nQu7fYCn">
      <int2:state int2:value="Rejected" int2:type="AugLoop_Text_Critique"/>
    </int2:bookmark>
    <int2:bookmark int2:bookmarkName="_Int_YRUAG1e0" int2:invalidationBookmarkName="" int2:hashCode="A4YOp2ceRQ971+" int2:id="xIOw8nLd">
      <int2:state int2:value="Rejected" int2:type="AugLoop_Text_Critique"/>
    </int2:bookmark>
    <int2:bookmark int2:bookmarkName="_Int_lIq4BFF3" int2:invalidationBookmarkName="" int2:hashCode="kOdVK7miYR4hGU" int2:id="rn8bUECM">
      <int2:state int2:value="Rejected" int2:type="AugLoop_Text_Critique"/>
    </int2:bookmark>
    <int2:bookmark int2:bookmarkName="_Int_uSLepP6I" int2:invalidationBookmarkName="" int2:hashCode="e0dMsLOcF3PXGS" int2:id="slHZc1IR">
      <int2:state int2:value="Rejected" int2:type="AugLoop_Text_Critique"/>
    </int2:bookmark>
    <int2:bookmark int2:bookmarkName="_Int_C1Zut4aI" int2:invalidationBookmarkName="" int2:hashCode="hJetXtfckhryOq" int2:id="tin9L5s0">
      <int2:state int2:value="Rejected" int2:type="AugLoop_Text_Critique"/>
    </int2:bookmark>
    <int2:bookmark int2:bookmarkName="_Int_NxUoqdv1" int2:invalidationBookmarkName="" int2:hashCode="RoHRJMxsS3O6q/" int2:id="u4gFPaRI">
      <int2:state int2:value="Rejected" int2:type="AugLoop_Text_Critique"/>
    </int2:bookmark>
    <int2:bookmark int2:bookmarkName="_Int_qC0XZK8K" int2:invalidationBookmarkName="" int2:hashCode="VRd/LyDcPFdCnc" int2:id="uJthH7UV">
      <int2:state int2:value="Rejected" int2:type="AugLoop_Text_Critique"/>
    </int2:bookmark>
    <int2:bookmark int2:bookmarkName="_Int_vOjK5XMh" int2:invalidationBookmarkName="" int2:hashCode="biDSsgPPvG2yGX" int2:id="zMHLJQ9e">
      <int2:state int2:value="Rejected" int2:type="AugLoop_Text_Critique"/>
    </int2:bookmark>
    <int2:bookmark int2:bookmarkName="_Int_DFGA8Ygu" int2:invalidationBookmarkName="" int2:hashCode="PVjpWLYdijXOOA" int2:id="vAhj4GtY">
      <int2:state int2:value="Rejected" int2:type="AugLoop_Text_Critique"/>
    </int2:bookmark>
    <int2:bookmark int2:bookmarkName="_Int_PCJTWL9m" int2:invalidationBookmarkName="" int2:hashCode="fE93M+aQgdRDmb" int2:id="x15JFkh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E31549"/>
    <w:multiLevelType w:val="hybridMultilevel"/>
    <w:tmpl w:val="86EEB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057418C"/>
    <w:multiLevelType w:val="hybridMultilevel"/>
    <w:tmpl w:val="CAEC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3DD55361"/>
    <w:multiLevelType w:val="hybridMultilevel"/>
    <w:tmpl w:val="5E045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47B3F05"/>
    <w:multiLevelType w:val="hybridMultilevel"/>
    <w:tmpl w:val="BAE475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6"/>
  </w:num>
  <w:num w:numId="2" w16cid:durableId="1769932826">
    <w:abstractNumId w:val="20"/>
  </w:num>
  <w:num w:numId="3" w16cid:durableId="550074866">
    <w:abstractNumId w:val="11"/>
  </w:num>
  <w:num w:numId="4" w16cid:durableId="1881627233">
    <w:abstractNumId w:val="25"/>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3"/>
  </w:num>
  <w:num w:numId="9" w16cid:durableId="1008846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9"/>
  </w:num>
  <w:num w:numId="12" w16cid:durableId="1500659627">
    <w:abstractNumId w:val="32"/>
  </w:num>
  <w:num w:numId="13" w16cid:durableId="1879658227">
    <w:abstractNumId w:val="24"/>
  </w:num>
  <w:num w:numId="14" w16cid:durableId="1495758855">
    <w:abstractNumId w:val="9"/>
  </w:num>
  <w:num w:numId="15" w16cid:durableId="1186556611">
    <w:abstractNumId w:val="1"/>
  </w:num>
  <w:num w:numId="16" w16cid:durableId="679087124">
    <w:abstractNumId w:val="14"/>
  </w:num>
  <w:num w:numId="17" w16cid:durableId="1695498691">
    <w:abstractNumId w:val="15"/>
  </w:num>
  <w:num w:numId="18" w16cid:durableId="1042363640">
    <w:abstractNumId w:val="17"/>
  </w:num>
  <w:num w:numId="19" w16cid:durableId="820345968">
    <w:abstractNumId w:val="28"/>
  </w:num>
  <w:num w:numId="20" w16cid:durableId="1805388212">
    <w:abstractNumId w:val="37"/>
  </w:num>
  <w:num w:numId="21" w16cid:durableId="538709007">
    <w:abstractNumId w:val="26"/>
  </w:num>
  <w:num w:numId="22" w16cid:durableId="104540172">
    <w:abstractNumId w:val="8"/>
  </w:num>
  <w:num w:numId="23" w16cid:durableId="1824349076">
    <w:abstractNumId w:val="31"/>
  </w:num>
  <w:num w:numId="24" w16cid:durableId="672032853">
    <w:abstractNumId w:val="30"/>
  </w:num>
  <w:num w:numId="25" w16cid:durableId="48917541">
    <w:abstractNumId w:val="21"/>
  </w:num>
  <w:num w:numId="26" w16cid:durableId="978925443">
    <w:abstractNumId w:val="34"/>
  </w:num>
  <w:num w:numId="27" w16cid:durableId="1036613928">
    <w:abstractNumId w:val="39"/>
  </w:num>
  <w:num w:numId="28" w16cid:durableId="872039349">
    <w:abstractNumId w:val="6"/>
  </w:num>
  <w:num w:numId="29" w16cid:durableId="924530660">
    <w:abstractNumId w:val="3"/>
  </w:num>
  <w:num w:numId="30" w16cid:durableId="419180233">
    <w:abstractNumId w:val="23"/>
  </w:num>
  <w:num w:numId="31" w16cid:durableId="276761337">
    <w:abstractNumId w:val="22"/>
  </w:num>
  <w:num w:numId="32" w16cid:durableId="1166238383">
    <w:abstractNumId w:val="36"/>
  </w:num>
  <w:num w:numId="33" w16cid:durableId="2076850202">
    <w:abstractNumId w:val="35"/>
  </w:num>
  <w:num w:numId="34" w16cid:durableId="469176496">
    <w:abstractNumId w:val="12"/>
  </w:num>
  <w:num w:numId="35" w16cid:durableId="674843309">
    <w:abstractNumId w:val="19"/>
  </w:num>
  <w:num w:numId="36" w16cid:durableId="1954971501">
    <w:abstractNumId w:val="40"/>
  </w:num>
  <w:num w:numId="37" w16cid:durableId="1374379759">
    <w:abstractNumId w:val="18"/>
  </w:num>
  <w:num w:numId="38" w16cid:durableId="496925532">
    <w:abstractNumId w:val="27"/>
  </w:num>
  <w:num w:numId="39" w16cid:durableId="189925373">
    <w:abstractNumId w:val="10"/>
  </w:num>
  <w:num w:numId="40" w16cid:durableId="1731809678">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61D"/>
    <w:rsid w:val="0001774B"/>
    <w:rsid w:val="00020A7B"/>
    <w:rsid w:val="00020D0F"/>
    <w:rsid w:val="000215EB"/>
    <w:rsid w:val="00021E83"/>
    <w:rsid w:val="00023713"/>
    <w:rsid w:val="00023C4D"/>
    <w:rsid w:val="00025715"/>
    <w:rsid w:val="00025E71"/>
    <w:rsid w:val="00026226"/>
    <w:rsid w:val="00026269"/>
    <w:rsid w:val="00027154"/>
    <w:rsid w:val="00027ECF"/>
    <w:rsid w:val="000303BE"/>
    <w:rsid w:val="00033A94"/>
    <w:rsid w:val="000344D6"/>
    <w:rsid w:val="00034960"/>
    <w:rsid w:val="00036FAE"/>
    <w:rsid w:val="00041858"/>
    <w:rsid w:val="00042D55"/>
    <w:rsid w:val="0004389E"/>
    <w:rsid w:val="00044638"/>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57C02"/>
    <w:rsid w:val="00060F72"/>
    <w:rsid w:val="00062592"/>
    <w:rsid w:val="000636A1"/>
    <w:rsid w:val="000649D9"/>
    <w:rsid w:val="000652BE"/>
    <w:rsid w:val="00066479"/>
    <w:rsid w:val="0006723C"/>
    <w:rsid w:val="00070376"/>
    <w:rsid w:val="00070630"/>
    <w:rsid w:val="00070974"/>
    <w:rsid w:val="00070F3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0D5"/>
    <w:rsid w:val="00083AA3"/>
    <w:rsid w:val="00085947"/>
    <w:rsid w:val="000868FE"/>
    <w:rsid w:val="000878D1"/>
    <w:rsid w:val="00090194"/>
    <w:rsid w:val="000921AE"/>
    <w:rsid w:val="000921D7"/>
    <w:rsid w:val="000925FF"/>
    <w:rsid w:val="000932E0"/>
    <w:rsid w:val="00094853"/>
    <w:rsid w:val="00094C4C"/>
    <w:rsid w:val="00096762"/>
    <w:rsid w:val="000969C8"/>
    <w:rsid w:val="000974AC"/>
    <w:rsid w:val="0009752D"/>
    <w:rsid w:val="00097AEE"/>
    <w:rsid w:val="000A014A"/>
    <w:rsid w:val="000A0396"/>
    <w:rsid w:val="000A04B6"/>
    <w:rsid w:val="000A0E36"/>
    <w:rsid w:val="000A14EF"/>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4D4"/>
    <w:rsid w:val="000D7EB9"/>
    <w:rsid w:val="000E0223"/>
    <w:rsid w:val="000E0CF3"/>
    <w:rsid w:val="000E18A8"/>
    <w:rsid w:val="000E1AEC"/>
    <w:rsid w:val="000E3937"/>
    <w:rsid w:val="000E3F53"/>
    <w:rsid w:val="000E4926"/>
    <w:rsid w:val="000E49B7"/>
    <w:rsid w:val="000E5F7F"/>
    <w:rsid w:val="000E7086"/>
    <w:rsid w:val="000E7C65"/>
    <w:rsid w:val="000F04D2"/>
    <w:rsid w:val="000F55B7"/>
    <w:rsid w:val="000F604F"/>
    <w:rsid w:val="000F7399"/>
    <w:rsid w:val="00101BF1"/>
    <w:rsid w:val="001027F1"/>
    <w:rsid w:val="00102EBE"/>
    <w:rsid w:val="00104E00"/>
    <w:rsid w:val="00104F2E"/>
    <w:rsid w:val="001072DD"/>
    <w:rsid w:val="001101E8"/>
    <w:rsid w:val="00110D7A"/>
    <w:rsid w:val="00111464"/>
    <w:rsid w:val="0011167D"/>
    <w:rsid w:val="00112892"/>
    <w:rsid w:val="00112E48"/>
    <w:rsid w:val="001130EA"/>
    <w:rsid w:val="001138E8"/>
    <w:rsid w:val="00114259"/>
    <w:rsid w:val="001158EA"/>
    <w:rsid w:val="00115D10"/>
    <w:rsid w:val="001168B2"/>
    <w:rsid w:val="00117C20"/>
    <w:rsid w:val="00120F0E"/>
    <w:rsid w:val="00121A5D"/>
    <w:rsid w:val="00121BED"/>
    <w:rsid w:val="00123D39"/>
    <w:rsid w:val="001244CD"/>
    <w:rsid w:val="0012566F"/>
    <w:rsid w:val="001262B1"/>
    <w:rsid w:val="00130F41"/>
    <w:rsid w:val="00130FAF"/>
    <w:rsid w:val="001322E0"/>
    <w:rsid w:val="00135F2B"/>
    <w:rsid w:val="001372DD"/>
    <w:rsid w:val="001405BA"/>
    <w:rsid w:val="00141497"/>
    <w:rsid w:val="001420D2"/>
    <w:rsid w:val="0014222B"/>
    <w:rsid w:val="0014253A"/>
    <w:rsid w:val="001425C8"/>
    <w:rsid w:val="001431AE"/>
    <w:rsid w:val="00143B87"/>
    <w:rsid w:val="001453C4"/>
    <w:rsid w:val="001459E3"/>
    <w:rsid w:val="00145AF0"/>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5AF1"/>
    <w:rsid w:val="00186829"/>
    <w:rsid w:val="001868CA"/>
    <w:rsid w:val="00187304"/>
    <w:rsid w:val="001875BE"/>
    <w:rsid w:val="0019017A"/>
    <w:rsid w:val="00190B8C"/>
    <w:rsid w:val="00190FF8"/>
    <w:rsid w:val="00191E9E"/>
    <w:rsid w:val="0019311A"/>
    <w:rsid w:val="0019482F"/>
    <w:rsid w:val="0019508A"/>
    <w:rsid w:val="001960D8"/>
    <w:rsid w:val="00196F78"/>
    <w:rsid w:val="001A1642"/>
    <w:rsid w:val="001A371B"/>
    <w:rsid w:val="001A4766"/>
    <w:rsid w:val="001A6A0D"/>
    <w:rsid w:val="001A6A40"/>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C6D37"/>
    <w:rsid w:val="001D000A"/>
    <w:rsid w:val="001D0883"/>
    <w:rsid w:val="001D2205"/>
    <w:rsid w:val="001D3A1F"/>
    <w:rsid w:val="001D3FB6"/>
    <w:rsid w:val="001D4550"/>
    <w:rsid w:val="001D5498"/>
    <w:rsid w:val="001D5BAF"/>
    <w:rsid w:val="001D6401"/>
    <w:rsid w:val="001D66C9"/>
    <w:rsid w:val="001D722A"/>
    <w:rsid w:val="001E0018"/>
    <w:rsid w:val="001E002F"/>
    <w:rsid w:val="001E04FC"/>
    <w:rsid w:val="001E3E38"/>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41D"/>
    <w:rsid w:val="002067BA"/>
    <w:rsid w:val="00207882"/>
    <w:rsid w:val="002104C4"/>
    <w:rsid w:val="0021058D"/>
    <w:rsid w:val="00211045"/>
    <w:rsid w:val="00211E2F"/>
    <w:rsid w:val="00211E9E"/>
    <w:rsid w:val="002128E8"/>
    <w:rsid w:val="00214FB4"/>
    <w:rsid w:val="00215940"/>
    <w:rsid w:val="00217C23"/>
    <w:rsid w:val="00220561"/>
    <w:rsid w:val="00220CE4"/>
    <w:rsid w:val="00222045"/>
    <w:rsid w:val="00222D9B"/>
    <w:rsid w:val="00223788"/>
    <w:rsid w:val="00223D11"/>
    <w:rsid w:val="002242D3"/>
    <w:rsid w:val="002273AC"/>
    <w:rsid w:val="00227C1A"/>
    <w:rsid w:val="002301E6"/>
    <w:rsid w:val="00232555"/>
    <w:rsid w:val="00232B8F"/>
    <w:rsid w:val="00232F90"/>
    <w:rsid w:val="00233B08"/>
    <w:rsid w:val="00233C3B"/>
    <w:rsid w:val="00234983"/>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556"/>
    <w:rsid w:val="00276A5A"/>
    <w:rsid w:val="002772AE"/>
    <w:rsid w:val="00280613"/>
    <w:rsid w:val="002809A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972C5"/>
    <w:rsid w:val="002A0C82"/>
    <w:rsid w:val="002A0CD8"/>
    <w:rsid w:val="002A0CE7"/>
    <w:rsid w:val="002A13EB"/>
    <w:rsid w:val="002A1BDB"/>
    <w:rsid w:val="002A35EF"/>
    <w:rsid w:val="002A3DE0"/>
    <w:rsid w:val="002A40EA"/>
    <w:rsid w:val="002A41CA"/>
    <w:rsid w:val="002A46E8"/>
    <w:rsid w:val="002A491C"/>
    <w:rsid w:val="002A4C8E"/>
    <w:rsid w:val="002B1FEF"/>
    <w:rsid w:val="002B2DF8"/>
    <w:rsid w:val="002B3473"/>
    <w:rsid w:val="002B354F"/>
    <w:rsid w:val="002B3614"/>
    <w:rsid w:val="002B3DBC"/>
    <w:rsid w:val="002B3EB0"/>
    <w:rsid w:val="002B45D1"/>
    <w:rsid w:val="002B4ED8"/>
    <w:rsid w:val="002B4FAA"/>
    <w:rsid w:val="002B52C2"/>
    <w:rsid w:val="002B7656"/>
    <w:rsid w:val="002C0642"/>
    <w:rsid w:val="002C1492"/>
    <w:rsid w:val="002C1E8B"/>
    <w:rsid w:val="002C2A88"/>
    <w:rsid w:val="002C2EFE"/>
    <w:rsid w:val="002C4B76"/>
    <w:rsid w:val="002C53AA"/>
    <w:rsid w:val="002C5B2D"/>
    <w:rsid w:val="002C6AF9"/>
    <w:rsid w:val="002C7DFC"/>
    <w:rsid w:val="002D08B8"/>
    <w:rsid w:val="002D14F3"/>
    <w:rsid w:val="002D16E4"/>
    <w:rsid w:val="002D1A6F"/>
    <w:rsid w:val="002D2FEF"/>
    <w:rsid w:val="002D36A3"/>
    <w:rsid w:val="002D36C2"/>
    <w:rsid w:val="002D3FCB"/>
    <w:rsid w:val="002D4FEF"/>
    <w:rsid w:val="002D502D"/>
    <w:rsid w:val="002D50C1"/>
    <w:rsid w:val="002D63F5"/>
    <w:rsid w:val="002D6E1A"/>
    <w:rsid w:val="002D7400"/>
    <w:rsid w:val="002E036D"/>
    <w:rsid w:val="002E10A5"/>
    <w:rsid w:val="002E1517"/>
    <w:rsid w:val="002E1760"/>
    <w:rsid w:val="002E1B22"/>
    <w:rsid w:val="002E2DC6"/>
    <w:rsid w:val="002E387F"/>
    <w:rsid w:val="002E4ED1"/>
    <w:rsid w:val="002E76FC"/>
    <w:rsid w:val="002E7F4B"/>
    <w:rsid w:val="002F0C91"/>
    <w:rsid w:val="002F0E3E"/>
    <w:rsid w:val="002F1683"/>
    <w:rsid w:val="002F1B19"/>
    <w:rsid w:val="002F1FBF"/>
    <w:rsid w:val="002F3BD2"/>
    <w:rsid w:val="002F4121"/>
    <w:rsid w:val="002F4139"/>
    <w:rsid w:val="002F5D1C"/>
    <w:rsid w:val="00300624"/>
    <w:rsid w:val="00300F56"/>
    <w:rsid w:val="00301006"/>
    <w:rsid w:val="00301C2B"/>
    <w:rsid w:val="00304A71"/>
    <w:rsid w:val="00305CA9"/>
    <w:rsid w:val="00306419"/>
    <w:rsid w:val="003066C8"/>
    <w:rsid w:val="0030739D"/>
    <w:rsid w:val="00307AFB"/>
    <w:rsid w:val="00311184"/>
    <w:rsid w:val="00311E05"/>
    <w:rsid w:val="00312675"/>
    <w:rsid w:val="003133F2"/>
    <w:rsid w:val="00313F3D"/>
    <w:rsid w:val="00314013"/>
    <w:rsid w:val="00314945"/>
    <w:rsid w:val="00315389"/>
    <w:rsid w:val="00315746"/>
    <w:rsid w:val="00315E96"/>
    <w:rsid w:val="00317FC8"/>
    <w:rsid w:val="003223D7"/>
    <w:rsid w:val="003226DE"/>
    <w:rsid w:val="00323D9F"/>
    <w:rsid w:val="00324FDB"/>
    <w:rsid w:val="0032524B"/>
    <w:rsid w:val="0032560C"/>
    <w:rsid w:val="00325F48"/>
    <w:rsid w:val="00327582"/>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113"/>
    <w:rsid w:val="00355789"/>
    <w:rsid w:val="003609B6"/>
    <w:rsid w:val="00361119"/>
    <w:rsid w:val="003635CA"/>
    <w:rsid w:val="003643B3"/>
    <w:rsid w:val="00364C1A"/>
    <w:rsid w:val="0036538D"/>
    <w:rsid w:val="00365D12"/>
    <w:rsid w:val="00366E20"/>
    <w:rsid w:val="003677B3"/>
    <w:rsid w:val="0037018D"/>
    <w:rsid w:val="00372299"/>
    <w:rsid w:val="00372F02"/>
    <w:rsid w:val="00373729"/>
    <w:rsid w:val="00373C91"/>
    <w:rsid w:val="003748F0"/>
    <w:rsid w:val="003755C6"/>
    <w:rsid w:val="00375AEF"/>
    <w:rsid w:val="00376367"/>
    <w:rsid w:val="00376B02"/>
    <w:rsid w:val="0037733A"/>
    <w:rsid w:val="003776DC"/>
    <w:rsid w:val="003779C1"/>
    <w:rsid w:val="00380932"/>
    <w:rsid w:val="00380FEC"/>
    <w:rsid w:val="00381226"/>
    <w:rsid w:val="00381B1B"/>
    <w:rsid w:val="00381FF6"/>
    <w:rsid w:val="00383D7D"/>
    <w:rsid w:val="00384CCE"/>
    <w:rsid w:val="003865E5"/>
    <w:rsid w:val="0038786D"/>
    <w:rsid w:val="003926C1"/>
    <w:rsid w:val="00392900"/>
    <w:rsid w:val="00393357"/>
    <w:rsid w:val="00395E7B"/>
    <w:rsid w:val="00395F4C"/>
    <w:rsid w:val="003A51C5"/>
    <w:rsid w:val="003A5A73"/>
    <w:rsid w:val="003A5DAC"/>
    <w:rsid w:val="003A6591"/>
    <w:rsid w:val="003A6E9A"/>
    <w:rsid w:val="003B08C8"/>
    <w:rsid w:val="003B1E90"/>
    <w:rsid w:val="003B2567"/>
    <w:rsid w:val="003B3773"/>
    <w:rsid w:val="003B381A"/>
    <w:rsid w:val="003B46CC"/>
    <w:rsid w:val="003B4976"/>
    <w:rsid w:val="003B4B3F"/>
    <w:rsid w:val="003B6258"/>
    <w:rsid w:val="003B7A99"/>
    <w:rsid w:val="003C0343"/>
    <w:rsid w:val="003C1C32"/>
    <w:rsid w:val="003C40DA"/>
    <w:rsid w:val="003C42BA"/>
    <w:rsid w:val="003C462F"/>
    <w:rsid w:val="003C4A02"/>
    <w:rsid w:val="003C4F05"/>
    <w:rsid w:val="003C60D2"/>
    <w:rsid w:val="003C6191"/>
    <w:rsid w:val="003C6E49"/>
    <w:rsid w:val="003D0CBF"/>
    <w:rsid w:val="003D0DD6"/>
    <w:rsid w:val="003D4B73"/>
    <w:rsid w:val="003D4CB6"/>
    <w:rsid w:val="003D503B"/>
    <w:rsid w:val="003D605E"/>
    <w:rsid w:val="003D61D1"/>
    <w:rsid w:val="003D6780"/>
    <w:rsid w:val="003D6FCB"/>
    <w:rsid w:val="003E0F84"/>
    <w:rsid w:val="003E1FF3"/>
    <w:rsid w:val="003E3ACA"/>
    <w:rsid w:val="003E50EA"/>
    <w:rsid w:val="003E68C7"/>
    <w:rsid w:val="003E7313"/>
    <w:rsid w:val="003E79B0"/>
    <w:rsid w:val="003F0403"/>
    <w:rsid w:val="003F06E6"/>
    <w:rsid w:val="003F1094"/>
    <w:rsid w:val="003F29DA"/>
    <w:rsid w:val="003F2E45"/>
    <w:rsid w:val="003F30AC"/>
    <w:rsid w:val="003F3EFE"/>
    <w:rsid w:val="003F40B8"/>
    <w:rsid w:val="003F5C06"/>
    <w:rsid w:val="00400195"/>
    <w:rsid w:val="0040254B"/>
    <w:rsid w:val="00403086"/>
    <w:rsid w:val="00403460"/>
    <w:rsid w:val="004040FF"/>
    <w:rsid w:val="00404284"/>
    <w:rsid w:val="004042C4"/>
    <w:rsid w:val="00406E90"/>
    <w:rsid w:val="00410240"/>
    <w:rsid w:val="00412253"/>
    <w:rsid w:val="004134AC"/>
    <w:rsid w:val="004142ED"/>
    <w:rsid w:val="0041634D"/>
    <w:rsid w:val="00416ABC"/>
    <w:rsid w:val="00417EF7"/>
    <w:rsid w:val="00422A7D"/>
    <w:rsid w:val="00422BFC"/>
    <w:rsid w:val="004235FE"/>
    <w:rsid w:val="00424642"/>
    <w:rsid w:val="00424FFF"/>
    <w:rsid w:val="00425ABB"/>
    <w:rsid w:val="00425BB6"/>
    <w:rsid w:val="004261A0"/>
    <w:rsid w:val="004265AA"/>
    <w:rsid w:val="00426AE4"/>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5553F"/>
    <w:rsid w:val="00460905"/>
    <w:rsid w:val="00461E35"/>
    <w:rsid w:val="004621DB"/>
    <w:rsid w:val="00462991"/>
    <w:rsid w:val="004634A7"/>
    <w:rsid w:val="00463787"/>
    <w:rsid w:val="004659AA"/>
    <w:rsid w:val="00466926"/>
    <w:rsid w:val="00466FDA"/>
    <w:rsid w:val="004671D0"/>
    <w:rsid w:val="004674D1"/>
    <w:rsid w:val="00470773"/>
    <w:rsid w:val="00471FF9"/>
    <w:rsid w:val="00473E74"/>
    <w:rsid w:val="00473FEF"/>
    <w:rsid w:val="0047548C"/>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1D32"/>
    <w:rsid w:val="00492457"/>
    <w:rsid w:val="004924A8"/>
    <w:rsid w:val="00492B77"/>
    <w:rsid w:val="00493122"/>
    <w:rsid w:val="004934BA"/>
    <w:rsid w:val="004934E9"/>
    <w:rsid w:val="00494737"/>
    <w:rsid w:val="00494D5C"/>
    <w:rsid w:val="004958E2"/>
    <w:rsid w:val="00495A6A"/>
    <w:rsid w:val="00496163"/>
    <w:rsid w:val="004964F6"/>
    <w:rsid w:val="00496821"/>
    <w:rsid w:val="00497750"/>
    <w:rsid w:val="00497B44"/>
    <w:rsid w:val="004A00E5"/>
    <w:rsid w:val="004A01A7"/>
    <w:rsid w:val="004A0D09"/>
    <w:rsid w:val="004A116E"/>
    <w:rsid w:val="004A2B23"/>
    <w:rsid w:val="004A357F"/>
    <w:rsid w:val="004A3DAD"/>
    <w:rsid w:val="004B0335"/>
    <w:rsid w:val="004B0F1C"/>
    <w:rsid w:val="004B100D"/>
    <w:rsid w:val="004B1E61"/>
    <w:rsid w:val="004B21AB"/>
    <w:rsid w:val="004B351C"/>
    <w:rsid w:val="004B59E0"/>
    <w:rsid w:val="004B667B"/>
    <w:rsid w:val="004B71C7"/>
    <w:rsid w:val="004B7F89"/>
    <w:rsid w:val="004C03AA"/>
    <w:rsid w:val="004C0B9A"/>
    <w:rsid w:val="004C14E7"/>
    <w:rsid w:val="004C1D89"/>
    <w:rsid w:val="004C2A94"/>
    <w:rsid w:val="004C2CD0"/>
    <w:rsid w:val="004C2FFD"/>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D7F7D"/>
    <w:rsid w:val="004E0A28"/>
    <w:rsid w:val="004E1A0F"/>
    <w:rsid w:val="004E2E89"/>
    <w:rsid w:val="004E33C2"/>
    <w:rsid w:val="004E3B9A"/>
    <w:rsid w:val="004E49B0"/>
    <w:rsid w:val="004E62DE"/>
    <w:rsid w:val="004E6B05"/>
    <w:rsid w:val="004E76A1"/>
    <w:rsid w:val="004F05DE"/>
    <w:rsid w:val="004F0B1A"/>
    <w:rsid w:val="004F6376"/>
    <w:rsid w:val="004F6A93"/>
    <w:rsid w:val="004F6F14"/>
    <w:rsid w:val="004F728D"/>
    <w:rsid w:val="004F76D9"/>
    <w:rsid w:val="004F79A6"/>
    <w:rsid w:val="00500B90"/>
    <w:rsid w:val="00501BF5"/>
    <w:rsid w:val="00501D8B"/>
    <w:rsid w:val="00503A3E"/>
    <w:rsid w:val="00503F59"/>
    <w:rsid w:val="005049A7"/>
    <w:rsid w:val="005053B2"/>
    <w:rsid w:val="00506331"/>
    <w:rsid w:val="00507D11"/>
    <w:rsid w:val="00510662"/>
    <w:rsid w:val="005109B7"/>
    <w:rsid w:val="00510A19"/>
    <w:rsid w:val="00511AAB"/>
    <w:rsid w:val="00511CAD"/>
    <w:rsid w:val="00513325"/>
    <w:rsid w:val="00514D10"/>
    <w:rsid w:val="00516783"/>
    <w:rsid w:val="005171FB"/>
    <w:rsid w:val="00517EF8"/>
    <w:rsid w:val="00520083"/>
    <w:rsid w:val="0052029E"/>
    <w:rsid w:val="0052076A"/>
    <w:rsid w:val="00520A2C"/>
    <w:rsid w:val="00520E25"/>
    <w:rsid w:val="0052183D"/>
    <w:rsid w:val="00522B01"/>
    <w:rsid w:val="00522F44"/>
    <w:rsid w:val="0052360A"/>
    <w:rsid w:val="00523FF9"/>
    <w:rsid w:val="005242BA"/>
    <w:rsid w:val="005243B8"/>
    <w:rsid w:val="005252DD"/>
    <w:rsid w:val="005300C4"/>
    <w:rsid w:val="00530A8D"/>
    <w:rsid w:val="00531C6D"/>
    <w:rsid w:val="00532EF4"/>
    <w:rsid w:val="005347CE"/>
    <w:rsid w:val="00535477"/>
    <w:rsid w:val="00535A1D"/>
    <w:rsid w:val="00535DEA"/>
    <w:rsid w:val="0053723A"/>
    <w:rsid w:val="00537636"/>
    <w:rsid w:val="00537B1D"/>
    <w:rsid w:val="00540191"/>
    <w:rsid w:val="00540A2A"/>
    <w:rsid w:val="00540C00"/>
    <w:rsid w:val="00541F27"/>
    <w:rsid w:val="00542297"/>
    <w:rsid w:val="005424BC"/>
    <w:rsid w:val="00542A28"/>
    <w:rsid w:val="005441D4"/>
    <w:rsid w:val="0054672D"/>
    <w:rsid w:val="00550F4E"/>
    <w:rsid w:val="00551E98"/>
    <w:rsid w:val="00552D32"/>
    <w:rsid w:val="005532B5"/>
    <w:rsid w:val="00553F20"/>
    <w:rsid w:val="00554A05"/>
    <w:rsid w:val="00555849"/>
    <w:rsid w:val="005559A8"/>
    <w:rsid w:val="00556346"/>
    <w:rsid w:val="0055673E"/>
    <w:rsid w:val="00556F9D"/>
    <w:rsid w:val="00557048"/>
    <w:rsid w:val="005575AB"/>
    <w:rsid w:val="00557FB5"/>
    <w:rsid w:val="00561572"/>
    <w:rsid w:val="00561AED"/>
    <w:rsid w:val="00562827"/>
    <w:rsid w:val="00563FAC"/>
    <w:rsid w:val="005648A8"/>
    <w:rsid w:val="00564C93"/>
    <w:rsid w:val="00564DE3"/>
    <w:rsid w:val="00564E44"/>
    <w:rsid w:val="00566C6A"/>
    <w:rsid w:val="00566CE5"/>
    <w:rsid w:val="00566D36"/>
    <w:rsid w:val="0057163A"/>
    <w:rsid w:val="0057174D"/>
    <w:rsid w:val="00572538"/>
    <w:rsid w:val="00573569"/>
    <w:rsid w:val="00573871"/>
    <w:rsid w:val="0057389E"/>
    <w:rsid w:val="00574858"/>
    <w:rsid w:val="005765C0"/>
    <w:rsid w:val="005778DE"/>
    <w:rsid w:val="00580B3F"/>
    <w:rsid w:val="005820CF"/>
    <w:rsid w:val="005825F2"/>
    <w:rsid w:val="00582DE7"/>
    <w:rsid w:val="0058344D"/>
    <w:rsid w:val="00583885"/>
    <w:rsid w:val="005860AF"/>
    <w:rsid w:val="00587F1D"/>
    <w:rsid w:val="00590348"/>
    <w:rsid w:val="00591161"/>
    <w:rsid w:val="005912ED"/>
    <w:rsid w:val="00591776"/>
    <w:rsid w:val="00592318"/>
    <w:rsid w:val="00593133"/>
    <w:rsid w:val="00593135"/>
    <w:rsid w:val="00593889"/>
    <w:rsid w:val="0059575D"/>
    <w:rsid w:val="00596825"/>
    <w:rsid w:val="00596AB0"/>
    <w:rsid w:val="005A06A0"/>
    <w:rsid w:val="005A0CF7"/>
    <w:rsid w:val="005A150A"/>
    <w:rsid w:val="005A2B3E"/>
    <w:rsid w:val="005A3644"/>
    <w:rsid w:val="005A4087"/>
    <w:rsid w:val="005A4533"/>
    <w:rsid w:val="005A4B18"/>
    <w:rsid w:val="005A537E"/>
    <w:rsid w:val="005A53AB"/>
    <w:rsid w:val="005A5C2E"/>
    <w:rsid w:val="005A6F43"/>
    <w:rsid w:val="005A767D"/>
    <w:rsid w:val="005A775C"/>
    <w:rsid w:val="005A7BE2"/>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3B5"/>
    <w:rsid w:val="005D148F"/>
    <w:rsid w:val="005D1F63"/>
    <w:rsid w:val="005D2AD2"/>
    <w:rsid w:val="005D3762"/>
    <w:rsid w:val="005D46DA"/>
    <w:rsid w:val="005D4A86"/>
    <w:rsid w:val="005D4F78"/>
    <w:rsid w:val="005D5EB1"/>
    <w:rsid w:val="005D6A29"/>
    <w:rsid w:val="005E029A"/>
    <w:rsid w:val="005E0481"/>
    <w:rsid w:val="005E07A6"/>
    <w:rsid w:val="005E10BF"/>
    <w:rsid w:val="005E1834"/>
    <w:rsid w:val="005E49E5"/>
    <w:rsid w:val="005E4E00"/>
    <w:rsid w:val="005E5481"/>
    <w:rsid w:val="005E55E4"/>
    <w:rsid w:val="005E6C5F"/>
    <w:rsid w:val="005E7636"/>
    <w:rsid w:val="005F028E"/>
    <w:rsid w:val="005F04B4"/>
    <w:rsid w:val="005F0AB5"/>
    <w:rsid w:val="005F11A4"/>
    <w:rsid w:val="005F19F8"/>
    <w:rsid w:val="005F3FB1"/>
    <w:rsid w:val="005F4C33"/>
    <w:rsid w:val="005F4D29"/>
    <w:rsid w:val="005F5ACF"/>
    <w:rsid w:val="005F60DC"/>
    <w:rsid w:val="005F7979"/>
    <w:rsid w:val="006000DD"/>
    <w:rsid w:val="00600F63"/>
    <w:rsid w:val="0060124F"/>
    <w:rsid w:val="006012E1"/>
    <w:rsid w:val="00602253"/>
    <w:rsid w:val="006023E1"/>
    <w:rsid w:val="006038DE"/>
    <w:rsid w:val="00605531"/>
    <w:rsid w:val="00605748"/>
    <w:rsid w:val="006057C5"/>
    <w:rsid w:val="00606240"/>
    <w:rsid w:val="0060674A"/>
    <w:rsid w:val="00606F77"/>
    <w:rsid w:val="00607832"/>
    <w:rsid w:val="0060784B"/>
    <w:rsid w:val="00607A5B"/>
    <w:rsid w:val="00610254"/>
    <w:rsid w:val="006105FB"/>
    <w:rsid w:val="00610F94"/>
    <w:rsid w:val="00611176"/>
    <w:rsid w:val="00611293"/>
    <w:rsid w:val="0061135E"/>
    <w:rsid w:val="00611553"/>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48CB"/>
    <w:rsid w:val="00624CE2"/>
    <w:rsid w:val="00625F82"/>
    <w:rsid w:val="00627999"/>
    <w:rsid w:val="00630FF7"/>
    <w:rsid w:val="00633433"/>
    <w:rsid w:val="006341B5"/>
    <w:rsid w:val="006346C9"/>
    <w:rsid w:val="00634727"/>
    <w:rsid w:val="00634B64"/>
    <w:rsid w:val="0063578C"/>
    <w:rsid w:val="0063642C"/>
    <w:rsid w:val="0063681E"/>
    <w:rsid w:val="00636FF9"/>
    <w:rsid w:val="00640DCD"/>
    <w:rsid w:val="00641B50"/>
    <w:rsid w:val="00641DC3"/>
    <w:rsid w:val="00642972"/>
    <w:rsid w:val="00644313"/>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5A5D"/>
    <w:rsid w:val="0067774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AF6"/>
    <w:rsid w:val="00691B7C"/>
    <w:rsid w:val="00692ADF"/>
    <w:rsid w:val="00694B73"/>
    <w:rsid w:val="00694DF2"/>
    <w:rsid w:val="00695F80"/>
    <w:rsid w:val="006966CD"/>
    <w:rsid w:val="00696735"/>
    <w:rsid w:val="0069780E"/>
    <w:rsid w:val="006A2CA2"/>
    <w:rsid w:val="006A74E3"/>
    <w:rsid w:val="006B1C81"/>
    <w:rsid w:val="006B2D40"/>
    <w:rsid w:val="006B3301"/>
    <w:rsid w:val="006B34DF"/>
    <w:rsid w:val="006B377B"/>
    <w:rsid w:val="006B39B2"/>
    <w:rsid w:val="006B3AF9"/>
    <w:rsid w:val="006B45A0"/>
    <w:rsid w:val="006B5668"/>
    <w:rsid w:val="006B5DF1"/>
    <w:rsid w:val="006B5F71"/>
    <w:rsid w:val="006B6E44"/>
    <w:rsid w:val="006B7059"/>
    <w:rsid w:val="006B7287"/>
    <w:rsid w:val="006B7F2E"/>
    <w:rsid w:val="006C0BF8"/>
    <w:rsid w:val="006C1394"/>
    <w:rsid w:val="006C2253"/>
    <w:rsid w:val="006C2CCB"/>
    <w:rsid w:val="006C4334"/>
    <w:rsid w:val="006C4B0F"/>
    <w:rsid w:val="006C5E96"/>
    <w:rsid w:val="006D399F"/>
    <w:rsid w:val="006D41A8"/>
    <w:rsid w:val="006D4F0C"/>
    <w:rsid w:val="006D5645"/>
    <w:rsid w:val="006E0C8A"/>
    <w:rsid w:val="006E110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2FCF"/>
    <w:rsid w:val="007133E4"/>
    <w:rsid w:val="00713788"/>
    <w:rsid w:val="00713940"/>
    <w:rsid w:val="0071517D"/>
    <w:rsid w:val="007151A2"/>
    <w:rsid w:val="00715A20"/>
    <w:rsid w:val="00715F7E"/>
    <w:rsid w:val="00716268"/>
    <w:rsid w:val="00716774"/>
    <w:rsid w:val="00716FA9"/>
    <w:rsid w:val="0071740A"/>
    <w:rsid w:val="007209DD"/>
    <w:rsid w:val="00722E49"/>
    <w:rsid w:val="00722F58"/>
    <w:rsid w:val="00723A08"/>
    <w:rsid w:val="00723B5C"/>
    <w:rsid w:val="007240F8"/>
    <w:rsid w:val="00724391"/>
    <w:rsid w:val="00724C18"/>
    <w:rsid w:val="00725FB1"/>
    <w:rsid w:val="00726630"/>
    <w:rsid w:val="00727F73"/>
    <w:rsid w:val="00730705"/>
    <w:rsid w:val="00730944"/>
    <w:rsid w:val="00731475"/>
    <w:rsid w:val="0073248E"/>
    <w:rsid w:val="00733EE9"/>
    <w:rsid w:val="007347B5"/>
    <w:rsid w:val="00735B8E"/>
    <w:rsid w:val="00736651"/>
    <w:rsid w:val="0073673C"/>
    <w:rsid w:val="00736935"/>
    <w:rsid w:val="00737292"/>
    <w:rsid w:val="007378EC"/>
    <w:rsid w:val="00737DD9"/>
    <w:rsid w:val="007411FC"/>
    <w:rsid w:val="00743427"/>
    <w:rsid w:val="00743DE7"/>
    <w:rsid w:val="0074509E"/>
    <w:rsid w:val="00745B9F"/>
    <w:rsid w:val="0074726F"/>
    <w:rsid w:val="00750A2D"/>
    <w:rsid w:val="00752D4F"/>
    <w:rsid w:val="0075409F"/>
    <w:rsid w:val="0075525A"/>
    <w:rsid w:val="00755609"/>
    <w:rsid w:val="00755986"/>
    <w:rsid w:val="00755C86"/>
    <w:rsid w:val="00755E19"/>
    <w:rsid w:val="00756BFF"/>
    <w:rsid w:val="00756D77"/>
    <w:rsid w:val="00760041"/>
    <w:rsid w:val="007605C7"/>
    <w:rsid w:val="00760B08"/>
    <w:rsid w:val="00760EDA"/>
    <w:rsid w:val="007616B4"/>
    <w:rsid w:val="00761B1E"/>
    <w:rsid w:val="00761F4E"/>
    <w:rsid w:val="00762150"/>
    <w:rsid w:val="00762621"/>
    <w:rsid w:val="00763F36"/>
    <w:rsid w:val="007648A0"/>
    <w:rsid w:val="00764BCD"/>
    <w:rsid w:val="007652FF"/>
    <w:rsid w:val="007659A3"/>
    <w:rsid w:val="00766F4D"/>
    <w:rsid w:val="00770268"/>
    <w:rsid w:val="007706B9"/>
    <w:rsid w:val="007707ED"/>
    <w:rsid w:val="00771C3B"/>
    <w:rsid w:val="007726F9"/>
    <w:rsid w:val="007736E9"/>
    <w:rsid w:val="00773B94"/>
    <w:rsid w:val="00773C65"/>
    <w:rsid w:val="00775937"/>
    <w:rsid w:val="00776BD3"/>
    <w:rsid w:val="00777046"/>
    <w:rsid w:val="007770DA"/>
    <w:rsid w:val="007805B9"/>
    <w:rsid w:val="00780C3A"/>
    <w:rsid w:val="00782714"/>
    <w:rsid w:val="007834A1"/>
    <w:rsid w:val="00791EB4"/>
    <w:rsid w:val="007928F1"/>
    <w:rsid w:val="00793313"/>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A7CEA"/>
    <w:rsid w:val="007B0CD8"/>
    <w:rsid w:val="007B0DE0"/>
    <w:rsid w:val="007B21DE"/>
    <w:rsid w:val="007B2BB9"/>
    <w:rsid w:val="007B3AC1"/>
    <w:rsid w:val="007B43E8"/>
    <w:rsid w:val="007B4740"/>
    <w:rsid w:val="007B502C"/>
    <w:rsid w:val="007B555D"/>
    <w:rsid w:val="007B5F3B"/>
    <w:rsid w:val="007B738F"/>
    <w:rsid w:val="007C02B0"/>
    <w:rsid w:val="007C05A7"/>
    <w:rsid w:val="007C063E"/>
    <w:rsid w:val="007C1901"/>
    <w:rsid w:val="007C3AF9"/>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D67A1"/>
    <w:rsid w:val="007E0660"/>
    <w:rsid w:val="007E08DB"/>
    <w:rsid w:val="007E0A54"/>
    <w:rsid w:val="007E1411"/>
    <w:rsid w:val="007E1882"/>
    <w:rsid w:val="007E1BB4"/>
    <w:rsid w:val="007E2077"/>
    <w:rsid w:val="007E3514"/>
    <w:rsid w:val="007E4207"/>
    <w:rsid w:val="007E4AAA"/>
    <w:rsid w:val="007E4BD2"/>
    <w:rsid w:val="007E4C29"/>
    <w:rsid w:val="007E5E44"/>
    <w:rsid w:val="007E7125"/>
    <w:rsid w:val="007F0DDA"/>
    <w:rsid w:val="007F1939"/>
    <w:rsid w:val="007F365C"/>
    <w:rsid w:val="007F39F3"/>
    <w:rsid w:val="007F3C06"/>
    <w:rsid w:val="007F5066"/>
    <w:rsid w:val="007F621C"/>
    <w:rsid w:val="007F7155"/>
    <w:rsid w:val="00800C28"/>
    <w:rsid w:val="0080245E"/>
    <w:rsid w:val="00802E10"/>
    <w:rsid w:val="00803480"/>
    <w:rsid w:val="0080359C"/>
    <w:rsid w:val="008037AE"/>
    <w:rsid w:val="008037F6"/>
    <w:rsid w:val="00803C55"/>
    <w:rsid w:val="008043F4"/>
    <w:rsid w:val="00804869"/>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2150"/>
    <w:rsid w:val="008442FE"/>
    <w:rsid w:val="00844515"/>
    <w:rsid w:val="0084465A"/>
    <w:rsid w:val="00844DFF"/>
    <w:rsid w:val="00845D87"/>
    <w:rsid w:val="00846987"/>
    <w:rsid w:val="00846C3A"/>
    <w:rsid w:val="008477BF"/>
    <w:rsid w:val="008503DA"/>
    <w:rsid w:val="00850B68"/>
    <w:rsid w:val="00850E82"/>
    <w:rsid w:val="0085122D"/>
    <w:rsid w:val="008519E8"/>
    <w:rsid w:val="008525FF"/>
    <w:rsid w:val="00852933"/>
    <w:rsid w:val="00852C03"/>
    <w:rsid w:val="0085590C"/>
    <w:rsid w:val="00856EF5"/>
    <w:rsid w:val="00857102"/>
    <w:rsid w:val="008575EB"/>
    <w:rsid w:val="00861C39"/>
    <w:rsid w:val="00862DDD"/>
    <w:rsid w:val="0086312D"/>
    <w:rsid w:val="0086326D"/>
    <w:rsid w:val="00863CC1"/>
    <w:rsid w:val="00865B01"/>
    <w:rsid w:val="00866D7A"/>
    <w:rsid w:val="00866EE3"/>
    <w:rsid w:val="00870D81"/>
    <w:rsid w:val="00871F04"/>
    <w:rsid w:val="008746C1"/>
    <w:rsid w:val="0087698D"/>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95BA9"/>
    <w:rsid w:val="008A2585"/>
    <w:rsid w:val="008A2718"/>
    <w:rsid w:val="008A4CF6"/>
    <w:rsid w:val="008A4E42"/>
    <w:rsid w:val="008A51AA"/>
    <w:rsid w:val="008A6A12"/>
    <w:rsid w:val="008B0DC6"/>
    <w:rsid w:val="008B2B9E"/>
    <w:rsid w:val="008B31F5"/>
    <w:rsid w:val="008B32A8"/>
    <w:rsid w:val="008B4C79"/>
    <w:rsid w:val="008B5D2D"/>
    <w:rsid w:val="008B6361"/>
    <w:rsid w:val="008C0320"/>
    <w:rsid w:val="008C0C20"/>
    <w:rsid w:val="008C2A81"/>
    <w:rsid w:val="008C3863"/>
    <w:rsid w:val="008C3B6B"/>
    <w:rsid w:val="008C4BDC"/>
    <w:rsid w:val="008C50FF"/>
    <w:rsid w:val="008C5435"/>
    <w:rsid w:val="008C6BD1"/>
    <w:rsid w:val="008C7A06"/>
    <w:rsid w:val="008D07B3"/>
    <w:rsid w:val="008D2DB5"/>
    <w:rsid w:val="008D3F10"/>
    <w:rsid w:val="008D611D"/>
    <w:rsid w:val="008D7C30"/>
    <w:rsid w:val="008E1B6A"/>
    <w:rsid w:val="008E3054"/>
    <w:rsid w:val="008E32FF"/>
    <w:rsid w:val="008E5625"/>
    <w:rsid w:val="008E5C5B"/>
    <w:rsid w:val="008E6A37"/>
    <w:rsid w:val="008F0354"/>
    <w:rsid w:val="008F085A"/>
    <w:rsid w:val="008F1462"/>
    <w:rsid w:val="008F2413"/>
    <w:rsid w:val="008F248D"/>
    <w:rsid w:val="008F4B2C"/>
    <w:rsid w:val="008F4C08"/>
    <w:rsid w:val="008F59DE"/>
    <w:rsid w:val="008F6851"/>
    <w:rsid w:val="008F7BC4"/>
    <w:rsid w:val="009003B8"/>
    <w:rsid w:val="00900E7A"/>
    <w:rsid w:val="00903E11"/>
    <w:rsid w:val="00903EBE"/>
    <w:rsid w:val="009041DE"/>
    <w:rsid w:val="00905D59"/>
    <w:rsid w:val="009062CA"/>
    <w:rsid w:val="00907631"/>
    <w:rsid w:val="00907776"/>
    <w:rsid w:val="00907865"/>
    <w:rsid w:val="009111AD"/>
    <w:rsid w:val="00912534"/>
    <w:rsid w:val="00913401"/>
    <w:rsid w:val="00913567"/>
    <w:rsid w:val="009137B6"/>
    <w:rsid w:val="009142CB"/>
    <w:rsid w:val="00915EBA"/>
    <w:rsid w:val="00917093"/>
    <w:rsid w:val="0092030E"/>
    <w:rsid w:val="009217B1"/>
    <w:rsid w:val="00921A42"/>
    <w:rsid w:val="009223BB"/>
    <w:rsid w:val="00922491"/>
    <w:rsid w:val="00923BCF"/>
    <w:rsid w:val="00923EB5"/>
    <w:rsid w:val="00925205"/>
    <w:rsid w:val="00925AEC"/>
    <w:rsid w:val="0092751A"/>
    <w:rsid w:val="009305C4"/>
    <w:rsid w:val="00931FAF"/>
    <w:rsid w:val="00932478"/>
    <w:rsid w:val="009350E6"/>
    <w:rsid w:val="009360F6"/>
    <w:rsid w:val="009371DC"/>
    <w:rsid w:val="0093759D"/>
    <w:rsid w:val="00940239"/>
    <w:rsid w:val="00942BD6"/>
    <w:rsid w:val="00942DED"/>
    <w:rsid w:val="00944404"/>
    <w:rsid w:val="009452D7"/>
    <w:rsid w:val="00945FD1"/>
    <w:rsid w:val="00946CCC"/>
    <w:rsid w:val="00947E08"/>
    <w:rsid w:val="009503E5"/>
    <w:rsid w:val="00950F71"/>
    <w:rsid w:val="00952F2C"/>
    <w:rsid w:val="009532E3"/>
    <w:rsid w:val="00953615"/>
    <w:rsid w:val="00954BAF"/>
    <w:rsid w:val="00955F48"/>
    <w:rsid w:val="009560B3"/>
    <w:rsid w:val="0095745E"/>
    <w:rsid w:val="00957CE0"/>
    <w:rsid w:val="0096002E"/>
    <w:rsid w:val="0096039E"/>
    <w:rsid w:val="00962CEF"/>
    <w:rsid w:val="009632ED"/>
    <w:rsid w:val="00963766"/>
    <w:rsid w:val="00963885"/>
    <w:rsid w:val="00963FDF"/>
    <w:rsid w:val="00964C32"/>
    <w:rsid w:val="0096528F"/>
    <w:rsid w:val="009653F2"/>
    <w:rsid w:val="009661DF"/>
    <w:rsid w:val="009667BD"/>
    <w:rsid w:val="00967C2B"/>
    <w:rsid w:val="00967CE2"/>
    <w:rsid w:val="009708C2"/>
    <w:rsid w:val="00971DA3"/>
    <w:rsid w:val="00972161"/>
    <w:rsid w:val="0097260C"/>
    <w:rsid w:val="0097261B"/>
    <w:rsid w:val="00974881"/>
    <w:rsid w:val="0097606C"/>
    <w:rsid w:val="009771D1"/>
    <w:rsid w:val="0098012D"/>
    <w:rsid w:val="00980845"/>
    <w:rsid w:val="00981579"/>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358B"/>
    <w:rsid w:val="009A4D4F"/>
    <w:rsid w:val="009A53D8"/>
    <w:rsid w:val="009A597F"/>
    <w:rsid w:val="009A5F05"/>
    <w:rsid w:val="009A7128"/>
    <w:rsid w:val="009A7B72"/>
    <w:rsid w:val="009A7F49"/>
    <w:rsid w:val="009B03C4"/>
    <w:rsid w:val="009B096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2EC2"/>
    <w:rsid w:val="009D3E7C"/>
    <w:rsid w:val="009D55CA"/>
    <w:rsid w:val="009D5661"/>
    <w:rsid w:val="009D5EF0"/>
    <w:rsid w:val="009D6401"/>
    <w:rsid w:val="009D6E99"/>
    <w:rsid w:val="009D7194"/>
    <w:rsid w:val="009E0711"/>
    <w:rsid w:val="009E085F"/>
    <w:rsid w:val="009E1917"/>
    <w:rsid w:val="009E1C55"/>
    <w:rsid w:val="009E2158"/>
    <w:rsid w:val="009E236D"/>
    <w:rsid w:val="009E3594"/>
    <w:rsid w:val="009E480F"/>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4E7C"/>
    <w:rsid w:val="00A06340"/>
    <w:rsid w:val="00A0684F"/>
    <w:rsid w:val="00A06867"/>
    <w:rsid w:val="00A10148"/>
    <w:rsid w:val="00A113FD"/>
    <w:rsid w:val="00A11DDE"/>
    <w:rsid w:val="00A127A7"/>
    <w:rsid w:val="00A129F4"/>
    <w:rsid w:val="00A136F4"/>
    <w:rsid w:val="00A140B2"/>
    <w:rsid w:val="00A160D3"/>
    <w:rsid w:val="00A16DC9"/>
    <w:rsid w:val="00A1716F"/>
    <w:rsid w:val="00A20225"/>
    <w:rsid w:val="00A21042"/>
    <w:rsid w:val="00A24269"/>
    <w:rsid w:val="00A243E4"/>
    <w:rsid w:val="00A25392"/>
    <w:rsid w:val="00A25941"/>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555"/>
    <w:rsid w:val="00A4173D"/>
    <w:rsid w:val="00A41A95"/>
    <w:rsid w:val="00A4248B"/>
    <w:rsid w:val="00A4376E"/>
    <w:rsid w:val="00A44C13"/>
    <w:rsid w:val="00A4572B"/>
    <w:rsid w:val="00A45E46"/>
    <w:rsid w:val="00A46246"/>
    <w:rsid w:val="00A46349"/>
    <w:rsid w:val="00A46D5E"/>
    <w:rsid w:val="00A475C4"/>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203"/>
    <w:rsid w:val="00A65805"/>
    <w:rsid w:val="00A66BEE"/>
    <w:rsid w:val="00A671C9"/>
    <w:rsid w:val="00A67DFD"/>
    <w:rsid w:val="00A71A76"/>
    <w:rsid w:val="00A74F9F"/>
    <w:rsid w:val="00A750B3"/>
    <w:rsid w:val="00A75559"/>
    <w:rsid w:val="00A7623D"/>
    <w:rsid w:val="00A8217C"/>
    <w:rsid w:val="00A824A7"/>
    <w:rsid w:val="00A83644"/>
    <w:rsid w:val="00A83C07"/>
    <w:rsid w:val="00A83F40"/>
    <w:rsid w:val="00A84945"/>
    <w:rsid w:val="00A8536A"/>
    <w:rsid w:val="00A85543"/>
    <w:rsid w:val="00A86EDD"/>
    <w:rsid w:val="00A8728B"/>
    <w:rsid w:val="00A9035D"/>
    <w:rsid w:val="00A91682"/>
    <w:rsid w:val="00A92125"/>
    <w:rsid w:val="00A92E4A"/>
    <w:rsid w:val="00A958CA"/>
    <w:rsid w:val="00A966B6"/>
    <w:rsid w:val="00A96B46"/>
    <w:rsid w:val="00AA003B"/>
    <w:rsid w:val="00AA016B"/>
    <w:rsid w:val="00AA15DD"/>
    <w:rsid w:val="00AA1A33"/>
    <w:rsid w:val="00AA1C09"/>
    <w:rsid w:val="00AA2F67"/>
    <w:rsid w:val="00AA3569"/>
    <w:rsid w:val="00AA4AF4"/>
    <w:rsid w:val="00AA5F4C"/>
    <w:rsid w:val="00AA615C"/>
    <w:rsid w:val="00AA6276"/>
    <w:rsid w:val="00AA6711"/>
    <w:rsid w:val="00AB018A"/>
    <w:rsid w:val="00AB2AEC"/>
    <w:rsid w:val="00AB2DC1"/>
    <w:rsid w:val="00AB3054"/>
    <w:rsid w:val="00AB3102"/>
    <w:rsid w:val="00AB3D9A"/>
    <w:rsid w:val="00AB4824"/>
    <w:rsid w:val="00AB4B1D"/>
    <w:rsid w:val="00AB6A07"/>
    <w:rsid w:val="00AB6B5E"/>
    <w:rsid w:val="00AC047F"/>
    <w:rsid w:val="00AC08EC"/>
    <w:rsid w:val="00AC0DB2"/>
    <w:rsid w:val="00AC3934"/>
    <w:rsid w:val="00AC50C8"/>
    <w:rsid w:val="00AC5581"/>
    <w:rsid w:val="00AC56AD"/>
    <w:rsid w:val="00AC61BE"/>
    <w:rsid w:val="00AC7E8A"/>
    <w:rsid w:val="00AD0C8A"/>
    <w:rsid w:val="00AD0CB4"/>
    <w:rsid w:val="00AD19B6"/>
    <w:rsid w:val="00AD1FF2"/>
    <w:rsid w:val="00AD2A21"/>
    <w:rsid w:val="00AD3B43"/>
    <w:rsid w:val="00AD4FF2"/>
    <w:rsid w:val="00AD506C"/>
    <w:rsid w:val="00AD5E7E"/>
    <w:rsid w:val="00AD6BE5"/>
    <w:rsid w:val="00AD7067"/>
    <w:rsid w:val="00AD783E"/>
    <w:rsid w:val="00AD7997"/>
    <w:rsid w:val="00AE1393"/>
    <w:rsid w:val="00AE212B"/>
    <w:rsid w:val="00AE2A0A"/>
    <w:rsid w:val="00AE3BC6"/>
    <w:rsid w:val="00AE4D4F"/>
    <w:rsid w:val="00AE52F1"/>
    <w:rsid w:val="00AE627C"/>
    <w:rsid w:val="00AE62B0"/>
    <w:rsid w:val="00AE68A2"/>
    <w:rsid w:val="00AF0029"/>
    <w:rsid w:val="00AF0354"/>
    <w:rsid w:val="00AF1236"/>
    <w:rsid w:val="00AF3C29"/>
    <w:rsid w:val="00AF4401"/>
    <w:rsid w:val="00AF4463"/>
    <w:rsid w:val="00AF44D9"/>
    <w:rsid w:val="00AF502B"/>
    <w:rsid w:val="00AF53CB"/>
    <w:rsid w:val="00AF626F"/>
    <w:rsid w:val="00AF65C5"/>
    <w:rsid w:val="00B0365C"/>
    <w:rsid w:val="00B03CE2"/>
    <w:rsid w:val="00B06544"/>
    <w:rsid w:val="00B06A4E"/>
    <w:rsid w:val="00B06FAA"/>
    <w:rsid w:val="00B105F2"/>
    <w:rsid w:val="00B10991"/>
    <w:rsid w:val="00B12128"/>
    <w:rsid w:val="00B1270A"/>
    <w:rsid w:val="00B12945"/>
    <w:rsid w:val="00B12C1E"/>
    <w:rsid w:val="00B1467D"/>
    <w:rsid w:val="00B155DF"/>
    <w:rsid w:val="00B156CF"/>
    <w:rsid w:val="00B1570E"/>
    <w:rsid w:val="00B17082"/>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6B8"/>
    <w:rsid w:val="00B26B13"/>
    <w:rsid w:val="00B26BD2"/>
    <w:rsid w:val="00B26FD7"/>
    <w:rsid w:val="00B270AB"/>
    <w:rsid w:val="00B2725B"/>
    <w:rsid w:val="00B306FC"/>
    <w:rsid w:val="00B309D2"/>
    <w:rsid w:val="00B30E4F"/>
    <w:rsid w:val="00B3124F"/>
    <w:rsid w:val="00B31711"/>
    <w:rsid w:val="00B33294"/>
    <w:rsid w:val="00B33657"/>
    <w:rsid w:val="00B34885"/>
    <w:rsid w:val="00B34C94"/>
    <w:rsid w:val="00B34D68"/>
    <w:rsid w:val="00B36117"/>
    <w:rsid w:val="00B362E3"/>
    <w:rsid w:val="00B37C73"/>
    <w:rsid w:val="00B4009B"/>
    <w:rsid w:val="00B400A1"/>
    <w:rsid w:val="00B40A2B"/>
    <w:rsid w:val="00B420CB"/>
    <w:rsid w:val="00B4401C"/>
    <w:rsid w:val="00B44802"/>
    <w:rsid w:val="00B44A96"/>
    <w:rsid w:val="00B455D1"/>
    <w:rsid w:val="00B45B96"/>
    <w:rsid w:val="00B46135"/>
    <w:rsid w:val="00B472AB"/>
    <w:rsid w:val="00B47CE4"/>
    <w:rsid w:val="00B503A8"/>
    <w:rsid w:val="00B5121D"/>
    <w:rsid w:val="00B525C0"/>
    <w:rsid w:val="00B52D4C"/>
    <w:rsid w:val="00B52FAB"/>
    <w:rsid w:val="00B5319A"/>
    <w:rsid w:val="00B539F9"/>
    <w:rsid w:val="00B53E56"/>
    <w:rsid w:val="00B546C3"/>
    <w:rsid w:val="00B54BD9"/>
    <w:rsid w:val="00B5503C"/>
    <w:rsid w:val="00B55640"/>
    <w:rsid w:val="00B55C57"/>
    <w:rsid w:val="00B57107"/>
    <w:rsid w:val="00B600A3"/>
    <w:rsid w:val="00B60D27"/>
    <w:rsid w:val="00B619E4"/>
    <w:rsid w:val="00B61CD3"/>
    <w:rsid w:val="00B61D0B"/>
    <w:rsid w:val="00B6351C"/>
    <w:rsid w:val="00B6439A"/>
    <w:rsid w:val="00B6443B"/>
    <w:rsid w:val="00B6517B"/>
    <w:rsid w:val="00B65E71"/>
    <w:rsid w:val="00B66241"/>
    <w:rsid w:val="00B66C26"/>
    <w:rsid w:val="00B67829"/>
    <w:rsid w:val="00B70137"/>
    <w:rsid w:val="00B71FB3"/>
    <w:rsid w:val="00B73492"/>
    <w:rsid w:val="00B73620"/>
    <w:rsid w:val="00B7512A"/>
    <w:rsid w:val="00B76548"/>
    <w:rsid w:val="00B766CE"/>
    <w:rsid w:val="00B76BED"/>
    <w:rsid w:val="00B76C36"/>
    <w:rsid w:val="00B806E6"/>
    <w:rsid w:val="00B81A73"/>
    <w:rsid w:val="00B82DC1"/>
    <w:rsid w:val="00B835D5"/>
    <w:rsid w:val="00B84028"/>
    <w:rsid w:val="00B84307"/>
    <w:rsid w:val="00B8430D"/>
    <w:rsid w:val="00B8488C"/>
    <w:rsid w:val="00B85661"/>
    <w:rsid w:val="00B85C8A"/>
    <w:rsid w:val="00B85FD6"/>
    <w:rsid w:val="00B86FBD"/>
    <w:rsid w:val="00B90C16"/>
    <w:rsid w:val="00B90C98"/>
    <w:rsid w:val="00B91A31"/>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05A"/>
    <w:rsid w:val="00BB09FB"/>
    <w:rsid w:val="00BB1973"/>
    <w:rsid w:val="00BB238D"/>
    <w:rsid w:val="00BB37CC"/>
    <w:rsid w:val="00BB48C4"/>
    <w:rsid w:val="00BB6907"/>
    <w:rsid w:val="00BB6A20"/>
    <w:rsid w:val="00BB7A20"/>
    <w:rsid w:val="00BC15B1"/>
    <w:rsid w:val="00BC3A9C"/>
    <w:rsid w:val="00BC3C06"/>
    <w:rsid w:val="00BC4E8B"/>
    <w:rsid w:val="00BC4EE8"/>
    <w:rsid w:val="00BC5622"/>
    <w:rsid w:val="00BC6060"/>
    <w:rsid w:val="00BC6A9F"/>
    <w:rsid w:val="00BC7897"/>
    <w:rsid w:val="00BD06D7"/>
    <w:rsid w:val="00BD0F35"/>
    <w:rsid w:val="00BD45A4"/>
    <w:rsid w:val="00BD4A5F"/>
    <w:rsid w:val="00BD59AA"/>
    <w:rsid w:val="00BD5B87"/>
    <w:rsid w:val="00BD65E6"/>
    <w:rsid w:val="00BD6AF7"/>
    <w:rsid w:val="00BD73AA"/>
    <w:rsid w:val="00BE02A2"/>
    <w:rsid w:val="00BE19EF"/>
    <w:rsid w:val="00BE218F"/>
    <w:rsid w:val="00BE2307"/>
    <w:rsid w:val="00BE425B"/>
    <w:rsid w:val="00BE49F4"/>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122"/>
    <w:rsid w:val="00C1234A"/>
    <w:rsid w:val="00C12661"/>
    <w:rsid w:val="00C126E3"/>
    <w:rsid w:val="00C1314B"/>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0CAB"/>
    <w:rsid w:val="00C316F7"/>
    <w:rsid w:val="00C31DF0"/>
    <w:rsid w:val="00C33916"/>
    <w:rsid w:val="00C33BCF"/>
    <w:rsid w:val="00C353A0"/>
    <w:rsid w:val="00C35431"/>
    <w:rsid w:val="00C368D7"/>
    <w:rsid w:val="00C36FD1"/>
    <w:rsid w:val="00C371A5"/>
    <w:rsid w:val="00C400B0"/>
    <w:rsid w:val="00C413FC"/>
    <w:rsid w:val="00C42424"/>
    <w:rsid w:val="00C43D33"/>
    <w:rsid w:val="00C44407"/>
    <w:rsid w:val="00C456E8"/>
    <w:rsid w:val="00C46630"/>
    <w:rsid w:val="00C47A2F"/>
    <w:rsid w:val="00C506B6"/>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0830"/>
    <w:rsid w:val="00C638C2"/>
    <w:rsid w:val="00C651D4"/>
    <w:rsid w:val="00C65E0A"/>
    <w:rsid w:val="00C6669E"/>
    <w:rsid w:val="00C672B0"/>
    <w:rsid w:val="00C729C7"/>
    <w:rsid w:val="00C777AD"/>
    <w:rsid w:val="00C80C53"/>
    <w:rsid w:val="00C81195"/>
    <w:rsid w:val="00C81798"/>
    <w:rsid w:val="00C85387"/>
    <w:rsid w:val="00C85E52"/>
    <w:rsid w:val="00C86471"/>
    <w:rsid w:val="00C8677B"/>
    <w:rsid w:val="00C86F96"/>
    <w:rsid w:val="00C909C6"/>
    <w:rsid w:val="00C9144B"/>
    <w:rsid w:val="00C923B7"/>
    <w:rsid w:val="00C94D4C"/>
    <w:rsid w:val="00C96C1E"/>
    <w:rsid w:val="00C96CA4"/>
    <w:rsid w:val="00CA012C"/>
    <w:rsid w:val="00CA0AA6"/>
    <w:rsid w:val="00CA2897"/>
    <w:rsid w:val="00CA2BD6"/>
    <w:rsid w:val="00CA44F3"/>
    <w:rsid w:val="00CA582C"/>
    <w:rsid w:val="00CA6077"/>
    <w:rsid w:val="00CA715B"/>
    <w:rsid w:val="00CA7988"/>
    <w:rsid w:val="00CA7BA2"/>
    <w:rsid w:val="00CB0B78"/>
    <w:rsid w:val="00CB0D4B"/>
    <w:rsid w:val="00CB12A5"/>
    <w:rsid w:val="00CB17FA"/>
    <w:rsid w:val="00CB23D8"/>
    <w:rsid w:val="00CB2ED9"/>
    <w:rsid w:val="00CB36A5"/>
    <w:rsid w:val="00CB3880"/>
    <w:rsid w:val="00CB3E61"/>
    <w:rsid w:val="00CB56B4"/>
    <w:rsid w:val="00CB7286"/>
    <w:rsid w:val="00CB7947"/>
    <w:rsid w:val="00CC1783"/>
    <w:rsid w:val="00CC3B46"/>
    <w:rsid w:val="00CC3D8B"/>
    <w:rsid w:val="00CC4E27"/>
    <w:rsid w:val="00CC570C"/>
    <w:rsid w:val="00CC59BB"/>
    <w:rsid w:val="00CC62B6"/>
    <w:rsid w:val="00CC76AA"/>
    <w:rsid w:val="00CC76F2"/>
    <w:rsid w:val="00CC7973"/>
    <w:rsid w:val="00CC7CD2"/>
    <w:rsid w:val="00CD05CF"/>
    <w:rsid w:val="00CD1FAE"/>
    <w:rsid w:val="00CD232F"/>
    <w:rsid w:val="00CD2439"/>
    <w:rsid w:val="00CD279E"/>
    <w:rsid w:val="00CD2E37"/>
    <w:rsid w:val="00CD2F92"/>
    <w:rsid w:val="00CD33D5"/>
    <w:rsid w:val="00CD4EB0"/>
    <w:rsid w:val="00CD512D"/>
    <w:rsid w:val="00CD5831"/>
    <w:rsid w:val="00CD6F6E"/>
    <w:rsid w:val="00CE1158"/>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6A5B"/>
    <w:rsid w:val="00CF70E5"/>
    <w:rsid w:val="00CF7CEC"/>
    <w:rsid w:val="00D00B0F"/>
    <w:rsid w:val="00D01BF4"/>
    <w:rsid w:val="00D0272C"/>
    <w:rsid w:val="00D045CE"/>
    <w:rsid w:val="00D04E90"/>
    <w:rsid w:val="00D05082"/>
    <w:rsid w:val="00D06163"/>
    <w:rsid w:val="00D06937"/>
    <w:rsid w:val="00D07AFD"/>
    <w:rsid w:val="00D07FC6"/>
    <w:rsid w:val="00D11749"/>
    <w:rsid w:val="00D117B4"/>
    <w:rsid w:val="00D12A7D"/>
    <w:rsid w:val="00D12B57"/>
    <w:rsid w:val="00D13AB0"/>
    <w:rsid w:val="00D13E33"/>
    <w:rsid w:val="00D144BC"/>
    <w:rsid w:val="00D1519E"/>
    <w:rsid w:val="00D152B7"/>
    <w:rsid w:val="00D16EDC"/>
    <w:rsid w:val="00D17A0A"/>
    <w:rsid w:val="00D17FDE"/>
    <w:rsid w:val="00D201CB"/>
    <w:rsid w:val="00D22786"/>
    <w:rsid w:val="00D228A0"/>
    <w:rsid w:val="00D228B4"/>
    <w:rsid w:val="00D253FC"/>
    <w:rsid w:val="00D2547D"/>
    <w:rsid w:val="00D25AC4"/>
    <w:rsid w:val="00D305F6"/>
    <w:rsid w:val="00D30791"/>
    <w:rsid w:val="00D30B25"/>
    <w:rsid w:val="00D3175A"/>
    <w:rsid w:val="00D31A00"/>
    <w:rsid w:val="00D323E4"/>
    <w:rsid w:val="00D32871"/>
    <w:rsid w:val="00D329F6"/>
    <w:rsid w:val="00D33881"/>
    <w:rsid w:val="00D34282"/>
    <w:rsid w:val="00D3440B"/>
    <w:rsid w:val="00D366B1"/>
    <w:rsid w:val="00D3713F"/>
    <w:rsid w:val="00D37AE0"/>
    <w:rsid w:val="00D416A8"/>
    <w:rsid w:val="00D4217D"/>
    <w:rsid w:val="00D4257C"/>
    <w:rsid w:val="00D425AC"/>
    <w:rsid w:val="00D42823"/>
    <w:rsid w:val="00D42D5E"/>
    <w:rsid w:val="00D433C3"/>
    <w:rsid w:val="00D43F14"/>
    <w:rsid w:val="00D44C18"/>
    <w:rsid w:val="00D4556D"/>
    <w:rsid w:val="00D47AC9"/>
    <w:rsid w:val="00D511C6"/>
    <w:rsid w:val="00D5121D"/>
    <w:rsid w:val="00D5168D"/>
    <w:rsid w:val="00D516AC"/>
    <w:rsid w:val="00D521BB"/>
    <w:rsid w:val="00D52875"/>
    <w:rsid w:val="00D53941"/>
    <w:rsid w:val="00D54050"/>
    <w:rsid w:val="00D56AC0"/>
    <w:rsid w:val="00D57037"/>
    <w:rsid w:val="00D57E57"/>
    <w:rsid w:val="00D6081B"/>
    <w:rsid w:val="00D60960"/>
    <w:rsid w:val="00D6240A"/>
    <w:rsid w:val="00D63093"/>
    <w:rsid w:val="00D63599"/>
    <w:rsid w:val="00D63EBD"/>
    <w:rsid w:val="00D657BC"/>
    <w:rsid w:val="00D67101"/>
    <w:rsid w:val="00D71B45"/>
    <w:rsid w:val="00D71F8A"/>
    <w:rsid w:val="00D75603"/>
    <w:rsid w:val="00D75FEE"/>
    <w:rsid w:val="00D76933"/>
    <w:rsid w:val="00D76D88"/>
    <w:rsid w:val="00D77743"/>
    <w:rsid w:val="00D77CC9"/>
    <w:rsid w:val="00D83D4B"/>
    <w:rsid w:val="00D86C61"/>
    <w:rsid w:val="00D871C6"/>
    <w:rsid w:val="00D9050E"/>
    <w:rsid w:val="00D91010"/>
    <w:rsid w:val="00D9143D"/>
    <w:rsid w:val="00D9153F"/>
    <w:rsid w:val="00D920D1"/>
    <w:rsid w:val="00D9439D"/>
    <w:rsid w:val="00DA0FA7"/>
    <w:rsid w:val="00DA12B0"/>
    <w:rsid w:val="00DA2AC5"/>
    <w:rsid w:val="00DA2BA0"/>
    <w:rsid w:val="00DA39AD"/>
    <w:rsid w:val="00DA5156"/>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39B"/>
    <w:rsid w:val="00DC6463"/>
    <w:rsid w:val="00DC66A1"/>
    <w:rsid w:val="00DC7822"/>
    <w:rsid w:val="00DC7AF1"/>
    <w:rsid w:val="00DD2CDA"/>
    <w:rsid w:val="00DD2D92"/>
    <w:rsid w:val="00DD3026"/>
    <w:rsid w:val="00DD33DC"/>
    <w:rsid w:val="00DD3BB0"/>
    <w:rsid w:val="00DD451E"/>
    <w:rsid w:val="00DD61F5"/>
    <w:rsid w:val="00DD7418"/>
    <w:rsid w:val="00DE63AE"/>
    <w:rsid w:val="00DE64A6"/>
    <w:rsid w:val="00DE66EB"/>
    <w:rsid w:val="00DE6FD9"/>
    <w:rsid w:val="00DE7035"/>
    <w:rsid w:val="00DF12E3"/>
    <w:rsid w:val="00DF2A20"/>
    <w:rsid w:val="00DF3F1D"/>
    <w:rsid w:val="00DF595C"/>
    <w:rsid w:val="00DF7EA7"/>
    <w:rsid w:val="00E04548"/>
    <w:rsid w:val="00E0484E"/>
    <w:rsid w:val="00E0631C"/>
    <w:rsid w:val="00E063F8"/>
    <w:rsid w:val="00E114D6"/>
    <w:rsid w:val="00E1166E"/>
    <w:rsid w:val="00E11DBD"/>
    <w:rsid w:val="00E13211"/>
    <w:rsid w:val="00E16B3A"/>
    <w:rsid w:val="00E16FB5"/>
    <w:rsid w:val="00E179AF"/>
    <w:rsid w:val="00E179D6"/>
    <w:rsid w:val="00E21407"/>
    <w:rsid w:val="00E22668"/>
    <w:rsid w:val="00E227D3"/>
    <w:rsid w:val="00E22BFF"/>
    <w:rsid w:val="00E22CB0"/>
    <w:rsid w:val="00E23798"/>
    <w:rsid w:val="00E2585D"/>
    <w:rsid w:val="00E25DBD"/>
    <w:rsid w:val="00E25FA2"/>
    <w:rsid w:val="00E2723D"/>
    <w:rsid w:val="00E27C77"/>
    <w:rsid w:val="00E3009E"/>
    <w:rsid w:val="00E3179E"/>
    <w:rsid w:val="00E32AC9"/>
    <w:rsid w:val="00E354DA"/>
    <w:rsid w:val="00E354F5"/>
    <w:rsid w:val="00E3687E"/>
    <w:rsid w:val="00E40974"/>
    <w:rsid w:val="00E40AAB"/>
    <w:rsid w:val="00E41205"/>
    <w:rsid w:val="00E41F32"/>
    <w:rsid w:val="00E4205F"/>
    <w:rsid w:val="00E42608"/>
    <w:rsid w:val="00E43387"/>
    <w:rsid w:val="00E43536"/>
    <w:rsid w:val="00E43DA3"/>
    <w:rsid w:val="00E44B80"/>
    <w:rsid w:val="00E45938"/>
    <w:rsid w:val="00E4680F"/>
    <w:rsid w:val="00E47430"/>
    <w:rsid w:val="00E474BD"/>
    <w:rsid w:val="00E47B6A"/>
    <w:rsid w:val="00E50577"/>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0F0D"/>
    <w:rsid w:val="00E7130D"/>
    <w:rsid w:val="00E72CC6"/>
    <w:rsid w:val="00E73D44"/>
    <w:rsid w:val="00E7494A"/>
    <w:rsid w:val="00E74B60"/>
    <w:rsid w:val="00E74BE2"/>
    <w:rsid w:val="00E74C66"/>
    <w:rsid w:val="00E74CBB"/>
    <w:rsid w:val="00E75933"/>
    <w:rsid w:val="00E77A1B"/>
    <w:rsid w:val="00E808BE"/>
    <w:rsid w:val="00E81E36"/>
    <w:rsid w:val="00E81E40"/>
    <w:rsid w:val="00E82502"/>
    <w:rsid w:val="00E82BBB"/>
    <w:rsid w:val="00E82ECE"/>
    <w:rsid w:val="00E8713B"/>
    <w:rsid w:val="00E87F9F"/>
    <w:rsid w:val="00E90041"/>
    <w:rsid w:val="00E90774"/>
    <w:rsid w:val="00E90C61"/>
    <w:rsid w:val="00E917B6"/>
    <w:rsid w:val="00E92A82"/>
    <w:rsid w:val="00E92AA8"/>
    <w:rsid w:val="00E92DC0"/>
    <w:rsid w:val="00E9344E"/>
    <w:rsid w:val="00E93E39"/>
    <w:rsid w:val="00E94391"/>
    <w:rsid w:val="00E95AB0"/>
    <w:rsid w:val="00E95AB6"/>
    <w:rsid w:val="00E95B0C"/>
    <w:rsid w:val="00E97E2B"/>
    <w:rsid w:val="00EA08CA"/>
    <w:rsid w:val="00EA0C0C"/>
    <w:rsid w:val="00EA2AEA"/>
    <w:rsid w:val="00EA32A9"/>
    <w:rsid w:val="00EA332B"/>
    <w:rsid w:val="00EA3D36"/>
    <w:rsid w:val="00EA40AA"/>
    <w:rsid w:val="00EA5174"/>
    <w:rsid w:val="00EA57E2"/>
    <w:rsid w:val="00EA7186"/>
    <w:rsid w:val="00EA78C6"/>
    <w:rsid w:val="00EB018B"/>
    <w:rsid w:val="00EB1003"/>
    <w:rsid w:val="00EB167E"/>
    <w:rsid w:val="00EB24ED"/>
    <w:rsid w:val="00EB2A00"/>
    <w:rsid w:val="00EB309B"/>
    <w:rsid w:val="00EB3AA2"/>
    <w:rsid w:val="00EB4763"/>
    <w:rsid w:val="00EB5C02"/>
    <w:rsid w:val="00EB6CB7"/>
    <w:rsid w:val="00EB779C"/>
    <w:rsid w:val="00EC078B"/>
    <w:rsid w:val="00EC07A0"/>
    <w:rsid w:val="00EC08E4"/>
    <w:rsid w:val="00EC1BCC"/>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346F"/>
    <w:rsid w:val="00EE4997"/>
    <w:rsid w:val="00EE56FF"/>
    <w:rsid w:val="00EE5886"/>
    <w:rsid w:val="00EE5FBF"/>
    <w:rsid w:val="00EE6472"/>
    <w:rsid w:val="00EE6D68"/>
    <w:rsid w:val="00EE76F2"/>
    <w:rsid w:val="00EF0769"/>
    <w:rsid w:val="00EF0D7C"/>
    <w:rsid w:val="00EF11EB"/>
    <w:rsid w:val="00EF314C"/>
    <w:rsid w:val="00EF383B"/>
    <w:rsid w:val="00EF40E2"/>
    <w:rsid w:val="00EF502F"/>
    <w:rsid w:val="00EF61C1"/>
    <w:rsid w:val="00EF6E68"/>
    <w:rsid w:val="00EF76DB"/>
    <w:rsid w:val="00F005FD"/>
    <w:rsid w:val="00F01523"/>
    <w:rsid w:val="00F016BE"/>
    <w:rsid w:val="00F02C04"/>
    <w:rsid w:val="00F03AF1"/>
    <w:rsid w:val="00F04BCD"/>
    <w:rsid w:val="00F05A8C"/>
    <w:rsid w:val="00F06211"/>
    <w:rsid w:val="00F107EF"/>
    <w:rsid w:val="00F10A54"/>
    <w:rsid w:val="00F123D0"/>
    <w:rsid w:val="00F12E54"/>
    <w:rsid w:val="00F13200"/>
    <w:rsid w:val="00F13411"/>
    <w:rsid w:val="00F143BA"/>
    <w:rsid w:val="00F14D98"/>
    <w:rsid w:val="00F2081B"/>
    <w:rsid w:val="00F20A43"/>
    <w:rsid w:val="00F20C51"/>
    <w:rsid w:val="00F21049"/>
    <w:rsid w:val="00F218AE"/>
    <w:rsid w:val="00F21B95"/>
    <w:rsid w:val="00F22232"/>
    <w:rsid w:val="00F2228E"/>
    <w:rsid w:val="00F2251B"/>
    <w:rsid w:val="00F227D5"/>
    <w:rsid w:val="00F22D3C"/>
    <w:rsid w:val="00F23D66"/>
    <w:rsid w:val="00F243E8"/>
    <w:rsid w:val="00F24E6F"/>
    <w:rsid w:val="00F250E9"/>
    <w:rsid w:val="00F26069"/>
    <w:rsid w:val="00F26B7E"/>
    <w:rsid w:val="00F27D7D"/>
    <w:rsid w:val="00F3002B"/>
    <w:rsid w:val="00F30BC9"/>
    <w:rsid w:val="00F32462"/>
    <w:rsid w:val="00F32FF7"/>
    <w:rsid w:val="00F33EDE"/>
    <w:rsid w:val="00F3568B"/>
    <w:rsid w:val="00F377CD"/>
    <w:rsid w:val="00F40C3B"/>
    <w:rsid w:val="00F40CE0"/>
    <w:rsid w:val="00F42B4A"/>
    <w:rsid w:val="00F42DBC"/>
    <w:rsid w:val="00F4308D"/>
    <w:rsid w:val="00F43410"/>
    <w:rsid w:val="00F44012"/>
    <w:rsid w:val="00F44947"/>
    <w:rsid w:val="00F458EF"/>
    <w:rsid w:val="00F469F8"/>
    <w:rsid w:val="00F47121"/>
    <w:rsid w:val="00F4775D"/>
    <w:rsid w:val="00F47B9D"/>
    <w:rsid w:val="00F504DD"/>
    <w:rsid w:val="00F50874"/>
    <w:rsid w:val="00F516C6"/>
    <w:rsid w:val="00F52221"/>
    <w:rsid w:val="00F52B28"/>
    <w:rsid w:val="00F536BB"/>
    <w:rsid w:val="00F53755"/>
    <w:rsid w:val="00F53E59"/>
    <w:rsid w:val="00F5475B"/>
    <w:rsid w:val="00F55D32"/>
    <w:rsid w:val="00F55D87"/>
    <w:rsid w:val="00F574D0"/>
    <w:rsid w:val="00F6031F"/>
    <w:rsid w:val="00F613EF"/>
    <w:rsid w:val="00F61664"/>
    <w:rsid w:val="00F61B99"/>
    <w:rsid w:val="00F64C45"/>
    <w:rsid w:val="00F6502B"/>
    <w:rsid w:val="00F6612A"/>
    <w:rsid w:val="00F66724"/>
    <w:rsid w:val="00F67F04"/>
    <w:rsid w:val="00F70207"/>
    <w:rsid w:val="00F702CB"/>
    <w:rsid w:val="00F716D4"/>
    <w:rsid w:val="00F71AC2"/>
    <w:rsid w:val="00F739D4"/>
    <w:rsid w:val="00F75FB4"/>
    <w:rsid w:val="00F77D43"/>
    <w:rsid w:val="00F80953"/>
    <w:rsid w:val="00F80B5C"/>
    <w:rsid w:val="00F81312"/>
    <w:rsid w:val="00F81B90"/>
    <w:rsid w:val="00F81DA4"/>
    <w:rsid w:val="00F81E6F"/>
    <w:rsid w:val="00F82FF3"/>
    <w:rsid w:val="00F83468"/>
    <w:rsid w:val="00F8453C"/>
    <w:rsid w:val="00F84D4C"/>
    <w:rsid w:val="00F85112"/>
    <w:rsid w:val="00F8657D"/>
    <w:rsid w:val="00F866B0"/>
    <w:rsid w:val="00F8685A"/>
    <w:rsid w:val="00F8730F"/>
    <w:rsid w:val="00F87468"/>
    <w:rsid w:val="00F87897"/>
    <w:rsid w:val="00F87DA3"/>
    <w:rsid w:val="00F90004"/>
    <w:rsid w:val="00F90EF4"/>
    <w:rsid w:val="00F913EF"/>
    <w:rsid w:val="00F917BF"/>
    <w:rsid w:val="00F920B4"/>
    <w:rsid w:val="00F9260D"/>
    <w:rsid w:val="00F92727"/>
    <w:rsid w:val="00F93646"/>
    <w:rsid w:val="00F93CCF"/>
    <w:rsid w:val="00F94307"/>
    <w:rsid w:val="00F9580B"/>
    <w:rsid w:val="00F95F15"/>
    <w:rsid w:val="00F97569"/>
    <w:rsid w:val="00F975CA"/>
    <w:rsid w:val="00FA0B60"/>
    <w:rsid w:val="00FA2528"/>
    <w:rsid w:val="00FA4100"/>
    <w:rsid w:val="00FA5524"/>
    <w:rsid w:val="00FA5535"/>
    <w:rsid w:val="00FA57C5"/>
    <w:rsid w:val="00FA7206"/>
    <w:rsid w:val="00FA7EFB"/>
    <w:rsid w:val="00FB01BC"/>
    <w:rsid w:val="00FB0816"/>
    <w:rsid w:val="00FB08C2"/>
    <w:rsid w:val="00FB3DD1"/>
    <w:rsid w:val="00FB51FD"/>
    <w:rsid w:val="00FB5667"/>
    <w:rsid w:val="00FB7A97"/>
    <w:rsid w:val="00FC1601"/>
    <w:rsid w:val="00FC1B9B"/>
    <w:rsid w:val="00FC318D"/>
    <w:rsid w:val="00FC367E"/>
    <w:rsid w:val="00FC36CF"/>
    <w:rsid w:val="00FC3BC0"/>
    <w:rsid w:val="00FC40BC"/>
    <w:rsid w:val="00FC41FC"/>
    <w:rsid w:val="00FC4F6E"/>
    <w:rsid w:val="00FC506C"/>
    <w:rsid w:val="00FC578C"/>
    <w:rsid w:val="00FC5A37"/>
    <w:rsid w:val="00FC7836"/>
    <w:rsid w:val="00FD13EA"/>
    <w:rsid w:val="00FD5EC4"/>
    <w:rsid w:val="00FD7858"/>
    <w:rsid w:val="00FD7A8D"/>
    <w:rsid w:val="00FE0487"/>
    <w:rsid w:val="00FE11A0"/>
    <w:rsid w:val="00FE1330"/>
    <w:rsid w:val="00FE1CE5"/>
    <w:rsid w:val="00FE2832"/>
    <w:rsid w:val="00FE2D38"/>
    <w:rsid w:val="00FE31D4"/>
    <w:rsid w:val="00FE3929"/>
    <w:rsid w:val="00FE3E32"/>
    <w:rsid w:val="00FE5EFB"/>
    <w:rsid w:val="00FF097B"/>
    <w:rsid w:val="00FF0B6E"/>
    <w:rsid w:val="00FF1883"/>
    <w:rsid w:val="00FF1C1B"/>
    <w:rsid w:val="00FF2067"/>
    <w:rsid w:val="00FF35FD"/>
    <w:rsid w:val="00FF3BC4"/>
    <w:rsid w:val="00FF4B66"/>
    <w:rsid w:val="00FF5939"/>
    <w:rsid w:val="00FF688E"/>
    <w:rsid w:val="020BFE0A"/>
    <w:rsid w:val="089A2D32"/>
    <w:rsid w:val="0A2E30A4"/>
    <w:rsid w:val="0B672971"/>
    <w:rsid w:val="0C46C5AF"/>
    <w:rsid w:val="130D7476"/>
    <w:rsid w:val="1496C5BD"/>
    <w:rsid w:val="1892AB7A"/>
    <w:rsid w:val="18CFA42A"/>
    <w:rsid w:val="19058769"/>
    <w:rsid w:val="1C084486"/>
    <w:rsid w:val="24CE92A0"/>
    <w:rsid w:val="2925D9C4"/>
    <w:rsid w:val="336D7F43"/>
    <w:rsid w:val="35AAA40C"/>
    <w:rsid w:val="38D4459A"/>
    <w:rsid w:val="399647C6"/>
    <w:rsid w:val="3CA529DC"/>
    <w:rsid w:val="40D862AA"/>
    <w:rsid w:val="4901711C"/>
    <w:rsid w:val="4EFEE17D"/>
    <w:rsid w:val="6C0EA855"/>
    <w:rsid w:val="6C214843"/>
    <w:rsid w:val="70D758FA"/>
    <w:rsid w:val="78FB7A0D"/>
    <w:rsid w:val="7B4FC536"/>
    <w:rsid w:val="7DC97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01761D"/>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hyperlink" Target="https://www.eurex.com/ex-en/markets/int/fix/government-bonds/Euro-Bobl-Futures-137276" TargetMode="External"/><Relationship Id="rId21" Type="http://schemas.openxmlformats.org/officeDocument/2006/relationships/hyperlink" Target="http://www.esma.europa.eu" TargetMode="External"/><Relationship Id="rId34" Type="http://schemas.openxmlformats.org/officeDocument/2006/relationships/hyperlink" Target="https://www.fca.org.uk/publication/discussion/dp24-2.pdf"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eurexchange.com/resource/blob/165104/86ec69fed614a7403d0a5e48280c6143/data/9-May-2018-T7-release-6.0-readiness-news.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yperlink" Target="https://www.esma.europa.eu/sites/default/files/library/2015/11/07_320.pdf" TargetMode="External"/><Relationship Id="rId37" Type="http://schemas.openxmlformats.org/officeDocument/2006/relationships/hyperlink" Target="https://www.coingecko.com/research/publications/how-many-cryptocurrencies-are-there" TargetMode="External"/><Relationship Id="rId40" Type="http://schemas.openxmlformats.org/officeDocument/2006/relationships/hyperlink" Target="https://www.anna-dsb.com/download/equity-index/"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hyperlink" Target="https://www.leiroc.org/publications/gls/roc_20230929.pdf" TargetMode="External"/><Relationship Id="rId36" Type="http://schemas.openxmlformats.org/officeDocument/2006/relationships/hyperlink" Target="https://www.binance.com/en/futures/home"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yperlink" Target="https://www.esma.europa.eu/sites/default/files/library/2015/11/07_320.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yperlink" Target="https://www.esma.europa.eu/sites/default/files/library/esma70-156-117_mifir_opinion_on_totv.pdf" TargetMode="External"/><Relationship Id="rId30" Type="http://schemas.openxmlformats.org/officeDocument/2006/relationships/hyperlink" Target="https://connect2.euronext.com/sites/default/files/2020-06/IF200611CA%20TVTIC%20Euronext%20Cash%20Market_0.pdf" TargetMode="External"/><Relationship Id="rId35" Type="http://schemas.openxmlformats.org/officeDocument/2006/relationships/hyperlink" Target="https://dtif.org/download-dti-registry/?1733135004" TargetMode="External"/><Relationship Id="rId43" Type="http://schemas.microsoft.com/office/2020/10/relationships/intelligence" Target="intelligence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yperlink" Target="https://www.fca.org.uk/publication/discussion/dp24-2.pdf" TargetMode="External"/><Relationship Id="rId38" Type="http://schemas.openxmlformats.org/officeDocument/2006/relationships/hyperlink" Target="https://eur-lex.europa.eu/legal-content/EN/TXT/?uri=CELEX%3A02014R0600-20240328"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3B3ABB-1E22-43DF-B118-E1D48363CC1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24</Pages>
  <Words>6315</Words>
  <Characters>35998</Characters>
  <Application>Microsoft Office Word</Application>
  <DocSecurity>0</DocSecurity>
  <Lines>299</Lines>
  <Paragraphs>84</Paragraphs>
  <ScaleCrop>false</ScaleCrop>
  <Company>ESMA</Company>
  <LinksUpToDate>false</LinksUpToDate>
  <CharactersWithSpaces>42229</CharactersWithSpaces>
  <SharedDoc>false</SharedDoc>
  <HLinks>
    <vt:vector size="132" baseType="variant">
      <vt:variant>
        <vt:i4>6946871</vt:i4>
      </vt:variant>
      <vt:variant>
        <vt:i4>60</vt:i4>
      </vt:variant>
      <vt:variant>
        <vt:i4>0</vt:i4>
      </vt:variant>
      <vt:variant>
        <vt:i4>5</vt:i4>
      </vt:variant>
      <vt:variant>
        <vt:lpwstr>https://www.anna-dsb.com/download/equity-index/</vt:lpwstr>
      </vt:variant>
      <vt:variant>
        <vt:lpwstr/>
      </vt:variant>
      <vt:variant>
        <vt:i4>4390938</vt:i4>
      </vt:variant>
      <vt:variant>
        <vt:i4>57</vt:i4>
      </vt:variant>
      <vt:variant>
        <vt:i4>0</vt:i4>
      </vt:variant>
      <vt:variant>
        <vt:i4>5</vt:i4>
      </vt:variant>
      <vt:variant>
        <vt:lpwstr>https://www.eurex.com/ex-en/markets/int/fix/government-bonds/Euro-Bobl-Futures-137276</vt:lpwstr>
      </vt:variant>
      <vt:variant>
        <vt:lpwstr/>
      </vt:variant>
      <vt:variant>
        <vt:i4>7274607</vt:i4>
      </vt:variant>
      <vt:variant>
        <vt:i4>54</vt:i4>
      </vt:variant>
      <vt:variant>
        <vt:i4>0</vt:i4>
      </vt:variant>
      <vt:variant>
        <vt:i4>5</vt:i4>
      </vt:variant>
      <vt:variant>
        <vt:lpwstr>https://eur-lex.europa.eu/legal-content/EN/TXT/?uri=CELEX%3A02014R0600-20240328</vt:lpwstr>
      </vt:variant>
      <vt:variant>
        <vt:lpwstr/>
      </vt:variant>
      <vt:variant>
        <vt:i4>3080235</vt:i4>
      </vt:variant>
      <vt:variant>
        <vt:i4>39</vt:i4>
      </vt:variant>
      <vt:variant>
        <vt:i4>0</vt:i4>
      </vt:variant>
      <vt:variant>
        <vt:i4>5</vt:i4>
      </vt:variant>
      <vt:variant>
        <vt:lpwstr>https://www.coingecko.com/research/publications/how-many-cryptocurrencies-are-there</vt:lpwstr>
      </vt:variant>
      <vt:variant>
        <vt:lpwstr/>
      </vt:variant>
      <vt:variant>
        <vt:i4>3473446</vt:i4>
      </vt:variant>
      <vt:variant>
        <vt:i4>36</vt:i4>
      </vt:variant>
      <vt:variant>
        <vt:i4>0</vt:i4>
      </vt:variant>
      <vt:variant>
        <vt:i4>5</vt:i4>
      </vt:variant>
      <vt:variant>
        <vt:lpwstr>https://www.binance.com/en/futures/home</vt:lpwstr>
      </vt:variant>
      <vt:variant>
        <vt:lpwstr/>
      </vt:variant>
      <vt:variant>
        <vt:i4>7077940</vt:i4>
      </vt:variant>
      <vt:variant>
        <vt:i4>33</vt:i4>
      </vt:variant>
      <vt:variant>
        <vt:i4>0</vt:i4>
      </vt:variant>
      <vt:variant>
        <vt:i4>5</vt:i4>
      </vt:variant>
      <vt:variant>
        <vt:lpwstr>https://dtif.org/download-dti-registry/?1733135004</vt:lpwstr>
      </vt:variant>
      <vt:variant>
        <vt:lpwstr/>
      </vt:variant>
      <vt:variant>
        <vt:i4>1966100</vt:i4>
      </vt:variant>
      <vt:variant>
        <vt:i4>30</vt:i4>
      </vt:variant>
      <vt:variant>
        <vt:i4>0</vt:i4>
      </vt:variant>
      <vt:variant>
        <vt:i4>5</vt:i4>
      </vt:variant>
      <vt:variant>
        <vt:lpwstr>https://www.fca.org.uk/publication/discussion/dp24-2.pdf</vt:lpwstr>
      </vt:variant>
      <vt:variant>
        <vt:lpwstr/>
      </vt:variant>
      <vt:variant>
        <vt:i4>1966100</vt:i4>
      </vt:variant>
      <vt:variant>
        <vt:i4>27</vt:i4>
      </vt:variant>
      <vt:variant>
        <vt:i4>0</vt:i4>
      </vt:variant>
      <vt:variant>
        <vt:i4>5</vt:i4>
      </vt:variant>
      <vt:variant>
        <vt:lpwstr>https://www.fca.org.uk/publication/discussion/dp24-2.pdf</vt:lpwstr>
      </vt:variant>
      <vt:variant>
        <vt:lpwstr/>
      </vt:variant>
      <vt:variant>
        <vt:i4>7602185</vt:i4>
      </vt:variant>
      <vt:variant>
        <vt:i4>24</vt:i4>
      </vt:variant>
      <vt:variant>
        <vt:i4>0</vt:i4>
      </vt:variant>
      <vt:variant>
        <vt:i4>5</vt:i4>
      </vt:variant>
      <vt:variant>
        <vt:lpwstr>https://www.esma.europa.eu/sites/default/files/library/2015/11/07_320.pdf</vt:lpwstr>
      </vt:variant>
      <vt:variant>
        <vt:lpwstr/>
      </vt:variant>
      <vt:variant>
        <vt:i4>7602185</vt:i4>
      </vt:variant>
      <vt:variant>
        <vt:i4>21</vt:i4>
      </vt:variant>
      <vt:variant>
        <vt:i4>0</vt:i4>
      </vt:variant>
      <vt:variant>
        <vt:i4>5</vt:i4>
      </vt:variant>
      <vt:variant>
        <vt:lpwstr>https://www.esma.europa.eu/sites/default/files/library/2015/11/07_320.pdf</vt:lpwstr>
      </vt:variant>
      <vt:variant>
        <vt:lpwstr/>
      </vt:variant>
      <vt:variant>
        <vt:i4>6422593</vt:i4>
      </vt:variant>
      <vt:variant>
        <vt:i4>18</vt:i4>
      </vt:variant>
      <vt:variant>
        <vt:i4>0</vt:i4>
      </vt:variant>
      <vt:variant>
        <vt:i4>5</vt:i4>
      </vt:variant>
      <vt:variant>
        <vt:lpwstr>https://connect2.euronext.com/sites/default/files/2020-06/IF200611CA TVTIC Euronext Cash Market_0.pdf</vt:lpwstr>
      </vt:variant>
      <vt:variant>
        <vt:lpwstr/>
      </vt:variant>
      <vt:variant>
        <vt:i4>6815847</vt:i4>
      </vt:variant>
      <vt:variant>
        <vt:i4>15</vt:i4>
      </vt:variant>
      <vt:variant>
        <vt:i4>0</vt:i4>
      </vt:variant>
      <vt:variant>
        <vt:i4>5</vt:i4>
      </vt:variant>
      <vt:variant>
        <vt:lpwstr>https://www.eurexchange.com/resource/blob/165104/86ec69fed614a7403d0a5e48280c6143/data/9-May-2018-T7-release-6.0-readiness-news.pdf</vt:lpwstr>
      </vt:variant>
      <vt:variant>
        <vt:lpwstr/>
      </vt:variant>
      <vt:variant>
        <vt:i4>6291462</vt:i4>
      </vt:variant>
      <vt:variant>
        <vt:i4>12</vt:i4>
      </vt:variant>
      <vt:variant>
        <vt:i4>0</vt:i4>
      </vt:variant>
      <vt:variant>
        <vt:i4>5</vt:i4>
      </vt:variant>
      <vt:variant>
        <vt:lpwstr>https://www.leiroc.org/publications/gls/roc_20230929.pdf</vt:lpwstr>
      </vt:variant>
      <vt:variant>
        <vt:lpwstr/>
      </vt:variant>
      <vt:variant>
        <vt:i4>5177428</vt:i4>
      </vt:variant>
      <vt:variant>
        <vt:i4>9</vt:i4>
      </vt:variant>
      <vt:variant>
        <vt:i4>0</vt:i4>
      </vt:variant>
      <vt:variant>
        <vt:i4>5</vt:i4>
      </vt:variant>
      <vt:variant>
        <vt:lpwstr>https://www.esma.europa.eu/sites/default/files/library/esma70-156-117_mifir_opinion_on_totv.pdf</vt:lpwstr>
      </vt:variant>
      <vt:variant>
        <vt:lpwstr/>
      </vt: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3932286</vt:i4>
      </vt:variant>
      <vt:variant>
        <vt:i4>9</vt:i4>
      </vt:variant>
      <vt:variant>
        <vt:i4>0</vt:i4>
      </vt:variant>
      <vt:variant>
        <vt:i4>5</vt:i4>
      </vt:variant>
      <vt:variant>
        <vt:lpwstr>http://www.esma.europa.eu/</vt:lpwstr>
      </vt:variant>
      <vt:variant>
        <vt:lpwstr/>
      </vt:variant>
      <vt:variant>
        <vt:i4>7733262</vt:i4>
      </vt:variant>
      <vt:variant>
        <vt:i4>6</vt:i4>
      </vt:variant>
      <vt:variant>
        <vt:i4>0</vt:i4>
      </vt:variant>
      <vt:variant>
        <vt:i4>5</vt:i4>
      </vt:variant>
      <vt:variant>
        <vt:lpwstr>https://securitiesandmarketsauth.sharepoint.com/sites/sherpa-daru/_layouts/15/DocIdRedir.aspx?ID=ESMA12-2121844265-3960</vt:lpwstr>
      </vt:variant>
      <vt:variant>
        <vt:lpwstr/>
      </vt:variant>
      <vt:variant>
        <vt:i4>3932286</vt:i4>
      </vt:variant>
      <vt:variant>
        <vt:i4>0</vt:i4>
      </vt:variant>
      <vt:variant>
        <vt:i4>0</vt:i4>
      </vt:variant>
      <vt:variant>
        <vt:i4>5</vt:i4>
      </vt:variant>
      <vt:variant>
        <vt:lpwstr>http://www.esma.europa.eu/</vt:lpwstr>
      </vt:variant>
      <vt:variant>
        <vt:lpwstr/>
      </vt:variant>
      <vt:variant>
        <vt:i4>3145852</vt:i4>
      </vt:variant>
      <vt:variant>
        <vt:i4>3</vt:i4>
      </vt:variant>
      <vt:variant>
        <vt:i4>0</vt:i4>
      </vt:variant>
      <vt:variant>
        <vt:i4>5</vt:i4>
      </vt:variant>
      <vt:variant>
        <vt:lpwstr>https://mapfintech.com/unique-product-identifier-crypto-asset-identifiers/</vt:lpwstr>
      </vt:variant>
      <vt:variant>
        <vt:lpwstr/>
      </vt:variant>
      <vt:variant>
        <vt:i4>7143542</vt:i4>
      </vt:variant>
      <vt:variant>
        <vt:i4>0</vt:i4>
      </vt:variant>
      <vt:variant>
        <vt:i4>0</vt:i4>
      </vt:variant>
      <vt:variant>
        <vt:i4>5</vt:i4>
      </vt:variant>
      <vt:variant>
        <vt:lpwstr>https://eur-lex.europa.eu/legal-content/EN/TXT/?uri=CELEX%3A32014R0600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George Markides</cp:lastModifiedBy>
  <cp:revision>336</cp:revision>
  <cp:lastPrinted>2024-12-02T12:39:00Z</cp:lastPrinted>
  <dcterms:created xsi:type="dcterms:W3CDTF">2024-11-19T11:42:00Z</dcterms:created>
  <dcterms:modified xsi:type="dcterms:W3CDTF">2024-12-29T09:28:00Z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