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shd w:val="clear" w:color="auto" w:fill="auto"/>
                <w:vAlign w:val="center"/>
              </w:tcPr>
              <w:p w14:paraId="633DB1B6" w14:textId="0E115411" w:rsidR="00C2682A" w:rsidRPr="00104E00" w:rsidRDefault="00055F1B" w:rsidP="00104E00">
                <w:pPr>
                  <w:jc w:val="left"/>
                  <w:rPr>
                    <w:rStyle w:val="PlaceholderText"/>
                  </w:rPr>
                </w:pPr>
                <w:r>
                  <w:rPr>
                    <w:rStyle w:val="PlaceholderText"/>
                  </w:rPr>
                  <w:t>Bloomberg</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2142CDF1" w:rsidR="00C2682A" w:rsidRPr="00104E00" w:rsidRDefault="006873E2"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055F1B">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5066DCED" w:rsidR="00C2682A" w:rsidRPr="00104E00" w:rsidRDefault="00055F1B" w:rsidP="00104E00">
                <w:pPr>
                  <w:jc w:val="left"/>
                </w:pPr>
                <w:r>
                  <w:t>Netherlands</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77777777" w:rsidR="006B5DF1" w:rsidRDefault="006B5DF1" w:rsidP="006B5DF1">
      <w:pPr>
        <w:spacing w:after="0"/>
      </w:pPr>
      <w:permStart w:id="1107116594" w:edGrp="everyone"/>
      <w:r>
        <w:t>TYPE YOUR TEXT HERE</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 xml:space="preserve">To what extent the rules applied for the determination of the RCA and RCA_MIC are relevant for your operations? Do you agree with the potential alignment of the </w:t>
      </w:r>
      <w:r>
        <w:lastRenderedPageBreak/>
        <w:t>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proofErr w:type="gramStart"/>
      <w:r>
        <w:t>a(</w:t>
      </w:r>
      <w:proofErr w:type="gramEnd"/>
      <w:r>
        <w:t>2) of MiFIR?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lastRenderedPageBreak/>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2EDCCE1B" w14:textId="3ABE02EA" w:rsidR="006B5DF1" w:rsidRDefault="00055F1B" w:rsidP="006B5DF1">
      <w:pPr>
        <w:spacing w:after="0"/>
      </w:pPr>
      <w:permStart w:id="1395752143" w:edGrp="everyone"/>
      <w:r>
        <w:t xml:space="preserve"> </w:t>
      </w:r>
      <w:r w:rsidRPr="00055F1B">
        <w:t>We agree with this field being included, but it should be clear that this is exclusively relevant to OTC derivatives.</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E3F044C" w14:textId="0BFA769C" w:rsidR="006B5DF1" w:rsidRDefault="00055F1B" w:rsidP="006B5DF1">
      <w:pPr>
        <w:spacing w:after="0"/>
      </w:pPr>
      <w:permStart w:id="1354110368" w:edGrp="everyone"/>
      <w:r>
        <w:t xml:space="preserve"> </w:t>
      </w:r>
      <w:r w:rsidRPr="00055F1B">
        <w:t xml:space="preserve">As mentioned in Q8, we understand that this is exclusively relevant to OTC derivatives, and it does not apply for shares. As a result, implementation would be easier if the field were only required for OTC derivatives. Otherwise, firms will have to implement logic to default this field for various asset classes, which will not benefit market abuse </w:t>
      </w:r>
      <w:proofErr w:type="gramStart"/>
      <w:r w:rsidRPr="00055F1B">
        <w:t>monitoring</w:t>
      </w:r>
      <w:proofErr w:type="gramEnd"/>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6BD62104" w14:textId="39E420EB" w:rsidR="006B5DF1" w:rsidRDefault="00055F1B" w:rsidP="006B5DF1">
      <w:pPr>
        <w:spacing w:after="0"/>
      </w:pPr>
      <w:permStart w:id="791629733" w:edGrp="everyone"/>
      <w:r>
        <w:t xml:space="preserve"> </w:t>
      </w:r>
      <w:r w:rsidRPr="00055F1B">
        <w:t xml:space="preserve">We agree with the inclusion of this </w:t>
      </w:r>
      <w:proofErr w:type="gramStart"/>
      <w:r w:rsidRPr="00055F1B">
        <w:t>field, but</w:t>
      </w:r>
      <w:proofErr w:type="gramEnd"/>
      <w:r w:rsidRPr="00055F1B">
        <w:t xml:space="preserve"> would like greater clarity for the field definitions for fields 6 and 6b.</w:t>
      </w:r>
      <w:permEnd w:id="791629733"/>
      <w:r w:rsidR="006B5DF1">
        <w:t>&lt;ESMA_QUESTION_</w:t>
      </w:r>
      <w:r w:rsidR="00DF3781">
        <w:t>RTS2224</w:t>
      </w:r>
      <w:r w:rsidR="006B5DF1">
        <w:t>_</w:t>
      </w:r>
      <w:r w:rsidR="003E7313">
        <w:t>10</w:t>
      </w:r>
      <w:r w:rsidR="006B5DF1">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2E9C537F" w14:textId="17CC8738" w:rsidR="006B5DF1" w:rsidRDefault="006B5DF1" w:rsidP="006B5DF1">
      <w:pPr>
        <w:spacing w:after="0"/>
      </w:pPr>
      <w:r>
        <w:t>&lt;ESMA_QUESTION_</w:t>
      </w:r>
      <w:r w:rsidR="00DF3781">
        <w:t>RTS2224</w:t>
      </w:r>
      <w:r>
        <w:t>_</w:t>
      </w:r>
      <w:r w:rsidR="003E7313">
        <w:t>11</w:t>
      </w:r>
      <w:r>
        <w:t>&gt;</w:t>
      </w:r>
      <w:permStart w:id="1475742058" w:edGrp="everyone"/>
      <w:r w:rsidR="00055F1B" w:rsidRPr="00055F1B">
        <w:rPr>
          <w:color w:val="auto"/>
          <w:szCs w:val="22"/>
        </w:rPr>
        <w:t xml:space="preserve">We agree with this </w:t>
      </w:r>
      <w:proofErr w:type="gramStart"/>
      <w:r w:rsidR="00055F1B" w:rsidRPr="00055F1B">
        <w:rPr>
          <w:color w:val="auto"/>
          <w:szCs w:val="22"/>
        </w:rPr>
        <w:t>assessment.</w:t>
      </w:r>
      <w:permEnd w:id="1475742058"/>
      <w:r>
        <w:t>&lt;</w:t>
      </w:r>
      <w:proofErr w:type="gramEnd"/>
      <w:r>
        <w: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4AB78DDC" w14:textId="1FED62B2" w:rsidR="006B5DF1" w:rsidRDefault="00055F1B" w:rsidP="006B5DF1">
      <w:pPr>
        <w:spacing w:after="0"/>
      </w:pPr>
      <w:permStart w:id="368387494" w:edGrp="everyone"/>
      <w:r>
        <w:t xml:space="preserve"> </w:t>
      </w:r>
      <w:r w:rsidRPr="00055F1B">
        <w:t>We agree that the TVTIC should be a mandatory field when an EEA MIC is reported. However, we do not believe that changing the syntax of the TVTIC will improve any existing data quality issues that regulators see regarding this field. Regulatory guidance should be developed to clarify that entities with the reporting obligation are required to ensure that they consume and accurately report the TVTIC that is generated by the TV.</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lastRenderedPageBreak/>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4E9F5B2F" w14:textId="5279E91F" w:rsidR="00055F1B" w:rsidRDefault="006B5DF1" w:rsidP="006B5DF1">
      <w:pPr>
        <w:spacing w:after="0"/>
      </w:pPr>
      <w:r>
        <w:t>&lt;ESMA_QUESTION_</w:t>
      </w:r>
      <w:r w:rsidR="00DF3781">
        <w:t>RTS2224</w:t>
      </w:r>
      <w:r>
        <w:t>_</w:t>
      </w:r>
      <w:r w:rsidR="003E7313">
        <w:t>13</w:t>
      </w:r>
      <w:proofErr w:type="gramStart"/>
      <w:r>
        <w:t>&gt;</w:t>
      </w:r>
      <w:r w:rsidR="00055F1B">
        <w:t xml:space="preserve"> </w:t>
      </w:r>
      <w:permStart w:id="1298809498" w:edGrp="everyone"/>
      <w:r w:rsidR="00055F1B">
        <w:t xml:space="preserve"> </w:t>
      </w:r>
      <w:r w:rsidR="00055F1B" w:rsidRPr="00055F1B">
        <w:t>We</w:t>
      </w:r>
      <w:proofErr w:type="gramEnd"/>
      <w:r w:rsidR="00055F1B" w:rsidRPr="00055F1B">
        <w:t xml:space="preserve"> disagree with the proposal that non-EEA trading venues should provide a TVTIC. Non-EEA trading venues may already be providing a unique transaction reference today and we would recommend using this existing reference where available. </w:t>
      </w:r>
    </w:p>
    <w:p w14:paraId="600EB1F8" w14:textId="77777777" w:rsidR="00055F1B" w:rsidRDefault="00055F1B" w:rsidP="006B5DF1">
      <w:pPr>
        <w:spacing w:after="0"/>
      </w:pPr>
      <w:r w:rsidRPr="00055F1B">
        <w:t xml:space="preserve">There is no mandate in any event to compel non-EEA trading venues to produce the TVTIC in the format defined by ESMA. This could lead to inconsistent reporting. </w:t>
      </w:r>
    </w:p>
    <w:p w14:paraId="2956AE52" w14:textId="26A34159" w:rsidR="006B5DF1" w:rsidRDefault="00055F1B" w:rsidP="006B5DF1">
      <w:pPr>
        <w:spacing w:after="0"/>
      </w:pPr>
      <w:r w:rsidRPr="00055F1B">
        <w:t xml:space="preserve">We also note that the data points in the suggested syntax can be derived from existing </w:t>
      </w:r>
      <w:proofErr w:type="gramStart"/>
      <w:r w:rsidRPr="00055F1B">
        <w:t>fields</w:t>
      </w:r>
      <w:proofErr w:type="gramEnd"/>
      <w:r w:rsidRPr="00055F1B">
        <w:t xml:space="preserve"> and we see no need to create an additional identifier containing those data points.</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3748AF8F" w14:textId="6F2579EE" w:rsidR="006B5DF1" w:rsidRDefault="006B5DF1" w:rsidP="006B5DF1">
      <w:pPr>
        <w:spacing w:after="0"/>
      </w:pPr>
      <w:r>
        <w:t>&lt;ESMA_QUESTION_</w:t>
      </w:r>
      <w:r w:rsidR="00DF3781">
        <w:t>RTS2224</w:t>
      </w:r>
      <w:r>
        <w:t>_</w:t>
      </w:r>
      <w:r w:rsidR="003E7313">
        <w:t>14</w:t>
      </w:r>
      <w:r>
        <w:t>&gt;</w:t>
      </w:r>
      <w:permStart w:id="1859999702" w:edGrp="everyone"/>
      <w:r w:rsidR="00055F1B">
        <w:t xml:space="preserve"> </w:t>
      </w:r>
      <w:r w:rsidR="00055F1B" w:rsidRPr="00055F1B">
        <w:t>As noted in Q13, TVTIC should only apply to transactions executed on EEA trading venues.</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4C2AAE5E" w14:textId="77777777" w:rsidR="00055F1B" w:rsidRDefault="00055F1B" w:rsidP="00055F1B">
      <w:pPr>
        <w:spacing w:after="0"/>
      </w:pPr>
      <w:permStart w:id="1859985972" w:edGrp="everyone"/>
      <w:r>
        <w:t xml:space="preserve"> We disagree with the introduction of a TIC for OTC derivative transactions. The data points suggested for the TIC syntax would already be available in other </w:t>
      </w:r>
      <w:proofErr w:type="gramStart"/>
      <w:r>
        <w:t>fields</w:t>
      </w:r>
      <w:proofErr w:type="gramEnd"/>
      <w:r>
        <w:t xml:space="preserve"> so we do not see the need for an additional identifier.</w:t>
      </w:r>
    </w:p>
    <w:p w14:paraId="1C70326E" w14:textId="77777777" w:rsidR="00055F1B" w:rsidRDefault="00055F1B" w:rsidP="00055F1B">
      <w:pPr>
        <w:spacing w:after="0"/>
      </w:pPr>
      <w:r>
        <w:t xml:space="preserve">There are also </w:t>
      </w:r>
      <w:proofErr w:type="gramStart"/>
      <w:r>
        <w:t>a number of</w:t>
      </w:r>
      <w:proofErr w:type="gramEnd"/>
      <w:r>
        <w:t xml:space="preserve"> practical difficulties with the operation of this proposal. Issues include the consistent and accurate identification of the TIC generating entity, the effective communication </w:t>
      </w:r>
      <w:r>
        <w:lastRenderedPageBreak/>
        <w:t xml:space="preserve">of the TIC to the other entity (or entities) in time for reporting requirements, and confusion about what to report if the TIC has not been received within the T+1 reporting timeframe. The costs, </w:t>
      </w:r>
      <w:proofErr w:type="gramStart"/>
      <w:r>
        <w:t>resources</w:t>
      </w:r>
      <w:proofErr w:type="gramEnd"/>
      <w:r>
        <w:t xml:space="preserve"> and time for managing these issues would be significant. </w:t>
      </w:r>
    </w:p>
    <w:p w14:paraId="48DF5247" w14:textId="7A9BDC30" w:rsidR="006B5DF1" w:rsidRDefault="00055F1B" w:rsidP="00055F1B">
      <w:pPr>
        <w:spacing w:after="0"/>
      </w:pPr>
      <w:r>
        <w:t xml:space="preserve">If a TIC is however still introduced, we would suggest that for reasons of international harmonisation ESMA should consider the UTI, at least for OTC derivative contracts. UTI has 52 alphanumeric characters starting with the </w:t>
      </w:r>
      <w:proofErr w:type="gramStart"/>
      <w:r>
        <w:t>20 character</w:t>
      </w:r>
      <w:proofErr w:type="gramEnd"/>
      <w:r>
        <w:t xml:space="preserve"> LEI of the generating entity. Using the UTI would also provide greater harmonisation between the EMIR and MiFIR reporting regimes. Much work has been done at the international level to flesh out the process for generation of the UTI (though the problems mentioned above are common). If a TIC is introduced with the syntax proposed in the consultation, then this would add additional complication (which would also not guarantee uniqueness) and a new set of EU-specific procedures would be needed.</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02FB67CE" w14:textId="77777777" w:rsidR="00055F1B" w:rsidRDefault="00055F1B" w:rsidP="00055F1B">
      <w:pPr>
        <w:spacing w:after="0"/>
      </w:pPr>
      <w:permStart w:id="1850953902" w:edGrp="everyone"/>
      <w:r>
        <w:t xml:space="preserve"> We do not agree with the seller being the entity responsible for reporting the TIC because it introduces unnecessary complexities, which will contribute to late and inaccurate reporting.</w:t>
      </w:r>
    </w:p>
    <w:p w14:paraId="0C93C5DC" w14:textId="7465DDD0" w:rsidR="00055F1B" w:rsidRDefault="00055F1B" w:rsidP="00055F1B">
      <w:pPr>
        <w:spacing w:after="0"/>
      </w:pPr>
      <w:proofErr w:type="gramStart"/>
      <w:r>
        <w:t>Furthermore</w:t>
      </w:r>
      <w:proofErr w:type="gramEnd"/>
      <w:r>
        <w:t xml:space="preserve"> the data points suggested to form the syntax are already available and could be used to link transactions without needing to introduce a new field.</w:t>
      </w:r>
    </w:p>
    <w:p w14:paraId="1C1A301D" w14:textId="77777777" w:rsidR="00055F1B" w:rsidRDefault="00055F1B" w:rsidP="00055F1B">
      <w:pPr>
        <w:spacing w:after="0"/>
      </w:pPr>
      <w:r>
        <w:t>For a scenario in which an order is routed to a chain of brokers: client seller -&gt; broker 1 -&gt; broker 2.</w:t>
      </w:r>
    </w:p>
    <w:p w14:paraId="7C207E7B" w14:textId="77777777" w:rsidR="001D3BC2" w:rsidRDefault="00055F1B" w:rsidP="00055F1B">
      <w:pPr>
        <w:pStyle w:val="ListParagraph"/>
        <w:numPr>
          <w:ilvl w:val="0"/>
          <w:numId w:val="37"/>
        </w:numPr>
        <w:spacing w:after="0"/>
      </w:pPr>
      <w:r>
        <w:t>Broker 2 would be responsible for sending executions to broker 1 who would in turn send the executions to the client.</w:t>
      </w:r>
    </w:p>
    <w:p w14:paraId="50AC8B43" w14:textId="77777777" w:rsidR="001D3BC2" w:rsidRDefault="00055F1B" w:rsidP="00991FFC">
      <w:pPr>
        <w:pStyle w:val="ListParagraph"/>
        <w:numPr>
          <w:ilvl w:val="0"/>
          <w:numId w:val="37"/>
        </w:numPr>
        <w:spacing w:after="0"/>
      </w:pPr>
      <w:r>
        <w:t>However, as the seller, the client would be responsible for understanding that broker 2 executed OTC.</w:t>
      </w:r>
    </w:p>
    <w:p w14:paraId="550EB856" w14:textId="59F615BB" w:rsidR="00055F1B" w:rsidRDefault="00055F1B" w:rsidP="00991FFC">
      <w:pPr>
        <w:pStyle w:val="ListParagraph"/>
        <w:numPr>
          <w:ilvl w:val="0"/>
          <w:numId w:val="37"/>
        </w:numPr>
        <w:spacing w:after="0"/>
      </w:pPr>
      <w:r>
        <w:t>The client would have to create a TIC and transmit it up the chain in the opposite direction to the flow of executions.</w:t>
      </w:r>
    </w:p>
    <w:p w14:paraId="30C2AF75" w14:textId="77777777" w:rsidR="00055F1B" w:rsidRDefault="00055F1B" w:rsidP="00055F1B">
      <w:pPr>
        <w:spacing w:after="0"/>
      </w:pPr>
      <w:r>
        <w:t xml:space="preserve">It is difficult to understand how this would work practically. Also, making TIC generation the responsibility of the seller would result in the TIC needing to be passed down from a broker’s client to the broker </w:t>
      </w:r>
      <w:proofErr w:type="gramStart"/>
      <w:r>
        <w:t>in the event that</w:t>
      </w:r>
      <w:proofErr w:type="gramEnd"/>
      <w:r>
        <w:t xml:space="preserve"> the broker was the buyer. </w:t>
      </w:r>
    </w:p>
    <w:p w14:paraId="37D1EAC7" w14:textId="77777777" w:rsidR="00055F1B" w:rsidRDefault="00055F1B" w:rsidP="00055F1B">
      <w:pPr>
        <w:spacing w:after="0"/>
      </w:pPr>
      <w:r>
        <w:t>In any scenario it would need to be clearly defined whose responsibility it would be to create the TIC if the responsible party is not a MiFID investment firm.</w:t>
      </w:r>
    </w:p>
    <w:p w14:paraId="19F2790E" w14:textId="0B28B4E1" w:rsidR="006B5DF1" w:rsidRDefault="00055F1B" w:rsidP="00055F1B">
      <w:pPr>
        <w:spacing w:after="0"/>
      </w:pPr>
      <w:proofErr w:type="gramStart"/>
      <w:r>
        <w:t>If</w:t>
      </w:r>
      <w:proofErr w:type="gramEnd"/>
      <w:r>
        <w:t xml:space="preserve"> however ESMA decides to proceed, then the person executing the trade should create the TIC.</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lastRenderedPageBreak/>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6E2520D6" w14:textId="77777777" w:rsidR="001D3BC2" w:rsidRPr="001D3BC2" w:rsidRDefault="001D3BC2" w:rsidP="001D3BC2">
      <w:pPr>
        <w:spacing w:after="0"/>
        <w:rPr>
          <w:lang w:val="fr-FR"/>
        </w:rPr>
      </w:pPr>
      <w:permStart w:id="938018820" w:edGrp="everyone"/>
      <w:r>
        <w:t xml:space="preserve"> </w:t>
      </w:r>
      <w:proofErr w:type="spellStart"/>
      <w:r w:rsidRPr="001D3BC2">
        <w:rPr>
          <w:lang w:val="fr-FR"/>
        </w:rPr>
        <w:t>We</w:t>
      </w:r>
      <w:proofErr w:type="spellEnd"/>
      <w:r w:rsidRPr="001D3BC2">
        <w:rPr>
          <w:lang w:val="fr-FR"/>
        </w:rPr>
        <w:t xml:space="preserve"> </w:t>
      </w:r>
      <w:proofErr w:type="spellStart"/>
      <w:r w:rsidRPr="001D3BC2">
        <w:rPr>
          <w:lang w:val="fr-FR"/>
        </w:rPr>
        <w:t>would</w:t>
      </w:r>
      <w:proofErr w:type="spellEnd"/>
      <w:r w:rsidRPr="001D3BC2">
        <w:rPr>
          <w:lang w:val="fr-FR"/>
        </w:rPr>
        <w:t xml:space="preserve"> like to </w:t>
      </w:r>
      <w:proofErr w:type="spellStart"/>
      <w:r w:rsidRPr="001D3BC2">
        <w:rPr>
          <w:lang w:val="fr-FR"/>
        </w:rPr>
        <w:t>request</w:t>
      </w:r>
      <w:proofErr w:type="spellEnd"/>
      <w:r w:rsidRPr="001D3BC2">
        <w:rPr>
          <w:lang w:val="fr-FR"/>
        </w:rPr>
        <w:t xml:space="preserve"> </w:t>
      </w:r>
      <w:proofErr w:type="spellStart"/>
      <w:r w:rsidRPr="001D3BC2">
        <w:rPr>
          <w:lang w:val="fr-FR"/>
        </w:rPr>
        <w:t>additional</w:t>
      </w:r>
      <w:proofErr w:type="spellEnd"/>
      <w:r w:rsidRPr="001D3BC2">
        <w:rPr>
          <w:lang w:val="fr-FR"/>
        </w:rPr>
        <w:t xml:space="preserve"> clarification and guidance on the “</w:t>
      </w:r>
      <w:proofErr w:type="spellStart"/>
      <w:r w:rsidRPr="001D3BC2">
        <w:rPr>
          <w:lang w:val="fr-FR"/>
        </w:rPr>
        <w:t>aggregate</w:t>
      </w:r>
      <w:proofErr w:type="spellEnd"/>
      <w:r w:rsidRPr="001D3BC2">
        <w:rPr>
          <w:lang w:val="fr-FR"/>
        </w:rPr>
        <w:t xml:space="preserve"> </w:t>
      </w:r>
      <w:proofErr w:type="spellStart"/>
      <w:r w:rsidRPr="001D3BC2">
        <w:rPr>
          <w:lang w:val="fr-FR"/>
        </w:rPr>
        <w:t>orders</w:t>
      </w:r>
      <w:proofErr w:type="spellEnd"/>
      <w:r w:rsidRPr="001D3BC2">
        <w:rPr>
          <w:lang w:val="fr-FR"/>
        </w:rPr>
        <w:t xml:space="preserve">” use case, </w:t>
      </w:r>
      <w:proofErr w:type="spellStart"/>
      <w:r w:rsidRPr="001D3BC2">
        <w:rPr>
          <w:lang w:val="fr-FR"/>
        </w:rPr>
        <w:t>from</w:t>
      </w:r>
      <w:proofErr w:type="spellEnd"/>
      <w:r w:rsidRPr="001D3BC2">
        <w:rPr>
          <w:lang w:val="fr-FR"/>
        </w:rPr>
        <w:t xml:space="preserve"> </w:t>
      </w:r>
      <w:proofErr w:type="spellStart"/>
      <w:r w:rsidRPr="001D3BC2">
        <w:rPr>
          <w:lang w:val="fr-FR"/>
        </w:rPr>
        <w:t>both</w:t>
      </w:r>
      <w:proofErr w:type="spellEnd"/>
      <w:r w:rsidRPr="001D3BC2">
        <w:rPr>
          <w:lang w:val="fr-FR"/>
        </w:rPr>
        <w:t xml:space="preserve"> a </w:t>
      </w:r>
      <w:proofErr w:type="spellStart"/>
      <w:r w:rsidRPr="001D3BC2">
        <w:rPr>
          <w:lang w:val="fr-FR"/>
        </w:rPr>
        <w:t>buyside</w:t>
      </w:r>
      <w:proofErr w:type="spellEnd"/>
      <w:r w:rsidRPr="001D3BC2">
        <w:rPr>
          <w:lang w:val="fr-FR"/>
        </w:rPr>
        <w:t xml:space="preserve"> and </w:t>
      </w:r>
      <w:proofErr w:type="spellStart"/>
      <w:r w:rsidRPr="001D3BC2">
        <w:rPr>
          <w:lang w:val="fr-FR"/>
        </w:rPr>
        <w:t>sellside</w:t>
      </w:r>
      <w:proofErr w:type="spellEnd"/>
      <w:r w:rsidRPr="001D3BC2">
        <w:rPr>
          <w:lang w:val="fr-FR"/>
        </w:rPr>
        <w:t xml:space="preserve"> perspective.</w:t>
      </w:r>
    </w:p>
    <w:p w14:paraId="2169A775" w14:textId="5F6475AE" w:rsidR="001D3BC2" w:rsidRPr="001D3BC2" w:rsidRDefault="001D3BC2" w:rsidP="001D3BC2">
      <w:pPr>
        <w:spacing w:after="0"/>
      </w:pPr>
      <w:r w:rsidRPr="001D3BC2">
        <w:t xml:space="preserve">For example, </w:t>
      </w:r>
      <w:r>
        <w:t xml:space="preserve">in </w:t>
      </w:r>
      <w:proofErr w:type="gramStart"/>
      <w:r>
        <w:t>an</w:t>
      </w:r>
      <w:proofErr w:type="gramEnd"/>
      <w:r>
        <w:t xml:space="preserve"> scenario where</w:t>
      </w:r>
      <w:r w:rsidRPr="001D3BC2">
        <w:t xml:space="preserve"> a buyside firm aggregates several orders across funds which are sent to a broker for execution and then that broker aggregates these orders with other orders received from other clients, </w:t>
      </w:r>
      <w:r>
        <w:t>guidance from</w:t>
      </w:r>
      <w:r w:rsidRPr="001D3BC2">
        <w:t xml:space="preserve"> ESMA </w:t>
      </w:r>
      <w:r>
        <w:t xml:space="preserve">would be necessary </w:t>
      </w:r>
      <w:r w:rsidRPr="001D3BC2">
        <w:t>on which transactions should be reported and how fields</w:t>
      </w:r>
      <w:r>
        <w:t xml:space="preserve"> should be populated</w:t>
      </w:r>
      <w:r w:rsidRPr="001D3BC2">
        <w:t>, including TVTIC, TIC, chain identifier and INTC?</w:t>
      </w:r>
    </w:p>
    <w:p w14:paraId="3F0BD084" w14:textId="7FEFCAF3" w:rsidR="006B5DF1" w:rsidRDefault="001D3BC2" w:rsidP="006B5DF1">
      <w:pPr>
        <w:spacing w:after="0"/>
      </w:pPr>
      <w:r>
        <w:t>We do n</w:t>
      </w:r>
      <w:r w:rsidRPr="001D3BC2">
        <w:t>ote that the UK FCA is proposing a different approach based on a unique code in the buyer and seller fields rather than the development of a unique INTC identifier. </w:t>
      </w:r>
      <w:proofErr w:type="spellStart"/>
      <w:r w:rsidRPr="001D3BC2">
        <w:t>Ideally</w:t>
      </w:r>
      <w:r>
        <w:t>It</w:t>
      </w:r>
      <w:proofErr w:type="spellEnd"/>
      <w:r>
        <w:t xml:space="preserve"> would be important to have a similar </w:t>
      </w:r>
      <w:r w:rsidRPr="001D3BC2">
        <w:t xml:space="preserve">approach in the EU and UK </w:t>
      </w:r>
      <w:r>
        <w:t>to avoid unnecessary burden and associated costs</w:t>
      </w:r>
      <w:r w:rsidRPr="001D3BC2">
        <w:t>.</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09294D4B" w:rsidR="006B5DF1" w:rsidRDefault="001D3BC2" w:rsidP="006B5DF1">
      <w:pPr>
        <w:spacing w:after="0"/>
      </w:pPr>
      <w:permStart w:id="1092633402" w:edGrp="everyone"/>
      <w:r>
        <w:t xml:space="preserve"> </w:t>
      </w:r>
      <w:r w:rsidRPr="001D3BC2">
        <w:t>The example provided by ESMA does not consider Article 26(5) where the executing entity itself is not responsible for transaction reporting. Requesting that the executing entity in this scenario generates an INTC identifier will not be possible. Preferably, the INTC identifier field would not be required for transactions reported under Article 26(5). This could be achieved by requiring trading venues to report only the ‘market side’ of relevant transactions.</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lastRenderedPageBreak/>
        <w:t>&lt;ESMA_QUESTION_</w:t>
      </w:r>
      <w:r w:rsidR="00DF3781">
        <w:t>RTS2224</w:t>
      </w:r>
      <w:r>
        <w:t>_</w:t>
      </w:r>
      <w:r w:rsidR="003E7313">
        <w:t>19</w:t>
      </w:r>
      <w:r>
        <w:t>&gt;</w:t>
      </w:r>
    </w:p>
    <w:p w14:paraId="7563DF81" w14:textId="77777777" w:rsidR="001D3BC2" w:rsidRPr="001D3BC2" w:rsidRDefault="001D3BC2" w:rsidP="001D3BC2">
      <w:pPr>
        <w:spacing w:after="0"/>
        <w:rPr>
          <w:lang w:val="fr-FR"/>
        </w:rPr>
      </w:pPr>
      <w:permStart w:id="1566987131" w:edGrp="everyone"/>
      <w:r>
        <w:t xml:space="preserve"> </w:t>
      </w:r>
      <w:proofErr w:type="spellStart"/>
      <w:r w:rsidRPr="001D3BC2">
        <w:rPr>
          <w:lang w:val="fr-FR"/>
        </w:rPr>
        <w:t>We</w:t>
      </w:r>
      <w:proofErr w:type="spellEnd"/>
      <w:r w:rsidRPr="001D3BC2">
        <w:rPr>
          <w:lang w:val="fr-FR"/>
        </w:rPr>
        <w:t xml:space="preserve"> </w:t>
      </w:r>
      <w:proofErr w:type="spellStart"/>
      <w:r w:rsidRPr="001D3BC2">
        <w:rPr>
          <w:lang w:val="fr-FR"/>
        </w:rPr>
        <w:t>disagree</w:t>
      </w:r>
      <w:proofErr w:type="spellEnd"/>
      <w:r w:rsidRPr="001D3BC2">
        <w:rPr>
          <w:lang w:val="fr-FR"/>
        </w:rPr>
        <w:t xml:space="preserve"> </w:t>
      </w:r>
      <w:proofErr w:type="spellStart"/>
      <w:r w:rsidRPr="001D3BC2">
        <w:rPr>
          <w:lang w:val="fr-FR"/>
        </w:rPr>
        <w:t>with</w:t>
      </w:r>
      <w:proofErr w:type="spellEnd"/>
      <w:r w:rsidRPr="001D3BC2">
        <w:rPr>
          <w:lang w:val="fr-FR"/>
        </w:rPr>
        <w:t xml:space="preserve"> the </w:t>
      </w:r>
      <w:proofErr w:type="spellStart"/>
      <w:r w:rsidRPr="001D3BC2">
        <w:rPr>
          <w:lang w:val="fr-FR"/>
        </w:rPr>
        <w:t>proposal</w:t>
      </w:r>
      <w:proofErr w:type="spellEnd"/>
      <w:r w:rsidRPr="001D3BC2">
        <w:rPr>
          <w:lang w:val="fr-FR"/>
        </w:rPr>
        <w:t xml:space="preserve">, as </w:t>
      </w:r>
      <w:proofErr w:type="spellStart"/>
      <w:r w:rsidRPr="001D3BC2">
        <w:rPr>
          <w:lang w:val="fr-FR"/>
        </w:rPr>
        <w:t>adding</w:t>
      </w:r>
      <w:proofErr w:type="spellEnd"/>
      <w:r w:rsidRPr="001D3BC2">
        <w:rPr>
          <w:lang w:val="fr-FR"/>
        </w:rPr>
        <w:t xml:space="preserve"> a </w:t>
      </w:r>
      <w:proofErr w:type="spellStart"/>
      <w:r w:rsidRPr="001D3BC2">
        <w:rPr>
          <w:lang w:val="fr-FR"/>
        </w:rPr>
        <w:t>field</w:t>
      </w:r>
      <w:proofErr w:type="spellEnd"/>
      <w:r w:rsidRPr="001D3BC2">
        <w:rPr>
          <w:lang w:val="fr-FR"/>
        </w:rPr>
        <w:t xml:space="preserve"> to </w:t>
      </w:r>
      <w:proofErr w:type="spellStart"/>
      <w:r w:rsidRPr="001D3BC2">
        <w:rPr>
          <w:lang w:val="fr-FR"/>
        </w:rPr>
        <w:t>link</w:t>
      </w:r>
      <w:proofErr w:type="spellEnd"/>
      <w:r w:rsidRPr="001D3BC2">
        <w:rPr>
          <w:lang w:val="fr-FR"/>
        </w:rPr>
        <w:t xml:space="preserve"> </w:t>
      </w:r>
      <w:proofErr w:type="spellStart"/>
      <w:r w:rsidRPr="001D3BC2">
        <w:rPr>
          <w:lang w:val="fr-FR"/>
        </w:rPr>
        <w:t>chains</w:t>
      </w:r>
      <w:proofErr w:type="spellEnd"/>
      <w:r w:rsidRPr="001D3BC2">
        <w:rPr>
          <w:lang w:val="fr-FR"/>
        </w:rPr>
        <w:t xml:space="preserve"> </w:t>
      </w:r>
      <w:proofErr w:type="spellStart"/>
      <w:r w:rsidRPr="001D3BC2">
        <w:rPr>
          <w:lang w:val="fr-FR"/>
        </w:rPr>
        <w:t>will</w:t>
      </w:r>
      <w:proofErr w:type="spellEnd"/>
      <w:r w:rsidRPr="001D3BC2">
        <w:rPr>
          <w:lang w:val="fr-FR"/>
        </w:rPr>
        <w:t xml:space="preserve"> </w:t>
      </w:r>
      <w:proofErr w:type="spellStart"/>
      <w:r w:rsidRPr="001D3BC2">
        <w:rPr>
          <w:lang w:val="fr-FR"/>
        </w:rPr>
        <w:t>introduce</w:t>
      </w:r>
      <w:proofErr w:type="spellEnd"/>
      <w:r w:rsidRPr="001D3BC2">
        <w:rPr>
          <w:lang w:val="fr-FR"/>
        </w:rPr>
        <w:t xml:space="preserve"> </w:t>
      </w:r>
      <w:proofErr w:type="spellStart"/>
      <w:r w:rsidRPr="001D3BC2">
        <w:rPr>
          <w:lang w:val="fr-FR"/>
        </w:rPr>
        <w:t>unnecessary</w:t>
      </w:r>
      <w:proofErr w:type="spellEnd"/>
      <w:r w:rsidRPr="001D3BC2">
        <w:rPr>
          <w:lang w:val="fr-FR"/>
        </w:rPr>
        <w:t xml:space="preserve"> </w:t>
      </w:r>
      <w:proofErr w:type="spellStart"/>
      <w:r w:rsidRPr="001D3BC2">
        <w:rPr>
          <w:lang w:val="fr-FR"/>
        </w:rPr>
        <w:t>complexity</w:t>
      </w:r>
      <w:proofErr w:type="spellEnd"/>
      <w:r w:rsidRPr="001D3BC2">
        <w:rPr>
          <w:lang w:val="fr-FR"/>
        </w:rPr>
        <w:t xml:space="preserve"> and </w:t>
      </w:r>
      <w:proofErr w:type="spellStart"/>
      <w:r w:rsidRPr="001D3BC2">
        <w:rPr>
          <w:lang w:val="fr-FR"/>
        </w:rPr>
        <w:t>increase</w:t>
      </w:r>
      <w:proofErr w:type="spellEnd"/>
      <w:r w:rsidRPr="001D3BC2">
        <w:rPr>
          <w:lang w:val="fr-FR"/>
        </w:rPr>
        <w:t xml:space="preserve"> instances of </w:t>
      </w:r>
      <w:proofErr w:type="spellStart"/>
      <w:r w:rsidRPr="001D3BC2">
        <w:rPr>
          <w:lang w:val="fr-FR"/>
        </w:rPr>
        <w:t>late</w:t>
      </w:r>
      <w:proofErr w:type="spellEnd"/>
      <w:r w:rsidRPr="001D3BC2">
        <w:rPr>
          <w:lang w:val="fr-FR"/>
        </w:rPr>
        <w:t>/</w:t>
      </w:r>
      <w:proofErr w:type="spellStart"/>
      <w:r w:rsidRPr="001D3BC2">
        <w:rPr>
          <w:lang w:val="fr-FR"/>
        </w:rPr>
        <w:t>inaccurate</w:t>
      </w:r>
      <w:proofErr w:type="spellEnd"/>
      <w:r w:rsidRPr="001D3BC2">
        <w:rPr>
          <w:lang w:val="fr-FR"/>
        </w:rPr>
        <w:t xml:space="preserve"> </w:t>
      </w:r>
      <w:proofErr w:type="spellStart"/>
      <w:r w:rsidRPr="001D3BC2">
        <w:rPr>
          <w:lang w:val="fr-FR"/>
        </w:rPr>
        <w:t>reporting</w:t>
      </w:r>
      <w:proofErr w:type="spellEnd"/>
      <w:r w:rsidRPr="001D3BC2">
        <w:rPr>
          <w:lang w:val="fr-FR"/>
        </w:rPr>
        <w:t xml:space="preserve"> as has been </w:t>
      </w:r>
      <w:proofErr w:type="spellStart"/>
      <w:r w:rsidRPr="001D3BC2">
        <w:rPr>
          <w:lang w:val="fr-FR"/>
        </w:rPr>
        <w:t>seen</w:t>
      </w:r>
      <w:proofErr w:type="spellEnd"/>
      <w:r w:rsidRPr="001D3BC2">
        <w:rPr>
          <w:lang w:val="fr-FR"/>
        </w:rPr>
        <w:t xml:space="preserve"> </w:t>
      </w:r>
      <w:proofErr w:type="spellStart"/>
      <w:r w:rsidRPr="001D3BC2">
        <w:rPr>
          <w:lang w:val="fr-FR"/>
        </w:rPr>
        <w:t>with</w:t>
      </w:r>
      <w:proofErr w:type="spellEnd"/>
      <w:r w:rsidRPr="001D3BC2">
        <w:rPr>
          <w:lang w:val="fr-FR"/>
        </w:rPr>
        <w:t xml:space="preserve"> UTI.</w:t>
      </w:r>
    </w:p>
    <w:p w14:paraId="76767E26" w14:textId="17E97963" w:rsidR="006B5DF1" w:rsidRDefault="001D3BC2" w:rsidP="006B5DF1">
      <w:pPr>
        <w:spacing w:after="0"/>
      </w:pPr>
      <w:r w:rsidRPr="001D3BC2">
        <w:t xml:space="preserve">In the case that a buyside firm aggregates orders, there could be multiple executions each with their own chain identifier. Each execution could be applied across multiple </w:t>
      </w:r>
      <w:proofErr w:type="gramStart"/>
      <w:r w:rsidRPr="001D3BC2">
        <w:t>allocations</w:t>
      </w:r>
      <w:proofErr w:type="gramEnd"/>
      <w:r w:rsidRPr="001D3BC2">
        <w:t xml:space="preserve"> and it is not clear how this scenario (many to many) could be dealt with. It is also not clear what would happen if a party in the chain is not a MiFID investment firm.</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587DFDD0" w14:textId="77777777" w:rsidR="001D3BC2" w:rsidRPr="001D3BC2" w:rsidRDefault="001D3BC2" w:rsidP="001D3BC2">
      <w:pPr>
        <w:spacing w:after="0"/>
        <w:rPr>
          <w:lang w:val="fr-FR"/>
        </w:rPr>
      </w:pPr>
      <w:permStart w:id="1173250579" w:edGrp="everyone"/>
      <w:r>
        <w:t xml:space="preserve"> </w:t>
      </w:r>
      <w:proofErr w:type="spellStart"/>
      <w:r w:rsidRPr="001D3BC2">
        <w:rPr>
          <w:lang w:val="fr-FR"/>
        </w:rPr>
        <w:t>Sufficient</w:t>
      </w:r>
      <w:proofErr w:type="spellEnd"/>
      <w:r w:rsidRPr="001D3BC2">
        <w:rPr>
          <w:lang w:val="fr-FR"/>
        </w:rPr>
        <w:t xml:space="preserve"> time must </w:t>
      </w:r>
      <w:proofErr w:type="spellStart"/>
      <w:r w:rsidRPr="001D3BC2">
        <w:rPr>
          <w:lang w:val="fr-FR"/>
        </w:rPr>
        <w:t>be</w:t>
      </w:r>
      <w:proofErr w:type="spellEnd"/>
      <w:r w:rsidRPr="001D3BC2">
        <w:rPr>
          <w:lang w:val="fr-FR"/>
        </w:rPr>
        <w:t xml:space="preserve"> </w:t>
      </w:r>
      <w:proofErr w:type="spellStart"/>
      <w:r w:rsidRPr="001D3BC2">
        <w:rPr>
          <w:lang w:val="fr-FR"/>
        </w:rPr>
        <w:t>provided</w:t>
      </w:r>
      <w:proofErr w:type="spellEnd"/>
      <w:r w:rsidRPr="001D3BC2">
        <w:rPr>
          <w:lang w:val="fr-FR"/>
        </w:rPr>
        <w:t xml:space="preserve"> to </w:t>
      </w:r>
      <w:proofErr w:type="spellStart"/>
      <w:r w:rsidRPr="001D3BC2">
        <w:rPr>
          <w:lang w:val="fr-FR"/>
        </w:rPr>
        <w:t>allow</w:t>
      </w:r>
      <w:proofErr w:type="spellEnd"/>
      <w:r w:rsidRPr="001D3BC2">
        <w:rPr>
          <w:lang w:val="fr-FR"/>
        </w:rPr>
        <w:t xml:space="preserve"> </w:t>
      </w:r>
      <w:proofErr w:type="spellStart"/>
      <w:r w:rsidRPr="001D3BC2">
        <w:rPr>
          <w:lang w:val="fr-FR"/>
        </w:rPr>
        <w:t>firms</w:t>
      </w:r>
      <w:proofErr w:type="spellEnd"/>
      <w:r w:rsidRPr="001D3BC2">
        <w:rPr>
          <w:lang w:val="fr-FR"/>
        </w:rPr>
        <w:t xml:space="preserve"> to </w:t>
      </w:r>
      <w:proofErr w:type="spellStart"/>
      <w:r w:rsidRPr="001D3BC2">
        <w:rPr>
          <w:lang w:val="fr-FR"/>
        </w:rPr>
        <w:t>adapt</w:t>
      </w:r>
      <w:proofErr w:type="spellEnd"/>
      <w:r w:rsidRPr="001D3BC2">
        <w:rPr>
          <w:lang w:val="fr-FR"/>
        </w:rPr>
        <w:t xml:space="preserve"> to the new </w:t>
      </w:r>
      <w:proofErr w:type="spellStart"/>
      <w:r w:rsidRPr="001D3BC2">
        <w:rPr>
          <w:lang w:val="fr-FR"/>
        </w:rPr>
        <w:t>requirements</w:t>
      </w:r>
      <w:proofErr w:type="spellEnd"/>
      <w:r w:rsidRPr="001D3BC2">
        <w:rPr>
          <w:lang w:val="fr-FR"/>
        </w:rPr>
        <w:t xml:space="preserve">, </w:t>
      </w:r>
      <w:proofErr w:type="spellStart"/>
      <w:r w:rsidRPr="001D3BC2">
        <w:rPr>
          <w:lang w:val="fr-FR"/>
        </w:rPr>
        <w:t>which</w:t>
      </w:r>
      <w:proofErr w:type="spellEnd"/>
      <w:r w:rsidRPr="001D3BC2">
        <w:rPr>
          <w:lang w:val="fr-FR"/>
        </w:rPr>
        <w:t xml:space="preserve"> </w:t>
      </w:r>
      <w:proofErr w:type="spellStart"/>
      <w:r w:rsidRPr="001D3BC2">
        <w:rPr>
          <w:lang w:val="fr-FR"/>
        </w:rPr>
        <w:t>should</w:t>
      </w:r>
      <w:proofErr w:type="spellEnd"/>
      <w:r w:rsidRPr="001D3BC2">
        <w:rPr>
          <w:lang w:val="fr-FR"/>
        </w:rPr>
        <w:t xml:space="preserve"> </w:t>
      </w:r>
      <w:proofErr w:type="spellStart"/>
      <w:r w:rsidRPr="001D3BC2">
        <w:rPr>
          <w:lang w:val="fr-FR"/>
        </w:rPr>
        <w:t>be</w:t>
      </w:r>
      <w:proofErr w:type="spellEnd"/>
      <w:r w:rsidRPr="001D3BC2">
        <w:rPr>
          <w:lang w:val="fr-FR"/>
        </w:rPr>
        <w:t xml:space="preserve"> at least 18 </w:t>
      </w:r>
      <w:proofErr w:type="spellStart"/>
      <w:r w:rsidRPr="001D3BC2">
        <w:rPr>
          <w:lang w:val="fr-FR"/>
        </w:rPr>
        <w:t>months</w:t>
      </w:r>
      <w:proofErr w:type="spellEnd"/>
      <w:r w:rsidRPr="001D3BC2">
        <w:rPr>
          <w:lang w:val="fr-FR"/>
        </w:rPr>
        <w:t xml:space="preserve"> </w:t>
      </w:r>
      <w:proofErr w:type="spellStart"/>
      <w:r w:rsidRPr="001D3BC2">
        <w:rPr>
          <w:lang w:val="fr-FR"/>
        </w:rPr>
        <w:t>after</w:t>
      </w:r>
      <w:proofErr w:type="spellEnd"/>
      <w:r w:rsidRPr="001D3BC2">
        <w:rPr>
          <w:lang w:val="fr-FR"/>
        </w:rPr>
        <w:t xml:space="preserve"> the provision of </w:t>
      </w:r>
      <w:proofErr w:type="spellStart"/>
      <w:r w:rsidRPr="001D3BC2">
        <w:rPr>
          <w:lang w:val="fr-FR"/>
        </w:rPr>
        <w:t>regulatory</w:t>
      </w:r>
      <w:proofErr w:type="spellEnd"/>
      <w:r w:rsidRPr="001D3BC2">
        <w:rPr>
          <w:lang w:val="fr-FR"/>
        </w:rPr>
        <w:t xml:space="preserve"> guidance and of an </w:t>
      </w:r>
      <w:proofErr w:type="spellStart"/>
      <w:r w:rsidRPr="001D3BC2">
        <w:rPr>
          <w:lang w:val="fr-FR"/>
        </w:rPr>
        <w:t>amended</w:t>
      </w:r>
      <w:proofErr w:type="spellEnd"/>
      <w:r w:rsidRPr="001D3BC2">
        <w:rPr>
          <w:lang w:val="fr-FR"/>
        </w:rPr>
        <w:t xml:space="preserve"> set of validation </w:t>
      </w:r>
      <w:proofErr w:type="spellStart"/>
      <w:r w:rsidRPr="001D3BC2">
        <w:rPr>
          <w:lang w:val="fr-FR"/>
        </w:rPr>
        <w:t>rules</w:t>
      </w:r>
      <w:proofErr w:type="spellEnd"/>
      <w:r w:rsidRPr="001D3BC2">
        <w:rPr>
          <w:lang w:val="fr-FR"/>
        </w:rPr>
        <w:t>. </w:t>
      </w:r>
    </w:p>
    <w:p w14:paraId="103F6D06" w14:textId="25B32364" w:rsidR="006B5DF1" w:rsidRDefault="001D3BC2" w:rsidP="006B5DF1">
      <w:pPr>
        <w:spacing w:after="0"/>
      </w:pPr>
      <w:r w:rsidRPr="001D3BC2">
        <w:lastRenderedPageBreak/>
        <w:t>We do also note that page 39 of the consultation</w:t>
      </w:r>
      <w:r>
        <w:t xml:space="preserve"> paper</w:t>
      </w:r>
      <w:r w:rsidRPr="001D3BC2">
        <w:t xml:space="preserve"> specifies that the application date should be 12 months from when the technical documentation is available whereas 18 months is referenced in the draft RTS on page 124. We understand that there is an error and ESMA will propose 18 months.</w:t>
      </w:r>
      <w:r>
        <w:t xml:space="preserve"> </w:t>
      </w:r>
      <w:permEnd w:id="1173250579"/>
      <w:r w:rsidR="006B5DF1">
        <w:t>&lt;ESMA_QUESTION_</w:t>
      </w:r>
      <w:r w:rsidR="00DF3781">
        <w:t>RTS2224</w:t>
      </w:r>
      <w:r w:rsidR="006B5DF1">
        <w:t>_</w:t>
      </w:r>
      <w:r w:rsidR="003E7313">
        <w:t>22</w:t>
      </w:r>
      <w:r w:rsidR="006B5DF1">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41CF2F16" w:rsidR="006B5DF1" w:rsidRPr="001D3BC2" w:rsidRDefault="001D3BC2" w:rsidP="006B5DF1">
      <w:pPr>
        <w:spacing w:after="0"/>
        <w:rPr>
          <w:lang w:val="fr-FR"/>
        </w:rPr>
      </w:pPr>
      <w:permStart w:id="1864581970" w:edGrp="everyone"/>
      <w:r w:rsidRPr="001D3BC2">
        <w:t xml:space="preserve"> </w:t>
      </w:r>
      <w:proofErr w:type="spellStart"/>
      <w:r w:rsidRPr="001D3BC2">
        <w:rPr>
          <w:lang w:val="fr-FR"/>
        </w:rPr>
        <w:t>We</w:t>
      </w:r>
      <w:proofErr w:type="spellEnd"/>
      <w:r w:rsidRPr="001D3BC2">
        <w:rPr>
          <w:lang w:val="fr-FR"/>
        </w:rPr>
        <w:t xml:space="preserve"> </w:t>
      </w:r>
      <w:proofErr w:type="spellStart"/>
      <w:r w:rsidRPr="001D3BC2">
        <w:rPr>
          <w:lang w:val="fr-FR"/>
        </w:rPr>
        <w:t>would</w:t>
      </w:r>
      <w:proofErr w:type="spellEnd"/>
      <w:r w:rsidRPr="001D3BC2">
        <w:rPr>
          <w:lang w:val="fr-FR"/>
        </w:rPr>
        <w:t xml:space="preserve"> </w:t>
      </w:r>
      <w:proofErr w:type="spellStart"/>
      <w:r w:rsidRPr="001D3BC2">
        <w:rPr>
          <w:lang w:val="fr-FR"/>
        </w:rPr>
        <w:t>suggest</w:t>
      </w:r>
      <w:proofErr w:type="spellEnd"/>
      <w:r w:rsidRPr="001D3BC2">
        <w:rPr>
          <w:lang w:val="fr-FR"/>
        </w:rPr>
        <w:t xml:space="preserve"> </w:t>
      </w:r>
      <w:proofErr w:type="spellStart"/>
      <w:r w:rsidRPr="001D3BC2">
        <w:rPr>
          <w:lang w:val="fr-FR"/>
        </w:rPr>
        <w:t>that</w:t>
      </w:r>
      <w:proofErr w:type="spellEnd"/>
      <w:r w:rsidRPr="001D3BC2">
        <w:rPr>
          <w:lang w:val="fr-FR"/>
        </w:rPr>
        <w:t xml:space="preserve"> ESMA </w:t>
      </w:r>
      <w:proofErr w:type="spellStart"/>
      <w:r w:rsidRPr="001D3BC2">
        <w:rPr>
          <w:lang w:val="fr-FR"/>
        </w:rPr>
        <w:t>considers</w:t>
      </w:r>
      <w:proofErr w:type="spellEnd"/>
      <w:r w:rsidRPr="001D3BC2">
        <w:rPr>
          <w:lang w:val="fr-FR"/>
        </w:rPr>
        <w:t xml:space="preserve"> how the Financial Instrument Global Identifier (FIGI) </w:t>
      </w:r>
      <w:proofErr w:type="spellStart"/>
      <w:r w:rsidRPr="001D3BC2">
        <w:rPr>
          <w:lang w:val="fr-FR"/>
        </w:rPr>
        <w:t>could</w:t>
      </w:r>
      <w:proofErr w:type="spellEnd"/>
      <w:r w:rsidRPr="001D3BC2">
        <w:rPr>
          <w:lang w:val="fr-FR"/>
        </w:rPr>
        <w:t xml:space="preserve"> </w:t>
      </w:r>
      <w:proofErr w:type="spellStart"/>
      <w:r w:rsidRPr="001D3BC2">
        <w:rPr>
          <w:lang w:val="fr-FR"/>
        </w:rPr>
        <w:t>be</w:t>
      </w:r>
      <w:proofErr w:type="spellEnd"/>
      <w:r w:rsidRPr="001D3BC2">
        <w:rPr>
          <w:lang w:val="fr-FR"/>
        </w:rPr>
        <w:t xml:space="preserve"> </w:t>
      </w:r>
      <w:proofErr w:type="spellStart"/>
      <w:r w:rsidRPr="001D3BC2">
        <w:rPr>
          <w:lang w:val="fr-FR"/>
        </w:rPr>
        <w:t>used</w:t>
      </w:r>
      <w:proofErr w:type="spellEnd"/>
      <w:r w:rsidRPr="001D3BC2">
        <w:rPr>
          <w:lang w:val="fr-FR"/>
        </w:rPr>
        <w:t xml:space="preserve"> to help </w:t>
      </w:r>
      <w:proofErr w:type="spellStart"/>
      <w:r w:rsidRPr="001D3BC2">
        <w:rPr>
          <w:lang w:val="fr-FR"/>
        </w:rPr>
        <w:t>unambiguously</w:t>
      </w:r>
      <w:proofErr w:type="spellEnd"/>
      <w:r w:rsidRPr="001D3BC2">
        <w:rPr>
          <w:lang w:val="fr-FR"/>
        </w:rPr>
        <w:t xml:space="preserve"> </w:t>
      </w:r>
      <w:proofErr w:type="spellStart"/>
      <w:r w:rsidRPr="001D3BC2">
        <w:rPr>
          <w:lang w:val="fr-FR"/>
        </w:rPr>
        <w:t>identify</w:t>
      </w:r>
      <w:proofErr w:type="spellEnd"/>
      <w:r w:rsidRPr="001D3BC2">
        <w:rPr>
          <w:lang w:val="fr-FR"/>
        </w:rPr>
        <w:t xml:space="preserve"> </w:t>
      </w:r>
      <w:proofErr w:type="spellStart"/>
      <w:r w:rsidRPr="001D3BC2">
        <w:rPr>
          <w:lang w:val="fr-FR"/>
        </w:rPr>
        <w:t>underliers</w:t>
      </w:r>
      <w:proofErr w:type="spellEnd"/>
      <w:r w:rsidRPr="001D3BC2">
        <w:rPr>
          <w:lang w:val="fr-FR"/>
        </w:rPr>
        <w:t xml:space="preserve"> to OTC </w:t>
      </w:r>
      <w:proofErr w:type="spellStart"/>
      <w:r w:rsidRPr="001D3BC2">
        <w:rPr>
          <w:lang w:val="fr-FR"/>
        </w:rPr>
        <w:t>derivative</w:t>
      </w:r>
      <w:proofErr w:type="spellEnd"/>
      <w:r w:rsidRPr="001D3BC2">
        <w:rPr>
          <w:lang w:val="fr-FR"/>
        </w:rPr>
        <w:t xml:space="preserve"> </w:t>
      </w:r>
      <w:proofErr w:type="spellStart"/>
      <w:r w:rsidRPr="001D3BC2">
        <w:rPr>
          <w:lang w:val="fr-FR"/>
        </w:rPr>
        <w:t>products</w:t>
      </w:r>
      <w:proofErr w:type="spellEnd"/>
      <w:r w:rsidRPr="001D3BC2">
        <w:rPr>
          <w:lang w:val="fr-FR"/>
        </w:rPr>
        <w:t xml:space="preserve"> </w:t>
      </w:r>
      <w:proofErr w:type="spellStart"/>
      <w:r w:rsidRPr="001D3BC2">
        <w:rPr>
          <w:lang w:val="fr-FR"/>
        </w:rPr>
        <w:t>where</w:t>
      </w:r>
      <w:proofErr w:type="spellEnd"/>
      <w:r w:rsidRPr="001D3BC2">
        <w:rPr>
          <w:lang w:val="fr-FR"/>
        </w:rPr>
        <w:t xml:space="preserve"> </w:t>
      </w:r>
      <w:proofErr w:type="spellStart"/>
      <w:r w:rsidRPr="001D3BC2">
        <w:rPr>
          <w:lang w:val="fr-FR"/>
        </w:rPr>
        <w:t>there</w:t>
      </w:r>
      <w:proofErr w:type="spellEnd"/>
      <w:r w:rsidRPr="001D3BC2">
        <w:rPr>
          <w:lang w:val="fr-FR"/>
        </w:rPr>
        <w:t xml:space="preserve"> </w:t>
      </w:r>
      <w:proofErr w:type="spellStart"/>
      <w:r w:rsidRPr="001D3BC2">
        <w:rPr>
          <w:lang w:val="fr-FR"/>
        </w:rPr>
        <w:t>is</w:t>
      </w:r>
      <w:proofErr w:type="spellEnd"/>
      <w:r w:rsidRPr="001D3BC2">
        <w:rPr>
          <w:lang w:val="fr-FR"/>
        </w:rPr>
        <w:t xml:space="preserve"> no ISIN </w:t>
      </w:r>
      <w:proofErr w:type="spellStart"/>
      <w:r w:rsidRPr="001D3BC2">
        <w:rPr>
          <w:lang w:val="fr-FR"/>
        </w:rPr>
        <w:t>available</w:t>
      </w:r>
      <w:proofErr w:type="spellEnd"/>
      <w:r w:rsidRPr="001D3BC2">
        <w:rPr>
          <w:lang w:val="fr-FR"/>
        </w:rPr>
        <w:t xml:space="preserve">. FIGI has been </w:t>
      </w:r>
      <w:proofErr w:type="spellStart"/>
      <w:r w:rsidRPr="001D3BC2">
        <w:rPr>
          <w:lang w:val="fr-FR"/>
        </w:rPr>
        <w:t>recognised</w:t>
      </w:r>
      <w:proofErr w:type="spellEnd"/>
      <w:r w:rsidRPr="001D3BC2">
        <w:rPr>
          <w:lang w:val="fr-FR"/>
        </w:rPr>
        <w:t xml:space="preserve"> as a possible </w:t>
      </w:r>
      <w:proofErr w:type="spellStart"/>
      <w:r w:rsidRPr="001D3BC2">
        <w:rPr>
          <w:lang w:val="fr-FR"/>
        </w:rPr>
        <w:t>reporting</w:t>
      </w:r>
      <w:proofErr w:type="spellEnd"/>
      <w:r w:rsidRPr="001D3BC2">
        <w:rPr>
          <w:lang w:val="fr-FR"/>
        </w:rPr>
        <w:t xml:space="preserve"> standard </w:t>
      </w:r>
      <w:proofErr w:type="spellStart"/>
      <w:r w:rsidRPr="001D3BC2">
        <w:rPr>
          <w:lang w:val="fr-FR"/>
        </w:rPr>
        <w:t>under</w:t>
      </w:r>
      <w:proofErr w:type="spellEnd"/>
      <w:r w:rsidRPr="001D3BC2">
        <w:rPr>
          <w:lang w:val="fr-FR"/>
        </w:rPr>
        <w:t xml:space="preserve"> the US Financial Data </w:t>
      </w:r>
      <w:proofErr w:type="spellStart"/>
      <w:r w:rsidRPr="001D3BC2">
        <w:rPr>
          <w:lang w:val="fr-FR"/>
        </w:rPr>
        <w:t>Transparency</w:t>
      </w:r>
      <w:proofErr w:type="spellEnd"/>
      <w:r w:rsidRPr="001D3BC2">
        <w:rPr>
          <w:lang w:val="fr-FR"/>
        </w:rPr>
        <w:t xml:space="preserve"> </w:t>
      </w:r>
      <w:proofErr w:type="spellStart"/>
      <w:r w:rsidRPr="001D3BC2">
        <w:rPr>
          <w:lang w:val="fr-FR"/>
        </w:rPr>
        <w:t>Act</w:t>
      </w:r>
      <w:proofErr w:type="spellEnd"/>
      <w:r w:rsidRPr="001D3BC2">
        <w:rPr>
          <w:lang w:val="fr-FR"/>
        </w:rPr>
        <w:t xml:space="preserve"> data standards set, and </w:t>
      </w:r>
      <w:proofErr w:type="spellStart"/>
      <w:r w:rsidRPr="001D3BC2">
        <w:rPr>
          <w:lang w:val="fr-FR"/>
        </w:rPr>
        <w:t>could</w:t>
      </w:r>
      <w:proofErr w:type="spellEnd"/>
      <w:r w:rsidRPr="001D3BC2">
        <w:rPr>
          <w:lang w:val="fr-FR"/>
        </w:rPr>
        <w:t xml:space="preserve"> </w:t>
      </w:r>
      <w:proofErr w:type="spellStart"/>
      <w:r w:rsidRPr="001D3BC2">
        <w:rPr>
          <w:lang w:val="fr-FR"/>
        </w:rPr>
        <w:t>be</w:t>
      </w:r>
      <w:proofErr w:type="spellEnd"/>
      <w:r w:rsidRPr="001D3BC2">
        <w:rPr>
          <w:lang w:val="fr-FR"/>
        </w:rPr>
        <w:t xml:space="preserve"> </w:t>
      </w:r>
      <w:proofErr w:type="spellStart"/>
      <w:r w:rsidRPr="001D3BC2">
        <w:rPr>
          <w:lang w:val="fr-FR"/>
        </w:rPr>
        <w:t>used</w:t>
      </w:r>
      <w:proofErr w:type="spellEnd"/>
      <w:r w:rsidRPr="001D3BC2">
        <w:rPr>
          <w:lang w:val="fr-FR"/>
        </w:rPr>
        <w:t xml:space="preserve"> in EU </w:t>
      </w:r>
      <w:proofErr w:type="spellStart"/>
      <w:r w:rsidRPr="001D3BC2">
        <w:rPr>
          <w:lang w:val="fr-FR"/>
        </w:rPr>
        <w:t>reporting</w:t>
      </w:r>
      <w:proofErr w:type="spellEnd"/>
      <w:r w:rsidRPr="001D3BC2">
        <w:rPr>
          <w:lang w:val="fr-FR"/>
        </w:rPr>
        <w:t xml:space="preserve"> data to </w:t>
      </w:r>
      <w:proofErr w:type="spellStart"/>
      <w:r w:rsidRPr="001D3BC2">
        <w:rPr>
          <w:lang w:val="fr-FR"/>
        </w:rPr>
        <w:t>improve</w:t>
      </w:r>
      <w:proofErr w:type="spellEnd"/>
      <w:r w:rsidRPr="001D3BC2">
        <w:rPr>
          <w:lang w:val="fr-FR"/>
        </w:rPr>
        <w:t xml:space="preserve"> data </w:t>
      </w:r>
      <w:proofErr w:type="spellStart"/>
      <w:r w:rsidRPr="001D3BC2">
        <w:rPr>
          <w:lang w:val="fr-FR"/>
        </w:rPr>
        <w:t>quality</w:t>
      </w:r>
      <w:proofErr w:type="spellEnd"/>
      <w:r w:rsidRPr="001D3BC2">
        <w:rPr>
          <w:lang w:val="fr-FR"/>
        </w:rPr>
        <w:t xml:space="preserve"> and </w:t>
      </w:r>
      <w:proofErr w:type="spellStart"/>
      <w:r w:rsidRPr="001D3BC2">
        <w:rPr>
          <w:lang w:val="fr-FR"/>
        </w:rPr>
        <w:t>avoid</w:t>
      </w:r>
      <w:proofErr w:type="spellEnd"/>
      <w:r w:rsidRPr="001D3BC2">
        <w:rPr>
          <w:lang w:val="fr-FR"/>
        </w:rPr>
        <w:t xml:space="preserve"> the </w:t>
      </w:r>
      <w:proofErr w:type="spellStart"/>
      <w:r w:rsidRPr="001D3BC2">
        <w:rPr>
          <w:lang w:val="fr-FR"/>
        </w:rPr>
        <w:t>reporting</w:t>
      </w:r>
      <w:proofErr w:type="spellEnd"/>
      <w:r w:rsidRPr="001D3BC2">
        <w:rPr>
          <w:lang w:val="fr-FR"/>
        </w:rPr>
        <w:t xml:space="preserve"> of index long </w:t>
      </w:r>
      <w:proofErr w:type="spellStart"/>
      <w:r w:rsidRPr="001D3BC2">
        <w:rPr>
          <w:lang w:val="fr-FR"/>
        </w:rPr>
        <w:t>names</w:t>
      </w:r>
      <w:proofErr w:type="spellEnd"/>
      <w:r w:rsidRPr="001D3BC2">
        <w:rPr>
          <w:lang w:val="fr-FR"/>
        </w:rPr>
        <w:t xml:space="preserve"> </w:t>
      </w:r>
      <w:proofErr w:type="spellStart"/>
      <w:r w:rsidRPr="001D3BC2">
        <w:rPr>
          <w:lang w:val="fr-FR"/>
        </w:rPr>
        <w:t>where</w:t>
      </w:r>
      <w:proofErr w:type="spellEnd"/>
      <w:r w:rsidRPr="001D3BC2">
        <w:rPr>
          <w:lang w:val="fr-FR"/>
        </w:rPr>
        <w:t xml:space="preserve"> no ISIN </w:t>
      </w:r>
      <w:proofErr w:type="spellStart"/>
      <w:r w:rsidRPr="001D3BC2">
        <w:rPr>
          <w:lang w:val="fr-FR"/>
        </w:rPr>
        <w:t>is</w:t>
      </w:r>
      <w:proofErr w:type="spellEnd"/>
      <w:r w:rsidRPr="001D3BC2">
        <w:rPr>
          <w:lang w:val="fr-FR"/>
        </w:rPr>
        <w:t xml:space="preserve"> </w:t>
      </w:r>
      <w:proofErr w:type="spellStart"/>
      <w:r w:rsidRPr="001D3BC2">
        <w:rPr>
          <w:lang w:val="fr-FR"/>
        </w:rPr>
        <w:t>present</w:t>
      </w:r>
      <w:proofErr w:type="spellEnd"/>
      <w:r w:rsidRPr="001D3BC2">
        <w:rPr>
          <w:lang w:val="fr-FR"/>
        </w:rPr>
        <w:t xml:space="preserve">. </w:t>
      </w:r>
      <w:proofErr w:type="spellStart"/>
      <w:r w:rsidRPr="001D3BC2">
        <w:rPr>
          <w:lang w:val="fr-FR"/>
        </w:rPr>
        <w:t>We</w:t>
      </w:r>
      <w:proofErr w:type="spellEnd"/>
      <w:r w:rsidRPr="001D3BC2">
        <w:rPr>
          <w:lang w:val="fr-FR"/>
        </w:rPr>
        <w:t xml:space="preserve"> </w:t>
      </w:r>
      <w:proofErr w:type="spellStart"/>
      <w:r w:rsidRPr="001D3BC2">
        <w:rPr>
          <w:lang w:val="fr-FR"/>
        </w:rPr>
        <w:t>would</w:t>
      </w:r>
      <w:proofErr w:type="spellEnd"/>
      <w:r w:rsidRPr="001D3BC2">
        <w:rPr>
          <w:lang w:val="fr-FR"/>
        </w:rPr>
        <w:t xml:space="preserve"> </w:t>
      </w:r>
      <w:proofErr w:type="spellStart"/>
      <w:r w:rsidRPr="001D3BC2">
        <w:rPr>
          <w:lang w:val="fr-FR"/>
        </w:rPr>
        <w:t>be</w:t>
      </w:r>
      <w:proofErr w:type="spellEnd"/>
      <w:r w:rsidRPr="001D3BC2">
        <w:rPr>
          <w:lang w:val="fr-FR"/>
        </w:rPr>
        <w:t xml:space="preserve"> </w:t>
      </w:r>
      <w:proofErr w:type="spellStart"/>
      <w:r w:rsidRPr="001D3BC2">
        <w:rPr>
          <w:lang w:val="fr-FR"/>
        </w:rPr>
        <w:t>pleased</w:t>
      </w:r>
      <w:proofErr w:type="spellEnd"/>
      <w:r w:rsidRPr="001D3BC2">
        <w:rPr>
          <w:lang w:val="fr-FR"/>
        </w:rPr>
        <w:t xml:space="preserve"> to go </w:t>
      </w:r>
      <w:proofErr w:type="spellStart"/>
      <w:r w:rsidRPr="001D3BC2">
        <w:rPr>
          <w:lang w:val="fr-FR"/>
        </w:rPr>
        <w:t>through</w:t>
      </w:r>
      <w:proofErr w:type="spellEnd"/>
      <w:r w:rsidRPr="001D3BC2">
        <w:rPr>
          <w:lang w:val="fr-FR"/>
        </w:rPr>
        <w:t xml:space="preserve"> the index </w:t>
      </w:r>
      <w:proofErr w:type="spellStart"/>
      <w:r w:rsidRPr="001D3BC2">
        <w:rPr>
          <w:lang w:val="fr-FR"/>
        </w:rPr>
        <w:t>coverage</w:t>
      </w:r>
      <w:proofErr w:type="spellEnd"/>
      <w:r w:rsidRPr="001D3BC2">
        <w:rPr>
          <w:lang w:val="fr-FR"/>
        </w:rPr>
        <w:t xml:space="preserve"> of FIGI </w:t>
      </w:r>
      <w:proofErr w:type="spellStart"/>
      <w:r w:rsidRPr="001D3BC2">
        <w:rPr>
          <w:lang w:val="fr-FR"/>
        </w:rPr>
        <w:t>particularly</w:t>
      </w:r>
      <w:proofErr w:type="spellEnd"/>
      <w:r w:rsidRPr="001D3BC2">
        <w:rPr>
          <w:lang w:val="fr-FR"/>
        </w:rPr>
        <w:t xml:space="preserve">, in </w:t>
      </w:r>
      <w:proofErr w:type="spellStart"/>
      <w:r w:rsidRPr="001D3BC2">
        <w:rPr>
          <w:lang w:val="fr-FR"/>
        </w:rPr>
        <w:t>order</w:t>
      </w:r>
      <w:proofErr w:type="spellEnd"/>
      <w:r w:rsidRPr="001D3BC2">
        <w:rPr>
          <w:lang w:val="fr-FR"/>
        </w:rPr>
        <w:t xml:space="preserve"> for ESMA to </w:t>
      </w:r>
      <w:proofErr w:type="spellStart"/>
      <w:r w:rsidRPr="001D3BC2">
        <w:rPr>
          <w:lang w:val="fr-FR"/>
        </w:rPr>
        <w:t>make</w:t>
      </w:r>
      <w:proofErr w:type="spellEnd"/>
      <w:r w:rsidRPr="001D3BC2">
        <w:rPr>
          <w:lang w:val="fr-FR"/>
        </w:rPr>
        <w:t xml:space="preserve"> an </w:t>
      </w:r>
      <w:proofErr w:type="spellStart"/>
      <w:r w:rsidRPr="001D3BC2">
        <w:rPr>
          <w:lang w:val="fr-FR"/>
        </w:rPr>
        <w:t>assessment</w:t>
      </w:r>
      <w:proofErr w:type="spellEnd"/>
      <w:r w:rsidRPr="001D3BC2">
        <w:rPr>
          <w:lang w:val="fr-FR"/>
        </w:rPr>
        <w:t xml:space="preserve"> as to </w:t>
      </w:r>
      <w:proofErr w:type="spellStart"/>
      <w:r w:rsidRPr="001D3BC2">
        <w:rPr>
          <w:lang w:val="fr-FR"/>
        </w:rPr>
        <w:t>whether</w:t>
      </w:r>
      <w:proofErr w:type="spellEnd"/>
      <w:r w:rsidRPr="001D3BC2">
        <w:rPr>
          <w:lang w:val="fr-FR"/>
        </w:rPr>
        <w:t xml:space="preserve">, and in </w:t>
      </w:r>
      <w:proofErr w:type="spellStart"/>
      <w:r w:rsidRPr="001D3BC2">
        <w:rPr>
          <w:lang w:val="fr-FR"/>
        </w:rPr>
        <w:t>what</w:t>
      </w:r>
      <w:proofErr w:type="spellEnd"/>
      <w:r w:rsidRPr="001D3BC2">
        <w:rPr>
          <w:lang w:val="fr-FR"/>
        </w:rPr>
        <w:t xml:space="preserve"> </w:t>
      </w:r>
      <w:proofErr w:type="spellStart"/>
      <w:r w:rsidRPr="001D3BC2">
        <w:rPr>
          <w:lang w:val="fr-FR"/>
        </w:rPr>
        <w:t>circumstances</w:t>
      </w:r>
      <w:proofErr w:type="spellEnd"/>
      <w:r w:rsidRPr="001D3BC2">
        <w:rPr>
          <w:lang w:val="fr-FR"/>
        </w:rPr>
        <w:t xml:space="preserve">, FIGI </w:t>
      </w:r>
      <w:proofErr w:type="spellStart"/>
      <w:r w:rsidRPr="001D3BC2">
        <w:rPr>
          <w:lang w:val="fr-FR"/>
        </w:rPr>
        <w:t>might</w:t>
      </w:r>
      <w:proofErr w:type="spellEnd"/>
      <w:r w:rsidRPr="001D3BC2">
        <w:rPr>
          <w:lang w:val="fr-FR"/>
        </w:rPr>
        <w:t xml:space="preserve"> </w:t>
      </w:r>
      <w:proofErr w:type="spellStart"/>
      <w:r w:rsidRPr="001D3BC2">
        <w:rPr>
          <w:lang w:val="fr-FR"/>
        </w:rPr>
        <w:t>be</w:t>
      </w:r>
      <w:proofErr w:type="spellEnd"/>
      <w:r w:rsidRPr="001D3BC2">
        <w:rPr>
          <w:lang w:val="fr-FR"/>
        </w:rPr>
        <w:t xml:space="preserve"> </w:t>
      </w:r>
      <w:proofErr w:type="spellStart"/>
      <w:r w:rsidRPr="001D3BC2">
        <w:rPr>
          <w:lang w:val="fr-FR"/>
        </w:rPr>
        <w:t>included</w:t>
      </w:r>
      <w:proofErr w:type="spellEnd"/>
      <w:r w:rsidRPr="001D3BC2">
        <w:rPr>
          <w:lang w:val="fr-FR"/>
        </w:rPr>
        <w:t xml:space="preserve"> in the identifier </w:t>
      </w:r>
      <w:proofErr w:type="spellStart"/>
      <w:r w:rsidRPr="001D3BC2">
        <w:rPr>
          <w:lang w:val="fr-FR"/>
        </w:rPr>
        <w:t>scheme</w:t>
      </w:r>
      <w:proofErr w:type="spellEnd"/>
      <w:r w:rsidRPr="001D3BC2">
        <w:rPr>
          <w:lang w:val="fr-FR"/>
        </w:rPr>
        <w:t xml:space="preserve"> for RTS 22 </w:t>
      </w:r>
      <w:proofErr w:type="spellStart"/>
      <w:r w:rsidRPr="001D3BC2">
        <w:rPr>
          <w:lang w:val="fr-FR"/>
        </w:rPr>
        <w:t>reporting</w:t>
      </w:r>
      <w:proofErr w:type="spellEnd"/>
      <w:r w:rsidRPr="001D3BC2">
        <w:rPr>
          <w:lang w:val="fr-FR"/>
        </w:rPr>
        <w:t>.</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7F9E7FC6" w14:textId="6534FB3C" w:rsidR="00245C69" w:rsidRDefault="00245C69" w:rsidP="00245C69">
      <w:pPr>
        <w:spacing w:after="0"/>
      </w:pPr>
      <w:permStart w:id="604202828" w:edGrp="everyone"/>
      <w:r>
        <w:t xml:space="preserve"> As a general principle, we do support the proposed </w:t>
      </w:r>
      <w:proofErr w:type="gramStart"/>
      <w:r>
        <w:t>alignment</w:t>
      </w:r>
      <w:proofErr w:type="gramEnd"/>
      <w:r>
        <w:t xml:space="preserve"> but it must be noted that in specific cases differences might be justified.</w:t>
      </w:r>
    </w:p>
    <w:p w14:paraId="7E98DD97" w14:textId="3C972CA0" w:rsidR="00245C69" w:rsidRDefault="00245C69" w:rsidP="00245C69">
      <w:pPr>
        <w:spacing w:after="0"/>
      </w:pPr>
      <w:r>
        <w:t>Moreover, as mentioned in other answers we would suggest more options for identifying an underlying index in field 48. The Financial Instrument Global Identifier (FIGI) – which is included in the ISO 20022 standardised external code set – should be an option for identifying an underlying index in field 48a, and if FIGI (or some other identifier) is used, there should be no need to then populate field 48b with the full name of the underlying index.</w:t>
      </w:r>
    </w:p>
    <w:p w14:paraId="4979E410" w14:textId="546B9D7C" w:rsidR="00245C69" w:rsidRDefault="00245C69" w:rsidP="00245C69">
      <w:pPr>
        <w:spacing w:after="0"/>
      </w:pPr>
      <w:r>
        <w:t xml:space="preserve">Regarding fields 49 and 49e for the floating rate reference period – </w:t>
      </w:r>
      <w:proofErr w:type="gramStart"/>
      <w:r>
        <w:t>time period</w:t>
      </w:r>
      <w:proofErr w:type="gramEnd"/>
      <w:r>
        <w:t>, we note that in EMIR possible values include ADHO and EXPI. We would like to request clarification on whether there is a reason to omit these values.</w:t>
      </w:r>
    </w:p>
    <w:p w14:paraId="642F1D8A" w14:textId="77777777" w:rsidR="00245C69" w:rsidRDefault="00245C69" w:rsidP="00245C69">
      <w:pPr>
        <w:spacing w:after="0"/>
      </w:pPr>
      <w:r>
        <w:t xml:space="preserve">The alignment of fields 51-52 allows for strike price to be an exchange rate in the case of FX options and the corresponding strike price currency to be a currency pair. Fields 42-56 are not applicable for transactions executed on a trading venue. Per the revised scope of transactions to </w:t>
      </w:r>
      <w:r>
        <w:lastRenderedPageBreak/>
        <w:t>be reported, OTC derivatives are only reportable when executed on a trading venue, the underlying instrument/index/basket is TOTV or when the derivative is specified in Article 8</w:t>
      </w:r>
      <w:proofErr w:type="gramStart"/>
      <w:r>
        <w:t>a(</w:t>
      </w:r>
      <w:proofErr w:type="gramEnd"/>
      <w:r>
        <w:t xml:space="preserve">2). FX options should only be reported when executed on a trading venue and so fields 42-56 should never be required to be separately </w:t>
      </w:r>
      <w:proofErr w:type="gramStart"/>
      <w:r>
        <w:t>completed..</w:t>
      </w:r>
      <w:proofErr w:type="gramEnd"/>
    </w:p>
    <w:p w14:paraId="7E8D2E44" w14:textId="77777777" w:rsidR="00245C69" w:rsidRDefault="00245C69" w:rsidP="00245C69">
      <w:pPr>
        <w:spacing w:after="0"/>
      </w:pPr>
      <w:r>
        <w:t>It would also be good to introduce the possibility to report UPI, at least where there is no OTC ISIN, further promoting EMIR alignment. This could be included as a new field 41b.</w:t>
      </w:r>
    </w:p>
    <w:p w14:paraId="0934DF91" w14:textId="77777777" w:rsidR="00245C69" w:rsidRDefault="00245C69" w:rsidP="00245C69">
      <w:pPr>
        <w:spacing w:after="0"/>
      </w:pPr>
      <w:r>
        <w:t xml:space="preserve">We would like to request clarification on whether field 55 ‘Expiration date’ is only required for derivatives and whether this field will be retained in field 55 following the European Commission Delegated Act, which seems likely to remove this field from the OTC ISIN at the very least for interest rate swaps (as per the recent ESMA RTS 23 consultation). As such, Expiry Date cannot remain in the fields to be left blank if an ISIN is reported in field 41 since it will no longer be included in the OTC ISIN in every case. </w:t>
      </w:r>
      <w:proofErr w:type="gramStart"/>
      <w:r>
        <w:t>So</w:t>
      </w:r>
      <w:proofErr w:type="gramEnd"/>
      <w:r>
        <w:t xml:space="preserve"> there is a clear need in this table, and the one beginning on page 130, to make updates to the fields to reflect changes to ISIN granularity and the changes already proposed in the RTS 23 Annex. There should also be an update to allow for the reporting of UPI and its associated fields as an alternative to ISIN.  </w:t>
      </w:r>
    </w:p>
    <w:p w14:paraId="5CF851B1" w14:textId="3F857377" w:rsidR="006B5DF1" w:rsidRDefault="00245C69" w:rsidP="00245C69">
      <w:pPr>
        <w:spacing w:after="0"/>
      </w:pPr>
      <w:r>
        <w:t>Given all the uncertainties surrounding the way instrument identification will need to change to accommodate particularly the European Commission Delegated Act, we would suggest that ESMA engage in further dialogue on this aspect prior to the publication of ESMA’s Final Report.</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115E5BEA" w14:textId="77777777" w:rsidR="00245C69" w:rsidRDefault="00245C69" w:rsidP="00245C69">
      <w:pPr>
        <w:spacing w:after="0"/>
      </w:pPr>
      <w:permStart w:id="1792834567" w:edGrp="everyone"/>
      <w:r>
        <w:t xml:space="preserve"> We agree with the approach.</w:t>
      </w:r>
    </w:p>
    <w:p w14:paraId="22FD2603" w14:textId="6BF8E7A3" w:rsidR="006B5DF1" w:rsidRDefault="00245C69" w:rsidP="00245C69">
      <w:pPr>
        <w:spacing w:after="0"/>
      </w:pPr>
      <w:r>
        <w:t>It would be important to clarify that either 7/17 or 7a/16a and 7b/16b are populated and that, for example, it is not mandatory to populate the Buyer ID and Payer of Leg 1/Leg 2.</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07663BCD" w14:textId="566844A1" w:rsidR="00245C69" w:rsidRPr="00245C69" w:rsidRDefault="00245C69" w:rsidP="00245C69">
      <w:pPr>
        <w:pStyle w:val="ListParagraph"/>
        <w:numPr>
          <w:ilvl w:val="0"/>
          <w:numId w:val="38"/>
        </w:numPr>
        <w:spacing w:after="0"/>
        <w:rPr>
          <w:u w:val="single"/>
        </w:rPr>
      </w:pPr>
      <w:permStart w:id="2128023615" w:edGrp="everyone"/>
      <w:r w:rsidRPr="00245C69">
        <w:rPr>
          <w:u w:val="single"/>
        </w:rPr>
        <w:t>Volatile Attributes</w:t>
      </w:r>
    </w:p>
    <w:p w14:paraId="7810E549" w14:textId="5F1C2D14" w:rsidR="00245C69" w:rsidRDefault="00245C69" w:rsidP="00245C69">
      <w:pPr>
        <w:spacing w:after="0"/>
      </w:pPr>
      <w:r>
        <w:t xml:space="preserve">We agree with the intention to align MiFIR reporting of price related fields with the reporting of price fields in EMIR Refit. However, we believe changes are required in light of ESMA_QA_1694 on </w:t>
      </w:r>
      <w:proofErr w:type="gramStart"/>
      <w:r>
        <w:t>Financial</w:t>
      </w:r>
      <w:proofErr w:type="gramEnd"/>
      <w:r>
        <w:t xml:space="preserve"> instruments’ volatile attributes.</w:t>
      </w:r>
    </w:p>
    <w:p w14:paraId="3B391C1A" w14:textId="77777777" w:rsidR="00245C69" w:rsidRDefault="00245C69" w:rsidP="00245C69">
      <w:pPr>
        <w:spacing w:after="0"/>
      </w:pPr>
      <w:r>
        <w:lastRenderedPageBreak/>
        <w:t>This Q&amp;A sets out how certain price related fields should be populated for instruments where either the fixed rate or strike price is considered an attribute of the transaction rather than an attribute of the financial instrument. ESMA references the CFI validation document to identify the applicable instruments.  When applicable, the fixed rate or strike price is reported in the Price field (field 33) and Upfront Payment is to be reported as the Option Premium Amount (for options) or set to zero for Swap and Forward contracts.</w:t>
      </w:r>
    </w:p>
    <w:p w14:paraId="18F7F195" w14:textId="77777777" w:rsidR="00245C69" w:rsidRDefault="00245C69" w:rsidP="00245C69">
      <w:pPr>
        <w:spacing w:after="0"/>
      </w:pPr>
      <w:r>
        <w:t>We have found this Q&amp;A to be complex and not well understood.  As a result, we feel that Table 2 could be updated to clarify expectations and further align with EMIR Refit.</w:t>
      </w:r>
    </w:p>
    <w:p w14:paraId="7AFB9653" w14:textId="77777777" w:rsidR="00245C69" w:rsidRDefault="00245C69" w:rsidP="00245C69">
      <w:pPr>
        <w:spacing w:after="0"/>
      </w:pPr>
      <w:r>
        <w:t>Given the change to MiFIR Article 26, OTC derivative transactions (other than Article 8</w:t>
      </w:r>
      <w:proofErr w:type="gramStart"/>
      <w:r>
        <w:t>a(</w:t>
      </w:r>
      <w:proofErr w:type="gramEnd"/>
      <w:r>
        <w:t xml:space="preserve">2) instruments) are eligible for transaction reporting only when carried out on a trading venue; consequently these instruments will only be reported with ISIN, not fields 42-56.  Additionally, for options, CDS, commodity basis swaps, Interest Rate Swaps and Forward Rate Agreements, field 33 (Price) would be reported as not applicable (NOAP). </w:t>
      </w:r>
    </w:p>
    <w:p w14:paraId="20C2ED02" w14:textId="77777777" w:rsidR="00245C69" w:rsidRDefault="00245C69" w:rsidP="00245C69">
      <w:pPr>
        <w:spacing w:after="0"/>
      </w:pPr>
      <w:r>
        <w:t>As a result, transaction reports for instruments such as Forward Rate Agreements and Interest Rate Swaps (other than Article 8</w:t>
      </w:r>
      <w:proofErr w:type="gramStart"/>
      <w:r>
        <w:t>a(</w:t>
      </w:r>
      <w:proofErr w:type="gramEnd"/>
      <w:r>
        <w:t>2) instruments) would not contain any price related fields, as Price, Option Premium and Upfront Payment are not relevant to these instruments. The relevant price related fields for these instruments (spread or fixed rate) are proposed to be included in fields 42-56 and would not be reported, as these are only reported when ISIN is not in FIRDS/</w:t>
      </w:r>
      <w:proofErr w:type="spellStart"/>
      <w:proofErr w:type="gramStart"/>
      <w:r>
        <w:t>ToTV</w:t>
      </w:r>
      <w:proofErr w:type="spellEnd"/>
      <w:proofErr w:type="gramEnd"/>
      <w:r>
        <w:t xml:space="preserve"> or no ISIN is reported.</w:t>
      </w:r>
    </w:p>
    <w:p w14:paraId="710B2D21" w14:textId="77777777" w:rsidR="00245C69" w:rsidRDefault="00245C69" w:rsidP="00245C69">
      <w:pPr>
        <w:spacing w:after="0"/>
      </w:pPr>
      <w:r>
        <w:t xml:space="preserve">We would recommend Spread of Leg 1 (Field 49b), Spread of Leg 2 (Field 49g), Fixed rate of Leg 1 (Field 49i), Fixed rate of Leg 2 (Field 49j), Strike price (field 51) and Strike price currency/currency pair (field 52) be reported for all instruments, where applicable, irrespective of whether the instrument is reported with ISIN or fields 42-56. We feel these price related fields should be reported as a subset of Price at field 33, and not in fields 42-56. </w:t>
      </w:r>
    </w:p>
    <w:p w14:paraId="54CF4F29" w14:textId="77777777" w:rsidR="00245C69" w:rsidRDefault="00245C69" w:rsidP="00245C69">
      <w:pPr>
        <w:spacing w:after="0"/>
      </w:pPr>
      <w:r>
        <w:t>This would allow the appropriate price related fields for instruments subject to ESMA_QA_1694 to be reported in dedicated price related fields and negate the need for the Q&amp;A, and further align with the requirements under EMIR Refit.</w:t>
      </w:r>
    </w:p>
    <w:p w14:paraId="301CC19F" w14:textId="00049CB3" w:rsidR="00245C69" w:rsidRPr="00245C69" w:rsidRDefault="00245C69" w:rsidP="00245C69">
      <w:pPr>
        <w:pStyle w:val="ListParagraph"/>
        <w:numPr>
          <w:ilvl w:val="0"/>
          <w:numId w:val="38"/>
        </w:numPr>
        <w:spacing w:after="0"/>
        <w:rPr>
          <w:u w:val="single"/>
        </w:rPr>
      </w:pPr>
      <w:r w:rsidRPr="00245C69">
        <w:rPr>
          <w:u w:val="single"/>
        </w:rPr>
        <w:t>Equity Total Return Swaps</w:t>
      </w:r>
    </w:p>
    <w:p w14:paraId="5A3CAF8D" w14:textId="1EAE797C" w:rsidR="00245C69" w:rsidRDefault="00245C69" w:rsidP="00245C69">
      <w:pPr>
        <w:spacing w:after="0"/>
      </w:pPr>
      <w:r>
        <w:t xml:space="preserve">We would like to request clarification on whether ESMA considered aligning reporting of price for equity total return swap.? </w:t>
      </w:r>
    </w:p>
    <w:p w14:paraId="3A023F1B" w14:textId="6527964D" w:rsidR="006B5DF1" w:rsidRDefault="00245C69" w:rsidP="00245C69">
      <w:pPr>
        <w:spacing w:after="0"/>
      </w:pPr>
      <w:r>
        <w:t xml:space="preserve">Examples 109, 110 and 111 in the Guidelines on transaction reporting demonstrate that the price should be reported as the number of basis points over the fixed rate. </w:t>
      </w:r>
      <w:proofErr w:type="gramStart"/>
      <w:r>
        <w:t>However</w:t>
      </w:r>
      <w:proofErr w:type="gramEnd"/>
      <w:r>
        <w:t xml:space="preserve"> the final report on EMIR states, “ESMA confirms that equity total return swaps fall under Article 6(1)(c) of the RTS on reporting, meaning that the initial price of the underlying is to be reported in the ‘Price’ field.”.</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lastRenderedPageBreak/>
        <w:t>&lt;ESMA_QUESTION_</w:t>
      </w:r>
      <w:r w:rsidR="00DF3781">
        <w:t>RTS2224</w:t>
      </w:r>
      <w:r>
        <w:t>_</w:t>
      </w:r>
      <w:r w:rsidR="003E7313">
        <w:t>27</w:t>
      </w:r>
      <w:r>
        <w:t>&gt;</w:t>
      </w:r>
    </w:p>
    <w:p w14:paraId="403B0CEE" w14:textId="77777777" w:rsidR="00245C69" w:rsidRDefault="00245C69" w:rsidP="00245C69">
      <w:pPr>
        <w:spacing w:after="0"/>
        <w:rPr>
          <w:rFonts w:ascii="Times New Roman" w:eastAsia="Times New Roman" w:hAnsi="Times New Roman" w:cs="Times New Roman"/>
          <w:color w:val="auto"/>
          <w:sz w:val="24"/>
          <w:lang w:eastAsia="en-GB"/>
        </w:rPr>
      </w:pPr>
      <w:permStart w:id="904620653" w:edGrp="everyone"/>
      <w:r>
        <w:t xml:space="preserve"> </w:t>
      </w:r>
      <w:r w:rsidRPr="00245C69">
        <w:t>We agree with the proposed alignment.</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34B6C236" w:rsidR="005D3762" w:rsidRPr="00245C69" w:rsidRDefault="00245C69" w:rsidP="005D3762">
      <w:pPr>
        <w:spacing w:after="0"/>
        <w:rPr>
          <w:lang w:val="fr-FR"/>
        </w:rPr>
      </w:pPr>
      <w:permStart w:id="1129537263" w:edGrp="everyone"/>
      <w:r>
        <w:t xml:space="preserve"> </w:t>
      </w:r>
      <w:proofErr w:type="spellStart"/>
      <w:r w:rsidRPr="00245C69">
        <w:rPr>
          <w:lang w:val="fr-FR"/>
        </w:rPr>
        <w:t>We</w:t>
      </w:r>
      <w:proofErr w:type="spellEnd"/>
      <w:r w:rsidRPr="00245C69">
        <w:rPr>
          <w:lang w:val="fr-FR"/>
        </w:rPr>
        <w:t xml:space="preserve"> </w:t>
      </w:r>
      <w:proofErr w:type="spellStart"/>
      <w:r w:rsidRPr="00245C69">
        <w:rPr>
          <w:lang w:val="fr-FR"/>
        </w:rPr>
        <w:t>agree</w:t>
      </w:r>
      <w:proofErr w:type="spellEnd"/>
      <w:r w:rsidRPr="00245C69">
        <w:rPr>
          <w:lang w:val="fr-FR"/>
        </w:rPr>
        <w:t xml:space="preserve"> </w:t>
      </w:r>
      <w:proofErr w:type="spellStart"/>
      <w:r w:rsidRPr="00245C69">
        <w:rPr>
          <w:lang w:val="fr-FR"/>
        </w:rPr>
        <w:t>with</w:t>
      </w:r>
      <w:proofErr w:type="spellEnd"/>
      <w:r w:rsidRPr="00245C69">
        <w:rPr>
          <w:lang w:val="fr-FR"/>
        </w:rPr>
        <w:t xml:space="preserve"> the addition of the ‘Package transaction </w:t>
      </w:r>
      <w:proofErr w:type="spellStart"/>
      <w:r w:rsidRPr="00245C69">
        <w:rPr>
          <w:lang w:val="fr-FR"/>
        </w:rPr>
        <w:t>price</w:t>
      </w:r>
      <w:proofErr w:type="spellEnd"/>
      <w:r w:rsidRPr="00245C69">
        <w:rPr>
          <w:lang w:val="fr-FR"/>
        </w:rPr>
        <w:t xml:space="preserve">’ </w:t>
      </w:r>
      <w:proofErr w:type="spellStart"/>
      <w:r w:rsidRPr="00245C69">
        <w:rPr>
          <w:lang w:val="fr-FR"/>
        </w:rPr>
        <w:t>field</w:t>
      </w:r>
      <w:proofErr w:type="spellEnd"/>
      <w:r w:rsidRPr="00245C69">
        <w:rPr>
          <w:lang w:val="fr-FR"/>
        </w:rPr>
        <w:t xml:space="preserve">, </w:t>
      </w:r>
      <w:proofErr w:type="spellStart"/>
      <w:r w:rsidRPr="00245C69">
        <w:rPr>
          <w:lang w:val="fr-FR"/>
        </w:rPr>
        <w:t>particularly</w:t>
      </w:r>
      <w:proofErr w:type="spellEnd"/>
      <w:r w:rsidRPr="00245C69">
        <w:rPr>
          <w:lang w:val="fr-FR"/>
        </w:rPr>
        <w:t xml:space="preserve"> as </w:t>
      </w:r>
      <w:proofErr w:type="spellStart"/>
      <w:r w:rsidRPr="00245C69">
        <w:rPr>
          <w:lang w:val="fr-FR"/>
        </w:rPr>
        <w:t>it</w:t>
      </w:r>
      <w:proofErr w:type="spellEnd"/>
      <w:r w:rsidRPr="00245C69">
        <w:rPr>
          <w:lang w:val="fr-FR"/>
        </w:rPr>
        <w:t xml:space="preserve"> </w:t>
      </w:r>
      <w:proofErr w:type="spellStart"/>
      <w:r w:rsidRPr="00245C69">
        <w:rPr>
          <w:lang w:val="fr-FR"/>
        </w:rPr>
        <w:t>removes</w:t>
      </w:r>
      <w:proofErr w:type="spellEnd"/>
      <w:r w:rsidRPr="00245C69">
        <w:rPr>
          <w:lang w:val="fr-FR"/>
        </w:rPr>
        <w:t xml:space="preserve"> </w:t>
      </w:r>
      <w:proofErr w:type="spellStart"/>
      <w:r w:rsidRPr="00245C69">
        <w:rPr>
          <w:lang w:val="fr-FR"/>
        </w:rPr>
        <w:t>any</w:t>
      </w:r>
      <w:proofErr w:type="spellEnd"/>
      <w:r w:rsidRPr="00245C69">
        <w:rPr>
          <w:lang w:val="fr-FR"/>
        </w:rPr>
        <w:t xml:space="preserve"> confusion or </w:t>
      </w:r>
      <w:proofErr w:type="spellStart"/>
      <w:r w:rsidRPr="00245C69">
        <w:rPr>
          <w:lang w:val="fr-FR"/>
        </w:rPr>
        <w:t>ambiguity</w:t>
      </w:r>
      <w:proofErr w:type="spellEnd"/>
      <w:r w:rsidRPr="00245C69">
        <w:rPr>
          <w:lang w:val="fr-FR"/>
        </w:rPr>
        <w:t xml:space="preserve"> about </w:t>
      </w:r>
      <w:proofErr w:type="spellStart"/>
      <w:r w:rsidRPr="00245C69">
        <w:rPr>
          <w:lang w:val="fr-FR"/>
        </w:rPr>
        <w:t>when</w:t>
      </w:r>
      <w:proofErr w:type="spellEnd"/>
      <w:r w:rsidRPr="00245C69">
        <w:rPr>
          <w:lang w:val="fr-FR"/>
        </w:rPr>
        <w:t xml:space="preserve"> to </w:t>
      </w:r>
      <w:proofErr w:type="spellStart"/>
      <w:r w:rsidRPr="00245C69">
        <w:rPr>
          <w:lang w:val="fr-FR"/>
        </w:rPr>
        <w:t>populate</w:t>
      </w:r>
      <w:proofErr w:type="spellEnd"/>
      <w:r w:rsidRPr="00245C69">
        <w:rPr>
          <w:lang w:val="fr-FR"/>
        </w:rPr>
        <w:t xml:space="preserve"> the </w:t>
      </w:r>
      <w:proofErr w:type="spellStart"/>
      <w:r w:rsidRPr="00245C69">
        <w:rPr>
          <w:lang w:val="fr-FR"/>
        </w:rPr>
        <w:t>existing</w:t>
      </w:r>
      <w:proofErr w:type="spellEnd"/>
      <w:r w:rsidRPr="00245C69">
        <w:rPr>
          <w:lang w:val="fr-FR"/>
        </w:rPr>
        <w:t xml:space="preserve"> ‘</w:t>
      </w:r>
      <w:proofErr w:type="spellStart"/>
      <w:r w:rsidRPr="00245C69">
        <w:rPr>
          <w:lang w:val="fr-FR"/>
        </w:rPr>
        <w:t>Complex</w:t>
      </w:r>
      <w:proofErr w:type="spellEnd"/>
      <w:r w:rsidRPr="00245C69">
        <w:rPr>
          <w:lang w:val="fr-FR"/>
        </w:rPr>
        <w:t xml:space="preserve"> </w:t>
      </w:r>
      <w:proofErr w:type="spellStart"/>
      <w:r w:rsidRPr="00245C69">
        <w:rPr>
          <w:lang w:val="fr-FR"/>
        </w:rPr>
        <w:t>trade</w:t>
      </w:r>
      <w:proofErr w:type="spellEnd"/>
      <w:r w:rsidRPr="00245C69">
        <w:rPr>
          <w:lang w:val="fr-FR"/>
        </w:rPr>
        <w:t xml:space="preserve"> component id’ for </w:t>
      </w:r>
      <w:proofErr w:type="spellStart"/>
      <w:r w:rsidRPr="00245C69">
        <w:rPr>
          <w:lang w:val="fr-FR"/>
        </w:rPr>
        <w:t>commonly</w:t>
      </w:r>
      <w:proofErr w:type="spellEnd"/>
      <w:r w:rsidRPr="00245C69">
        <w:rPr>
          <w:lang w:val="fr-FR"/>
        </w:rPr>
        <w:t xml:space="preserve"> </w:t>
      </w:r>
      <w:proofErr w:type="spellStart"/>
      <w:r w:rsidRPr="00245C69">
        <w:rPr>
          <w:lang w:val="fr-FR"/>
        </w:rPr>
        <w:t>traded</w:t>
      </w:r>
      <w:proofErr w:type="spellEnd"/>
      <w:r w:rsidRPr="00245C69">
        <w:rPr>
          <w:lang w:val="fr-FR"/>
        </w:rPr>
        <w:t xml:space="preserve"> packages e.g. </w:t>
      </w:r>
      <w:proofErr w:type="spellStart"/>
      <w:r w:rsidRPr="00245C69">
        <w:rPr>
          <w:lang w:val="fr-FR"/>
        </w:rPr>
        <w:t>government</w:t>
      </w:r>
      <w:proofErr w:type="spellEnd"/>
      <w:r w:rsidRPr="00245C69">
        <w:rPr>
          <w:lang w:val="fr-FR"/>
        </w:rPr>
        <w:t xml:space="preserve"> bond switch transactions, or </w:t>
      </w:r>
      <w:proofErr w:type="spellStart"/>
      <w:r w:rsidRPr="00245C69">
        <w:rPr>
          <w:lang w:val="fr-FR"/>
        </w:rPr>
        <w:t>interest</w:t>
      </w:r>
      <w:proofErr w:type="spellEnd"/>
      <w:r w:rsidRPr="00245C69">
        <w:rPr>
          <w:lang w:val="fr-FR"/>
        </w:rPr>
        <w:t xml:space="preserve"> rate </w:t>
      </w:r>
      <w:proofErr w:type="spellStart"/>
      <w:r w:rsidRPr="00245C69">
        <w:rPr>
          <w:lang w:val="fr-FR"/>
        </w:rPr>
        <w:t>curve</w:t>
      </w:r>
      <w:proofErr w:type="spellEnd"/>
      <w:r w:rsidRPr="00245C69">
        <w:rPr>
          <w:lang w:val="fr-FR"/>
        </w:rPr>
        <w:t xml:space="preserve"> transactions.</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4053AB00" w14:textId="7E7CC590" w:rsidR="005D3762" w:rsidRDefault="00245C69" w:rsidP="005D3762">
      <w:pPr>
        <w:spacing w:after="0"/>
      </w:pPr>
      <w:permStart w:id="1588948984" w:edGrp="everyone"/>
      <w:r>
        <w:t xml:space="preserve"> </w:t>
      </w:r>
      <w:r w:rsidRPr="00245C69">
        <w:t xml:space="preserve">It is not entirely clear why the DTI (field 41a) would be needed in this reporting, as DTI does not contain information that would seem to be core for traditional market abuse purposes. There is a separate EU regime (MiCA) which covers </w:t>
      </w:r>
      <w:proofErr w:type="gramStart"/>
      <w:r w:rsidRPr="00245C69">
        <w:t>crypto-assets</w:t>
      </w:r>
      <w:proofErr w:type="gramEnd"/>
      <w:r w:rsidRPr="00245C69">
        <w:t>, but our understanding is that digital assets in the scope of MiFID would normally have an ISIN, which would sit alongside the DTI (both DTI and ISINs for digital assets are issued by the same organisation), so presumably a DTI linkage could be made by authorities from the ISIN if this was thought necessary. In such circumstances it is not clear why reporting both codes would be needed. There is also the issue that some digital assets will have multiple DTIs against a single ISIN, so this could lead to data quality issues if firms are required to report both ISIN and DTI. Further thought is needed as to what the impact of digital issuance on transaction reporting really is, and whether for market abuse purposes there is a need to differentiate between the same economic asset issued on different ledgers. We would strongly prefer not to report both ISIN and DTI codes at the same time.</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5A908A91" w14:textId="77777777" w:rsidR="00245C69" w:rsidRPr="00245C69" w:rsidRDefault="00245C69" w:rsidP="00245C69">
      <w:pPr>
        <w:spacing w:after="0"/>
      </w:pPr>
      <w:permStart w:id="787828672" w:edGrp="everyone"/>
      <w:r w:rsidRPr="00245C69">
        <w:t>This question is most relevant to OTC Derivatives falling within scope of both the transparency (RTS 2) and transaction reporting (RTS 22) regimes. There are also questions pertaining to such instruments falling outside transparency but captured in the transaction reporting regime.</w:t>
      </w:r>
    </w:p>
    <w:p w14:paraId="7620B025" w14:textId="77777777" w:rsidR="00245C69" w:rsidRPr="00245C69" w:rsidRDefault="00245C69" w:rsidP="00245C69">
      <w:pPr>
        <w:spacing w:after="0"/>
      </w:pPr>
      <w:r w:rsidRPr="00245C69">
        <w:t xml:space="preserve">There currently seems to be some ambiguity as to the scope of the Delegated Act expected from the Commission covering OTC derivatives reference data. Specifically, whether it just concerns RTS 2 </w:t>
      </w:r>
      <w:proofErr w:type="gramStart"/>
      <w:r w:rsidRPr="00245C69">
        <w:t>i.e.</w:t>
      </w:r>
      <w:proofErr w:type="gramEnd"/>
      <w:r w:rsidRPr="00245C69">
        <w:t xml:space="preserve"> transparency data or fulfils the Commission’s full mandate to also produce an opinion on the reference data pertaining to transaction reporting as well.</w:t>
      </w:r>
    </w:p>
    <w:p w14:paraId="5F12629E" w14:textId="77777777" w:rsidR="00245C69" w:rsidRPr="00245C69" w:rsidRDefault="00245C69" w:rsidP="00245C69">
      <w:pPr>
        <w:spacing w:after="0"/>
      </w:pPr>
      <w:r w:rsidRPr="00245C69">
        <w:t xml:space="preserve">Clearly if the ISIN granularity is being changed in respect of the identification of OTC derivatives falling within the transparency scope – mainly full year IRS products </w:t>
      </w:r>
      <w:proofErr w:type="gramStart"/>
      <w:r w:rsidRPr="00245C69">
        <w:t>–  we</w:t>
      </w:r>
      <w:proofErr w:type="gramEnd"/>
      <w:r w:rsidRPr="00245C69">
        <w:t xml:space="preserve"> would expect the same ‘reformed’ ISIN will need to be used for transaction reporting as well. Two different levels of ISIN assignment for similar products would cause significant confusion and negatively impact data quality. Given that the metadata associated with a reformed ISIN will differ from the current ISIN, we agree that ESMA will need to adjust the fields 42-56 in RTS 22 transaction reporting. </w:t>
      </w:r>
      <w:proofErr w:type="gramStart"/>
      <w:r w:rsidRPr="00245C69">
        <w:t>So</w:t>
      </w:r>
      <w:proofErr w:type="gramEnd"/>
      <w:r w:rsidRPr="00245C69">
        <w:t xml:space="preserve"> the fields left blank when an ISIN is used today will change, and new reportable fields will need to be introduced to RTS 22 reports.</w:t>
      </w:r>
    </w:p>
    <w:p w14:paraId="5F5E25E2" w14:textId="0360C11B" w:rsidR="00245C69" w:rsidRPr="00245C69" w:rsidRDefault="00245C69" w:rsidP="00245C69">
      <w:pPr>
        <w:spacing w:after="0"/>
      </w:pPr>
      <w:r w:rsidRPr="00245C69">
        <w:t>This then gives rise, however, to a further question. Many more OTC derivatives are reportable under RTS 22 than under RTS 2. Will the ISINs for these instruments (</w:t>
      </w:r>
      <w:proofErr w:type="gramStart"/>
      <w:r w:rsidRPr="00245C69">
        <w:t>e.g.</w:t>
      </w:r>
      <w:proofErr w:type="gramEnd"/>
      <w:r w:rsidRPr="00245C69">
        <w:t xml:space="preserve"> equity swaps), also be ‘reformed’, such as to remove, for example, expiry date fields for these products as well from the </w:t>
      </w:r>
      <w:r w:rsidRPr="00245C69">
        <w:lastRenderedPageBreak/>
        <w:t>ISIN? If so, the way in which expiry date is collected in RTS 22 reports will need to change for more than just the IRS mentioned in paragraph 114.</w:t>
      </w:r>
    </w:p>
    <w:p w14:paraId="39E02AD1" w14:textId="3A41EA96" w:rsidR="00245C69" w:rsidRPr="00245C69" w:rsidRDefault="00245C69" w:rsidP="00245C69">
      <w:pPr>
        <w:spacing w:after="0"/>
      </w:pPr>
      <w:r w:rsidRPr="00245C69">
        <w:t xml:space="preserve">In our view the changes to OTC derivatives ISIN reference data should be as consistent as possible across products, and the RTS 22 fields amended accordingly. This set of RTS 22 changes provides an opportunity to remove all fields from the OTC ISIN which result in ISIN code inflation. </w:t>
      </w:r>
      <w:proofErr w:type="gramStart"/>
      <w:r w:rsidRPr="00245C69">
        <w:t>So</w:t>
      </w:r>
      <w:proofErr w:type="gramEnd"/>
      <w:r w:rsidRPr="00245C69">
        <w:t xml:space="preserve"> we would </w:t>
      </w:r>
      <w:r>
        <w:t>propose to remove</w:t>
      </w:r>
      <w:r w:rsidRPr="00245C69">
        <w:t xml:space="preserve"> the expiry date from the ISIN in other products such as equity swaps, where tens of millions of confusing and unnecessary ISINs have been generated.</w:t>
      </w:r>
    </w:p>
    <w:p w14:paraId="67D753FD" w14:textId="77041970" w:rsidR="00245C69" w:rsidRPr="00245C69" w:rsidRDefault="00245C69" w:rsidP="00245C69">
      <w:pPr>
        <w:spacing w:after="0"/>
      </w:pPr>
      <w:r w:rsidRPr="00245C69">
        <w:t>The table starting on page 130</w:t>
      </w:r>
      <w:r>
        <w:t xml:space="preserve"> of the CP</w:t>
      </w:r>
      <w:r w:rsidRPr="00245C69">
        <w:t xml:space="preserve"> will in the light of the above require modification. </w:t>
      </w:r>
      <w:r>
        <w:t>F</w:t>
      </w:r>
      <w:r w:rsidRPr="00245C69">
        <w:t>or example</w:t>
      </w:r>
      <w:r w:rsidR="00C75023">
        <w:t>,</w:t>
      </w:r>
      <w:r w:rsidRPr="00245C69">
        <w:t xml:space="preserve"> the expiry date field is still showing in the ‘Instrument details’ section of the table starting on page 130 as field 55 ‘Expiration date’ rather than being moved to the section with the transaction details, and we also do not see a field for ‘Term of the contract’. We presume that this table is not in its final form pending the European Commission Delegated Act. It would be helpful if ESMA could revise this table once the European Commission Delegated Act is </w:t>
      </w:r>
      <w:proofErr w:type="gramStart"/>
      <w:r w:rsidRPr="00245C69">
        <w:t>finalised, and</w:t>
      </w:r>
      <w:proofErr w:type="gramEnd"/>
      <w:r w:rsidRPr="00245C69">
        <w:t xml:space="preserve"> re-publish it for comment prior to the publication of ESMA’s final report. </w:t>
      </w:r>
    </w:p>
    <w:p w14:paraId="4ABDF65D" w14:textId="7350D9D7" w:rsidR="00245C69" w:rsidRPr="00245C69" w:rsidRDefault="00245C69" w:rsidP="00245C69">
      <w:pPr>
        <w:spacing w:after="0"/>
      </w:pPr>
      <w:r w:rsidRPr="00245C69">
        <w:t>We remain of the view that identification of OTC derivative products in both transparency and transaction reporting should be based on the Unique Product Identifier (UPI), supplemented by additional fields as needed. This is for reasons of international consistency, and to avoid the sort of potential confusion and complexity around the changing granularity of the OTC ISIN. Certainly, as we comment elsewhere, UPI should be an option in RTS  22 reporting if there is no ISIN. </w:t>
      </w:r>
    </w:p>
    <w:p w14:paraId="74A12560" w14:textId="5268A2BD" w:rsidR="00245C69" w:rsidRPr="00245C69" w:rsidRDefault="00245C69" w:rsidP="00245C69">
      <w:pPr>
        <w:spacing w:after="0"/>
      </w:pPr>
      <w:r w:rsidRPr="00245C69">
        <w:t xml:space="preserve">We also note in the instrument details that fields have been added relating to the MIFIR identifier. In our responses to previous </w:t>
      </w:r>
      <w:proofErr w:type="gramStart"/>
      <w:r w:rsidRPr="00245C69">
        <w:t>consultations</w:t>
      </w:r>
      <w:proofErr w:type="gramEnd"/>
      <w:r w:rsidRPr="00245C69">
        <w:t xml:space="preserve"> we have supported ESMA’s intention to deprecate the FITRS related reference data reporting previously collected under RTS 2, and to combine this with transaction reporting. </w:t>
      </w:r>
      <w:proofErr w:type="gramStart"/>
      <w:r w:rsidRPr="00245C69">
        <w:t>So</w:t>
      </w:r>
      <w:proofErr w:type="gramEnd"/>
      <w:r w:rsidRPr="00245C69">
        <w:t xml:space="preserve"> we still support these changes, and understand the need to collect the MiFIR identifier for those instruments whose reference data is not already present in FIRDS. We note that in no asset class is the MiFIR identifier an attribute of the ISIN, and we would not wish to see the more detailed information in fields 47b and 47c, where field 43a is a derivative or securitised derivative, added to the assignment of the OTC derivative ISIN.  </w:t>
      </w:r>
    </w:p>
    <w:p w14:paraId="12FEE8FA" w14:textId="78B66A31" w:rsidR="005D3762" w:rsidRPr="00245C69" w:rsidRDefault="00245C69" w:rsidP="005D3762">
      <w:pPr>
        <w:spacing w:after="0"/>
      </w:pPr>
      <w:r w:rsidRPr="00245C69">
        <w:t>We are unsure how field 47a – the DTI – can be included in the list of fields to be left blank if an ISIN is used in field 41, as this data element is currently not included in the RTS 23 reference data submission at any point (as per the recent RTS 23 consultation).  However, as field 47a will be populated by a fungible group-level DTI, which is one-to-one with ISIN, we cannot see why both underlying instrument ISIN and DTI would need to be reported (this goes back to our previous comments in Q29 about reporting both ISIN and DTI). </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7E77EE7E" w14:textId="77777777" w:rsidR="00C75023" w:rsidRPr="00C75023" w:rsidRDefault="00C75023" w:rsidP="00C75023">
      <w:pPr>
        <w:spacing w:after="0"/>
        <w:rPr>
          <w:lang w:val="fr-FR"/>
        </w:rPr>
      </w:pPr>
      <w:permStart w:id="1750278235" w:edGrp="everyone"/>
      <w:r>
        <w:lastRenderedPageBreak/>
        <w:t xml:space="preserve"> </w:t>
      </w:r>
      <w:proofErr w:type="spellStart"/>
      <w:r w:rsidRPr="00C75023">
        <w:rPr>
          <w:lang w:val="fr-FR"/>
        </w:rPr>
        <w:t>We</w:t>
      </w:r>
      <w:proofErr w:type="spellEnd"/>
      <w:r w:rsidRPr="00C75023">
        <w:rPr>
          <w:lang w:val="fr-FR"/>
        </w:rPr>
        <w:t xml:space="preserve"> </w:t>
      </w:r>
      <w:proofErr w:type="spellStart"/>
      <w:r w:rsidRPr="00C75023">
        <w:rPr>
          <w:lang w:val="fr-FR"/>
        </w:rPr>
        <w:t>would</w:t>
      </w:r>
      <w:proofErr w:type="spellEnd"/>
      <w:r w:rsidRPr="00C75023">
        <w:rPr>
          <w:lang w:val="fr-FR"/>
        </w:rPr>
        <w:t xml:space="preserve"> like to </w:t>
      </w:r>
      <w:proofErr w:type="spellStart"/>
      <w:r w:rsidRPr="00C75023">
        <w:rPr>
          <w:lang w:val="fr-FR"/>
        </w:rPr>
        <w:t>request</w:t>
      </w:r>
      <w:proofErr w:type="spellEnd"/>
      <w:r w:rsidRPr="00C75023">
        <w:rPr>
          <w:lang w:val="fr-FR"/>
        </w:rPr>
        <w:t xml:space="preserve"> clarification on </w:t>
      </w:r>
      <w:proofErr w:type="spellStart"/>
      <w:r w:rsidRPr="00C75023">
        <w:rPr>
          <w:lang w:val="fr-FR"/>
        </w:rPr>
        <w:t>two</w:t>
      </w:r>
      <w:proofErr w:type="spellEnd"/>
      <w:r w:rsidRPr="00C75023">
        <w:rPr>
          <w:lang w:val="fr-FR"/>
        </w:rPr>
        <w:t xml:space="preserve"> </w:t>
      </w:r>
      <w:proofErr w:type="gramStart"/>
      <w:r w:rsidRPr="00C75023">
        <w:rPr>
          <w:lang w:val="fr-FR"/>
        </w:rPr>
        <w:t>points:</w:t>
      </w:r>
      <w:proofErr w:type="gramEnd"/>
    </w:p>
    <w:p w14:paraId="5A05567A" w14:textId="77777777" w:rsidR="00C75023" w:rsidRPr="00C75023" w:rsidRDefault="00C75023" w:rsidP="00C75023">
      <w:pPr>
        <w:numPr>
          <w:ilvl w:val="0"/>
          <w:numId w:val="39"/>
        </w:numPr>
        <w:spacing w:after="0"/>
      </w:pPr>
      <w:r w:rsidRPr="00C75023">
        <w:t xml:space="preserve">Client category: Could ESMA provide guidance on who should be considered the client when both parties are </w:t>
      </w:r>
      <w:proofErr w:type="spellStart"/>
      <w:r w:rsidRPr="00C75023">
        <w:t>sellside</w:t>
      </w:r>
      <w:proofErr w:type="spellEnd"/>
      <w:r w:rsidRPr="00C75023">
        <w:t xml:space="preserve"> / market-facing, including where one is a non-EU investment firm?  Would the ‘Client category’ field be left blank where there is no MiFID ‘client’ relationship, or where a trading venue is reporting under Article 26(5)?  We note that completion of this field by a trading venue in cases where Article 26(5) applies is not practicable and is of limited or no value given the nature of such reporting of transactions by non-MiFIR firms.  How will this field be completed where a per se professional client has been opted down to a retail client?</w:t>
      </w:r>
    </w:p>
    <w:p w14:paraId="19D36628" w14:textId="77777777" w:rsidR="00C75023" w:rsidRPr="00C75023" w:rsidRDefault="00C75023" w:rsidP="00C75023">
      <w:pPr>
        <w:numPr>
          <w:ilvl w:val="0"/>
          <w:numId w:val="39"/>
        </w:numPr>
        <w:spacing w:after="0"/>
      </w:pPr>
      <w:r w:rsidRPr="00C75023">
        <w:t>Validity: Has ESMA considered the scenario where a client might correct a transaction leading to a ‘cancel’ and a new report being issued at the same time with the same timestamp?</w:t>
      </w:r>
    </w:p>
    <w:p w14:paraId="5967B1A6" w14:textId="5E02CC38" w:rsidR="005D3762" w:rsidRPr="00C75023" w:rsidRDefault="005D3762" w:rsidP="005D3762">
      <w:pPr>
        <w:spacing w:after="0"/>
      </w:pP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1D09C2ED" w14:textId="77777777" w:rsidR="00C75023" w:rsidRDefault="00C75023" w:rsidP="00C75023">
      <w:pPr>
        <w:spacing w:after="0"/>
      </w:pPr>
      <w:permStart w:id="40110413" w:edGrp="everyone"/>
      <w:r>
        <w:t xml:space="preserve"> We do not support the inclusion of ‘OTC post-trade indicator’ field 62. It is unclear what the values of CANC and AMND mean in the context of transaction reports, and whether firms are expected to correct their transaction reports to reflect these flags if they correct a real-time transparency report to an APA. </w:t>
      </w:r>
      <w:proofErr w:type="gramStart"/>
      <w:r>
        <w:t>Additionally</w:t>
      </w:r>
      <w:proofErr w:type="gramEnd"/>
      <w:r>
        <w:t xml:space="preserve"> it is not clear whether firms who correct transparency reports, for example changing a deferral flag, should then disseminate this change to all parties in the chain who are then all expected to amend their transaction reports. This field leads to unnecessary inaccuracies and its use is not clear.</w:t>
      </w:r>
    </w:p>
    <w:p w14:paraId="1A87CDD3" w14:textId="77777777" w:rsidR="00C75023" w:rsidRDefault="00C75023" w:rsidP="00C75023">
      <w:pPr>
        <w:spacing w:after="0"/>
      </w:pPr>
      <w:r>
        <w:t>We note that RTS 2 will be implemented prior to the revised RTS 22. We would appreciate clarification on how field 62 ‘OTC post-trade indicator’ should be populated after the introduction of new values to RTS 2.</w:t>
      </w:r>
    </w:p>
    <w:p w14:paraId="66EFD551" w14:textId="77777777" w:rsidR="00C75023" w:rsidRDefault="00C75023" w:rsidP="00C75023">
      <w:pPr>
        <w:spacing w:after="0"/>
      </w:pPr>
      <w:r>
        <w:t xml:space="preserve">We would also like to request clarification on </w:t>
      </w:r>
      <w:proofErr w:type="gramStart"/>
      <w:r>
        <w:t>a number of</w:t>
      </w:r>
      <w:proofErr w:type="gramEnd"/>
      <w:r>
        <w:t xml:space="preserve"> other points:</w:t>
      </w:r>
    </w:p>
    <w:p w14:paraId="756325E8" w14:textId="77777777" w:rsidR="00C75023" w:rsidRDefault="00C75023" w:rsidP="008440EF">
      <w:pPr>
        <w:pStyle w:val="ListParagraph"/>
        <w:numPr>
          <w:ilvl w:val="0"/>
          <w:numId w:val="40"/>
        </w:numPr>
        <w:spacing w:after="0"/>
      </w:pPr>
      <w:r>
        <w:t>Field 35 ‘Net amount’: How is net amount expected to be calculated for all applicable instruments?</w:t>
      </w:r>
    </w:p>
    <w:p w14:paraId="794612E6" w14:textId="77777777" w:rsidR="00C75023" w:rsidRDefault="00C75023" w:rsidP="00C75023">
      <w:pPr>
        <w:pStyle w:val="ListParagraph"/>
        <w:numPr>
          <w:ilvl w:val="0"/>
          <w:numId w:val="40"/>
        </w:numPr>
        <w:spacing w:after="0"/>
      </w:pPr>
      <w:r>
        <w:t>Field 47 ‘Underlying identification’ covering cases where the underlying is a basket of indices: Will it also be possible to enter multiple index names in field 48b, ‘Name of the underlying index’?</w:t>
      </w:r>
    </w:p>
    <w:p w14:paraId="2614F6C4" w14:textId="77777777" w:rsidR="00C75023" w:rsidRDefault="00C75023" w:rsidP="0015376F">
      <w:pPr>
        <w:pStyle w:val="ListParagraph"/>
        <w:numPr>
          <w:ilvl w:val="0"/>
          <w:numId w:val="40"/>
        </w:numPr>
        <w:spacing w:after="0"/>
      </w:pPr>
      <w:r>
        <w:t>CFI code: Which version of ISO 10962 should the CFI code be validated against?</w:t>
      </w:r>
    </w:p>
    <w:p w14:paraId="38AD3735" w14:textId="110C75EE" w:rsidR="00C75023" w:rsidRDefault="00C75023" w:rsidP="0015376F">
      <w:pPr>
        <w:pStyle w:val="ListParagraph"/>
        <w:numPr>
          <w:ilvl w:val="0"/>
          <w:numId w:val="40"/>
        </w:numPr>
        <w:spacing w:after="0"/>
      </w:pPr>
      <w:r>
        <w:t>MiFIR ID: Can field 43a ‘MiFIR identifier’ contain a value of SHRS? It is our understanding that shares will always have an ISIN and so fields 42-56 would not be reported.</w:t>
      </w:r>
    </w:p>
    <w:p w14:paraId="516B170B" w14:textId="2556508B" w:rsidR="005D3762" w:rsidRDefault="00C75023" w:rsidP="00C75023">
      <w:pPr>
        <w:spacing w:after="0"/>
      </w:pPr>
      <w:r>
        <w:lastRenderedPageBreak/>
        <w:t>We also note that field 27, ‘Transmitting firm identification code for the seller’ seems to be missing from the fields list starting on page 130. We presume the table starting on page 130 is not final.</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131149F3" w:rsidR="005D3762" w:rsidRDefault="00C75023" w:rsidP="005D3762">
      <w:pPr>
        <w:spacing w:after="0"/>
      </w:pPr>
      <w:permStart w:id="757149039" w:edGrp="everyone"/>
      <w:r>
        <w:t xml:space="preserve"> </w:t>
      </w:r>
      <w:r w:rsidRPr="00C75023">
        <w:t>Bloomberg supports the suppression of this field.</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lastRenderedPageBreak/>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1AA78445" w14:textId="77777777" w:rsidR="00C75023" w:rsidRDefault="00C75023" w:rsidP="00C75023">
      <w:pPr>
        <w:spacing w:after="0"/>
      </w:pPr>
      <w:permStart w:id="923106790" w:edGrp="everyone"/>
      <w:r>
        <w:t xml:space="preserve"> We are unsure of the cost benefit gained by moving to JSON, particularly as G20 regulations are harmonising to the XML format. </w:t>
      </w:r>
      <w:proofErr w:type="gramStart"/>
      <w:r>
        <w:t>Additionally</w:t>
      </w:r>
      <w:proofErr w:type="gramEnd"/>
      <w:r>
        <w:t xml:space="preserve"> JSON schemas and validations are less mature than XML, with the latest specification existing only in a ‘draft’ state. </w:t>
      </w:r>
    </w:p>
    <w:p w14:paraId="6FD086F9" w14:textId="278A00B8" w:rsidR="005D3762" w:rsidRDefault="00C75023" w:rsidP="00C75023">
      <w:pPr>
        <w:spacing w:after="0"/>
      </w:pPr>
      <w:r>
        <w:t>Moving to JSON has a cost associated and would likely add 6 months to the time the industry would need to implement these changes.</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546BFC3A" w14:textId="5265E7EC" w:rsidR="005D3762" w:rsidRPr="00C75023" w:rsidRDefault="00C75023" w:rsidP="005D3762">
      <w:pPr>
        <w:spacing w:after="0"/>
        <w:rPr>
          <w:lang w:val="fr-FR"/>
        </w:rPr>
      </w:pPr>
      <w:permStart w:id="2074366874" w:edGrp="everyone"/>
      <w:r>
        <w:t xml:space="preserve"> </w:t>
      </w:r>
      <w:proofErr w:type="spellStart"/>
      <w:r w:rsidRPr="00C75023">
        <w:rPr>
          <w:lang w:val="fr-FR"/>
        </w:rPr>
        <w:t>We</w:t>
      </w:r>
      <w:proofErr w:type="spellEnd"/>
      <w:r w:rsidRPr="00C75023">
        <w:rPr>
          <w:lang w:val="fr-FR"/>
        </w:rPr>
        <w:t xml:space="preserve"> </w:t>
      </w:r>
      <w:proofErr w:type="spellStart"/>
      <w:r w:rsidRPr="00C75023">
        <w:rPr>
          <w:lang w:val="fr-FR"/>
        </w:rPr>
        <w:t>believe</w:t>
      </w:r>
      <w:proofErr w:type="spellEnd"/>
      <w:r w:rsidRPr="00C75023">
        <w:rPr>
          <w:lang w:val="fr-FR"/>
        </w:rPr>
        <w:t xml:space="preserve"> use of transaction data to </w:t>
      </w:r>
      <w:proofErr w:type="spellStart"/>
      <w:r w:rsidRPr="00C75023">
        <w:rPr>
          <w:lang w:val="fr-FR"/>
        </w:rPr>
        <w:t>perform</w:t>
      </w:r>
      <w:proofErr w:type="spellEnd"/>
      <w:r w:rsidRPr="00C75023">
        <w:rPr>
          <w:lang w:val="fr-FR"/>
        </w:rPr>
        <w:t xml:space="preserve"> </w:t>
      </w:r>
      <w:proofErr w:type="spellStart"/>
      <w:r w:rsidRPr="00C75023">
        <w:rPr>
          <w:lang w:val="fr-FR"/>
        </w:rPr>
        <w:t>calculations</w:t>
      </w:r>
      <w:proofErr w:type="spellEnd"/>
      <w:r w:rsidRPr="00C75023">
        <w:rPr>
          <w:lang w:val="fr-FR"/>
        </w:rPr>
        <w:t xml:space="preserve"> </w:t>
      </w:r>
      <w:proofErr w:type="spellStart"/>
      <w:r w:rsidRPr="00C75023">
        <w:rPr>
          <w:lang w:val="fr-FR"/>
        </w:rPr>
        <w:t>would</w:t>
      </w:r>
      <w:proofErr w:type="spellEnd"/>
      <w:r w:rsidRPr="00C75023">
        <w:rPr>
          <w:lang w:val="fr-FR"/>
        </w:rPr>
        <w:t xml:space="preserve"> </w:t>
      </w:r>
      <w:proofErr w:type="spellStart"/>
      <w:r w:rsidRPr="00C75023">
        <w:rPr>
          <w:lang w:val="fr-FR"/>
        </w:rPr>
        <w:t>be</w:t>
      </w:r>
      <w:proofErr w:type="spellEnd"/>
      <w:r w:rsidRPr="00C75023">
        <w:rPr>
          <w:lang w:val="fr-FR"/>
        </w:rPr>
        <w:t xml:space="preserve"> </w:t>
      </w:r>
      <w:proofErr w:type="spellStart"/>
      <w:r w:rsidRPr="00C75023">
        <w:rPr>
          <w:lang w:val="fr-FR"/>
        </w:rPr>
        <w:t>feasible</w:t>
      </w:r>
      <w:proofErr w:type="spellEnd"/>
      <w:r w:rsidRPr="00C75023">
        <w:rPr>
          <w:lang w:val="fr-FR"/>
        </w:rPr>
        <w:t xml:space="preserve">. If no </w:t>
      </w:r>
      <w:proofErr w:type="spellStart"/>
      <w:r w:rsidRPr="00C75023">
        <w:rPr>
          <w:lang w:val="fr-FR"/>
        </w:rPr>
        <w:t>additional</w:t>
      </w:r>
      <w:proofErr w:type="spellEnd"/>
      <w:r w:rsidRPr="00C75023">
        <w:rPr>
          <w:lang w:val="fr-FR"/>
        </w:rPr>
        <w:t xml:space="preserve"> data points are </w:t>
      </w:r>
      <w:proofErr w:type="spellStart"/>
      <w:r w:rsidRPr="00C75023">
        <w:rPr>
          <w:lang w:val="fr-FR"/>
        </w:rPr>
        <w:t>required</w:t>
      </w:r>
      <w:proofErr w:type="spellEnd"/>
      <w:r w:rsidRPr="00C75023">
        <w:rPr>
          <w:lang w:val="fr-FR"/>
        </w:rPr>
        <w:t xml:space="preserve"> in </w:t>
      </w:r>
      <w:proofErr w:type="spellStart"/>
      <w:r w:rsidRPr="00C75023">
        <w:rPr>
          <w:lang w:val="fr-FR"/>
        </w:rPr>
        <w:t>order</w:t>
      </w:r>
      <w:proofErr w:type="spellEnd"/>
      <w:r w:rsidRPr="00C75023">
        <w:rPr>
          <w:lang w:val="fr-FR"/>
        </w:rPr>
        <w:t xml:space="preserve"> to </w:t>
      </w:r>
      <w:proofErr w:type="spellStart"/>
      <w:r w:rsidRPr="00C75023">
        <w:rPr>
          <w:lang w:val="fr-FR"/>
        </w:rPr>
        <w:t>perform</w:t>
      </w:r>
      <w:proofErr w:type="spellEnd"/>
      <w:r w:rsidRPr="00C75023">
        <w:rPr>
          <w:lang w:val="fr-FR"/>
        </w:rPr>
        <w:t xml:space="preserve"> </w:t>
      </w:r>
      <w:proofErr w:type="spellStart"/>
      <w:r w:rsidRPr="00C75023">
        <w:rPr>
          <w:lang w:val="fr-FR"/>
        </w:rPr>
        <w:t>these</w:t>
      </w:r>
      <w:proofErr w:type="spellEnd"/>
      <w:r w:rsidRPr="00C75023">
        <w:rPr>
          <w:lang w:val="fr-FR"/>
        </w:rPr>
        <w:t xml:space="preserve"> </w:t>
      </w:r>
      <w:proofErr w:type="spellStart"/>
      <w:r w:rsidRPr="00C75023">
        <w:rPr>
          <w:lang w:val="fr-FR"/>
        </w:rPr>
        <w:t>calculations</w:t>
      </w:r>
      <w:proofErr w:type="spellEnd"/>
      <w:r w:rsidRPr="00C75023">
        <w:rPr>
          <w:lang w:val="fr-FR"/>
        </w:rPr>
        <w:t xml:space="preserve"> </w:t>
      </w:r>
      <w:proofErr w:type="spellStart"/>
      <w:r w:rsidRPr="00C75023">
        <w:rPr>
          <w:lang w:val="fr-FR"/>
        </w:rPr>
        <w:t>then</w:t>
      </w:r>
      <w:proofErr w:type="spellEnd"/>
      <w:r w:rsidRPr="00C75023">
        <w:rPr>
          <w:lang w:val="fr-FR"/>
        </w:rPr>
        <w:t xml:space="preserve"> </w:t>
      </w:r>
      <w:proofErr w:type="spellStart"/>
      <w:r w:rsidRPr="00C75023">
        <w:rPr>
          <w:lang w:val="fr-FR"/>
        </w:rPr>
        <w:t>there</w:t>
      </w:r>
      <w:proofErr w:type="spellEnd"/>
      <w:r w:rsidRPr="00C75023">
        <w:rPr>
          <w:lang w:val="fr-FR"/>
        </w:rPr>
        <w:t xml:space="preserve"> </w:t>
      </w:r>
      <w:proofErr w:type="spellStart"/>
      <w:r w:rsidRPr="00C75023">
        <w:rPr>
          <w:lang w:val="fr-FR"/>
        </w:rPr>
        <w:t>would</w:t>
      </w:r>
      <w:proofErr w:type="spellEnd"/>
      <w:r w:rsidRPr="00C75023">
        <w:rPr>
          <w:lang w:val="fr-FR"/>
        </w:rPr>
        <w:t xml:space="preserve"> </w:t>
      </w:r>
      <w:proofErr w:type="spellStart"/>
      <w:r w:rsidRPr="00C75023">
        <w:rPr>
          <w:lang w:val="fr-FR"/>
        </w:rPr>
        <w:t>be</w:t>
      </w:r>
      <w:proofErr w:type="spellEnd"/>
      <w:r w:rsidRPr="00C75023">
        <w:rPr>
          <w:lang w:val="fr-FR"/>
        </w:rPr>
        <w:t xml:space="preserve"> a </w:t>
      </w:r>
      <w:proofErr w:type="spellStart"/>
      <w:r w:rsidRPr="00C75023">
        <w:rPr>
          <w:lang w:val="fr-FR"/>
        </w:rPr>
        <w:t>small</w:t>
      </w:r>
      <w:proofErr w:type="spellEnd"/>
      <w:r w:rsidRPr="00C75023">
        <w:rPr>
          <w:lang w:val="fr-FR"/>
        </w:rPr>
        <w:t xml:space="preserve"> </w:t>
      </w:r>
      <w:proofErr w:type="spellStart"/>
      <w:r w:rsidRPr="00C75023">
        <w:rPr>
          <w:lang w:val="fr-FR"/>
        </w:rPr>
        <w:t>limited</w:t>
      </w:r>
      <w:proofErr w:type="spellEnd"/>
      <w:r w:rsidRPr="00C75023">
        <w:rPr>
          <w:lang w:val="fr-FR"/>
        </w:rPr>
        <w:t xml:space="preserve"> </w:t>
      </w:r>
      <w:proofErr w:type="spellStart"/>
      <w:r w:rsidRPr="00C75023">
        <w:rPr>
          <w:lang w:val="fr-FR"/>
        </w:rPr>
        <w:t>cost</w:t>
      </w:r>
      <w:proofErr w:type="spellEnd"/>
      <w:r w:rsidRPr="00C75023">
        <w:rPr>
          <w:lang w:val="fr-FR"/>
        </w:rPr>
        <w:t xml:space="preserve"> to </w:t>
      </w:r>
      <w:proofErr w:type="spellStart"/>
      <w:r w:rsidRPr="00C75023">
        <w:rPr>
          <w:lang w:val="fr-FR"/>
        </w:rPr>
        <w:t>transitioning</w:t>
      </w:r>
      <w:proofErr w:type="spellEnd"/>
      <w:r w:rsidRPr="00C75023">
        <w:rPr>
          <w:lang w:val="fr-FR"/>
        </w:rPr>
        <w:t xml:space="preserve"> to use transaction data to </w:t>
      </w:r>
      <w:proofErr w:type="spellStart"/>
      <w:r w:rsidRPr="00C75023">
        <w:rPr>
          <w:lang w:val="fr-FR"/>
        </w:rPr>
        <w:t>perform</w:t>
      </w:r>
      <w:proofErr w:type="spellEnd"/>
      <w:r w:rsidRPr="00C75023">
        <w:rPr>
          <w:lang w:val="fr-FR"/>
        </w:rPr>
        <w:t xml:space="preserve"> </w:t>
      </w:r>
      <w:proofErr w:type="spellStart"/>
      <w:r w:rsidRPr="00C75023">
        <w:rPr>
          <w:lang w:val="fr-FR"/>
        </w:rPr>
        <w:t>these</w:t>
      </w:r>
      <w:proofErr w:type="spellEnd"/>
      <w:r w:rsidRPr="00C75023">
        <w:rPr>
          <w:lang w:val="fr-FR"/>
        </w:rPr>
        <w:t xml:space="preserve"> </w:t>
      </w:r>
      <w:proofErr w:type="spellStart"/>
      <w:r w:rsidRPr="00C75023">
        <w:rPr>
          <w:lang w:val="fr-FR"/>
        </w:rPr>
        <w:t>calculations</w:t>
      </w:r>
      <w:proofErr w:type="spellEnd"/>
      <w:r w:rsidRPr="00C75023">
        <w:rPr>
          <w:lang w:val="fr-FR"/>
        </w:rPr>
        <w:t>.</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lastRenderedPageBreak/>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0140D1ED" w14:textId="649FF669" w:rsidR="00C75023" w:rsidRPr="00C75023" w:rsidRDefault="00C75023" w:rsidP="00C75023">
      <w:pPr>
        <w:spacing w:after="0"/>
        <w:rPr>
          <w:lang w:val="fr-FR"/>
        </w:rPr>
      </w:pPr>
      <w:permStart w:id="2065639823" w:edGrp="everyone"/>
      <w:r w:rsidRPr="00C75023">
        <w:t xml:space="preserve"> </w:t>
      </w:r>
      <w:r w:rsidRPr="00C75023">
        <w:rPr>
          <w:lang w:val="fr-FR"/>
        </w:rPr>
        <w:t xml:space="preserve">Clarification </w:t>
      </w:r>
      <w:proofErr w:type="spellStart"/>
      <w:r w:rsidRPr="00C75023">
        <w:rPr>
          <w:lang w:val="fr-FR"/>
        </w:rPr>
        <w:t>would</w:t>
      </w:r>
      <w:proofErr w:type="spellEnd"/>
      <w:r w:rsidRPr="00C75023">
        <w:rPr>
          <w:lang w:val="fr-FR"/>
        </w:rPr>
        <w:t xml:space="preserve"> </w:t>
      </w:r>
      <w:proofErr w:type="spellStart"/>
      <w:r w:rsidRPr="00C75023">
        <w:rPr>
          <w:lang w:val="fr-FR"/>
        </w:rPr>
        <w:t>be</w:t>
      </w:r>
      <w:proofErr w:type="spellEnd"/>
      <w:r w:rsidRPr="00C75023">
        <w:rPr>
          <w:lang w:val="fr-FR"/>
        </w:rPr>
        <w:t xml:space="preserve"> </w:t>
      </w:r>
      <w:proofErr w:type="spellStart"/>
      <w:r w:rsidRPr="00C75023">
        <w:rPr>
          <w:lang w:val="fr-FR"/>
        </w:rPr>
        <w:t>most</w:t>
      </w:r>
      <w:proofErr w:type="spellEnd"/>
      <w:r w:rsidRPr="00C75023">
        <w:rPr>
          <w:lang w:val="fr-FR"/>
        </w:rPr>
        <w:t xml:space="preserve"> </w:t>
      </w:r>
      <w:proofErr w:type="spellStart"/>
      <w:r w:rsidRPr="00C75023">
        <w:rPr>
          <w:lang w:val="fr-FR"/>
        </w:rPr>
        <w:t>welcome</w:t>
      </w:r>
      <w:proofErr w:type="spellEnd"/>
      <w:r w:rsidRPr="00C75023">
        <w:rPr>
          <w:lang w:val="fr-FR"/>
        </w:rPr>
        <w:t xml:space="preserve"> on transaction reports </w:t>
      </w:r>
      <w:proofErr w:type="spellStart"/>
      <w:r w:rsidRPr="00C75023">
        <w:rPr>
          <w:lang w:val="fr-FR"/>
        </w:rPr>
        <w:t>submitted</w:t>
      </w:r>
      <w:proofErr w:type="spellEnd"/>
      <w:r w:rsidRPr="00C75023">
        <w:rPr>
          <w:lang w:val="fr-FR"/>
        </w:rPr>
        <w:t xml:space="preserve"> to </w:t>
      </w:r>
      <w:proofErr w:type="spellStart"/>
      <w:r w:rsidRPr="00C75023">
        <w:rPr>
          <w:lang w:val="fr-FR"/>
        </w:rPr>
        <w:t>ARMs</w:t>
      </w:r>
      <w:proofErr w:type="spellEnd"/>
      <w:r w:rsidRPr="00C75023">
        <w:rPr>
          <w:lang w:val="fr-FR"/>
        </w:rPr>
        <w:t xml:space="preserve"> and </w:t>
      </w:r>
      <w:proofErr w:type="spellStart"/>
      <w:r w:rsidRPr="00C75023">
        <w:rPr>
          <w:lang w:val="fr-FR"/>
        </w:rPr>
        <w:t>NCAs</w:t>
      </w:r>
      <w:proofErr w:type="spellEnd"/>
      <w:r w:rsidRPr="00C75023">
        <w:rPr>
          <w:lang w:val="fr-FR"/>
        </w:rPr>
        <w:t xml:space="preserve"> </w:t>
      </w:r>
      <w:proofErr w:type="spellStart"/>
      <w:r w:rsidRPr="00C75023">
        <w:rPr>
          <w:lang w:val="fr-FR"/>
        </w:rPr>
        <w:t>after</w:t>
      </w:r>
      <w:proofErr w:type="spellEnd"/>
      <w:r w:rsidRPr="00C75023">
        <w:rPr>
          <w:lang w:val="fr-FR"/>
        </w:rPr>
        <w:t xml:space="preserve"> the new </w:t>
      </w:r>
      <w:proofErr w:type="spellStart"/>
      <w:r w:rsidRPr="00C75023">
        <w:rPr>
          <w:lang w:val="fr-FR"/>
        </w:rPr>
        <w:t>rules</w:t>
      </w:r>
      <w:proofErr w:type="spellEnd"/>
      <w:r w:rsidRPr="00C75023">
        <w:rPr>
          <w:lang w:val="fr-FR"/>
        </w:rPr>
        <w:t xml:space="preserve"> </w:t>
      </w:r>
      <w:proofErr w:type="spellStart"/>
      <w:r w:rsidRPr="00C75023">
        <w:rPr>
          <w:lang w:val="fr-FR"/>
        </w:rPr>
        <w:t>become</w:t>
      </w:r>
      <w:proofErr w:type="spellEnd"/>
      <w:r w:rsidRPr="00C75023">
        <w:rPr>
          <w:lang w:val="fr-FR"/>
        </w:rPr>
        <w:t xml:space="preserve"> effective, but </w:t>
      </w:r>
      <w:proofErr w:type="spellStart"/>
      <w:r w:rsidRPr="00C75023">
        <w:rPr>
          <w:lang w:val="fr-FR"/>
        </w:rPr>
        <w:t>which</w:t>
      </w:r>
      <w:proofErr w:type="spellEnd"/>
      <w:r w:rsidRPr="00C75023">
        <w:rPr>
          <w:lang w:val="fr-FR"/>
        </w:rPr>
        <w:t xml:space="preserve"> relate to transactions </w:t>
      </w:r>
      <w:proofErr w:type="spellStart"/>
      <w:r w:rsidRPr="00C75023">
        <w:rPr>
          <w:lang w:val="fr-FR"/>
        </w:rPr>
        <w:t>executed</w:t>
      </w:r>
      <w:proofErr w:type="spellEnd"/>
      <w:r w:rsidRPr="00C75023">
        <w:rPr>
          <w:lang w:val="fr-FR"/>
        </w:rPr>
        <w:t xml:space="preserve"> </w:t>
      </w:r>
      <w:proofErr w:type="spellStart"/>
      <w:r w:rsidRPr="00C75023">
        <w:rPr>
          <w:lang w:val="fr-FR"/>
        </w:rPr>
        <w:t>before</w:t>
      </w:r>
      <w:proofErr w:type="spellEnd"/>
      <w:r w:rsidRPr="00C75023">
        <w:rPr>
          <w:lang w:val="fr-FR"/>
        </w:rPr>
        <w:t xml:space="preserve"> the application date of the </w:t>
      </w:r>
      <w:proofErr w:type="spellStart"/>
      <w:r w:rsidRPr="00C75023">
        <w:rPr>
          <w:lang w:val="fr-FR"/>
        </w:rPr>
        <w:t>regulation</w:t>
      </w:r>
      <w:proofErr w:type="spellEnd"/>
      <w:r w:rsidR="00DD57A2">
        <w:rPr>
          <w:lang w:val="fr-FR"/>
        </w:rPr>
        <w:t xml:space="preserve">. Issues </w:t>
      </w:r>
      <w:proofErr w:type="spellStart"/>
      <w:r w:rsidR="00DD57A2">
        <w:rPr>
          <w:lang w:val="fr-FR"/>
        </w:rPr>
        <w:t>requiring</w:t>
      </w:r>
      <w:proofErr w:type="spellEnd"/>
      <w:r w:rsidR="00DD57A2">
        <w:rPr>
          <w:lang w:val="fr-FR"/>
        </w:rPr>
        <w:t xml:space="preserve"> clarification </w:t>
      </w:r>
      <w:proofErr w:type="spellStart"/>
      <w:proofErr w:type="gramStart"/>
      <w:r w:rsidR="00DD57A2">
        <w:rPr>
          <w:lang w:val="fr-FR"/>
        </w:rPr>
        <w:t>include</w:t>
      </w:r>
      <w:proofErr w:type="spellEnd"/>
      <w:r w:rsidR="00DD57A2">
        <w:rPr>
          <w:lang w:val="fr-FR"/>
        </w:rPr>
        <w:t>:</w:t>
      </w:r>
      <w:proofErr w:type="gramEnd"/>
    </w:p>
    <w:p w14:paraId="2EC22314" w14:textId="77777777" w:rsidR="00C75023" w:rsidRPr="00C75023" w:rsidRDefault="00C75023" w:rsidP="00C75023">
      <w:pPr>
        <w:numPr>
          <w:ilvl w:val="0"/>
          <w:numId w:val="41"/>
        </w:numPr>
        <w:spacing w:after="0"/>
      </w:pPr>
      <w:r w:rsidRPr="00C75023">
        <w:t>Validations will be applied as they existed before the effective date (</w:t>
      </w:r>
      <w:proofErr w:type="gramStart"/>
      <w:r w:rsidRPr="00C75023">
        <w:t>i.e.</w:t>
      </w:r>
      <w:proofErr w:type="gramEnd"/>
      <w:r w:rsidRPr="00C75023">
        <w:t xml:space="preserve"> 'new' validations will not apply to 'old' transaction reports).</w:t>
      </w:r>
    </w:p>
    <w:p w14:paraId="68C86FA9" w14:textId="77777777" w:rsidR="00C75023" w:rsidRPr="00C75023" w:rsidRDefault="00C75023" w:rsidP="00C75023">
      <w:pPr>
        <w:numPr>
          <w:ilvl w:val="0"/>
          <w:numId w:val="41"/>
        </w:numPr>
        <w:spacing w:after="0"/>
      </w:pPr>
      <w:r w:rsidRPr="00C75023">
        <w:t>Submissions will be in the 'new' file format (irrespective of whether that is XML or JSON).</w:t>
      </w:r>
    </w:p>
    <w:p w14:paraId="6C7090FA" w14:textId="77777777" w:rsidR="00C75023" w:rsidRPr="00C75023" w:rsidRDefault="00C75023" w:rsidP="00C75023">
      <w:pPr>
        <w:numPr>
          <w:ilvl w:val="0"/>
          <w:numId w:val="41"/>
        </w:numPr>
        <w:spacing w:after="0"/>
      </w:pPr>
      <w:r w:rsidRPr="00C75023">
        <w:t>Fields which:</w:t>
      </w:r>
    </w:p>
    <w:p w14:paraId="3576C29A" w14:textId="77777777" w:rsidR="00C75023" w:rsidRPr="00C75023" w:rsidRDefault="00C75023" w:rsidP="00C75023">
      <w:pPr>
        <w:numPr>
          <w:ilvl w:val="1"/>
          <w:numId w:val="41"/>
        </w:numPr>
        <w:spacing w:after="0"/>
      </w:pPr>
      <w:r w:rsidRPr="00C75023">
        <w:t xml:space="preserve">are required in the new schema, but were not previously required, will not be expected to be completed and can be optionally completed if firms have the data </w:t>
      </w:r>
      <w:proofErr w:type="gramStart"/>
      <w:r w:rsidRPr="00C75023">
        <w:t>available;</w:t>
      </w:r>
      <w:proofErr w:type="gramEnd"/>
    </w:p>
    <w:p w14:paraId="28146A7C" w14:textId="77777777" w:rsidR="00C75023" w:rsidRPr="00C75023" w:rsidRDefault="00C75023" w:rsidP="00C75023">
      <w:pPr>
        <w:numPr>
          <w:ilvl w:val="1"/>
          <w:numId w:val="41"/>
        </w:numPr>
        <w:spacing w:after="0"/>
      </w:pPr>
      <w:r w:rsidRPr="00C75023">
        <w:t xml:space="preserve">have changes to logic, will have the previous logic </w:t>
      </w:r>
      <w:proofErr w:type="gramStart"/>
      <w:r w:rsidRPr="00C75023">
        <w:t>applied;</w:t>
      </w:r>
      <w:proofErr w:type="gramEnd"/>
    </w:p>
    <w:p w14:paraId="3245D709" w14:textId="77777777" w:rsidR="00C75023" w:rsidRPr="00C75023" w:rsidRDefault="00C75023" w:rsidP="00C75023">
      <w:pPr>
        <w:numPr>
          <w:ilvl w:val="1"/>
          <w:numId w:val="41"/>
        </w:numPr>
        <w:spacing w:after="0"/>
      </w:pPr>
      <w:r w:rsidRPr="00C75023">
        <w:t xml:space="preserve">change name, will allow the </w:t>
      </w:r>
      <w:proofErr w:type="gramStart"/>
      <w:r w:rsidRPr="00C75023">
        <w:t>previously-allowed</w:t>
      </w:r>
      <w:proofErr w:type="gramEnd"/>
      <w:r w:rsidRPr="00C75023">
        <w:t xml:space="preserve"> field completion in the newly named field.</w:t>
      </w:r>
    </w:p>
    <w:p w14:paraId="3C5752C1" w14:textId="77777777" w:rsidR="00C75023" w:rsidRPr="00C75023" w:rsidRDefault="00C75023" w:rsidP="00C75023">
      <w:pPr>
        <w:numPr>
          <w:ilvl w:val="0"/>
          <w:numId w:val="41"/>
        </w:numPr>
        <w:spacing w:after="0"/>
      </w:pPr>
      <w:r w:rsidRPr="00C75023">
        <w:t xml:space="preserve">For transactions in instruments which are no longer reportable and which a firm needs to correct, the firm would still be expected to report the corrected information in line with the rules which applied on the date of </w:t>
      </w:r>
      <w:proofErr w:type="gramStart"/>
      <w:r w:rsidRPr="00C75023">
        <w:t>execution, and</w:t>
      </w:r>
      <w:proofErr w:type="gramEnd"/>
      <w:r w:rsidRPr="00C75023">
        <w:t xml:space="preserve"> submit the report in the new format.</w:t>
      </w:r>
    </w:p>
    <w:p w14:paraId="7D0E91D2" w14:textId="77777777" w:rsidR="00C75023" w:rsidRPr="00C75023" w:rsidRDefault="00C75023" w:rsidP="00C75023">
      <w:pPr>
        <w:spacing w:after="0"/>
      </w:pPr>
      <w:proofErr w:type="gramStart"/>
      <w:r w:rsidRPr="00C75023">
        <w:t>A number of</w:t>
      </w:r>
      <w:proofErr w:type="gramEnd"/>
      <w:r w:rsidRPr="00C75023">
        <w:t xml:space="preserve"> examples for the above scenarios that would benefit from clarification on applicable rules during the transition:</w:t>
      </w:r>
    </w:p>
    <w:p w14:paraId="32FD3215" w14:textId="77777777" w:rsidR="00C75023" w:rsidRPr="00C75023" w:rsidRDefault="00C75023" w:rsidP="00C75023">
      <w:pPr>
        <w:numPr>
          <w:ilvl w:val="0"/>
          <w:numId w:val="42"/>
        </w:numPr>
        <w:spacing w:after="0"/>
      </w:pPr>
      <w:r w:rsidRPr="00C75023">
        <w:t xml:space="preserve">If the schema </w:t>
      </w:r>
      <w:proofErr w:type="spellStart"/>
      <w:r w:rsidRPr="00C75023">
        <w:t>xpath</w:t>
      </w:r>
      <w:proofErr w:type="spellEnd"/>
      <w:r w:rsidRPr="00C75023">
        <w:t xml:space="preserve"> was to change </w:t>
      </w:r>
      <w:proofErr w:type="gramStart"/>
      <w:r w:rsidRPr="00C75023">
        <w:t>as a result of</w:t>
      </w:r>
      <w:proofErr w:type="gramEnd"/>
      <w:r w:rsidRPr="00C75023">
        <w:t xml:space="preserve"> a field name change, for example field 1 ‘Report status’ is to become ‘Action Type’, a correction of a historical report can be sent with NEWT or CANC in the new </w:t>
      </w:r>
      <w:proofErr w:type="spellStart"/>
      <w:r w:rsidRPr="00C75023">
        <w:t>xpath</w:t>
      </w:r>
      <w:proofErr w:type="spellEnd"/>
      <w:r w:rsidRPr="00C75023">
        <w:t xml:space="preserve"> (similar logic would apply to field 28 ‘Trading date time’ versus ‘Execution timestamp’).</w:t>
      </w:r>
    </w:p>
    <w:p w14:paraId="36770ECB" w14:textId="77777777" w:rsidR="00C75023" w:rsidRPr="00C75023" w:rsidRDefault="00C75023" w:rsidP="00C75023">
      <w:pPr>
        <w:numPr>
          <w:ilvl w:val="0"/>
          <w:numId w:val="42"/>
        </w:numPr>
        <w:spacing w:after="0"/>
      </w:pPr>
      <w:r w:rsidRPr="00C75023">
        <w:t>Where new fields are required (for example field 1a ‘Validity timestamp – Action type’), a historical report will not need to complete the field (as with fields 3a, 27a and 28b).</w:t>
      </w:r>
    </w:p>
    <w:p w14:paraId="107F604F" w14:textId="77777777" w:rsidR="00C75023" w:rsidRPr="00C75023" w:rsidRDefault="00C75023" w:rsidP="00C75023">
      <w:pPr>
        <w:numPr>
          <w:ilvl w:val="0"/>
          <w:numId w:val="42"/>
        </w:numPr>
        <w:spacing w:after="0"/>
      </w:pPr>
      <w:r w:rsidRPr="00C75023">
        <w:t xml:space="preserve">Where the parties were previously reported as buyer and seller, but the instrument should more appropriately be reported </w:t>
      </w:r>
      <w:proofErr w:type="gramStart"/>
      <w:r w:rsidRPr="00C75023">
        <w:t>on the basis of</w:t>
      </w:r>
      <w:proofErr w:type="gramEnd"/>
      <w:r w:rsidRPr="00C75023">
        <w:t xml:space="preserve"> leg 1 payer and receiver, the buyer and seller parties can continue to be reported as previously.</w:t>
      </w:r>
    </w:p>
    <w:p w14:paraId="019E7305" w14:textId="77777777" w:rsidR="00C75023" w:rsidRPr="00C75023" w:rsidRDefault="00C75023" w:rsidP="00C75023">
      <w:pPr>
        <w:numPr>
          <w:ilvl w:val="0"/>
          <w:numId w:val="42"/>
        </w:numPr>
        <w:spacing w:after="0"/>
      </w:pPr>
      <w:r w:rsidRPr="00C75023">
        <w:lastRenderedPageBreak/>
        <w:t>Where the population of a field changes, a historical report can be completed with the historical rules, for example:</w:t>
      </w:r>
    </w:p>
    <w:p w14:paraId="36AF42C3" w14:textId="77777777" w:rsidR="00C75023" w:rsidRPr="00C75023" w:rsidRDefault="00C75023" w:rsidP="00C75023">
      <w:pPr>
        <w:numPr>
          <w:ilvl w:val="1"/>
          <w:numId w:val="42"/>
        </w:numPr>
        <w:spacing w:after="0"/>
      </w:pPr>
      <w:r w:rsidRPr="00C75023">
        <w:t xml:space="preserve">for field 25 ‘Transmission of order indicator’, 'false' will continue to be an acceptable </w:t>
      </w:r>
      <w:proofErr w:type="gramStart"/>
      <w:r w:rsidRPr="00C75023">
        <w:t>value;</w:t>
      </w:r>
      <w:proofErr w:type="gramEnd"/>
    </w:p>
    <w:p w14:paraId="7CA0F24D" w14:textId="77777777" w:rsidR="00C75023" w:rsidRPr="00C75023" w:rsidRDefault="00C75023" w:rsidP="00C75023">
      <w:pPr>
        <w:numPr>
          <w:ilvl w:val="1"/>
          <w:numId w:val="42"/>
        </w:numPr>
        <w:spacing w:after="0"/>
      </w:pPr>
      <w:r w:rsidRPr="00C75023">
        <w:t>for field 33 ‘Price’, where the instrument is an option (and not meeting the definition of a volatile attribute), the option premium would continue to be reported (and field 33a would not be completed).</w:t>
      </w:r>
    </w:p>
    <w:p w14:paraId="457C79DF" w14:textId="77777777" w:rsidR="00C75023" w:rsidRPr="00C75023" w:rsidRDefault="00C75023" w:rsidP="00C75023">
      <w:pPr>
        <w:numPr>
          <w:ilvl w:val="1"/>
          <w:numId w:val="42"/>
        </w:numPr>
        <w:spacing w:after="0"/>
      </w:pPr>
      <w:r w:rsidRPr="00C75023">
        <w:t>however, for Fields 49i / 49j ‘Fixed rate of Leg [1/2]’, where a firm has the data available for completion of the ‘Price’ field, that firm could optionally populate this field.</w:t>
      </w:r>
    </w:p>
    <w:p w14:paraId="535C2A44" w14:textId="77777777" w:rsidR="00C75023" w:rsidRPr="00C75023" w:rsidRDefault="00C75023" w:rsidP="00C75023">
      <w:pPr>
        <w:numPr>
          <w:ilvl w:val="0"/>
          <w:numId w:val="42"/>
        </w:numPr>
        <w:spacing w:after="0"/>
      </w:pPr>
      <w:r w:rsidRPr="00C75023">
        <w:t>Where a transaction report is no longer required to be submitted and the details of that record change, the firm should submit a cancel and a new transaction report in line with the rules which applied on the date of execution but submit that record in the new format.</w:t>
      </w:r>
    </w:p>
    <w:p w14:paraId="6E174BFB" w14:textId="11CE4CC5" w:rsidR="005D3762" w:rsidRDefault="005D3762" w:rsidP="005D3762">
      <w:pPr>
        <w:spacing w:after="0"/>
      </w:pP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 xml:space="preserve">Please provide your views on the format of reporting and any challenges you foresee with the use of JSON format compared to XML. Please provide estimates of the costs, </w:t>
      </w:r>
      <w:proofErr w:type="gramStart"/>
      <w:r>
        <w:t>timelines</w:t>
      </w:r>
      <w:proofErr w:type="gramEnd"/>
      <w:r>
        <w:t xml:space="preserve">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66EB4477" w14:textId="77777777" w:rsidR="00DD57A2" w:rsidRPr="00DD57A2" w:rsidRDefault="00DD57A2" w:rsidP="00DD57A2">
      <w:pPr>
        <w:spacing w:after="0"/>
        <w:rPr>
          <w:lang w:val="fr-FR"/>
        </w:rPr>
      </w:pPr>
      <w:permStart w:id="779768261" w:edGrp="everyone"/>
      <w:r>
        <w:t xml:space="preserve"> </w:t>
      </w:r>
      <w:r w:rsidRPr="00DD57A2">
        <w:rPr>
          <w:lang w:val="fr-FR"/>
        </w:rPr>
        <w:t xml:space="preserve">The Annex to RTS 24 </w:t>
      </w:r>
      <w:proofErr w:type="spellStart"/>
      <w:r w:rsidRPr="00DD57A2">
        <w:rPr>
          <w:lang w:val="fr-FR"/>
        </w:rPr>
        <w:t>is</w:t>
      </w:r>
      <w:proofErr w:type="spellEnd"/>
      <w:r w:rsidRPr="00DD57A2">
        <w:rPr>
          <w:lang w:val="fr-FR"/>
        </w:rPr>
        <w:t xml:space="preserve"> </w:t>
      </w:r>
      <w:proofErr w:type="spellStart"/>
      <w:r w:rsidRPr="00DD57A2">
        <w:rPr>
          <w:lang w:val="fr-FR"/>
        </w:rPr>
        <w:t>tailored</w:t>
      </w:r>
      <w:proofErr w:type="spellEnd"/>
      <w:r w:rsidRPr="00DD57A2">
        <w:rPr>
          <w:lang w:val="fr-FR"/>
        </w:rPr>
        <w:t xml:space="preserve"> to trading venues operating Central Limit </w:t>
      </w:r>
      <w:proofErr w:type="spellStart"/>
      <w:r w:rsidRPr="00DD57A2">
        <w:rPr>
          <w:lang w:val="fr-FR"/>
        </w:rPr>
        <w:t>Order</w:t>
      </w:r>
      <w:proofErr w:type="spellEnd"/>
      <w:r w:rsidRPr="00DD57A2">
        <w:rPr>
          <w:lang w:val="fr-FR"/>
        </w:rPr>
        <w:t xml:space="preserve"> Books (</w:t>
      </w:r>
      <w:proofErr w:type="spellStart"/>
      <w:r w:rsidRPr="00DD57A2">
        <w:rPr>
          <w:lang w:val="fr-FR"/>
        </w:rPr>
        <w:t>CLOBs</w:t>
      </w:r>
      <w:proofErr w:type="spellEnd"/>
      <w:r w:rsidRPr="00DD57A2">
        <w:rPr>
          <w:lang w:val="fr-FR"/>
        </w:rPr>
        <w:t xml:space="preserve">). This </w:t>
      </w:r>
      <w:proofErr w:type="spellStart"/>
      <w:r w:rsidRPr="00DD57A2">
        <w:rPr>
          <w:lang w:val="fr-FR"/>
        </w:rPr>
        <w:t>makes</w:t>
      </w:r>
      <w:proofErr w:type="spellEnd"/>
      <w:r w:rsidRPr="00DD57A2">
        <w:rPr>
          <w:lang w:val="fr-FR"/>
        </w:rPr>
        <w:t xml:space="preserve"> </w:t>
      </w:r>
      <w:proofErr w:type="spellStart"/>
      <w:r w:rsidRPr="00DD57A2">
        <w:rPr>
          <w:lang w:val="fr-FR"/>
        </w:rPr>
        <w:t>sense</w:t>
      </w:r>
      <w:proofErr w:type="spellEnd"/>
      <w:r w:rsidRPr="00DD57A2">
        <w:rPr>
          <w:lang w:val="fr-FR"/>
        </w:rPr>
        <w:t xml:space="preserve"> for CLOB </w:t>
      </w:r>
      <w:proofErr w:type="spellStart"/>
      <w:r w:rsidRPr="00DD57A2">
        <w:rPr>
          <w:lang w:val="fr-FR"/>
        </w:rPr>
        <w:t>systems</w:t>
      </w:r>
      <w:proofErr w:type="spellEnd"/>
      <w:r w:rsidRPr="00DD57A2">
        <w:rPr>
          <w:lang w:val="fr-FR"/>
        </w:rPr>
        <w:t xml:space="preserve"> </w:t>
      </w:r>
      <w:proofErr w:type="spellStart"/>
      <w:r w:rsidRPr="00DD57A2">
        <w:rPr>
          <w:lang w:val="fr-FR"/>
        </w:rPr>
        <w:t>that</w:t>
      </w:r>
      <w:proofErr w:type="spellEnd"/>
      <w:r w:rsidRPr="00DD57A2">
        <w:rPr>
          <w:lang w:val="fr-FR"/>
        </w:rPr>
        <w:t xml:space="preserve"> are </w:t>
      </w:r>
      <w:proofErr w:type="spellStart"/>
      <w:r w:rsidRPr="00DD57A2">
        <w:rPr>
          <w:lang w:val="fr-FR"/>
        </w:rPr>
        <w:t>characterized</w:t>
      </w:r>
      <w:proofErr w:type="spellEnd"/>
      <w:r w:rsidRPr="00DD57A2">
        <w:rPr>
          <w:lang w:val="fr-FR"/>
        </w:rPr>
        <w:t xml:space="preserve"> by </w:t>
      </w:r>
      <w:proofErr w:type="spellStart"/>
      <w:r w:rsidRPr="00DD57A2">
        <w:rPr>
          <w:lang w:val="fr-FR"/>
        </w:rPr>
        <w:t>continuous</w:t>
      </w:r>
      <w:proofErr w:type="spellEnd"/>
      <w:r w:rsidRPr="00DD57A2">
        <w:rPr>
          <w:lang w:val="fr-FR"/>
        </w:rPr>
        <w:t xml:space="preserve">, </w:t>
      </w:r>
      <w:proofErr w:type="spellStart"/>
      <w:r w:rsidRPr="00DD57A2">
        <w:rPr>
          <w:lang w:val="fr-FR"/>
        </w:rPr>
        <w:t>often</w:t>
      </w:r>
      <w:proofErr w:type="spellEnd"/>
      <w:r w:rsidRPr="00DD57A2">
        <w:rPr>
          <w:lang w:val="fr-FR"/>
        </w:rPr>
        <w:t xml:space="preserve"> high-</w:t>
      </w:r>
      <w:proofErr w:type="spellStart"/>
      <w:r w:rsidRPr="00DD57A2">
        <w:rPr>
          <w:lang w:val="fr-FR"/>
        </w:rPr>
        <w:t>frequency</w:t>
      </w:r>
      <w:proofErr w:type="spellEnd"/>
      <w:r w:rsidRPr="00DD57A2">
        <w:rPr>
          <w:lang w:val="fr-FR"/>
        </w:rPr>
        <w:t xml:space="preserve"> trading and real-time </w:t>
      </w:r>
      <w:proofErr w:type="spellStart"/>
      <w:r w:rsidRPr="00DD57A2">
        <w:rPr>
          <w:lang w:val="fr-FR"/>
        </w:rPr>
        <w:t>order</w:t>
      </w:r>
      <w:proofErr w:type="spellEnd"/>
      <w:r w:rsidRPr="00DD57A2">
        <w:rPr>
          <w:lang w:val="fr-FR"/>
        </w:rPr>
        <w:t xml:space="preserve"> </w:t>
      </w:r>
      <w:proofErr w:type="spellStart"/>
      <w:r w:rsidRPr="00DD57A2">
        <w:rPr>
          <w:lang w:val="fr-FR"/>
        </w:rPr>
        <w:t>matching</w:t>
      </w:r>
      <w:proofErr w:type="spellEnd"/>
      <w:r w:rsidRPr="00DD57A2">
        <w:rPr>
          <w:lang w:val="fr-FR"/>
        </w:rPr>
        <w:t>. </w:t>
      </w:r>
    </w:p>
    <w:p w14:paraId="6AAE75E0" w14:textId="35A032E9" w:rsidR="00DD57A2" w:rsidRPr="00DD57A2" w:rsidRDefault="00DD57A2" w:rsidP="00DD57A2">
      <w:pPr>
        <w:spacing w:after="0"/>
      </w:pPr>
      <w:r w:rsidRPr="00DD57A2">
        <w:t xml:space="preserve">RFQ systems </w:t>
      </w:r>
      <w:r>
        <w:t xml:space="preserve">operate however in a </w:t>
      </w:r>
      <w:r w:rsidRPr="00DD57A2">
        <w:t>fundamentally different</w:t>
      </w:r>
      <w:r>
        <w:t xml:space="preserve"> manner</w:t>
      </w:r>
      <w:r w:rsidRPr="00DD57A2">
        <w:t>. RFQ systems involve negotiation between counterparties, where ‘orders’ in RFQ systems are typically bespoke, slower, and for fixed income, designed to accommodate the less frequent trading of instruments.</w:t>
      </w:r>
    </w:p>
    <w:p w14:paraId="3E8B1082" w14:textId="77777777" w:rsidR="00DD57A2" w:rsidRDefault="00DD57A2" w:rsidP="00DD57A2">
      <w:pPr>
        <w:spacing w:after="0"/>
      </w:pPr>
      <w:r w:rsidRPr="00DD57A2">
        <w:t xml:space="preserve">Attempting to map the RTS 24 Annex fields onto RFQ systems introduces inefficiencies and inaccuracies, as the fields are not designed to capture the nuances of RFQ workflows. </w:t>
      </w:r>
    </w:p>
    <w:p w14:paraId="41ECFAC0" w14:textId="5DCDE305" w:rsidR="00DD57A2" w:rsidRPr="00DD57A2" w:rsidRDefault="00DD57A2" w:rsidP="00DD57A2">
      <w:pPr>
        <w:spacing w:after="0"/>
      </w:pPr>
      <w:r w:rsidRPr="00DD57A2">
        <w:t>For example, the “quote request” and “quote response” process does not align with the strict data-field requirements prescribed in RTS 24, which were developed with CLOB-style functionality in mind and fields requiring continuous updates on order status or time prioritization are irrelevant to RFQ systems, where the interaction is discrete and bilateral.</w:t>
      </w:r>
    </w:p>
    <w:p w14:paraId="3B5C7290" w14:textId="77777777" w:rsidR="00DD57A2" w:rsidRPr="00DD57A2" w:rsidRDefault="00DD57A2" w:rsidP="00DD57A2">
      <w:pPr>
        <w:spacing w:after="0"/>
      </w:pPr>
      <w:r w:rsidRPr="00DD57A2">
        <w:t>The slower pace, bespoke nature, and bilateral structure of trading through RFQ systems justify a distinct approach to record-keeping compared to higher-frequency, multilateral CLOB environments.</w:t>
      </w:r>
    </w:p>
    <w:p w14:paraId="7D829802" w14:textId="751BD4FF" w:rsidR="00DD57A2" w:rsidRPr="00DD57A2" w:rsidRDefault="00DD57A2" w:rsidP="00DD57A2">
      <w:pPr>
        <w:spacing w:after="0"/>
      </w:pPr>
      <w:r w:rsidRPr="00DD57A2">
        <w:t>ESMA has acknowledged the principle of proportionality in RTS 7, which governs systems and controls in trading venues, allowing requirements to be scaled based on the nature, scale, and complexity of the trading system.</w:t>
      </w:r>
      <w:r>
        <w:t xml:space="preserve"> </w:t>
      </w:r>
      <w:r w:rsidRPr="00DD57A2">
        <w:t>A similar approach should be applied to RTS 24, as RFQ systems do not exhibit the same trading dynamics or operational risks as CLOBs.</w:t>
      </w:r>
    </w:p>
    <w:p w14:paraId="160E7E30" w14:textId="77777777" w:rsidR="00DD57A2" w:rsidRPr="00DD57A2" w:rsidRDefault="00DD57A2" w:rsidP="00DD57A2">
      <w:pPr>
        <w:spacing w:after="0"/>
      </w:pPr>
      <w:r w:rsidRPr="00DD57A2">
        <w:t>Proportionality would ensure that the regulatory requirement is appropriately calibrated, without compromising transparency or oversight.</w:t>
      </w:r>
    </w:p>
    <w:p w14:paraId="450BBBD9" w14:textId="77777777" w:rsidR="00DD57A2" w:rsidRPr="00DD57A2" w:rsidRDefault="00DD57A2" w:rsidP="00DD57A2">
      <w:pPr>
        <w:spacing w:after="0"/>
      </w:pPr>
      <w:r w:rsidRPr="00DD57A2">
        <w:t>In conclusion, applying RTS 24 Annex requirements, designed for CLOBs, to RFQ systems imposes unnecessary operational burdens and risks distorting the intent of the regulation. Adopting a proportionate, RFQ-specific approach would enhance regulatory effectiveness while respecting the unique characteristics of these systems and the markets they serve.</w:t>
      </w:r>
    </w:p>
    <w:p w14:paraId="594B0AAA" w14:textId="6E324773" w:rsidR="005D3762" w:rsidRDefault="005D3762" w:rsidP="005D3762">
      <w:pPr>
        <w:spacing w:after="0"/>
      </w:pP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E5FC4" w14:textId="77777777" w:rsidR="001C3D4C" w:rsidRDefault="001C3D4C" w:rsidP="00F716D4">
      <w:r>
        <w:separator/>
      </w:r>
    </w:p>
    <w:p w14:paraId="4D2CA676" w14:textId="77777777" w:rsidR="001C3D4C" w:rsidRDefault="001C3D4C" w:rsidP="00F716D4"/>
  </w:endnote>
  <w:endnote w:type="continuationSeparator" w:id="0">
    <w:p w14:paraId="68C62FFF" w14:textId="77777777" w:rsidR="001C3D4C" w:rsidRDefault="001C3D4C" w:rsidP="00F716D4">
      <w:r>
        <w:continuationSeparator/>
      </w:r>
    </w:p>
    <w:p w14:paraId="162C456C" w14:textId="77777777" w:rsidR="001C3D4C" w:rsidRDefault="001C3D4C" w:rsidP="00F716D4"/>
  </w:endnote>
  <w:endnote w:type="continuationNotice" w:id="1">
    <w:p w14:paraId="514CDA22" w14:textId="77777777" w:rsidR="001C3D4C" w:rsidRDefault="001C3D4C"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3F283" w14:textId="77777777" w:rsidR="001C3D4C" w:rsidRDefault="001C3D4C" w:rsidP="00F716D4">
      <w:r>
        <w:separator/>
      </w:r>
    </w:p>
    <w:p w14:paraId="50EB7E61" w14:textId="77777777" w:rsidR="001C3D4C" w:rsidRDefault="001C3D4C" w:rsidP="00F716D4"/>
  </w:footnote>
  <w:footnote w:type="continuationSeparator" w:id="0">
    <w:p w14:paraId="6D3323D4" w14:textId="77777777" w:rsidR="001C3D4C" w:rsidRDefault="001C3D4C" w:rsidP="00F716D4">
      <w:r>
        <w:continuationSeparator/>
      </w:r>
    </w:p>
    <w:p w14:paraId="5DF27A6B" w14:textId="77777777" w:rsidR="001C3D4C" w:rsidRDefault="001C3D4C" w:rsidP="00F716D4"/>
  </w:footnote>
  <w:footnote w:type="continuationNotice" w:id="1">
    <w:p w14:paraId="0E1E5F57" w14:textId="77777777" w:rsidR="001C3D4C" w:rsidRDefault="001C3D4C"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A25DC3"/>
    <w:multiLevelType w:val="hybridMultilevel"/>
    <w:tmpl w:val="87542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DB72488"/>
    <w:multiLevelType w:val="multilevel"/>
    <w:tmpl w:val="706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348F1CB1"/>
    <w:multiLevelType w:val="multilevel"/>
    <w:tmpl w:val="AED0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15:restartNumberingAfterBreak="0">
    <w:nsid w:val="58033499"/>
    <w:multiLevelType w:val="hybridMultilevel"/>
    <w:tmpl w:val="10421FC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15:restartNumberingAfterBreak="0">
    <w:nsid w:val="63B153AB"/>
    <w:multiLevelType w:val="hybridMultilevel"/>
    <w:tmpl w:val="C7BAA22E"/>
    <w:lvl w:ilvl="0" w:tplc="7FA0C41A">
      <w:start w:val="1"/>
      <w:numFmt w:val="decimal"/>
      <w:lvlText w:val="%1)"/>
      <w:lvlJc w:val="left"/>
      <w:pPr>
        <w:ind w:left="420" w:hanging="360"/>
      </w:pPr>
      <w:rPr>
        <w:rFonts w:hint="default"/>
        <w:u w:val="none"/>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5" w15:restartNumberingAfterBreak="0">
    <w:nsid w:val="63F914EE"/>
    <w:multiLevelType w:val="multilevel"/>
    <w:tmpl w:val="2CF66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8"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7"/>
  </w:num>
  <w:num w:numId="2" w16cid:durableId="1769932826">
    <w:abstractNumId w:val="20"/>
  </w:num>
  <w:num w:numId="3" w16cid:durableId="550074866">
    <w:abstractNumId w:val="12"/>
  </w:num>
  <w:num w:numId="4" w16cid:durableId="1881627233">
    <w:abstractNumId w:val="25"/>
  </w:num>
  <w:num w:numId="5" w16cid:durableId="208225584">
    <w:abstractNumId w:val="0"/>
  </w:num>
  <w:num w:numId="6" w16cid:durableId="1787233265">
    <w:abstractNumId w:val="4"/>
  </w:num>
  <w:num w:numId="7" w16cid:durableId="18463575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3"/>
  </w:num>
  <w:num w:numId="9" w16cid:durableId="1008846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9"/>
  </w:num>
  <w:num w:numId="12" w16cid:durableId="1500659627">
    <w:abstractNumId w:val="32"/>
  </w:num>
  <w:num w:numId="13" w16cid:durableId="1879658227">
    <w:abstractNumId w:val="24"/>
  </w:num>
  <w:num w:numId="14" w16cid:durableId="1495758855">
    <w:abstractNumId w:val="10"/>
  </w:num>
  <w:num w:numId="15" w16cid:durableId="1186556611">
    <w:abstractNumId w:val="1"/>
  </w:num>
  <w:num w:numId="16" w16cid:durableId="679087124">
    <w:abstractNumId w:val="15"/>
  </w:num>
  <w:num w:numId="17" w16cid:durableId="1695498691">
    <w:abstractNumId w:val="16"/>
  </w:num>
  <w:num w:numId="18" w16cid:durableId="1042363640">
    <w:abstractNumId w:val="18"/>
  </w:num>
  <w:num w:numId="19" w16cid:durableId="820345968">
    <w:abstractNumId w:val="27"/>
  </w:num>
  <w:num w:numId="20" w16cid:durableId="1805388212">
    <w:abstractNumId w:val="39"/>
  </w:num>
  <w:num w:numId="21" w16cid:durableId="538709007">
    <w:abstractNumId w:val="26"/>
  </w:num>
  <w:num w:numId="22" w16cid:durableId="104540172">
    <w:abstractNumId w:val="9"/>
  </w:num>
  <w:num w:numId="23" w16cid:durableId="1824349076">
    <w:abstractNumId w:val="31"/>
  </w:num>
  <w:num w:numId="24" w16cid:durableId="672032853">
    <w:abstractNumId w:val="30"/>
  </w:num>
  <w:num w:numId="25" w16cid:durableId="48917541">
    <w:abstractNumId w:val="21"/>
  </w:num>
  <w:num w:numId="26" w16cid:durableId="978925443">
    <w:abstractNumId w:val="36"/>
  </w:num>
  <w:num w:numId="27" w16cid:durableId="1036613928">
    <w:abstractNumId w:val="41"/>
  </w:num>
  <w:num w:numId="28" w16cid:durableId="872039349">
    <w:abstractNumId w:val="7"/>
  </w:num>
  <w:num w:numId="29" w16cid:durableId="924530660">
    <w:abstractNumId w:val="3"/>
  </w:num>
  <w:num w:numId="30" w16cid:durableId="419180233">
    <w:abstractNumId w:val="23"/>
  </w:num>
  <w:num w:numId="31" w16cid:durableId="276761337">
    <w:abstractNumId w:val="22"/>
  </w:num>
  <w:num w:numId="32" w16cid:durableId="1166238383">
    <w:abstractNumId w:val="38"/>
  </w:num>
  <w:num w:numId="33" w16cid:durableId="2076850202">
    <w:abstractNumId w:val="37"/>
  </w:num>
  <w:num w:numId="34" w16cid:durableId="469176496">
    <w:abstractNumId w:val="13"/>
  </w:num>
  <w:num w:numId="35" w16cid:durableId="674843309">
    <w:abstractNumId w:val="19"/>
  </w:num>
  <w:num w:numId="36" w16cid:durableId="1954971501">
    <w:abstractNumId w:val="42"/>
  </w:num>
  <w:num w:numId="37" w16cid:durableId="1024135432">
    <w:abstractNumId w:val="28"/>
  </w:num>
  <w:num w:numId="38" w16cid:durableId="1351374211">
    <w:abstractNumId w:val="34"/>
  </w:num>
  <w:num w:numId="39" w16cid:durableId="135922762">
    <w:abstractNumId w:val="11"/>
  </w:num>
  <w:num w:numId="40" w16cid:durableId="1489713539">
    <w:abstractNumId w:val="2"/>
  </w:num>
  <w:num w:numId="41" w16cid:durableId="10114276">
    <w:abstractNumId w:val="35"/>
  </w:num>
  <w:num w:numId="42" w16cid:durableId="2052607731">
    <w:abstractNumId w:val="6"/>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47A0"/>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5F1B"/>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BC2"/>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C69"/>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83547"/>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5023"/>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57A2"/>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uiPriority w:val="99"/>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75709648">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71910025">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16575723">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51743516">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26971384">
      <w:bodyDiv w:val="1"/>
      <w:marLeft w:val="0"/>
      <w:marRight w:val="0"/>
      <w:marTop w:val="0"/>
      <w:marBottom w:val="0"/>
      <w:divBdr>
        <w:top w:val="none" w:sz="0" w:space="0" w:color="auto"/>
        <w:left w:val="none" w:sz="0" w:space="0" w:color="auto"/>
        <w:bottom w:val="none" w:sz="0" w:space="0" w:color="auto"/>
        <w:right w:val="none" w:sz="0" w:space="0" w:color="auto"/>
      </w:divBdr>
    </w:div>
    <w:div w:id="1141270339">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05702241">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403066741">
      <w:bodyDiv w:val="1"/>
      <w:marLeft w:val="0"/>
      <w:marRight w:val="0"/>
      <w:marTop w:val="0"/>
      <w:marBottom w:val="0"/>
      <w:divBdr>
        <w:top w:val="none" w:sz="0" w:space="0" w:color="auto"/>
        <w:left w:val="none" w:sz="0" w:space="0" w:color="auto"/>
        <w:bottom w:val="none" w:sz="0" w:space="0" w:color="auto"/>
        <w:right w:val="none" w:sz="0" w:space="0" w:color="auto"/>
      </w:divBdr>
    </w:div>
    <w:div w:id="1413357777">
      <w:bodyDiv w:val="1"/>
      <w:marLeft w:val="0"/>
      <w:marRight w:val="0"/>
      <w:marTop w:val="0"/>
      <w:marBottom w:val="0"/>
      <w:divBdr>
        <w:top w:val="none" w:sz="0" w:space="0" w:color="auto"/>
        <w:left w:val="none" w:sz="0" w:space="0" w:color="auto"/>
        <w:bottom w:val="none" w:sz="0" w:space="0" w:color="auto"/>
        <w:right w:val="none" w:sz="0" w:space="0" w:color="auto"/>
      </w:divBdr>
    </w:div>
    <w:div w:id="1545287764">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23147418">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57697725">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01817722">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5.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6.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6645</Words>
  <Characters>35789</Characters>
  <Application>Microsoft Office Word</Application>
  <DocSecurity>0</DocSecurity>
  <Lines>298</Lines>
  <Paragraphs>84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42350</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Elguea Palacios, Jesus</cp:lastModifiedBy>
  <cp:revision>2</cp:revision>
  <cp:lastPrinted>2015-02-18T11:01:00Z</cp:lastPrinted>
  <dcterms:created xsi:type="dcterms:W3CDTF">2025-01-16T09:59:00Z</dcterms:created>
  <dcterms:modified xsi:type="dcterms:W3CDTF">2025-01-16T09:59:00Z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