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footerReference w:type="even" r:id="rId25"/>
          <w:footerReference w:type="default" r:id="rId26"/>
          <w:headerReference w:type="first" r:id="rId27"/>
          <w:footerReference w:type="first" r:id="rId28"/>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301E26E7" w:rsidR="00C2682A" w:rsidRPr="00104E00" w:rsidRDefault="00410305" w:rsidP="00104E00">
                <w:pPr>
                  <w:jc w:val="left"/>
                  <w:rPr>
                    <w:rStyle w:val="PlaceholderText"/>
                  </w:rPr>
                </w:pPr>
                <w:r>
                  <w:rPr>
                    <w:rStyle w:val="PlaceholderText"/>
                  </w:rPr>
                  <w:t>Euronext</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6820F3EA"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410305">
                  <w:t>Regulated markets/Exchanges/Trading Systems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0A09DA1E" w:rsidR="00C2682A" w:rsidRPr="00104E00" w:rsidRDefault="00410305" w:rsidP="00104E00">
                <w:pPr>
                  <w:jc w:val="left"/>
                </w:pPr>
                <w:r>
                  <w:t>Europe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5A470BE8" w14:textId="77777777" w:rsidR="00410305" w:rsidRDefault="00410305" w:rsidP="00410305">
      <w:pPr>
        <w:rPr>
          <w:rFonts w:ascii="Verdana" w:hAnsi="Verdana"/>
          <w:sz w:val="20"/>
        </w:rPr>
      </w:pPr>
      <w:r w:rsidRPr="00930087">
        <w:rPr>
          <w:rFonts w:ascii="Verdana" w:hAnsi="Verdana"/>
          <w:sz w:val="20"/>
        </w:rPr>
        <w:t xml:space="preserve">In general, </w:t>
      </w:r>
      <w:r>
        <w:rPr>
          <w:rFonts w:ascii="Verdana" w:hAnsi="Verdana"/>
          <w:sz w:val="20"/>
        </w:rPr>
        <w:t>Euronext</w:t>
      </w:r>
      <w:r w:rsidRPr="00930087">
        <w:rPr>
          <w:rFonts w:ascii="Verdana" w:hAnsi="Verdana"/>
          <w:sz w:val="20"/>
        </w:rPr>
        <w:t xml:space="preserve"> agree</w:t>
      </w:r>
      <w:r>
        <w:rPr>
          <w:rFonts w:ascii="Verdana" w:hAnsi="Verdana"/>
          <w:sz w:val="20"/>
        </w:rPr>
        <w:t>s</w:t>
      </w:r>
      <w:r w:rsidRPr="00930087">
        <w:rPr>
          <w:rFonts w:ascii="Verdana" w:hAnsi="Verdana"/>
          <w:sz w:val="20"/>
        </w:rPr>
        <w:t xml:space="preserve"> with the objective of </w:t>
      </w:r>
      <w:r>
        <w:rPr>
          <w:rFonts w:ascii="Verdana" w:hAnsi="Verdana"/>
          <w:sz w:val="20"/>
        </w:rPr>
        <w:t xml:space="preserve">the </w:t>
      </w:r>
      <w:r w:rsidRPr="00930087">
        <w:rPr>
          <w:rFonts w:ascii="Verdana" w:hAnsi="Verdana"/>
          <w:sz w:val="20"/>
        </w:rPr>
        <w:t>expan</w:t>
      </w:r>
      <w:r>
        <w:rPr>
          <w:rFonts w:ascii="Verdana" w:hAnsi="Verdana"/>
          <w:sz w:val="20"/>
        </w:rPr>
        <w:t xml:space="preserve">sion of this regime </w:t>
      </w:r>
      <w:r w:rsidRPr="00930087">
        <w:rPr>
          <w:rFonts w:ascii="Verdana" w:hAnsi="Verdana"/>
          <w:sz w:val="20"/>
        </w:rPr>
        <w:t>to a larger number of OTC derivatives instruments, and we appreciate the intent to rationalise the content of the information that is required across the board for the purposes of the various regulations that are currently in effect and require reporting.</w:t>
      </w:r>
    </w:p>
    <w:p w14:paraId="62CCD8E6" w14:textId="70C8969D" w:rsidR="006B5DF1" w:rsidRDefault="006B5DF1" w:rsidP="00410305">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565366AD" w14:textId="77777777" w:rsidR="00410305" w:rsidRDefault="00410305" w:rsidP="006B5DF1">
      <w:pPr>
        <w:spacing w:after="0"/>
        <w:rPr>
          <w:rFonts w:ascii="Verdana" w:hAnsi="Verdana"/>
          <w:sz w:val="20"/>
        </w:rPr>
      </w:pPr>
      <w:r w:rsidRPr="00930087">
        <w:rPr>
          <w:rFonts w:ascii="Verdana" w:hAnsi="Verdana"/>
          <w:sz w:val="20"/>
        </w:rPr>
        <w:t>Currently, this divergence has not created any practical operational issues for us. As a trading venue, Euronext submits transaction reports for the non-MiFID firms trading on its trading venue to the NCA supervising each trading venue. This setup is stable and does not depend on the MRMTL concept.</w:t>
      </w:r>
    </w:p>
    <w:p w14:paraId="3F6C042F" w14:textId="5422CE5B" w:rsidR="006B5DF1" w:rsidRDefault="006B5DF1" w:rsidP="006B5DF1">
      <w:pPr>
        <w:spacing w:after="0"/>
      </w:pPr>
      <w:r>
        <w:lastRenderedPageBreak/>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A44CA45" w14:textId="77777777" w:rsidR="00410305" w:rsidRDefault="00410305" w:rsidP="00410305">
      <w:pPr>
        <w:spacing w:after="0"/>
        <w:rPr>
          <w:rFonts w:ascii="Verdana" w:hAnsi="Verdana"/>
          <w:sz w:val="20"/>
        </w:rPr>
      </w:pPr>
      <w:permStart w:id="1954616897" w:edGrp="everyone"/>
      <w:r w:rsidRPr="00930087">
        <w:rPr>
          <w:rFonts w:ascii="Verdana" w:hAnsi="Verdana"/>
          <w:sz w:val="20"/>
        </w:rPr>
        <w:t>See our response to Q. 2 regarding the impact on Euronext operations.</w:t>
      </w:r>
      <w:r>
        <w:rPr>
          <w:rFonts w:ascii="Verdana" w:hAnsi="Verdana"/>
          <w:color w:val="000000"/>
          <w:sz w:val="20"/>
        </w:rPr>
        <w:t xml:space="preserve"> </w:t>
      </w:r>
      <w:r w:rsidRPr="004B1771">
        <w:rPr>
          <w:rFonts w:ascii="Verdana" w:hAnsi="Verdana"/>
          <w:sz w:val="20"/>
        </w:rPr>
        <w:t>We believe trading venues should continue to report on behalf of the Non</w:t>
      </w:r>
      <w:r>
        <w:rPr>
          <w:rFonts w:ascii="Verdana" w:hAnsi="Verdana"/>
          <w:sz w:val="20"/>
        </w:rPr>
        <w:t>-</w:t>
      </w:r>
      <w:r w:rsidRPr="004B1771">
        <w:rPr>
          <w:rFonts w:ascii="Verdana" w:hAnsi="Verdana"/>
          <w:sz w:val="20"/>
        </w:rPr>
        <w:t>Mi</w:t>
      </w:r>
      <w:r>
        <w:rPr>
          <w:rFonts w:ascii="Verdana" w:hAnsi="Verdana"/>
          <w:sz w:val="20"/>
        </w:rPr>
        <w:t>FID</w:t>
      </w:r>
      <w:r w:rsidRPr="004B1771">
        <w:rPr>
          <w:rFonts w:ascii="Verdana" w:hAnsi="Verdana"/>
          <w:sz w:val="20"/>
        </w:rPr>
        <w:t xml:space="preserve"> Member</w:t>
      </w:r>
      <w:r>
        <w:rPr>
          <w:rFonts w:ascii="Verdana" w:hAnsi="Verdana"/>
          <w:sz w:val="20"/>
        </w:rPr>
        <w:t>s</w:t>
      </w:r>
      <w:r w:rsidRPr="004B1771">
        <w:rPr>
          <w:rFonts w:ascii="Verdana" w:hAnsi="Verdana"/>
          <w:sz w:val="20"/>
        </w:rPr>
        <w:t xml:space="preserve"> to the NCA supervising each trading venue; otherwise additional complexity will be introduced for no apparent reason.</w:t>
      </w:r>
      <w:r w:rsidRPr="00930087">
        <w:rPr>
          <w:rFonts w:ascii="Verdana" w:hAnsi="Verdana"/>
          <w:sz w:val="20"/>
        </w:rPr>
        <w:t xml:space="preserve"> </w:t>
      </w:r>
      <w:r>
        <w:rPr>
          <w:rFonts w:ascii="Verdana" w:hAnsi="Verdana"/>
          <w:sz w:val="20"/>
        </w:rPr>
        <w:t xml:space="preserve">In addition, </w:t>
      </w:r>
      <w:r w:rsidRPr="002E5C09">
        <w:rPr>
          <w:rFonts w:ascii="Verdana" w:hAnsi="Verdana"/>
          <w:sz w:val="20"/>
        </w:rPr>
        <w:t>there is clear merit in keeping the RCA of the venue of admission for the sake of data quality.</w:t>
      </w:r>
    </w:p>
    <w:p w14:paraId="3C10A57D" w14:textId="77777777" w:rsidR="00410305" w:rsidRDefault="00410305" w:rsidP="00410305">
      <w:pPr>
        <w:spacing w:after="0"/>
        <w:rPr>
          <w:rFonts w:ascii="Verdana" w:hAnsi="Verdana"/>
          <w:sz w:val="20"/>
        </w:rPr>
      </w:pPr>
    </w:p>
    <w:p w14:paraId="65A97FF4" w14:textId="1EFBF32C" w:rsidR="00410305" w:rsidRDefault="00410305" w:rsidP="00410305">
      <w:pPr>
        <w:spacing w:after="0"/>
        <w:rPr>
          <w:rFonts w:ascii="Verdana" w:hAnsi="Verdana"/>
          <w:sz w:val="20"/>
        </w:rPr>
      </w:pPr>
      <w:r>
        <w:rPr>
          <w:rFonts w:ascii="Verdana" w:hAnsi="Verdana"/>
          <w:sz w:val="20"/>
        </w:rPr>
        <w:t xml:space="preserve">As an alternative, we suggest ESMA </w:t>
      </w:r>
      <w:r>
        <w:rPr>
          <w:rFonts w:ascii="Verdana" w:hAnsi="Verdana"/>
          <w:sz w:val="20"/>
        </w:rPr>
        <w:t>c</w:t>
      </w:r>
      <w:r>
        <w:rPr>
          <w:rFonts w:ascii="Verdana" w:hAnsi="Verdana"/>
          <w:sz w:val="20"/>
        </w:rPr>
        <w:t xml:space="preserve">ould consider some more fundamental changes to the approach to RTS22, and instead of requiring entities to report to individual NCAs, it would be more efficient and streamlined if these reports were submitted directly to a central hub, such as ESMA, and that each NCA can then retrieve the required information. The need for a centralised system here is clear and would significantly reduce issues with respect to information exchanges between entities and different NCAs, and indeed between NCAs themselves. </w:t>
      </w:r>
    </w:p>
    <w:p w14:paraId="329EA1C9" w14:textId="77777777" w:rsidR="00410305" w:rsidRDefault="00410305" w:rsidP="00410305">
      <w:pPr>
        <w:spacing w:after="0"/>
        <w:rPr>
          <w:rFonts w:ascii="Verdana" w:hAnsi="Verdana"/>
          <w:sz w:val="20"/>
        </w:rPr>
      </w:pPr>
    </w:p>
    <w:p w14:paraId="77F1B8FD" w14:textId="34D6EB4C" w:rsidR="006B5DF1" w:rsidRPr="00410305" w:rsidRDefault="00410305" w:rsidP="006B5DF1">
      <w:pPr>
        <w:spacing w:after="0"/>
        <w:rPr>
          <w:rFonts w:ascii="Verdana" w:hAnsi="Verdana"/>
          <w:sz w:val="20"/>
        </w:rPr>
      </w:pPr>
      <w:r>
        <w:rPr>
          <w:rFonts w:ascii="Verdana" w:hAnsi="Verdana"/>
          <w:sz w:val="20"/>
        </w:rPr>
        <w:t xml:space="preserve">A similar approach could be taken with regard to RTS24 and this would also address concerns arising from the new Cross </w:t>
      </w:r>
      <w:r>
        <w:rPr>
          <w:rFonts w:ascii="Verdana" w:hAnsi="Verdana"/>
          <w:sz w:val="20"/>
        </w:rPr>
        <w:t xml:space="preserve">Market </w:t>
      </w:r>
      <w:r>
        <w:rPr>
          <w:rFonts w:ascii="Verdana" w:hAnsi="Verdana"/>
          <w:sz w:val="20"/>
        </w:rPr>
        <w:t xml:space="preserve">Order Surveillance Mechanism set out in </w:t>
      </w:r>
      <w:r w:rsidR="005A30BC">
        <w:rPr>
          <w:rFonts w:ascii="Verdana" w:hAnsi="Verdana"/>
          <w:sz w:val="20"/>
        </w:rPr>
        <w:t xml:space="preserve">the </w:t>
      </w:r>
      <w:r>
        <w:rPr>
          <w:rFonts w:ascii="Verdana" w:hAnsi="Verdana"/>
          <w:sz w:val="20"/>
        </w:rPr>
        <w:t>Listing Act changes to MAR as it is critical that this does not lead to duplicative and additional reporting requirements for trading venues; and it seems the issue that needs to be addressed  generally relates to the exchange of information between NCAs. We believe a central hub for this information would solve this issue.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lastRenderedPageBreak/>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727E1178" w14:textId="77777777" w:rsidR="00410305" w:rsidRPr="00C845FE" w:rsidRDefault="00410305" w:rsidP="00410305">
      <w:pPr>
        <w:spacing w:after="120"/>
      </w:pPr>
      <w:permStart w:id="911233410" w:edGrp="everyone"/>
      <w:r w:rsidRPr="00930087">
        <w:rPr>
          <w:rFonts w:ascii="Verdana" w:hAnsi="Verdana"/>
          <w:sz w:val="20"/>
        </w:rPr>
        <w:t>Yes, this seems a reasonable approach. Euronext is supportive of the proposed methodology, given its simplicity and consistency with the approach proposed for the transparency regime.</w:t>
      </w:r>
      <w:r w:rsidRPr="00516E47">
        <w:t xml:space="preserve"> </w:t>
      </w:r>
      <w:r>
        <w:rPr>
          <w:rFonts w:ascii="Verdana" w:hAnsi="Verdana"/>
          <w:sz w:val="20"/>
        </w:rPr>
        <w:t>We would also point out</w:t>
      </w:r>
      <w:r w:rsidRPr="00014B8C">
        <w:rPr>
          <w:rFonts w:ascii="Verdana" w:hAnsi="Verdana"/>
          <w:sz w:val="20"/>
        </w:rPr>
        <w:t xml:space="preserve">, as referenced in our response to </w:t>
      </w:r>
      <w:r>
        <w:rPr>
          <w:rFonts w:ascii="Verdana" w:hAnsi="Verdana"/>
          <w:sz w:val="20"/>
        </w:rPr>
        <w:t xml:space="preserve">the </w:t>
      </w:r>
      <w:r w:rsidRPr="00014B8C">
        <w:rPr>
          <w:rFonts w:ascii="Verdana" w:hAnsi="Verdana"/>
          <w:sz w:val="20"/>
        </w:rPr>
        <w:t xml:space="preserve">consultations on RTS1 and RTS23, that initial admission to trading can take place on both regulated markets and MTFs (e.g. SME GMs); therefore, we believe there is no need to differentiate between the two. </w:t>
      </w:r>
      <w:r>
        <w:rPr>
          <w:rFonts w:ascii="Verdana" w:hAnsi="Verdana"/>
          <w:sz w:val="20"/>
        </w:rPr>
        <w:t>The</w:t>
      </w:r>
      <w:r w:rsidRPr="00014B8C">
        <w:rPr>
          <w:rFonts w:ascii="Verdana" w:hAnsi="Verdana"/>
          <w:sz w:val="20"/>
        </w:rPr>
        <w:t xml:space="preserve"> new field 6b in RTS 23 (i.e., “venue of first admission to trading”) </w:t>
      </w:r>
      <w:r>
        <w:rPr>
          <w:rFonts w:ascii="Verdana" w:hAnsi="Verdana"/>
          <w:sz w:val="20"/>
        </w:rPr>
        <w:t xml:space="preserve">needs </w:t>
      </w:r>
      <w:r w:rsidRPr="00014B8C">
        <w:rPr>
          <w:rFonts w:ascii="Verdana" w:hAnsi="Verdana"/>
          <w:sz w:val="20"/>
        </w:rPr>
        <w:t xml:space="preserve">to </w:t>
      </w:r>
      <w:r>
        <w:rPr>
          <w:rFonts w:ascii="Verdana" w:hAnsi="Verdana"/>
          <w:sz w:val="20"/>
        </w:rPr>
        <w:t>incorporate both</w:t>
      </w:r>
      <w:r w:rsidRPr="00014B8C">
        <w:rPr>
          <w:rFonts w:ascii="Verdana" w:hAnsi="Verdana"/>
          <w:sz w:val="20"/>
        </w:rPr>
        <w:t>. This would allow field 6b, along with field 11 (i.e., “date and time of admission to trading or date of first trade”), to be utilised in determining the MRMTL when there is no sufficient data to calculate the turnover. When it is newly listed, the focus should also be on where the issuer has specifically requested the security to be admitted.</w:t>
      </w:r>
    </w:p>
    <w:p w14:paraId="69711A8F" w14:textId="77777777" w:rsidR="00410305" w:rsidRPr="001A158B" w:rsidRDefault="00410305" w:rsidP="00410305">
      <w:pPr>
        <w:spacing w:after="120"/>
        <w:rPr>
          <w:rFonts w:ascii="Verdana" w:hAnsi="Verdana"/>
          <w:sz w:val="20"/>
        </w:rPr>
      </w:pPr>
      <w:r>
        <w:rPr>
          <w:rFonts w:ascii="Verdana" w:hAnsi="Verdana"/>
          <w:sz w:val="20"/>
        </w:rPr>
        <w:t>In addition we would like to</w:t>
      </w:r>
      <w:r w:rsidRPr="001A158B">
        <w:rPr>
          <w:rFonts w:ascii="Verdana" w:hAnsi="Verdana"/>
          <w:sz w:val="20"/>
        </w:rPr>
        <w:t xml:space="preserve"> highlight that new ISINs can also arise from listings that are not IPOs, such as mergers and splits, and other corporate actions. In these cases, it is important to establish a clear link between the old and new ISINs to help ESMA ensure continuity with the MRMTL before the corporate action.</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 xml:space="preserve">Do you agree with the proposed RCA determination rules for the derivative contracts falling under Article 8a(2) of </w:t>
      </w:r>
      <w:proofErr w:type="spellStart"/>
      <w:r>
        <w:t>MiFIR</w:t>
      </w:r>
      <w:proofErr w:type="spellEnd"/>
      <w:r>
        <w:t>?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D7D035E" w14:textId="77777777" w:rsidR="00410305" w:rsidRDefault="00410305" w:rsidP="00410305">
      <w:pPr>
        <w:rPr>
          <w:rFonts w:ascii="Verdana" w:hAnsi="Verdana"/>
          <w:sz w:val="20"/>
        </w:rPr>
      </w:pPr>
      <w:permStart w:id="387008066" w:edGrp="everyone"/>
      <w:r w:rsidRPr="00930087">
        <w:rPr>
          <w:rFonts w:ascii="Verdana" w:hAnsi="Verdana"/>
          <w:sz w:val="20"/>
        </w:rPr>
        <w:t xml:space="preserve">Please refer to </w:t>
      </w:r>
      <w:r>
        <w:rPr>
          <w:rFonts w:ascii="Verdana" w:hAnsi="Verdana"/>
          <w:sz w:val="20"/>
        </w:rPr>
        <w:t xml:space="preserve">our </w:t>
      </w:r>
      <w:r w:rsidRPr="00930087">
        <w:rPr>
          <w:rFonts w:ascii="Verdana" w:hAnsi="Verdana"/>
          <w:sz w:val="20"/>
        </w:rPr>
        <w:t>response to Q</w:t>
      </w:r>
      <w:r>
        <w:rPr>
          <w:rFonts w:ascii="Verdana" w:hAnsi="Verdana"/>
          <w:sz w:val="20"/>
        </w:rPr>
        <w:t xml:space="preserve">.2 </w:t>
      </w:r>
      <w:r w:rsidRPr="00930087">
        <w:rPr>
          <w:rFonts w:ascii="Verdana" w:hAnsi="Verdana"/>
          <w:sz w:val="20"/>
        </w:rPr>
        <w:t>.</w:t>
      </w:r>
    </w:p>
    <w:permEnd w:id="387008066"/>
    <w:p w14:paraId="708B068B" w14:textId="3D1FF168" w:rsidR="006B5DF1" w:rsidRDefault="006B5DF1" w:rsidP="00410305">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6FEE4A1B" w:rsidR="006B5DF1" w:rsidRDefault="00410305" w:rsidP="006B5DF1">
      <w:pPr>
        <w:spacing w:after="0"/>
      </w:pPr>
      <w:permStart w:id="147727742" w:edGrp="everyone"/>
      <w:r w:rsidRPr="00930087">
        <w:rPr>
          <w:rFonts w:ascii="Verdana" w:hAnsi="Verdana"/>
          <w:sz w:val="20"/>
        </w:rPr>
        <w:t>Regarding index derivatives, the proposal is acceptable</w:t>
      </w:r>
      <w:r>
        <w:rPr>
          <w:rFonts w:ascii="Verdana" w:hAnsi="Verdana"/>
          <w:sz w:val="20"/>
        </w:rPr>
        <w:t xml:space="preserve"> as long as it does not result in issues that could increase costs and complexity</w:t>
      </w:r>
      <w:r>
        <w:rPr>
          <w:rFonts w:ascii="Verdana" w:hAnsi="Verdana"/>
          <w:sz w:val="20"/>
        </w:rPr>
        <w:t>.</w:t>
      </w:r>
      <w:r>
        <w:t xml:space="preserve"> </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1A2C3756" w14:textId="08956D1C" w:rsidR="00410305" w:rsidRDefault="00410305" w:rsidP="00410305">
      <w:pPr>
        <w:rPr>
          <w:rFonts w:ascii="Verdana" w:hAnsi="Verdana"/>
          <w:sz w:val="20"/>
        </w:rPr>
      </w:pPr>
      <w:permStart w:id="1395752143" w:edGrp="everyone"/>
      <w:r w:rsidRPr="00930087">
        <w:rPr>
          <w:rFonts w:ascii="Verdana" w:hAnsi="Verdana"/>
          <w:sz w:val="20"/>
        </w:rPr>
        <w:t xml:space="preserve">We have understood that ESMA is considering to require the intended Settlement Date to be populated in the new “Effective Date” field to capture the intended Settlement Date of the transaction. If this is the expectation, </w:t>
      </w:r>
      <w:r>
        <w:rPr>
          <w:rFonts w:ascii="Verdana" w:hAnsi="Verdana"/>
          <w:sz w:val="20"/>
        </w:rPr>
        <w:t xml:space="preserve">it would be clearer to capture the intended Settlement Date in a dedicated field; or at the very least </w:t>
      </w:r>
      <w:r w:rsidRPr="00930087">
        <w:rPr>
          <w:rFonts w:ascii="Verdana" w:hAnsi="Verdana"/>
          <w:sz w:val="20"/>
        </w:rPr>
        <w:t>this requirement should be explicitly specified in the updated RTS 22 Annex to provide regulatory certainty to reporting firms of the information they should report.</w:t>
      </w:r>
    </w:p>
    <w:p w14:paraId="2EDCCE1B" w14:textId="54A7F140" w:rsidR="006B5DF1" w:rsidRDefault="00410305" w:rsidP="00410305">
      <w:r>
        <w:rPr>
          <w:rFonts w:ascii="Verdana" w:hAnsi="Verdana"/>
          <w:sz w:val="20"/>
        </w:rPr>
        <w:t>It should be noted that t</w:t>
      </w:r>
      <w:r w:rsidRPr="00930087">
        <w:rPr>
          <w:rFonts w:ascii="Verdana" w:hAnsi="Verdana"/>
          <w:sz w:val="20"/>
        </w:rPr>
        <w:t>he concept of “effective date” is not applicable to some asset classes, such as bonds</w:t>
      </w:r>
      <w:r>
        <w:rPr>
          <w:rFonts w:ascii="Verdana" w:hAnsi="Verdana"/>
          <w:sz w:val="20"/>
        </w:rPr>
        <w:t>,</w:t>
      </w:r>
      <w:r w:rsidRPr="00930087">
        <w:rPr>
          <w:rFonts w:ascii="Verdana" w:hAnsi="Verdana"/>
          <w:sz w:val="20"/>
        </w:rPr>
        <w:t xml:space="preserve"> equities</w:t>
      </w:r>
      <w:r>
        <w:rPr>
          <w:rFonts w:ascii="Verdana" w:hAnsi="Verdana"/>
          <w:sz w:val="20"/>
        </w:rPr>
        <w:t xml:space="preserve"> and equity derivatives</w:t>
      </w:r>
      <w:r w:rsidRPr="00930087">
        <w:rPr>
          <w:rFonts w:ascii="Verdana" w:hAnsi="Verdana"/>
          <w:sz w:val="20"/>
        </w:rPr>
        <w:t>.</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2667B3D2" w14:textId="3D9BE046" w:rsidR="00410305" w:rsidRPr="00930087" w:rsidRDefault="00410305" w:rsidP="00410305">
      <w:pPr>
        <w:rPr>
          <w:rFonts w:ascii="Verdana" w:hAnsi="Verdana"/>
          <w:sz w:val="20"/>
        </w:rPr>
      </w:pPr>
      <w:permStart w:id="1354110368" w:edGrp="everyone"/>
      <w:r>
        <w:lastRenderedPageBreak/>
        <w:t xml:space="preserve">Euronext </w:t>
      </w:r>
      <w:r w:rsidRPr="00930087">
        <w:rPr>
          <w:rFonts w:ascii="Verdana" w:hAnsi="Verdana"/>
          <w:sz w:val="20"/>
        </w:rPr>
        <w:t>do</w:t>
      </w:r>
      <w:r>
        <w:rPr>
          <w:rFonts w:ascii="Verdana" w:hAnsi="Verdana"/>
          <w:sz w:val="20"/>
        </w:rPr>
        <w:t>es</w:t>
      </w:r>
      <w:r w:rsidRPr="00930087">
        <w:rPr>
          <w:rFonts w:ascii="Verdana" w:hAnsi="Verdana"/>
          <w:sz w:val="20"/>
        </w:rPr>
        <w:t xml:space="preserve"> not agree with using different rules of how to interpret the effective date for different asset classes. While we understand the logic of requiring this for securities such as swaps, we question the need for this field for the likes of shares. </w:t>
      </w:r>
    </w:p>
    <w:p w14:paraId="736A4E7C" w14:textId="77777777" w:rsidR="00410305" w:rsidRPr="00930087" w:rsidRDefault="00410305" w:rsidP="00410305">
      <w:pPr>
        <w:rPr>
          <w:rFonts w:ascii="Verdana" w:hAnsi="Verdana"/>
          <w:sz w:val="20"/>
        </w:rPr>
      </w:pPr>
      <w:r w:rsidRPr="00930087">
        <w:rPr>
          <w:rFonts w:ascii="Verdana" w:hAnsi="Verdana"/>
          <w:sz w:val="20"/>
        </w:rPr>
        <w:t xml:space="preserve">There is a concern that this could cause confusion with the legal interpretation of when a transaction in a share is executed, as this is different to the intended settlement date. </w:t>
      </w:r>
    </w:p>
    <w:p w14:paraId="1E3F044C" w14:textId="1FF7AB22" w:rsidR="006B5DF1" w:rsidRDefault="00410305" w:rsidP="006B5DF1">
      <w:pPr>
        <w:spacing w:after="0"/>
      </w:pPr>
      <w:r w:rsidRPr="00930087">
        <w:rPr>
          <w:rFonts w:ascii="Verdana" w:hAnsi="Verdana"/>
          <w:sz w:val="20"/>
        </w:rPr>
        <w:t xml:space="preserve">For all transactions in shares executed on the Euronext equity trading venues (including pre-arranged transactions reported to the trading venue under a </w:t>
      </w:r>
      <w:proofErr w:type="spellStart"/>
      <w:r w:rsidRPr="00930087">
        <w:rPr>
          <w:rFonts w:ascii="Verdana" w:hAnsi="Verdana"/>
          <w:sz w:val="20"/>
        </w:rPr>
        <w:t>MiFIR</w:t>
      </w:r>
      <w:proofErr w:type="spellEnd"/>
      <w:r w:rsidRPr="00930087">
        <w:rPr>
          <w:rFonts w:ascii="Verdana" w:hAnsi="Verdana"/>
          <w:sz w:val="20"/>
        </w:rPr>
        <w:t xml:space="preserve"> ‘negotiated trade’ waiver), according to the Euronext market rules, the obligations for the executing counterparties of the transaction become effective from the moment when the transaction is executed in the trading venue, according to the rules of the trading venue, and consequently it is immediately reported back to the involved counterparties. This date is already reported as part of the field ‘Trading date time’ and for this reason, in order to avoid duplications, we would not support the inclusion of a new field. In case, on the other side, the intention is to capture the effective settlement date of the transaction, </w:t>
      </w:r>
      <w:r>
        <w:rPr>
          <w:rFonts w:ascii="Verdana" w:hAnsi="Verdana"/>
          <w:sz w:val="20"/>
        </w:rPr>
        <w:t xml:space="preserve">it would be clearer to capture the intended Settlement Date in a dedicated field; or at the very least this requirement should be explicitly specified in the updated RTS 22 Annex to provide regulatory certainty to reporting firms of the information they should report. </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2FDA7C0F" w14:textId="1672D059" w:rsidR="006B5DF1" w:rsidRDefault="00410305" w:rsidP="006B5DF1">
      <w:pPr>
        <w:spacing w:after="0"/>
      </w:pPr>
      <w:permStart w:id="791629733" w:edGrp="everyone"/>
      <w:r w:rsidRPr="00930087">
        <w:rPr>
          <w:rFonts w:ascii="Verdana" w:hAnsi="Verdana"/>
          <w:sz w:val="20"/>
        </w:rPr>
        <w:t xml:space="preserve">Yes, we see this information as useful to handle potential technical or data quality issues in a more efficient way, highlighting all entities involved in the chain related to the provision of information, production of the transaction reports, and submission of the transaction reports to the NCA. </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lastRenderedPageBreak/>
        <w:t>&lt;ESMA_QUESTION_</w:t>
      </w:r>
      <w:r w:rsidR="00DF3781">
        <w:t>RTS2224</w:t>
      </w:r>
      <w:r>
        <w:t>_</w:t>
      </w:r>
      <w:r w:rsidR="003E7313">
        <w:t>11</w:t>
      </w:r>
      <w:r>
        <w:t>&gt;</w:t>
      </w:r>
    </w:p>
    <w:p w14:paraId="7ADFE5BA" w14:textId="1ECA7E6F" w:rsidR="00410305" w:rsidRPr="00930087" w:rsidRDefault="00410305" w:rsidP="00410305">
      <w:pPr>
        <w:spacing w:after="0"/>
        <w:rPr>
          <w:rFonts w:ascii="Verdana" w:hAnsi="Verdana"/>
          <w:sz w:val="20"/>
        </w:rPr>
      </w:pPr>
      <w:permStart w:id="1475742058" w:edGrp="everyone"/>
      <w:proofErr w:type="spellStart"/>
      <w:r>
        <w:t>Euroenxt</w:t>
      </w:r>
      <w:proofErr w:type="spellEnd"/>
      <w:r w:rsidRPr="005E5B6E">
        <w:rPr>
          <w:rFonts w:ascii="Verdana" w:hAnsi="Verdana"/>
          <w:sz w:val="20"/>
        </w:rPr>
        <w:t xml:space="preserve"> agree</w:t>
      </w:r>
      <w:r>
        <w:rPr>
          <w:rFonts w:ascii="Verdana" w:hAnsi="Verdana"/>
          <w:sz w:val="20"/>
        </w:rPr>
        <w:t>s</w:t>
      </w:r>
      <w:r w:rsidRPr="00930087">
        <w:rPr>
          <w:rFonts w:ascii="Verdana" w:hAnsi="Verdana"/>
          <w:sz w:val="20"/>
        </w:rPr>
        <w:t xml:space="preserve"> with this assessment. All transactions executed under the rules of a trading venue should be associated with a unique TVTIC (per day and MIC code).</w:t>
      </w:r>
    </w:p>
    <w:p w14:paraId="4D9A2C25" w14:textId="5961234B" w:rsidR="006B5DF1" w:rsidRDefault="00410305" w:rsidP="006B5DF1">
      <w:pPr>
        <w:spacing w:after="0"/>
      </w:pPr>
      <w:r w:rsidRPr="00930087">
        <w:rPr>
          <w:rFonts w:ascii="Verdana" w:hAnsi="Verdana"/>
          <w:sz w:val="20"/>
        </w:rPr>
        <w:t>Euronext already provides a TVTIC for negotiated trades reported under the rules of its trading venues.</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429142F5" w14:textId="4D0A7553" w:rsidR="00410305" w:rsidRPr="00930087" w:rsidRDefault="00410305" w:rsidP="00410305">
      <w:pPr>
        <w:rPr>
          <w:rFonts w:ascii="Verdana" w:hAnsi="Verdana"/>
          <w:sz w:val="20"/>
        </w:rPr>
      </w:pPr>
      <w:permStart w:id="368387494" w:edGrp="everyone"/>
      <w:r>
        <w:rPr>
          <w:rFonts w:ascii="Verdana" w:hAnsi="Verdana"/>
          <w:sz w:val="20"/>
        </w:rPr>
        <w:t>Euronext</w:t>
      </w:r>
      <w:r w:rsidRPr="00930087">
        <w:rPr>
          <w:rFonts w:ascii="Verdana" w:hAnsi="Verdana"/>
          <w:sz w:val="20"/>
        </w:rPr>
        <w:t xml:space="preserve"> agree</w:t>
      </w:r>
      <w:r>
        <w:rPr>
          <w:rFonts w:ascii="Verdana" w:hAnsi="Verdana"/>
          <w:sz w:val="20"/>
        </w:rPr>
        <w:t>s</w:t>
      </w:r>
      <w:r w:rsidRPr="00930087">
        <w:rPr>
          <w:rFonts w:ascii="Verdana" w:hAnsi="Verdana"/>
          <w:sz w:val="20"/>
        </w:rPr>
        <w:t xml:space="preserve"> that the TVTIC should be a mandatory field when an EEA MIC is reported.</w:t>
      </w:r>
    </w:p>
    <w:p w14:paraId="4AB78DDC" w14:textId="359B5AC4" w:rsidR="006B5DF1" w:rsidRDefault="00410305" w:rsidP="006B5DF1">
      <w:pPr>
        <w:spacing w:after="0"/>
      </w:pPr>
      <w:r>
        <w:rPr>
          <w:rFonts w:ascii="Verdana" w:hAnsi="Verdana"/>
          <w:sz w:val="20"/>
        </w:rPr>
        <w:t xml:space="preserve">We are </w:t>
      </w:r>
      <w:r w:rsidRPr="00930087">
        <w:rPr>
          <w:rFonts w:ascii="Verdana" w:hAnsi="Verdana"/>
          <w:sz w:val="20"/>
        </w:rPr>
        <w:t xml:space="preserve">supportive of the proposal through ad hoc validation rules, anytime a MIC code is specified in the transaction report. This is already the </w:t>
      </w:r>
      <w:r>
        <w:rPr>
          <w:rFonts w:ascii="Verdana" w:hAnsi="Verdana"/>
          <w:sz w:val="20"/>
        </w:rPr>
        <w:t xml:space="preserve">case for trading venues that </w:t>
      </w:r>
      <w:r w:rsidRPr="00930087">
        <w:rPr>
          <w:rFonts w:ascii="Verdana" w:hAnsi="Verdana"/>
          <w:sz w:val="20"/>
        </w:rPr>
        <w:t>generate  transaction reports for non-MiFID firms</w:t>
      </w:r>
      <w:r>
        <w:rPr>
          <w:rFonts w:ascii="Verdana" w:hAnsi="Verdana"/>
          <w:sz w:val="20"/>
        </w:rPr>
        <w:t xml:space="preserve">. </w:t>
      </w:r>
      <w:r w:rsidRPr="00930087">
        <w:rPr>
          <w:rFonts w:ascii="Verdana" w:hAnsi="Verdana"/>
          <w:sz w:val="20"/>
        </w:rPr>
        <w:t xml:space="preserve"> Euronext would </w:t>
      </w:r>
      <w:r>
        <w:rPr>
          <w:rFonts w:ascii="Verdana" w:hAnsi="Verdana"/>
          <w:sz w:val="20"/>
        </w:rPr>
        <w:t>suggest however that</w:t>
      </w:r>
      <w:r w:rsidRPr="00930087">
        <w:rPr>
          <w:rFonts w:ascii="Verdana" w:hAnsi="Verdana"/>
          <w:sz w:val="20"/>
        </w:rPr>
        <w:t xml:space="preserve"> regulation should not enforce a specific format for the generation of the TVTIC, </w:t>
      </w:r>
      <w:r>
        <w:rPr>
          <w:rFonts w:ascii="Verdana" w:hAnsi="Verdana"/>
          <w:sz w:val="20"/>
        </w:rPr>
        <w:t xml:space="preserve">and instead should allow </w:t>
      </w:r>
      <w:r w:rsidRPr="00930087">
        <w:rPr>
          <w:rFonts w:ascii="Verdana" w:hAnsi="Verdana"/>
          <w:sz w:val="20"/>
        </w:rPr>
        <w:t>the operator of the trading venue generate a proper TVTIC on the basis of the characteristics of its own trading system’s architecture. Euronext is not</w:t>
      </w:r>
      <w:r>
        <w:rPr>
          <w:rFonts w:ascii="Verdana" w:hAnsi="Verdana"/>
          <w:sz w:val="20"/>
        </w:rPr>
        <w:t xml:space="preserve"> in favour</w:t>
      </w:r>
      <w:r w:rsidRPr="00930087">
        <w:rPr>
          <w:rFonts w:ascii="Verdana" w:hAnsi="Verdana"/>
          <w:sz w:val="20"/>
        </w:rPr>
        <w:t xml:space="preserve"> of mandating “a methodology for generating such a code in an harmonised manner” </w:t>
      </w:r>
      <w:r>
        <w:rPr>
          <w:rFonts w:ascii="Verdana" w:hAnsi="Verdana"/>
          <w:sz w:val="20"/>
        </w:rPr>
        <w:t>as</w:t>
      </w:r>
      <w:r w:rsidRPr="00930087">
        <w:rPr>
          <w:rFonts w:ascii="Verdana" w:hAnsi="Verdana"/>
          <w:sz w:val="20"/>
        </w:rPr>
        <w:t xml:space="preserve"> enforcing a specific format for all trading venues (on top of the general requirement that the TVTIC should be unique, consistent and persistent per MIC and trading day) could create unnecessary IT complexity, without adding specific benefits when considering that the main goal of this indicator is to have a unique trade identifier at the level of a single trading venue. Each trading venue sh</w:t>
      </w:r>
      <w:r>
        <w:rPr>
          <w:rFonts w:ascii="Verdana" w:hAnsi="Verdana"/>
          <w:sz w:val="20"/>
        </w:rPr>
        <w:t>ould</w:t>
      </w:r>
      <w:r w:rsidRPr="00930087">
        <w:rPr>
          <w:rFonts w:ascii="Verdana" w:hAnsi="Verdana"/>
          <w:sz w:val="20"/>
        </w:rPr>
        <w:t xml:space="preserve"> remain responsible to ensure that a proper TVTIC is generated for each of its own MICs, applying the rule that fits be</w:t>
      </w:r>
      <w:r>
        <w:rPr>
          <w:rFonts w:ascii="Verdana" w:hAnsi="Verdana"/>
          <w:sz w:val="20"/>
        </w:rPr>
        <w:t xml:space="preserve">st </w:t>
      </w:r>
      <w:r w:rsidRPr="00930087">
        <w:rPr>
          <w:rFonts w:ascii="Verdana" w:hAnsi="Verdana"/>
          <w:sz w:val="20"/>
        </w:rPr>
        <w:t xml:space="preserve"> with the characteristics of its own systems. </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lastRenderedPageBreak/>
        <w:t>&lt;ESMA_QUESTION_</w:t>
      </w:r>
      <w:r w:rsidR="00DF3781">
        <w:t>RTS2224</w:t>
      </w:r>
      <w:r>
        <w:t>_</w:t>
      </w:r>
      <w:r w:rsidR="003E7313">
        <w:t>13</w:t>
      </w:r>
      <w:r>
        <w:t>&gt;</w:t>
      </w:r>
    </w:p>
    <w:p w14:paraId="115EE3AC" w14:textId="044F6B3E" w:rsidR="004945B9" w:rsidRDefault="004945B9" w:rsidP="004945B9">
      <w:pPr>
        <w:snapToGrid w:val="0"/>
        <w:spacing w:after="120" w:line="240" w:lineRule="auto"/>
        <w:ind w:right="-52" w:hanging="10"/>
        <w:rPr>
          <w:rFonts w:ascii="Verdana" w:hAnsi="Verdana"/>
          <w:sz w:val="20"/>
        </w:rPr>
      </w:pPr>
      <w:permStart w:id="1298809498" w:edGrp="everyone"/>
      <w:r>
        <w:rPr>
          <w:rFonts w:ascii="Verdana" w:hAnsi="Verdana"/>
          <w:sz w:val="20"/>
        </w:rPr>
        <w:t>Please see our response to Q. 12. We do not see the need, nor do we believe ESMA has the mandate, to enforce the provision of a TVTIC field. We also disagree with the need to specify the TVTIC format for non-EEA trading venues. Such a change would likely impact both EEA and non-EEA trading venues due to many trading venue groups operating trading venues both in the EEA and beyond.</w:t>
      </w:r>
    </w:p>
    <w:p w14:paraId="2956AE52" w14:textId="2AF1658A" w:rsidR="006B5DF1" w:rsidRDefault="004945B9" w:rsidP="004945B9">
      <w:pPr>
        <w:snapToGrid w:val="0"/>
        <w:spacing w:after="120" w:line="240" w:lineRule="auto"/>
        <w:ind w:right="-52" w:hanging="10"/>
      </w:pPr>
      <w:r>
        <w:rPr>
          <w:rFonts w:ascii="Verdana" w:hAnsi="Verdana"/>
          <w:sz w:val="20"/>
        </w:rPr>
        <w:t xml:space="preserve">We believe it is unrealistic for ESMA to expect third country trading venues operating outside of EU </w:t>
      </w:r>
      <w:proofErr w:type="spellStart"/>
      <w:r>
        <w:rPr>
          <w:rFonts w:ascii="Verdana" w:hAnsi="Verdana"/>
          <w:sz w:val="20"/>
        </w:rPr>
        <w:t>MiFIR</w:t>
      </w:r>
      <w:proofErr w:type="spellEnd"/>
      <w:r>
        <w:rPr>
          <w:rFonts w:ascii="Verdana" w:hAnsi="Verdana"/>
          <w:sz w:val="20"/>
        </w:rPr>
        <w:t xml:space="preserve"> regime to voluntarily adhere to any kind of </w:t>
      </w:r>
      <w:proofErr w:type="spellStart"/>
      <w:r>
        <w:rPr>
          <w:rFonts w:ascii="Verdana" w:hAnsi="Verdana"/>
          <w:sz w:val="20"/>
        </w:rPr>
        <w:t>MiFIR</w:t>
      </w:r>
      <w:proofErr w:type="spellEnd"/>
      <w:r>
        <w:rPr>
          <w:rFonts w:ascii="Verdana" w:hAnsi="Verdana"/>
          <w:sz w:val="20"/>
        </w:rPr>
        <w:t xml:space="preserve"> TVTIC specification. </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1B005801" w:rsidR="006B5DF1" w:rsidRDefault="004945B9" w:rsidP="004945B9">
      <w:pPr>
        <w:snapToGrid w:val="0"/>
        <w:spacing w:after="120" w:line="240" w:lineRule="auto"/>
        <w:ind w:right="-52" w:hanging="10"/>
      </w:pPr>
      <w:permStart w:id="1859999702" w:edGrp="everyone"/>
      <w:r>
        <w:rPr>
          <w:rFonts w:ascii="Verdana" w:hAnsi="Verdana"/>
          <w:sz w:val="20"/>
        </w:rPr>
        <w:t xml:space="preserve">No, </w:t>
      </w:r>
      <w:r>
        <w:rPr>
          <w:rFonts w:ascii="Verdana" w:hAnsi="Verdana"/>
          <w:sz w:val="20"/>
        </w:rPr>
        <w:t>Euronext</w:t>
      </w:r>
      <w:r>
        <w:rPr>
          <w:rFonts w:ascii="Verdana" w:hAnsi="Verdana"/>
          <w:sz w:val="20"/>
        </w:rPr>
        <w:t xml:space="preserve"> do</w:t>
      </w:r>
      <w:r>
        <w:rPr>
          <w:rFonts w:ascii="Verdana" w:hAnsi="Verdana"/>
          <w:sz w:val="20"/>
        </w:rPr>
        <w:t>es</w:t>
      </w:r>
      <w:r>
        <w:rPr>
          <w:rFonts w:ascii="Verdana" w:hAnsi="Verdana"/>
          <w:sz w:val="20"/>
        </w:rPr>
        <w:t xml:space="preserve"> not agree, for the same reasons as mentioned under Q13. ESMA has no extraterritorial mandate or enforcement power to require a third country trading venue to take responsibility for EU </w:t>
      </w:r>
      <w:proofErr w:type="spellStart"/>
      <w:r>
        <w:rPr>
          <w:rFonts w:ascii="Verdana" w:hAnsi="Verdana"/>
          <w:sz w:val="20"/>
        </w:rPr>
        <w:t>MiFIR</w:t>
      </w:r>
      <w:proofErr w:type="spellEnd"/>
      <w:r>
        <w:rPr>
          <w:rFonts w:ascii="Verdana" w:hAnsi="Verdana"/>
          <w:sz w:val="20"/>
        </w:rPr>
        <w:t xml:space="preserve"> specified TVTIC creation/dissemination.</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Do you have any further comment or suggestion in relation to the definition of a new transaction identification code (TIC) for off venue transactions? Please provide your view for the proposed syntax methodology for creating the TIC based on the already reported fields, or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58025163" w14:textId="77777777" w:rsidR="004945B9" w:rsidRDefault="004945B9" w:rsidP="004945B9">
      <w:pPr>
        <w:rPr>
          <w:rFonts w:ascii="Verdana" w:hAnsi="Verdana"/>
          <w:sz w:val="20"/>
        </w:rPr>
      </w:pPr>
      <w:permStart w:id="1859985972" w:edGrp="everyone"/>
      <w:r w:rsidRPr="00930087">
        <w:rPr>
          <w:rFonts w:ascii="Verdana" w:hAnsi="Verdana"/>
          <w:sz w:val="20"/>
        </w:rPr>
        <w:t xml:space="preserve">This could be helpful for the competent authorities and would align </w:t>
      </w:r>
      <w:proofErr w:type="spellStart"/>
      <w:r w:rsidRPr="00930087">
        <w:rPr>
          <w:rFonts w:ascii="Verdana" w:hAnsi="Verdana"/>
          <w:sz w:val="20"/>
        </w:rPr>
        <w:t>MiFIR</w:t>
      </w:r>
      <w:proofErr w:type="spellEnd"/>
      <w:r w:rsidRPr="00930087">
        <w:rPr>
          <w:rFonts w:ascii="Verdana" w:hAnsi="Verdana"/>
          <w:sz w:val="20"/>
        </w:rPr>
        <w:t xml:space="preserve"> transaction reporting to other EU regulatory reporting regimes such as EMIR and SFTR.</w:t>
      </w:r>
    </w:p>
    <w:permEnd w:id="1859985972"/>
    <w:p w14:paraId="3A64410A" w14:textId="03726E69" w:rsidR="006B5DF1" w:rsidRDefault="006B5DF1" w:rsidP="004945B9">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w:t>
      </w:r>
      <w:r>
        <w:lastRenderedPageBreak/>
        <w:t>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571538BF" w14:textId="77777777" w:rsidR="004945B9" w:rsidRDefault="004945B9" w:rsidP="004945B9">
      <w:pPr>
        <w:spacing w:after="0"/>
      </w:pPr>
      <w:permStart w:id="723863577" w:edGrp="everyone"/>
      <w:r>
        <w:t>TYPE YOUR TEXT HERE</w:t>
      </w:r>
    </w:p>
    <w:permEnd w:id="723863577"/>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5B72F788" w14:textId="61B7DE34" w:rsidR="004945B9" w:rsidRDefault="004945B9" w:rsidP="004945B9">
      <w:pPr>
        <w:spacing w:after="0"/>
        <w:rPr>
          <w:rFonts w:ascii="Verdana" w:hAnsi="Verdana"/>
          <w:sz w:val="20"/>
        </w:rPr>
      </w:pPr>
      <w:bookmarkStart w:id="13" w:name="_Hlk188003427"/>
      <w:permStart w:id="938018820" w:edGrp="everyone"/>
      <w:r>
        <w:rPr>
          <w:rFonts w:ascii="Verdana" w:hAnsi="Verdana"/>
          <w:sz w:val="20"/>
        </w:rPr>
        <w:t>The reporting of allocations remains a very operationally challenging activity for trading venues. The requirement to track additional data points, such as the INTC identifier, will increase the operational burden yet further. Euronext believes that creating a new field solely to combine data from existing fields is unnecessary and inefficient.</w:t>
      </w:r>
    </w:p>
    <w:p w14:paraId="648EFCD6" w14:textId="77777777" w:rsidR="004945B9" w:rsidRDefault="004945B9" w:rsidP="004945B9">
      <w:pPr>
        <w:spacing w:after="0"/>
        <w:rPr>
          <w:rFonts w:ascii="Verdana" w:hAnsi="Verdana"/>
          <w:sz w:val="20"/>
        </w:rPr>
      </w:pPr>
      <w:r>
        <w:rPr>
          <w:rFonts w:ascii="Verdana" w:hAnsi="Verdana"/>
          <w:sz w:val="20"/>
        </w:rPr>
        <w:t>ESMA should limit transaction reporting by trading venues to the “market-side”, i.e. without any allocations. This would level the playing field with OTC trading, where MiFID counterparties of non-MiFID firms do not have to report their counterparties’ allocations.</w:t>
      </w:r>
    </w:p>
    <w:p w14:paraId="5C86952D" w14:textId="77777777" w:rsidR="004945B9" w:rsidRDefault="004945B9" w:rsidP="004945B9">
      <w:pPr>
        <w:spacing w:after="0"/>
        <w:rPr>
          <w:rFonts w:ascii="Verdana" w:hAnsi="Verdana"/>
          <w:sz w:val="20"/>
        </w:rPr>
      </w:pPr>
    </w:p>
    <w:p w14:paraId="3F0BD084" w14:textId="65D4501F" w:rsidR="006B5DF1" w:rsidRDefault="004945B9" w:rsidP="006B5DF1">
      <w:pPr>
        <w:spacing w:after="0"/>
      </w:pPr>
      <w:r w:rsidRPr="00930087">
        <w:rPr>
          <w:rFonts w:ascii="Verdana" w:hAnsi="Verdana"/>
          <w:sz w:val="20"/>
        </w:rPr>
        <w:t xml:space="preserve">Euronext is not in the position to comment on this proposal regarding the management of OTC ‘INTC’ transactions. </w:t>
      </w:r>
      <w:bookmarkEnd w:id="13"/>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4FD58AC" w14:textId="23FF35DC" w:rsidR="004945B9" w:rsidRDefault="004945B9" w:rsidP="004945B9">
      <w:pPr>
        <w:spacing w:after="0"/>
        <w:rPr>
          <w:rFonts w:ascii="Verdana" w:hAnsi="Verdana"/>
          <w:sz w:val="20"/>
        </w:rPr>
      </w:pPr>
      <w:permStart w:id="1092633402" w:edGrp="everyone"/>
      <w:r>
        <w:rPr>
          <w:rFonts w:ascii="Verdana" w:hAnsi="Verdana"/>
          <w:sz w:val="20"/>
        </w:rPr>
        <w:t>As referenced in Q. 17, the reporting of allocations remains a very operationally challenging activity for trading venues. The requirement to track additional data points, such as the INTC identifier, will increase the operational burden yet further. Euronext believes that creating a new field solely to combine data from existing fields is unnecessary and inefficient.</w:t>
      </w:r>
    </w:p>
    <w:p w14:paraId="063F6946" w14:textId="77777777" w:rsidR="004945B9" w:rsidRDefault="004945B9" w:rsidP="004945B9">
      <w:pPr>
        <w:spacing w:after="0"/>
        <w:rPr>
          <w:rFonts w:ascii="Verdana" w:hAnsi="Verdana"/>
          <w:sz w:val="20"/>
        </w:rPr>
      </w:pPr>
    </w:p>
    <w:p w14:paraId="49B64B0A" w14:textId="77777777" w:rsidR="004945B9" w:rsidRDefault="004945B9" w:rsidP="004945B9">
      <w:pPr>
        <w:spacing w:after="0"/>
        <w:rPr>
          <w:rFonts w:ascii="Verdana" w:hAnsi="Verdana"/>
          <w:sz w:val="20"/>
        </w:rPr>
      </w:pPr>
      <w:r>
        <w:rPr>
          <w:rFonts w:ascii="Verdana" w:hAnsi="Verdana"/>
          <w:sz w:val="20"/>
        </w:rPr>
        <w:lastRenderedPageBreak/>
        <w:t>ESMA should limit transaction reporting by trading venues to the “market-side”, i.e. without any allocations. This would level the playing field with OTC trading, where MiFID counterparties of non-MiFID firms do not have to report their counterparties’ allocations.</w:t>
      </w:r>
    </w:p>
    <w:p w14:paraId="7169A9B4" w14:textId="77777777" w:rsidR="004945B9" w:rsidRDefault="004945B9" w:rsidP="004945B9">
      <w:pPr>
        <w:spacing w:after="0"/>
        <w:rPr>
          <w:rFonts w:ascii="Verdana" w:hAnsi="Verdana"/>
          <w:sz w:val="20"/>
        </w:rPr>
      </w:pPr>
    </w:p>
    <w:p w14:paraId="0D5A07F7" w14:textId="10C1F47E" w:rsidR="006B5DF1" w:rsidRDefault="004945B9" w:rsidP="006B5DF1">
      <w:pPr>
        <w:spacing w:after="0"/>
      </w:pPr>
      <w:r>
        <w:rPr>
          <w:rFonts w:ascii="Verdana" w:hAnsi="Verdana"/>
          <w:sz w:val="20"/>
        </w:rPr>
        <w:t>Euronext would highlight that if the executing investment firm is made responsible for generating the INTC identifier this will not cover the Article 26(5) scenario where trading venues would still need to produce the INTC identifier. Unless or until Article 26(5) is limited to market side reports, as advocated by EDMA, this will remain the case.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4E13394" w:rsidR="006B5DF1" w:rsidRDefault="004945B9" w:rsidP="006B5DF1">
      <w:pPr>
        <w:spacing w:after="0"/>
      </w:pPr>
      <w:permStart w:id="1381705258" w:edGrp="everyone"/>
      <w:r>
        <w:t>Yes</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132028C" w:rsidR="006B5DF1" w:rsidRDefault="004945B9" w:rsidP="006B5DF1">
      <w:pPr>
        <w:spacing w:after="0"/>
      </w:pPr>
      <w:permStart w:id="2065267156" w:edGrp="everyone"/>
      <w:r>
        <w:t>Yes, we agree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lastRenderedPageBreak/>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2F8C087B" w14:textId="77777777" w:rsidR="004945B9" w:rsidRDefault="004945B9" w:rsidP="004945B9">
      <w:pPr>
        <w:rPr>
          <w:rFonts w:ascii="Verdana" w:hAnsi="Verdana"/>
          <w:sz w:val="20"/>
        </w:rPr>
      </w:pPr>
      <w:permStart w:id="1173250579" w:edGrp="everyone"/>
      <w:r w:rsidRPr="00930087">
        <w:rPr>
          <w:rFonts w:ascii="Verdana" w:hAnsi="Verdana"/>
          <w:sz w:val="20"/>
        </w:rPr>
        <w:t xml:space="preserve">No </w:t>
      </w:r>
      <w:r>
        <w:rPr>
          <w:rFonts w:ascii="Verdana" w:hAnsi="Verdana"/>
          <w:sz w:val="20"/>
        </w:rPr>
        <w:t>Euronext</w:t>
      </w:r>
      <w:r w:rsidRPr="00930087">
        <w:rPr>
          <w:rFonts w:ascii="Verdana" w:hAnsi="Verdana"/>
          <w:sz w:val="20"/>
        </w:rPr>
        <w:t xml:space="preserve"> do</w:t>
      </w:r>
      <w:r>
        <w:rPr>
          <w:rFonts w:ascii="Verdana" w:hAnsi="Verdana"/>
          <w:sz w:val="20"/>
        </w:rPr>
        <w:t>es</w:t>
      </w:r>
      <w:r w:rsidRPr="00930087">
        <w:rPr>
          <w:rFonts w:ascii="Verdana" w:hAnsi="Verdana"/>
          <w:sz w:val="20"/>
        </w:rPr>
        <w:t xml:space="preserve"> not see a need for there to be a different date set for the data to be reported, compared with the date of application of the requirements.  We highlight again the need for sufficient implementation time to adapt systems to the new requirements and welcome the reference in the consultation that this should ideally be at least 12 months from when the technical documentation is available. We stress that this should relate to when the final requirements are published in law so that there is legal certainty that no further changes may be made. If changes are interconnected or dependent on other RTS, we urge ESMA to ensure the timelines are aligned.</w:t>
      </w:r>
    </w:p>
    <w:permEnd w:id="1173250579"/>
    <w:p w14:paraId="103F6D06" w14:textId="67A49243" w:rsidR="006B5DF1" w:rsidRDefault="006B5DF1" w:rsidP="004945B9">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CF851B1" w14:textId="1DDD2540" w:rsidR="006B5DF1" w:rsidRDefault="004945B9" w:rsidP="006B5DF1">
      <w:pPr>
        <w:spacing w:after="0"/>
      </w:pPr>
      <w:permStart w:id="604202828" w:edGrp="everyone"/>
      <w:r w:rsidRPr="00930087">
        <w:rPr>
          <w:rFonts w:ascii="Verdana" w:hAnsi="Verdana"/>
          <w:sz w:val="20"/>
        </w:rPr>
        <w:t xml:space="preserve">We do not see issues with the proposed alignments (but </w:t>
      </w:r>
      <w:r>
        <w:rPr>
          <w:rFonts w:ascii="Verdana" w:hAnsi="Verdana"/>
          <w:sz w:val="20"/>
        </w:rPr>
        <w:t>we have a</w:t>
      </w:r>
      <w:r w:rsidRPr="00930087">
        <w:rPr>
          <w:rFonts w:ascii="Verdana" w:hAnsi="Verdana"/>
          <w:sz w:val="20"/>
        </w:rPr>
        <w:t xml:space="preserve"> </w:t>
      </w:r>
      <w:r>
        <w:rPr>
          <w:rFonts w:ascii="Verdana" w:hAnsi="Verdana"/>
          <w:sz w:val="20"/>
        </w:rPr>
        <w:t>comment</w:t>
      </w:r>
      <w:r w:rsidRPr="00930087">
        <w:rPr>
          <w:rFonts w:ascii="Verdana" w:hAnsi="Verdana"/>
          <w:sz w:val="20"/>
        </w:rPr>
        <w:t xml:space="preserve"> on the field “Net Amount”, see our response to </w:t>
      </w:r>
      <w:r>
        <w:rPr>
          <w:rFonts w:ascii="Verdana" w:hAnsi="Verdana"/>
          <w:sz w:val="20"/>
        </w:rPr>
        <w:t>Q.</w:t>
      </w:r>
      <w:r w:rsidRPr="00930087">
        <w:rPr>
          <w:rFonts w:ascii="Verdana" w:hAnsi="Verdana"/>
          <w:sz w:val="20"/>
        </w:rPr>
        <w:t xml:space="preserve"> 34).</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7C781C47" w14:textId="77777777" w:rsidR="004945B9" w:rsidRDefault="004945B9" w:rsidP="004945B9">
      <w:pPr>
        <w:rPr>
          <w:rFonts w:ascii="Verdana" w:hAnsi="Verdana"/>
          <w:sz w:val="20"/>
        </w:rPr>
      </w:pPr>
      <w:permStart w:id="904620653" w:edGrp="everyone"/>
      <w:r w:rsidRPr="00DF07B7">
        <w:rPr>
          <w:rFonts w:ascii="Verdana" w:hAnsi="Verdana"/>
          <w:sz w:val="20"/>
        </w:rPr>
        <w:t xml:space="preserve">In general, alignment of concepts between the reporting regimes may prove useful as it may enhance comparability and clarity. In this case, while this approach is still valid, the </w:t>
      </w:r>
      <w:proofErr w:type="spellStart"/>
      <w:r w:rsidRPr="00DF07B7">
        <w:rPr>
          <w:rFonts w:ascii="Verdana" w:hAnsi="Verdana"/>
          <w:sz w:val="20"/>
        </w:rPr>
        <w:t>MiFIR</w:t>
      </w:r>
      <w:proofErr w:type="spellEnd"/>
      <w:r w:rsidRPr="00DF07B7">
        <w:rPr>
          <w:rFonts w:ascii="Verdana" w:hAnsi="Verdana"/>
          <w:sz w:val="20"/>
        </w:rPr>
        <w:t xml:space="preserve"> approach to complex trades seems clearer.</w:t>
      </w:r>
    </w:p>
    <w:permEnd w:id="904620653"/>
    <w:p w14:paraId="622F61D1" w14:textId="021BB840" w:rsidR="006B5DF1" w:rsidRDefault="006B5DF1" w:rsidP="004945B9">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952CF82" w:rsidR="005D3762" w:rsidRDefault="004945B9" w:rsidP="005D3762">
      <w:pPr>
        <w:spacing w:after="0"/>
      </w:pPr>
      <w:permStart w:id="1129537263" w:edGrp="everyone"/>
      <w:r w:rsidRPr="00930087">
        <w:rPr>
          <w:rFonts w:ascii="Verdana" w:hAnsi="Verdana"/>
          <w:sz w:val="20"/>
        </w:rPr>
        <w:t xml:space="preserve">Yes, </w:t>
      </w:r>
      <w:r>
        <w:rPr>
          <w:rFonts w:ascii="Verdana" w:hAnsi="Verdana"/>
          <w:sz w:val="20"/>
        </w:rPr>
        <w:t>Euronext</w:t>
      </w:r>
      <w:r w:rsidRPr="00930087">
        <w:rPr>
          <w:rFonts w:ascii="Verdana" w:hAnsi="Verdana"/>
          <w:sz w:val="20"/>
        </w:rPr>
        <w:t xml:space="preserve"> agree</w:t>
      </w:r>
      <w:r>
        <w:rPr>
          <w:rFonts w:ascii="Verdana" w:hAnsi="Verdana"/>
          <w:sz w:val="20"/>
        </w:rPr>
        <w:t>s</w:t>
      </w:r>
      <w:r w:rsidRPr="00930087">
        <w:rPr>
          <w:rFonts w:ascii="Verdana" w:hAnsi="Verdana"/>
          <w:sz w:val="20"/>
        </w:rPr>
        <w:t xml:space="preserve"> and support this option. The lack of a field to report the net price for the whole package has been highlighted previously </w:t>
      </w:r>
      <w:r>
        <w:rPr>
          <w:rFonts w:ascii="Verdana" w:hAnsi="Verdana"/>
          <w:sz w:val="20"/>
        </w:rPr>
        <w:t xml:space="preserve">by us </w:t>
      </w:r>
      <w:r w:rsidRPr="00930087">
        <w:rPr>
          <w:rFonts w:ascii="Verdana" w:hAnsi="Verdana"/>
          <w:sz w:val="20"/>
        </w:rPr>
        <w:t>with some of our respective NCA.</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4053AB00" w14:textId="797D6105" w:rsidR="005D3762" w:rsidRDefault="004945B9" w:rsidP="004945B9">
      <w:permStart w:id="1588948984" w:edGrp="everyone"/>
      <w:r w:rsidRPr="00930087">
        <w:rPr>
          <w:rFonts w:ascii="Verdana" w:hAnsi="Verdana"/>
          <w:sz w:val="20"/>
        </w:rPr>
        <w:t xml:space="preserve">We caution against requiring multiple identifiers to identify the same financial instrument. ISIN should be sufficient for </w:t>
      </w:r>
      <w:proofErr w:type="spellStart"/>
      <w:r w:rsidRPr="00930087">
        <w:rPr>
          <w:rFonts w:ascii="Verdana" w:hAnsi="Verdana"/>
          <w:sz w:val="20"/>
        </w:rPr>
        <w:t>MiFIR</w:t>
      </w:r>
      <w:proofErr w:type="spellEnd"/>
      <w:r w:rsidRPr="00930087">
        <w:rPr>
          <w:rFonts w:ascii="Verdana" w:hAnsi="Verdana"/>
          <w:sz w:val="20"/>
        </w:rPr>
        <w:t xml:space="preserve"> transaction reporting.</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078616D1" w14:textId="59EAF6D2" w:rsidR="004945B9" w:rsidRPr="00930087" w:rsidRDefault="004945B9" w:rsidP="004945B9">
      <w:pPr>
        <w:spacing w:after="0"/>
        <w:rPr>
          <w:rFonts w:ascii="Verdana" w:hAnsi="Verdana"/>
          <w:sz w:val="20"/>
        </w:rPr>
      </w:pPr>
      <w:permStart w:id="5922041" w:edGrp="everyone"/>
      <w:r w:rsidRPr="00930087">
        <w:rPr>
          <w:rFonts w:ascii="Verdana" w:hAnsi="Verdana"/>
          <w:sz w:val="20"/>
        </w:rPr>
        <w:t>Yes, it makes sense</w:t>
      </w:r>
      <w:r>
        <w:rPr>
          <w:rFonts w:ascii="Verdana" w:hAnsi="Verdana"/>
          <w:sz w:val="20"/>
        </w:rPr>
        <w:t xml:space="preserve"> so</w:t>
      </w:r>
      <w:r w:rsidRPr="00930087">
        <w:rPr>
          <w:rFonts w:ascii="Verdana" w:hAnsi="Verdana"/>
          <w:sz w:val="20"/>
        </w:rPr>
        <w:t xml:space="preserve"> we will continue to capture this information from our clients, but </w:t>
      </w:r>
      <w:r>
        <w:rPr>
          <w:rFonts w:ascii="Verdana" w:hAnsi="Verdana"/>
          <w:sz w:val="20"/>
        </w:rPr>
        <w:t xml:space="preserve">we </w:t>
      </w:r>
      <w:r w:rsidRPr="00930087">
        <w:rPr>
          <w:rFonts w:ascii="Verdana" w:hAnsi="Verdana"/>
          <w:sz w:val="20"/>
        </w:rPr>
        <w:t>do not check the content of this field.</w:t>
      </w:r>
    </w:p>
    <w:p w14:paraId="3E260174" w14:textId="77777777" w:rsidR="004945B9" w:rsidRDefault="004945B9" w:rsidP="004945B9">
      <w:pPr>
        <w:rPr>
          <w:rFonts w:ascii="Verdana" w:hAnsi="Verdana"/>
          <w:sz w:val="20"/>
        </w:rPr>
      </w:pPr>
      <w:r w:rsidRPr="00930087">
        <w:rPr>
          <w:rFonts w:ascii="Verdana" w:hAnsi="Verdana"/>
          <w:sz w:val="20"/>
        </w:rPr>
        <w:t>We note that Regulation (EU) 2024/791 (“</w:t>
      </w:r>
      <w:proofErr w:type="spellStart"/>
      <w:r w:rsidRPr="00930087">
        <w:rPr>
          <w:rFonts w:ascii="Verdana" w:hAnsi="Verdana"/>
          <w:sz w:val="20"/>
        </w:rPr>
        <w:t>MiFIR</w:t>
      </w:r>
      <w:proofErr w:type="spellEnd"/>
      <w:r w:rsidRPr="00930087">
        <w:rPr>
          <w:rFonts w:ascii="Verdana" w:hAnsi="Verdana"/>
          <w:sz w:val="20"/>
        </w:rPr>
        <w:t xml:space="preserve"> Review”) Article 1(46) envisages a review of the scope of reporting firms to include AIFMs and UCITS </w:t>
      </w:r>
      <w:proofErr w:type="spellStart"/>
      <w:r w:rsidRPr="00930087">
        <w:rPr>
          <w:rFonts w:ascii="Verdana" w:hAnsi="Verdana"/>
          <w:sz w:val="20"/>
        </w:rPr>
        <w:t>ManCos</w:t>
      </w:r>
      <w:proofErr w:type="spellEnd"/>
      <w:r w:rsidRPr="00930087">
        <w:rPr>
          <w:rFonts w:ascii="Verdana" w:hAnsi="Verdana"/>
          <w:sz w:val="20"/>
        </w:rPr>
        <w:t xml:space="preserve">. Currently, trading venues are required to report for such firms where they execute transactions on their venues, which represents a significant operational burden for trading venues. It also represents a gap for competent authorities in only having oversight of on-venue transactions for such firms. We support the change in scope to include AIFMs and UCITS </w:t>
      </w:r>
      <w:proofErr w:type="spellStart"/>
      <w:r w:rsidRPr="00930087">
        <w:rPr>
          <w:rFonts w:ascii="Verdana" w:hAnsi="Verdana"/>
          <w:sz w:val="20"/>
        </w:rPr>
        <w:t>ManCos</w:t>
      </w:r>
      <w:proofErr w:type="spellEnd"/>
      <w:r w:rsidRPr="00930087">
        <w:rPr>
          <w:rFonts w:ascii="Verdana" w:hAnsi="Verdana"/>
          <w:sz w:val="20"/>
        </w:rPr>
        <w:t xml:space="preserve"> as reporting firms.</w:t>
      </w:r>
    </w:p>
    <w:p w14:paraId="7AAB1F61" w14:textId="260BAE7B" w:rsidR="005D3762" w:rsidRDefault="004945B9" w:rsidP="004945B9">
      <w:r w:rsidRPr="009B07E0">
        <w:rPr>
          <w:rFonts w:ascii="Verdana" w:hAnsi="Verdana"/>
          <w:sz w:val="20"/>
        </w:rPr>
        <w:t>In this context Euronext would reference both Point 4.1.4 of </w:t>
      </w:r>
      <w:hyperlink r:id="rId29" w:history="1">
        <w:r w:rsidRPr="009B07E0">
          <w:rPr>
            <w:rFonts w:ascii="Verdana" w:hAnsi="Verdana"/>
            <w:sz w:val="20"/>
          </w:rPr>
          <w:t>ESMA’s final report on RTS 22 and 23 </w:t>
        </w:r>
      </w:hyperlink>
      <w:r w:rsidRPr="009B07E0">
        <w:rPr>
          <w:rFonts w:ascii="Verdana" w:hAnsi="Verdana"/>
          <w:sz w:val="20"/>
        </w:rPr>
        <w:t xml:space="preserve">from 23rd March 2021 and </w:t>
      </w:r>
      <w:hyperlink r:id="rId30" w:history="1">
        <w:r w:rsidRPr="009B07E0">
          <w:rPr>
            <w:rFonts w:ascii="Verdana" w:hAnsi="Verdana"/>
            <w:sz w:val="20"/>
          </w:rPr>
          <w:t>Recital 40 and Art. 52(14b) of Regulation (EU) 2024/791</w:t>
        </w:r>
      </w:hyperlink>
      <w:r w:rsidRPr="009B07E0">
        <w:rPr>
          <w:rFonts w:ascii="Verdana" w:hAnsi="Verdana"/>
          <w:sz w:val="20"/>
        </w:rPr>
        <w:t xml:space="preserve"> (“new </w:t>
      </w:r>
      <w:proofErr w:type="spellStart"/>
      <w:r w:rsidRPr="009B07E0">
        <w:rPr>
          <w:rFonts w:ascii="Verdana" w:hAnsi="Verdana"/>
          <w:sz w:val="20"/>
        </w:rPr>
        <w:t>MiFIR</w:t>
      </w:r>
      <w:proofErr w:type="spellEnd"/>
      <w:r w:rsidRPr="009B07E0">
        <w:rPr>
          <w:rFonts w:ascii="Verdana" w:hAnsi="Verdana"/>
          <w:sz w:val="20"/>
        </w:rPr>
        <w:t>”).</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lastRenderedPageBreak/>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12FEE8FA" w14:textId="595E90C0" w:rsidR="005D3762" w:rsidRDefault="004945B9" w:rsidP="005D3762">
      <w:pPr>
        <w:spacing w:after="0"/>
      </w:pPr>
      <w:permStart w:id="787828672" w:edGrp="everyone"/>
      <w:r>
        <w:rPr>
          <w:rFonts w:ascii="Verdana" w:hAnsi="Verdana"/>
          <w:sz w:val="20"/>
        </w:rPr>
        <w:t>In order</w:t>
      </w:r>
      <w:r w:rsidRPr="00930087">
        <w:rPr>
          <w:rFonts w:ascii="Verdana" w:hAnsi="Verdana"/>
          <w:sz w:val="20"/>
        </w:rPr>
        <w:t xml:space="preserve"> to avoid duplications in reporting and possible issues in the overall data quality, </w:t>
      </w:r>
      <w:r>
        <w:rPr>
          <w:rFonts w:ascii="Verdana" w:hAnsi="Verdana"/>
          <w:sz w:val="20"/>
        </w:rPr>
        <w:t xml:space="preserve">it is very important </w:t>
      </w:r>
      <w:r w:rsidRPr="00930087">
        <w:rPr>
          <w:rFonts w:ascii="Verdana" w:hAnsi="Verdana"/>
          <w:sz w:val="20"/>
        </w:rPr>
        <w:t>that the current approach where referential data for instruments that are already present in the FIRDS system (RTS 23) are not duplicated in transaction reports.</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6A28F39D" w14:textId="0814DBDA" w:rsidR="004945B9" w:rsidRDefault="004945B9" w:rsidP="004945B9">
      <w:pPr>
        <w:spacing w:after="0"/>
        <w:rPr>
          <w:rFonts w:ascii="Verdana" w:hAnsi="Verdana"/>
          <w:sz w:val="20"/>
        </w:rPr>
      </w:pPr>
      <w:permStart w:id="1750278235" w:edGrp="everyone"/>
      <w:r>
        <w:rPr>
          <w:rFonts w:ascii="Verdana" w:hAnsi="Verdana"/>
          <w:sz w:val="20"/>
        </w:rPr>
        <w:t>The reporting of allocations remains a very operationally challenging activity for trading venues. The requirement to track additional data points, such as the INTC identifier, will increase the operational burden yet further. Euronext believes that creating a new field solely to combine data from existing fields is unnecessary and inefficient.</w:t>
      </w:r>
    </w:p>
    <w:p w14:paraId="4016B9DB" w14:textId="77777777" w:rsidR="004945B9" w:rsidRDefault="004945B9" w:rsidP="004945B9">
      <w:pPr>
        <w:spacing w:after="0"/>
        <w:rPr>
          <w:rFonts w:ascii="Verdana" w:hAnsi="Verdana"/>
          <w:sz w:val="20"/>
        </w:rPr>
      </w:pPr>
    </w:p>
    <w:p w14:paraId="42E4EF02" w14:textId="77777777" w:rsidR="004945B9" w:rsidRDefault="004945B9" w:rsidP="004945B9">
      <w:pPr>
        <w:spacing w:after="0"/>
        <w:rPr>
          <w:rFonts w:ascii="Verdana" w:hAnsi="Verdana"/>
          <w:sz w:val="20"/>
        </w:rPr>
      </w:pPr>
      <w:r>
        <w:rPr>
          <w:rFonts w:ascii="Verdana" w:hAnsi="Verdana"/>
          <w:sz w:val="20"/>
        </w:rPr>
        <w:t>ESMA should limit transaction reporting by trading venues to the “market-side”, i.e. without any allocations. This would level the playing field with OTC trading, where MiFID counterparties of non-MiFID firms do not have to report their counterparties’ allocations.</w:t>
      </w:r>
    </w:p>
    <w:p w14:paraId="63B20182" w14:textId="77777777" w:rsidR="004945B9" w:rsidRDefault="004945B9" w:rsidP="004945B9">
      <w:pPr>
        <w:spacing w:after="0"/>
        <w:rPr>
          <w:rFonts w:ascii="Verdana" w:hAnsi="Verdana"/>
          <w:sz w:val="20"/>
        </w:rPr>
      </w:pPr>
    </w:p>
    <w:p w14:paraId="3EF0B3A4" w14:textId="77777777" w:rsidR="004945B9" w:rsidRPr="00930087" w:rsidRDefault="004945B9" w:rsidP="004945B9">
      <w:pPr>
        <w:rPr>
          <w:rFonts w:ascii="Verdana" w:hAnsi="Verdana"/>
          <w:sz w:val="20"/>
        </w:rPr>
      </w:pPr>
      <w:r>
        <w:rPr>
          <w:rFonts w:ascii="Verdana" w:hAnsi="Verdana"/>
          <w:sz w:val="20"/>
        </w:rPr>
        <w:t xml:space="preserve">As a general comment, </w:t>
      </w:r>
      <w:r w:rsidRPr="00930087">
        <w:rPr>
          <w:rFonts w:ascii="Verdana" w:hAnsi="Verdana"/>
          <w:sz w:val="20"/>
        </w:rPr>
        <w:t>it should be highlighted that trading venues who transaction report on behalf of non-MiFID firms should not be accountable for these fields, as we would not be in position to verify them, so can only rely on the information provided by our clients.</w:t>
      </w:r>
    </w:p>
    <w:p w14:paraId="33286522" w14:textId="77777777" w:rsidR="004945B9" w:rsidRDefault="004945B9" w:rsidP="004945B9">
      <w:pPr>
        <w:rPr>
          <w:rFonts w:ascii="Verdana" w:hAnsi="Verdana"/>
          <w:sz w:val="20"/>
        </w:rPr>
      </w:pPr>
      <w:r>
        <w:rPr>
          <w:rFonts w:ascii="Verdana" w:hAnsi="Verdana"/>
          <w:sz w:val="20"/>
        </w:rPr>
        <w:t>Two</w:t>
      </w:r>
      <w:r w:rsidRPr="00930087">
        <w:rPr>
          <w:rFonts w:ascii="Verdana" w:hAnsi="Verdana"/>
          <w:sz w:val="20"/>
        </w:rPr>
        <w:t xml:space="preserve"> additional point to note</w:t>
      </w:r>
      <w:r>
        <w:rPr>
          <w:rFonts w:ascii="Verdana" w:hAnsi="Verdana"/>
          <w:sz w:val="20"/>
        </w:rPr>
        <w:t xml:space="preserve"> regarding the specific fields:</w:t>
      </w:r>
    </w:p>
    <w:p w14:paraId="2FBC98ED" w14:textId="77777777" w:rsidR="004945B9" w:rsidRPr="00AD75A6" w:rsidRDefault="004945B9" w:rsidP="004945B9">
      <w:pPr>
        <w:pStyle w:val="ListParagraph"/>
        <w:numPr>
          <w:ilvl w:val="0"/>
          <w:numId w:val="38"/>
        </w:numPr>
        <w:spacing w:after="0" w:line="278" w:lineRule="auto"/>
        <w:rPr>
          <w:rFonts w:ascii="Verdana" w:hAnsi="Verdana"/>
          <w:sz w:val="20"/>
        </w:rPr>
      </w:pPr>
      <w:r w:rsidRPr="00AD75A6">
        <w:rPr>
          <w:rFonts w:ascii="Verdana" w:hAnsi="Verdana"/>
          <w:sz w:val="20"/>
        </w:rPr>
        <w:t xml:space="preserve">Client category: This particular field could be onerous and for non-MiFID firms, they may not categorise their clients in the same way which could cause confusion. </w:t>
      </w:r>
    </w:p>
    <w:p w14:paraId="71439230" w14:textId="77777777" w:rsidR="004945B9" w:rsidRDefault="004945B9" w:rsidP="004945B9">
      <w:pPr>
        <w:spacing w:after="0"/>
        <w:rPr>
          <w:rFonts w:ascii="Verdana" w:hAnsi="Verdana"/>
          <w:sz w:val="20"/>
        </w:rPr>
      </w:pPr>
    </w:p>
    <w:p w14:paraId="484C3053" w14:textId="77777777" w:rsidR="004945B9" w:rsidRPr="003E560E" w:rsidRDefault="004945B9" w:rsidP="004945B9">
      <w:pPr>
        <w:pStyle w:val="ListParagraph"/>
        <w:numPr>
          <w:ilvl w:val="0"/>
          <w:numId w:val="38"/>
        </w:numPr>
        <w:spacing w:after="0" w:line="278" w:lineRule="auto"/>
        <w:rPr>
          <w:rFonts w:ascii="Verdana" w:hAnsi="Verdana"/>
          <w:b/>
          <w:bCs/>
          <w:kern w:val="2"/>
          <w:sz w:val="20"/>
          <w14:ligatures w14:val="standardContextual"/>
        </w:rPr>
      </w:pPr>
      <w:r w:rsidRPr="003E560E">
        <w:rPr>
          <w:rFonts w:ascii="Verdana" w:hAnsi="Verdana"/>
          <w:sz w:val="20"/>
        </w:rPr>
        <w:t xml:space="preserve">The validity timestamp – Action type: it is not clear from the proposal what logic ESMA is expecting reporting firms to follow. We strongly encourage ESMA to define this precisely in the technical standards to ensure firms report this field consistently and in line with regulatory expectations. </w:t>
      </w:r>
    </w:p>
    <w:p w14:paraId="2DE6C7C8" w14:textId="77777777" w:rsidR="004945B9" w:rsidRPr="003E560E" w:rsidRDefault="004945B9" w:rsidP="004945B9">
      <w:pPr>
        <w:pStyle w:val="ListParagraph"/>
        <w:rPr>
          <w:rFonts w:ascii="Verdana" w:hAnsi="Verdana"/>
          <w:b/>
          <w:bCs/>
          <w:sz w:val="20"/>
        </w:rPr>
      </w:pPr>
    </w:p>
    <w:p w14:paraId="5967B1A6" w14:textId="098AFF27" w:rsidR="005D3762" w:rsidRDefault="005D3762" w:rsidP="005D3762">
      <w:pPr>
        <w:spacing w:after="0"/>
      </w:pPr>
    </w:p>
    <w:permEnd w:id="1750278235"/>
    <w:p w14:paraId="7A1722CA" w14:textId="5D82113E" w:rsidR="005D3762" w:rsidRDefault="005D3762" w:rsidP="005D3762">
      <w:pPr>
        <w:spacing w:after="0"/>
      </w:pPr>
      <w:r>
        <w:lastRenderedPageBreak/>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1663498E" w14:textId="4DC67EA0" w:rsidR="004945B9" w:rsidRPr="00930087" w:rsidRDefault="004945B9" w:rsidP="004945B9">
      <w:pPr>
        <w:spacing w:after="0"/>
        <w:rPr>
          <w:rFonts w:ascii="Verdana" w:hAnsi="Verdana"/>
          <w:sz w:val="20"/>
        </w:rPr>
      </w:pPr>
      <w:permStart w:id="40110413" w:edGrp="everyone"/>
      <w:r>
        <w:rPr>
          <w:rFonts w:ascii="Verdana" w:hAnsi="Verdana"/>
          <w:sz w:val="20"/>
        </w:rPr>
        <w:t>Regarding</w:t>
      </w:r>
      <w:r w:rsidRPr="00930087">
        <w:rPr>
          <w:rFonts w:ascii="Verdana" w:hAnsi="Verdana"/>
          <w:sz w:val="20"/>
        </w:rPr>
        <w:t xml:space="preserve"> Table 1</w:t>
      </w:r>
      <w:r>
        <w:rPr>
          <w:rFonts w:ascii="Verdana" w:hAnsi="Verdana"/>
          <w:sz w:val="20"/>
        </w:rPr>
        <w:t>:</w:t>
      </w:r>
    </w:p>
    <w:p w14:paraId="7A0994F7" w14:textId="77777777" w:rsidR="004945B9" w:rsidRPr="00930087" w:rsidRDefault="004945B9" w:rsidP="004945B9">
      <w:pPr>
        <w:pStyle w:val="ListParagraph"/>
        <w:numPr>
          <w:ilvl w:val="0"/>
          <w:numId w:val="39"/>
        </w:numPr>
        <w:spacing w:after="0" w:line="278" w:lineRule="auto"/>
        <w:rPr>
          <w:rFonts w:ascii="Verdana" w:hAnsi="Verdana"/>
          <w:sz w:val="20"/>
        </w:rPr>
      </w:pPr>
      <w:r>
        <w:rPr>
          <w:rFonts w:ascii="Verdana" w:hAnsi="Verdana"/>
          <w:sz w:val="20"/>
        </w:rPr>
        <w:t xml:space="preserve">Field 35 </w:t>
      </w:r>
      <w:r w:rsidRPr="00930087">
        <w:rPr>
          <w:rFonts w:ascii="Verdana" w:hAnsi="Verdana"/>
          <w:sz w:val="20"/>
        </w:rPr>
        <w:t>Net amount: we do</w:t>
      </w:r>
      <w:r>
        <w:rPr>
          <w:rFonts w:ascii="Verdana" w:hAnsi="Verdana"/>
          <w:sz w:val="20"/>
        </w:rPr>
        <w:t xml:space="preserve"> not</w:t>
      </w:r>
      <w:r w:rsidRPr="00930087">
        <w:rPr>
          <w:rFonts w:ascii="Verdana" w:hAnsi="Verdana"/>
          <w:sz w:val="20"/>
        </w:rPr>
        <w:t xml:space="preserve"> see the need to extend this field outside bonds, but with the option to leave it blank when not applicable. </w:t>
      </w:r>
      <w:r>
        <w:rPr>
          <w:rFonts w:ascii="Verdana" w:hAnsi="Verdana"/>
          <w:sz w:val="20"/>
        </w:rPr>
        <w:t>It would be helpful if ESMA could clarify w</w:t>
      </w:r>
      <w:r w:rsidRPr="00930087">
        <w:rPr>
          <w:rFonts w:ascii="Verdana" w:hAnsi="Verdana"/>
          <w:sz w:val="20"/>
        </w:rPr>
        <w:t xml:space="preserve">hat other instruments </w:t>
      </w:r>
      <w:r>
        <w:rPr>
          <w:rFonts w:ascii="Verdana" w:hAnsi="Verdana"/>
          <w:sz w:val="20"/>
        </w:rPr>
        <w:t xml:space="preserve">they are </w:t>
      </w:r>
      <w:r w:rsidRPr="00930087">
        <w:rPr>
          <w:rFonts w:ascii="Verdana" w:hAnsi="Verdana"/>
          <w:sz w:val="20"/>
        </w:rPr>
        <w:t>trying to capture with this change</w:t>
      </w:r>
      <w:r>
        <w:rPr>
          <w:rFonts w:ascii="Verdana" w:hAnsi="Verdana"/>
          <w:sz w:val="20"/>
        </w:rPr>
        <w:t>.</w:t>
      </w:r>
    </w:p>
    <w:p w14:paraId="5CA4B367" w14:textId="77777777" w:rsidR="004945B9" w:rsidRPr="00930087" w:rsidRDefault="004945B9" w:rsidP="004945B9">
      <w:pPr>
        <w:pStyle w:val="ListParagraph"/>
        <w:numPr>
          <w:ilvl w:val="0"/>
          <w:numId w:val="39"/>
        </w:numPr>
        <w:spacing w:after="0" w:line="278" w:lineRule="auto"/>
        <w:rPr>
          <w:rFonts w:ascii="Verdana" w:hAnsi="Verdana"/>
          <w:sz w:val="20"/>
        </w:rPr>
      </w:pPr>
      <w:r>
        <w:rPr>
          <w:rFonts w:ascii="Verdana" w:hAnsi="Verdana"/>
          <w:sz w:val="20"/>
        </w:rPr>
        <w:t xml:space="preserve">Field 7 </w:t>
      </w:r>
      <w:r w:rsidRPr="00930087">
        <w:rPr>
          <w:rFonts w:ascii="Verdana" w:hAnsi="Verdana"/>
          <w:sz w:val="20"/>
        </w:rPr>
        <w:t>Buyer and</w:t>
      </w:r>
      <w:r>
        <w:rPr>
          <w:rFonts w:ascii="Verdana" w:hAnsi="Verdana"/>
          <w:sz w:val="20"/>
        </w:rPr>
        <w:t xml:space="preserve"> Field 16</w:t>
      </w:r>
      <w:r w:rsidRPr="00930087">
        <w:rPr>
          <w:rFonts w:ascii="Verdana" w:hAnsi="Verdana"/>
          <w:sz w:val="20"/>
        </w:rPr>
        <w:t xml:space="preserve"> Seller identification code:</w:t>
      </w:r>
      <w:r>
        <w:rPr>
          <w:rFonts w:ascii="Verdana" w:hAnsi="Verdana"/>
          <w:sz w:val="20"/>
        </w:rPr>
        <w:t xml:space="preserve"> we question the necessity of this for  executions in </w:t>
      </w:r>
      <w:r w:rsidRPr="00930087">
        <w:rPr>
          <w:rFonts w:ascii="Verdana" w:hAnsi="Verdana"/>
          <w:sz w:val="20"/>
        </w:rPr>
        <w:t>an anonymous market that is not cleared</w:t>
      </w:r>
    </w:p>
    <w:p w14:paraId="35835102" w14:textId="77777777" w:rsidR="004945B9" w:rsidRPr="00930087" w:rsidRDefault="004945B9" w:rsidP="004945B9">
      <w:pPr>
        <w:pStyle w:val="ListParagraph"/>
        <w:spacing w:after="0"/>
        <w:rPr>
          <w:rFonts w:ascii="Verdana" w:hAnsi="Verdana"/>
          <w:sz w:val="20"/>
        </w:rPr>
      </w:pPr>
    </w:p>
    <w:p w14:paraId="516B170B" w14:textId="2C782EBE" w:rsidR="005D3762" w:rsidRDefault="004945B9" w:rsidP="00BE60D0">
      <w:pPr>
        <w:pStyle w:val="ListParagraph"/>
        <w:numPr>
          <w:ilvl w:val="0"/>
          <w:numId w:val="39"/>
        </w:numPr>
        <w:spacing w:after="0" w:line="278" w:lineRule="auto"/>
      </w:pPr>
      <w:r w:rsidRPr="004945B9">
        <w:rPr>
          <w:rFonts w:ascii="Verdana" w:hAnsi="Verdana"/>
          <w:sz w:val="20"/>
        </w:rPr>
        <w:t>Field 62 Waiver indicator: the proposal does not look consistent with the idea of using transaction reporting data to replace reporting under RTS 1 and 3. In case the current approach is maintained, all pre-trade waivers should be covered by this field (e.g. LRGS is currently not covered).</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4C978F06" w:rsidR="005D3762" w:rsidRDefault="004945B9" w:rsidP="004945B9">
      <w:permStart w:id="757149039" w:edGrp="everyone"/>
      <w:r w:rsidRPr="00930087">
        <w:rPr>
          <w:rFonts w:ascii="Verdana" w:hAnsi="Verdana"/>
          <w:sz w:val="20"/>
        </w:rPr>
        <w:t>Euronext fully supports the removal of this field given that there is no way for a reporting entity to check the correctness of this information.</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lastRenderedPageBreak/>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12622020" w14:textId="237F970D" w:rsidR="004945B9" w:rsidRPr="00FA192F" w:rsidRDefault="004945B9" w:rsidP="004945B9">
      <w:pPr>
        <w:rPr>
          <w:rFonts w:ascii="Verdana" w:hAnsi="Verdana"/>
          <w:sz w:val="20"/>
        </w:rPr>
      </w:pPr>
      <w:permStart w:id="1178228359" w:edGrp="everyone"/>
      <w:r w:rsidRPr="00FA192F">
        <w:rPr>
          <w:rFonts w:ascii="Verdana" w:hAnsi="Verdana"/>
          <w:sz w:val="20"/>
        </w:rPr>
        <w:t xml:space="preserve">Securities Financing Transactions (SFTs) should be completely removed from the scope of </w:t>
      </w:r>
      <w:proofErr w:type="spellStart"/>
      <w:r w:rsidRPr="00FA192F">
        <w:rPr>
          <w:rFonts w:ascii="Verdana" w:hAnsi="Verdana"/>
          <w:sz w:val="20"/>
        </w:rPr>
        <w:t>MiFIR</w:t>
      </w:r>
      <w:proofErr w:type="spellEnd"/>
      <w:r w:rsidRPr="00FA192F">
        <w:rPr>
          <w:rFonts w:ascii="Verdana" w:hAnsi="Verdana"/>
          <w:sz w:val="20"/>
        </w:rPr>
        <w:t xml:space="preserve"> transaction reporting. Currently, SFTs executed by ESCB members are in scope for </w:t>
      </w:r>
      <w:proofErr w:type="spellStart"/>
      <w:r w:rsidRPr="00FA192F">
        <w:rPr>
          <w:rFonts w:ascii="Verdana" w:hAnsi="Verdana"/>
          <w:sz w:val="20"/>
        </w:rPr>
        <w:t>MiFIR</w:t>
      </w:r>
      <w:proofErr w:type="spellEnd"/>
      <w:r w:rsidRPr="00FA192F">
        <w:rPr>
          <w:rFonts w:ascii="Verdana" w:hAnsi="Verdana"/>
          <w:sz w:val="20"/>
        </w:rPr>
        <w:t xml:space="preserve"> transaction reporting.</w:t>
      </w:r>
    </w:p>
    <w:p w14:paraId="59773847" w14:textId="77777777" w:rsidR="004945B9" w:rsidRPr="00FA192F" w:rsidRDefault="004945B9" w:rsidP="004945B9">
      <w:pPr>
        <w:rPr>
          <w:rFonts w:ascii="Verdana" w:hAnsi="Verdana"/>
          <w:sz w:val="20"/>
        </w:rPr>
      </w:pPr>
      <w:r w:rsidRPr="00FA192F">
        <w:rPr>
          <w:rFonts w:ascii="Verdana" w:hAnsi="Verdana"/>
          <w:sz w:val="20"/>
        </w:rPr>
        <w:t xml:space="preserve">SFTs executed with ESCB members are already exempt from SFTR, the dedicated SFT reporting framework. (See </w:t>
      </w:r>
      <w:hyperlink r:id="rId31" w:tooltip="https://eur-lex.europa.eu/legal-content/EN/TXT/PDF/?uri=CELEX:52022AB0019" w:history="1">
        <w:r w:rsidRPr="00FA192F">
          <w:rPr>
            <w:rFonts w:ascii="Verdana" w:hAnsi="Verdana"/>
            <w:sz w:val="20"/>
          </w:rPr>
          <w:t>ECB Opinion</w:t>
        </w:r>
      </w:hyperlink>
      <w:r w:rsidRPr="00FA192F">
        <w:rPr>
          <w:rFonts w:ascii="Verdana" w:hAnsi="Verdana"/>
          <w:sz w:val="20"/>
        </w:rPr>
        <w:t> of 1st June 2022, point 7.3)</w:t>
      </w:r>
    </w:p>
    <w:p w14:paraId="4DB6CEAA" w14:textId="77777777" w:rsidR="004945B9" w:rsidRPr="00FA192F" w:rsidRDefault="004945B9" w:rsidP="004945B9">
      <w:pPr>
        <w:rPr>
          <w:rFonts w:ascii="Verdana" w:hAnsi="Verdana"/>
          <w:sz w:val="20"/>
        </w:rPr>
      </w:pPr>
      <w:r w:rsidRPr="00FA192F">
        <w:rPr>
          <w:rFonts w:ascii="Verdana" w:hAnsi="Verdana"/>
          <w:sz w:val="20"/>
        </w:rPr>
        <w:t xml:space="preserve">This exemption should be consistently extended to </w:t>
      </w:r>
      <w:proofErr w:type="spellStart"/>
      <w:r w:rsidRPr="00FA192F">
        <w:rPr>
          <w:rFonts w:ascii="Verdana" w:hAnsi="Verdana"/>
          <w:sz w:val="20"/>
        </w:rPr>
        <w:t>MiFIR</w:t>
      </w:r>
      <w:proofErr w:type="spellEnd"/>
      <w:r w:rsidRPr="00FA192F">
        <w:rPr>
          <w:rFonts w:ascii="Verdana" w:hAnsi="Verdana"/>
          <w:sz w:val="20"/>
        </w:rPr>
        <w:t xml:space="preserve"> transaction reporting.</w:t>
      </w:r>
    </w:p>
    <w:p w14:paraId="6496540B" w14:textId="5B5F1D66" w:rsidR="005D3762" w:rsidRDefault="004945B9" w:rsidP="004945B9">
      <w:r w:rsidRPr="00FA192F">
        <w:rPr>
          <w:rFonts w:ascii="Verdana" w:hAnsi="Verdana"/>
          <w:sz w:val="20"/>
        </w:rPr>
        <w:t xml:space="preserve">The UK FCA has already removed SFTs from the scope of UK </w:t>
      </w:r>
      <w:proofErr w:type="spellStart"/>
      <w:r w:rsidRPr="00FA192F">
        <w:rPr>
          <w:rFonts w:ascii="Verdana" w:hAnsi="Verdana"/>
          <w:sz w:val="20"/>
        </w:rPr>
        <w:t>MiFIR</w:t>
      </w:r>
      <w:proofErr w:type="spellEnd"/>
      <w:r w:rsidRPr="00FA192F">
        <w:rPr>
          <w:rFonts w:ascii="Verdana" w:hAnsi="Verdana"/>
          <w:sz w:val="20"/>
        </w:rPr>
        <w:t xml:space="preserve"> transaction reporting (see </w:t>
      </w:r>
      <w:hyperlink r:id="rId32" w:history="1">
        <w:r w:rsidRPr="00FA192F">
          <w:rPr>
            <w:rFonts w:ascii="Verdana" w:hAnsi="Verdana"/>
            <w:sz w:val="20"/>
          </w:rPr>
          <w:t>FCA Handbook Notice 96</w:t>
        </w:r>
      </w:hyperlink>
      <w:r w:rsidRPr="00FA192F">
        <w:rPr>
          <w:rFonts w:ascii="Verdana" w:hAnsi="Verdana"/>
          <w:sz w:val="20"/>
        </w:rPr>
        <w:t xml:space="preserve">). This review is the appropriate time for ESMA to completely remove SFTs from the scope of </w:t>
      </w:r>
      <w:proofErr w:type="spellStart"/>
      <w:r w:rsidRPr="00FA192F">
        <w:rPr>
          <w:rFonts w:ascii="Verdana" w:hAnsi="Verdana"/>
          <w:sz w:val="20"/>
        </w:rPr>
        <w:t>MiFIR</w:t>
      </w:r>
      <w:proofErr w:type="spellEnd"/>
      <w:r w:rsidRPr="00FA192F">
        <w:rPr>
          <w:rFonts w:ascii="Verdana" w:hAnsi="Verdana"/>
          <w:sz w:val="20"/>
        </w:rPr>
        <w:t xml:space="preserve"> transaction reporting.</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lastRenderedPageBreak/>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482DBC57" w14:textId="2BA12E92" w:rsidR="004945B9" w:rsidRPr="00930087" w:rsidRDefault="004945B9" w:rsidP="004945B9">
      <w:pPr>
        <w:rPr>
          <w:rFonts w:ascii="Verdana" w:hAnsi="Verdana"/>
          <w:sz w:val="20"/>
        </w:rPr>
      </w:pPr>
      <w:permStart w:id="923106790" w:edGrp="everyone"/>
      <w:r w:rsidRPr="00930087">
        <w:rPr>
          <w:rFonts w:ascii="Verdana" w:hAnsi="Verdana"/>
          <w:sz w:val="20"/>
        </w:rPr>
        <w:t xml:space="preserve">Euronext notes that ESMA is considering the use of JSON format for reporting in a number of areas (i.e. RTS3, RTS21, RTS22, RTS23 &amp; RTS24). It is critical that any approach ESMA decides to take in relation to reporting formats must be holistic and seek to progressively extend to all areas and reporting layers; otherwise it will not produce benefits and instead would lead to additional complexity and unnecessary cost. </w:t>
      </w:r>
      <w:r>
        <w:rPr>
          <w:rFonts w:ascii="Verdana" w:hAnsi="Verdana"/>
          <w:sz w:val="20"/>
        </w:rPr>
        <w:t>We are concerned that already it seems ESMA is approaching it differently for different reporting areas, given ESMA has already concluded for commodity derivatives that it will not be used, yet it seems it is still being considered for other areas.</w:t>
      </w:r>
      <w:r w:rsidRPr="00CE3531">
        <w:rPr>
          <w:rFonts w:ascii="Verdana" w:hAnsi="Verdana"/>
          <w:sz w:val="20"/>
        </w:rPr>
        <w:t xml:space="preserve"> </w:t>
      </w:r>
      <w:r w:rsidRPr="00930087">
        <w:rPr>
          <w:rFonts w:ascii="Verdana" w:hAnsi="Verdana"/>
          <w:sz w:val="20"/>
        </w:rPr>
        <w:t xml:space="preserve">It is critical that a thorough cost / benefit analysis is carried out by ESMA before proceeding with such a significant change. </w:t>
      </w:r>
      <w:r>
        <w:rPr>
          <w:rFonts w:ascii="Verdana" w:hAnsi="Verdana"/>
          <w:sz w:val="20"/>
        </w:rPr>
        <w:t>Euronext is not convinced that a switch to JSON will result in any improvements to the regulatory reporting process.</w:t>
      </w:r>
    </w:p>
    <w:p w14:paraId="7D8A69FD" w14:textId="61845DD8" w:rsidR="004945B9" w:rsidRPr="004945B9" w:rsidRDefault="004945B9" w:rsidP="004945B9">
      <w:pPr>
        <w:rPr>
          <w:rStyle w:val="cf01"/>
          <w:rFonts w:ascii="Verdana" w:hAnsi="Verdana" w:cs="Arial"/>
          <w:sz w:val="20"/>
        </w:rPr>
      </w:pPr>
      <w:r w:rsidRPr="00930087">
        <w:rPr>
          <w:rFonts w:ascii="Verdana" w:hAnsi="Verdana"/>
          <w:sz w:val="20"/>
        </w:rPr>
        <w:t>Fundamentally, any evolution towards the JSON format must as a prerequisite receive full endorsement from all NCAs and commitment that they will also adjust their practices and requirements in favour of this new unique format. Euronext has experienced</w:t>
      </w:r>
      <w:r w:rsidRPr="00930087">
        <w:rPr>
          <w:rStyle w:val="cf01"/>
          <w:rFonts w:ascii="Verdana" w:hAnsi="Verdana"/>
          <w:sz w:val="20"/>
        </w:rPr>
        <w:t xml:space="preserve"> inefficiencies linked to NCAs that currently sometimes require and request different reporting formats for operational reasons for the same reporting purposes. A broader evolution towards JSON can only be meaningful and successful if such discrepancies can be dismantled in favour of a unique format that is used by all. </w:t>
      </w:r>
      <w:r>
        <w:rPr>
          <w:rStyle w:val="cf01"/>
          <w:rFonts w:ascii="Verdana" w:hAnsi="Verdana"/>
          <w:sz w:val="20"/>
        </w:rPr>
        <w:t>I</w:t>
      </w:r>
      <w:r w:rsidRPr="00B11FB1">
        <w:rPr>
          <w:rFonts w:ascii="Verdana" w:hAnsi="Verdana"/>
          <w:sz w:val="20"/>
        </w:rPr>
        <w:t xml:space="preserve">t is essential whichever format is chosen that the same format is required by all NCAs so that a harmonised approach is ensured. </w:t>
      </w:r>
    </w:p>
    <w:p w14:paraId="6FD086F9" w14:textId="61293A4E" w:rsidR="005D3762" w:rsidRDefault="004945B9" w:rsidP="004945B9">
      <w:r w:rsidRPr="00930087">
        <w:rPr>
          <w:rStyle w:val="cf01"/>
          <w:rFonts w:ascii="Verdana" w:hAnsi="Verdana"/>
          <w:sz w:val="20"/>
        </w:rPr>
        <w:t>Lastly, given that this would be a significant structural change, it is important that sufficient implementation time is provided for this transition (12 months at a minimum) and it is necessary that any evolutions towards this only be taken in a context where it can be confirmed to the industry by ESMA that JSON would be the go-to format for the foreseeable future and that at a minimum, no new reporting format would be introduced or required in the coming 5 to 8 years.</w:t>
      </w:r>
      <w:r w:rsidRPr="00C47733">
        <w:rPr>
          <w:rFonts w:ascii="Verdana" w:hAnsi="Verdana"/>
          <w:sz w:val="20"/>
        </w:rPr>
        <w:t xml:space="preserve"> </w:t>
      </w:r>
      <w:r w:rsidRPr="00CE3531">
        <w:rPr>
          <w:rFonts w:ascii="Verdana" w:hAnsi="Verdana"/>
          <w:sz w:val="20"/>
        </w:rPr>
        <w:t>The conclusion not to change to JSON formatting in the Final Report on Commodities (published on 16 December 2024) would therefore make it questionable that ESMA reaches a different conclusion for other RTS reporting</w:t>
      </w:r>
      <w:r>
        <w:t xml:space="preserve">. </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 xml:space="preserve">Should the use of transaction data to perform the calculations be feasible, what would be the costs and the benefits of using this data and discontinuing the specific reporting flows (FITRS and / or DVCAP), including in relation to the change </w:t>
      </w:r>
      <w:r>
        <w:lastRenderedPageBreak/>
        <w:t>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71CB9DAE" w14:textId="430C9E6B" w:rsidR="004945B9" w:rsidRPr="00930087" w:rsidRDefault="004945B9" w:rsidP="004945B9">
      <w:pPr>
        <w:spacing w:after="0" w:line="240" w:lineRule="auto"/>
        <w:rPr>
          <w:rFonts w:ascii="Verdana" w:eastAsia="Times New Roman" w:hAnsi="Verdana"/>
          <w:sz w:val="20"/>
        </w:rPr>
      </w:pPr>
      <w:permStart w:id="2074366874" w:edGrp="everyone"/>
      <w:r w:rsidRPr="00930087">
        <w:rPr>
          <w:rFonts w:ascii="Verdana" w:eastAsia="Times New Roman" w:hAnsi="Verdana"/>
          <w:sz w:val="20"/>
        </w:rPr>
        <w:t xml:space="preserve">With regards to non-equities, we agree with the discontinuation of these reporting flows, especially since the </w:t>
      </w:r>
      <w:proofErr w:type="spellStart"/>
      <w:r w:rsidRPr="00930087">
        <w:rPr>
          <w:rFonts w:ascii="Verdana" w:eastAsia="Times New Roman" w:hAnsi="Verdana"/>
          <w:sz w:val="20"/>
        </w:rPr>
        <w:t>MiFIR</w:t>
      </w:r>
      <w:proofErr w:type="spellEnd"/>
      <w:r w:rsidRPr="00930087">
        <w:rPr>
          <w:rFonts w:ascii="Verdana" w:eastAsia="Times New Roman" w:hAnsi="Verdana"/>
          <w:sz w:val="20"/>
        </w:rPr>
        <w:t xml:space="preserve"> Review has moved the non-equities transparency regime to rely on static thresholds and characteristics.</w:t>
      </w:r>
    </w:p>
    <w:p w14:paraId="2B6D1B37" w14:textId="77777777" w:rsidR="004945B9" w:rsidRPr="00930087" w:rsidRDefault="004945B9" w:rsidP="004945B9">
      <w:pPr>
        <w:spacing w:after="0" w:line="240" w:lineRule="auto"/>
        <w:rPr>
          <w:rFonts w:ascii="Verdana" w:eastAsia="Times New Roman" w:hAnsi="Verdana"/>
          <w:sz w:val="20"/>
        </w:rPr>
      </w:pPr>
    </w:p>
    <w:p w14:paraId="13B9E254" w14:textId="77777777" w:rsidR="004945B9" w:rsidRPr="00930087" w:rsidRDefault="004945B9" w:rsidP="004945B9">
      <w:pPr>
        <w:spacing w:after="0" w:line="240" w:lineRule="auto"/>
        <w:rPr>
          <w:rFonts w:ascii="Verdana" w:eastAsia="Times New Roman" w:hAnsi="Verdana"/>
          <w:sz w:val="20"/>
        </w:rPr>
      </w:pPr>
      <w:r w:rsidRPr="00930087">
        <w:rPr>
          <w:rFonts w:ascii="Verdana" w:eastAsia="Times New Roman" w:hAnsi="Verdana"/>
          <w:sz w:val="20"/>
        </w:rPr>
        <w:t>With regards to equities, we do not see a significant benefit to this proposal as these files are not the most problematic area for us, and in fact, we are completing an internal project to streamline this area even further so we don’t see this as a complex area to simplify; therefore we don’t envisage major cost savings with this initiative</w:t>
      </w:r>
    </w:p>
    <w:p w14:paraId="5D2C5FB8" w14:textId="77777777" w:rsidR="004945B9" w:rsidRPr="00930087" w:rsidRDefault="004945B9" w:rsidP="004945B9">
      <w:pPr>
        <w:spacing w:after="0" w:line="240" w:lineRule="auto"/>
        <w:rPr>
          <w:rFonts w:ascii="Verdana" w:eastAsia="Times New Roman" w:hAnsi="Verdana"/>
          <w:sz w:val="20"/>
        </w:rPr>
      </w:pPr>
    </w:p>
    <w:p w14:paraId="0A610052" w14:textId="77777777" w:rsidR="004945B9" w:rsidRPr="00930087" w:rsidRDefault="004945B9" w:rsidP="004945B9">
      <w:pPr>
        <w:spacing w:after="0" w:line="240" w:lineRule="auto"/>
        <w:rPr>
          <w:rFonts w:ascii="Verdana" w:eastAsia="Times New Roman" w:hAnsi="Verdana"/>
          <w:sz w:val="20"/>
        </w:rPr>
      </w:pPr>
      <w:r w:rsidRPr="00930087">
        <w:rPr>
          <w:rFonts w:ascii="Verdana" w:eastAsia="Times New Roman" w:hAnsi="Verdana"/>
          <w:sz w:val="20"/>
        </w:rPr>
        <w:t>On the contrary, we are concerned that the proposal to rely on transaction reporting instead could be problematic as may give rise to data quality issues</w:t>
      </w:r>
    </w:p>
    <w:p w14:paraId="46560189" w14:textId="77777777" w:rsidR="004945B9" w:rsidRPr="00930087" w:rsidRDefault="004945B9" w:rsidP="004945B9">
      <w:pPr>
        <w:spacing w:after="0" w:line="240" w:lineRule="auto"/>
        <w:rPr>
          <w:rFonts w:ascii="Verdana" w:eastAsia="Times New Roman" w:hAnsi="Verdana"/>
          <w:sz w:val="20"/>
        </w:rPr>
      </w:pPr>
    </w:p>
    <w:p w14:paraId="4D70D3A3" w14:textId="77777777" w:rsidR="004945B9" w:rsidRDefault="004945B9" w:rsidP="004945B9">
      <w:pPr>
        <w:spacing w:after="0" w:line="240" w:lineRule="auto"/>
        <w:rPr>
          <w:rFonts w:ascii="Verdana" w:eastAsia="Times New Roman" w:hAnsi="Verdana"/>
          <w:sz w:val="20"/>
        </w:rPr>
      </w:pPr>
      <w:r w:rsidRPr="00930087">
        <w:rPr>
          <w:rFonts w:ascii="Verdana" w:eastAsia="Times New Roman" w:hAnsi="Verdana"/>
          <w:sz w:val="20"/>
        </w:rPr>
        <w:t xml:space="preserve">We note the proof of concept that ESMA is working on which is very informative, but again we are concerned that the assessment indicates that the data results are not sufficiently high to deliver an outcome that is accurate enough to base trading metrics on. In particular, the LIS threshold result is quite low and potentially reflects an underlying issue regarding the use of waivers. In addition, investment firms may not have full visibility of the use of waivers on trading systems so we may end up in a situation where trading venues would have to provide more detail back to clients that may require even more system updates, which seems counterintuitive. In our view, it may make more sense that we, as the source of this data continue to provide it directly to ESMA. </w:t>
      </w:r>
    </w:p>
    <w:p w14:paraId="055E0DD3" w14:textId="77777777" w:rsidR="004945B9" w:rsidRDefault="004945B9" w:rsidP="004945B9">
      <w:pPr>
        <w:spacing w:after="0" w:line="240" w:lineRule="auto"/>
        <w:rPr>
          <w:rFonts w:ascii="Verdana" w:eastAsia="Times New Roman" w:hAnsi="Verdana"/>
          <w:sz w:val="20"/>
        </w:rPr>
      </w:pPr>
    </w:p>
    <w:p w14:paraId="4952BBC0" w14:textId="77777777" w:rsidR="004945B9" w:rsidRDefault="004945B9" w:rsidP="004945B9">
      <w:pPr>
        <w:spacing w:after="0" w:line="240" w:lineRule="auto"/>
        <w:rPr>
          <w:rFonts w:ascii="Verdana" w:eastAsia="Times New Roman" w:hAnsi="Verdana"/>
          <w:sz w:val="20"/>
        </w:rPr>
      </w:pPr>
      <w:r w:rsidRPr="00930087">
        <w:rPr>
          <w:rFonts w:ascii="Verdana" w:eastAsia="Times New Roman" w:hAnsi="Verdana"/>
          <w:sz w:val="20"/>
        </w:rPr>
        <w:t>Therefore,</w:t>
      </w:r>
      <w:r>
        <w:rPr>
          <w:rFonts w:ascii="Verdana" w:eastAsia="Times New Roman" w:hAnsi="Verdana"/>
          <w:sz w:val="20"/>
        </w:rPr>
        <w:t xml:space="preserve"> our</w:t>
      </w:r>
      <w:r w:rsidRPr="00930087">
        <w:rPr>
          <w:rFonts w:ascii="Verdana" w:eastAsia="Times New Roman" w:hAnsi="Verdana"/>
          <w:sz w:val="20"/>
        </w:rPr>
        <w:t xml:space="preserve"> overall</w:t>
      </w:r>
      <w:r>
        <w:rPr>
          <w:rFonts w:ascii="Verdana" w:eastAsia="Times New Roman" w:hAnsi="Verdana"/>
          <w:sz w:val="20"/>
        </w:rPr>
        <w:t xml:space="preserve"> assessment</w:t>
      </w:r>
      <w:r w:rsidRPr="00930087">
        <w:rPr>
          <w:rFonts w:ascii="Verdana" w:eastAsia="Times New Roman" w:hAnsi="Verdana"/>
          <w:sz w:val="20"/>
        </w:rPr>
        <w:t xml:space="preserve"> suggest</w:t>
      </w:r>
      <w:r>
        <w:rPr>
          <w:rFonts w:ascii="Verdana" w:eastAsia="Times New Roman" w:hAnsi="Verdana"/>
          <w:sz w:val="20"/>
        </w:rPr>
        <w:t>s that</w:t>
      </w:r>
      <w:r w:rsidRPr="00930087">
        <w:rPr>
          <w:rFonts w:ascii="Verdana" w:eastAsia="Times New Roman" w:hAnsi="Verdana"/>
          <w:sz w:val="20"/>
        </w:rPr>
        <w:t xml:space="preserve"> ESMA should work on further refining transaction reporting first and then once this has been delivered, there could be further consideration of where efficiencies could be achieved.</w:t>
      </w:r>
      <w:r w:rsidRPr="00E9664E">
        <w:t xml:space="preserve"> </w:t>
      </w:r>
    </w:p>
    <w:p w14:paraId="5147AF61" w14:textId="77777777" w:rsidR="004945B9" w:rsidRDefault="004945B9" w:rsidP="004945B9">
      <w:pPr>
        <w:spacing w:after="0" w:line="240" w:lineRule="auto"/>
        <w:rPr>
          <w:rFonts w:ascii="Verdana" w:eastAsia="Times New Roman" w:hAnsi="Verdana"/>
          <w:sz w:val="20"/>
        </w:rPr>
      </w:pPr>
    </w:p>
    <w:p w14:paraId="546BFC3A" w14:textId="4620103A" w:rsidR="005D3762" w:rsidRPr="004945B9" w:rsidRDefault="004945B9" w:rsidP="004945B9">
      <w:pPr>
        <w:spacing w:after="0" w:line="240" w:lineRule="auto"/>
        <w:rPr>
          <w:lang w:val="en-US"/>
        </w:rPr>
      </w:pPr>
      <w:r w:rsidRPr="009D550D">
        <w:rPr>
          <w:rFonts w:ascii="Verdana" w:eastAsia="Times New Roman" w:hAnsi="Verdana"/>
          <w:sz w:val="20"/>
        </w:rPr>
        <w:t>However, we note from the Final Report published on RTS1 that it seems a decision has already been made to discontinue the reporting of these files</w:t>
      </w:r>
      <w:r>
        <w:rPr>
          <w:rFonts w:ascii="Verdana" w:eastAsia="Times New Roman" w:hAnsi="Verdana"/>
          <w:sz w:val="20"/>
        </w:rPr>
        <w:t xml:space="preserve"> (also to highlight there seems to be a typo in the Final Report on RTS1 as </w:t>
      </w:r>
      <w:r>
        <w:rPr>
          <w:rFonts w:ascii="Verdana" w:hAnsi="Verdana"/>
          <w:sz w:val="20"/>
          <w:lang w:val="en-US"/>
        </w:rPr>
        <w:t xml:space="preserve">Article 20 Entry into force and application </w:t>
      </w:r>
      <w:r>
        <w:rPr>
          <w:rFonts w:ascii="Verdana" w:eastAsia="Times New Roman" w:hAnsi="Verdana"/>
          <w:sz w:val="20"/>
        </w:rPr>
        <w:t>refers to Art 16 (5) and (6); however, we assume this should be Art 17 of RTS1)</w:t>
      </w:r>
      <w:r w:rsidRPr="009D550D">
        <w:rPr>
          <w:rFonts w:ascii="Verdana" w:eastAsia="Times New Roman" w:hAnsi="Verdana"/>
          <w:sz w:val="20"/>
        </w:rPr>
        <w:t xml:space="preserve">. This </w:t>
      </w:r>
      <w:r>
        <w:rPr>
          <w:rFonts w:ascii="Verdana" w:eastAsia="Times New Roman" w:hAnsi="Verdana"/>
          <w:sz w:val="20"/>
        </w:rPr>
        <w:t xml:space="preserve">appears to </w:t>
      </w:r>
      <w:r w:rsidRPr="009D550D">
        <w:rPr>
          <w:rFonts w:ascii="Verdana" w:eastAsia="Times New Roman" w:hAnsi="Verdana"/>
          <w:sz w:val="20"/>
        </w:rPr>
        <w:t>somewhat undermine this consultation process given we would have thought that feedback should be reviewed and considered before any conclusions are reached.</w:t>
      </w:r>
      <w:r>
        <w:rPr>
          <w:rFonts w:ascii="Verdana" w:eastAsia="Times New Roman" w:hAnsi="Verdana"/>
          <w:sz w:val="20"/>
        </w:rPr>
        <w:t xml:space="preserve"> Therefore, w</w:t>
      </w:r>
      <w:r w:rsidRPr="009D550D">
        <w:rPr>
          <w:rFonts w:ascii="Verdana" w:eastAsia="Times New Roman" w:hAnsi="Verdana"/>
          <w:sz w:val="20"/>
        </w:rPr>
        <w:t>e urge ESMA to strive to adequately address the data quality issues</w:t>
      </w:r>
      <w:r>
        <w:rPr>
          <w:rFonts w:ascii="Verdana" w:eastAsia="Times New Roman" w:hAnsi="Verdana"/>
          <w:sz w:val="20"/>
        </w:rPr>
        <w:t xml:space="preserve"> as this proposal progresses</w:t>
      </w:r>
      <w:r w:rsidRPr="009D550D">
        <w:rPr>
          <w:rFonts w:ascii="Verdana" w:eastAsia="Times New Roman" w:hAnsi="Verdana"/>
          <w:sz w:val="20"/>
        </w:rPr>
        <w:t>.</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4AAAABDE" w14:textId="0B2FEC4F" w:rsidR="004945B9" w:rsidRPr="00930087" w:rsidRDefault="004945B9" w:rsidP="004945B9">
      <w:pPr>
        <w:spacing w:after="0" w:line="240" w:lineRule="auto"/>
        <w:rPr>
          <w:rFonts w:ascii="Verdana" w:eastAsia="Times New Roman" w:hAnsi="Verdana"/>
          <w:sz w:val="20"/>
        </w:rPr>
      </w:pPr>
      <w:permStart w:id="1539267528" w:edGrp="everyone"/>
      <w:r w:rsidRPr="00930087">
        <w:rPr>
          <w:rFonts w:ascii="Verdana" w:eastAsia="Times New Roman" w:hAnsi="Verdana"/>
          <w:sz w:val="20"/>
        </w:rPr>
        <w:lastRenderedPageBreak/>
        <w:t>With regards to equities, we note the proof of concept that ESMA is working on which is very informative, but we are concerned that the assessment indicates that the data results are not sufficiently high to deliver an outcome that is accurate enough to base trading metrics on</w:t>
      </w:r>
      <w:r w:rsidRPr="001F5C75">
        <w:rPr>
          <w:rFonts w:ascii="Verdana" w:eastAsia="Times New Roman" w:hAnsi="Verdana"/>
          <w:sz w:val="20"/>
        </w:rPr>
        <w:t xml:space="preserve">. </w:t>
      </w:r>
      <w:r w:rsidRPr="00930087">
        <w:rPr>
          <w:rFonts w:ascii="Verdana" w:eastAsia="Times New Roman" w:hAnsi="Verdana"/>
          <w:sz w:val="20"/>
        </w:rPr>
        <w:t xml:space="preserve">In particular, the LIS threshold result is quite low and potentially reflects an underlying issue regarding the use of waivers. </w:t>
      </w:r>
    </w:p>
    <w:p w14:paraId="1090462F" w14:textId="77777777" w:rsidR="004945B9" w:rsidRPr="00930087" w:rsidRDefault="004945B9" w:rsidP="004945B9">
      <w:pPr>
        <w:spacing w:after="0" w:line="240" w:lineRule="auto"/>
        <w:rPr>
          <w:rFonts w:ascii="Verdana" w:eastAsia="Times New Roman" w:hAnsi="Verdana"/>
          <w:sz w:val="20"/>
        </w:rPr>
      </w:pPr>
    </w:p>
    <w:p w14:paraId="09E12715" w14:textId="77777777" w:rsidR="004945B9" w:rsidRDefault="004945B9" w:rsidP="004945B9">
      <w:pPr>
        <w:spacing w:after="0" w:line="240" w:lineRule="auto"/>
        <w:rPr>
          <w:rFonts w:ascii="Verdana" w:eastAsia="Times New Roman" w:hAnsi="Verdana"/>
          <w:sz w:val="20"/>
        </w:rPr>
      </w:pPr>
      <w:r w:rsidRPr="00930087">
        <w:rPr>
          <w:rFonts w:ascii="Verdana" w:eastAsia="Times New Roman" w:hAnsi="Verdana"/>
          <w:sz w:val="20"/>
        </w:rPr>
        <w:t xml:space="preserve">In addition, investment firms may not have full visibility of the use of waivers on trading systems so we may end up in a situation where trading venues would have to provide more detail back to clients that may require even more system updates, which seems counterintuitive. In our view, it may make more sense that we, as the source of this data continue to provide it directly to ESMA. </w:t>
      </w:r>
    </w:p>
    <w:p w14:paraId="5498468E" w14:textId="77777777" w:rsidR="004945B9" w:rsidRDefault="004945B9" w:rsidP="004945B9">
      <w:pPr>
        <w:spacing w:after="0" w:line="240" w:lineRule="auto"/>
        <w:rPr>
          <w:rFonts w:ascii="Verdana" w:eastAsia="Times New Roman" w:hAnsi="Verdana"/>
          <w:sz w:val="20"/>
        </w:rPr>
      </w:pPr>
    </w:p>
    <w:p w14:paraId="06205033" w14:textId="49397895" w:rsidR="005D3762" w:rsidRDefault="004945B9" w:rsidP="004945B9">
      <w:r w:rsidRPr="00170825">
        <w:rPr>
          <w:rFonts w:ascii="Verdana" w:eastAsia="Times New Roman" w:hAnsi="Verdana"/>
          <w:sz w:val="20"/>
        </w:rPr>
        <w:t>We suggest all these issues need to be addressed before ESMA can realistically progress this proposal.</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58E6FB25" w:rsidR="005D3762" w:rsidRDefault="00E43A18" w:rsidP="00E43A18">
      <w:permStart w:id="2065639823" w:edGrp="everyone"/>
      <w:r w:rsidRPr="00930087">
        <w:rPr>
          <w:rFonts w:ascii="Verdana" w:hAnsi="Verdana"/>
          <w:sz w:val="20"/>
        </w:rPr>
        <w:t>With regards to equities,  as per the above,</w:t>
      </w:r>
      <w:r w:rsidRPr="00930087">
        <w:rPr>
          <w:rFonts w:ascii="Verdana" w:hAnsi="Verdana"/>
          <w:b/>
          <w:bCs/>
          <w:sz w:val="20"/>
        </w:rPr>
        <w:t xml:space="preserve"> </w:t>
      </w:r>
      <w:r w:rsidRPr="00930087">
        <w:rPr>
          <w:rFonts w:ascii="Verdana" w:eastAsia="Times New Roman" w:hAnsi="Verdana"/>
          <w:sz w:val="20"/>
        </w:rPr>
        <w:t>we suggest ESMA should work on further refining transaction reporting first and then once this has been delivered, there could be further consideration of where efficiencies could be achieved.</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63F02ED4" w14:textId="49689D00" w:rsidR="00E43A18" w:rsidRPr="00930087" w:rsidRDefault="00E43A18" w:rsidP="00E43A18">
      <w:pPr>
        <w:rPr>
          <w:rFonts w:ascii="Verdana" w:hAnsi="Verdana"/>
          <w:sz w:val="20"/>
        </w:rPr>
      </w:pPr>
      <w:permStart w:id="1740114836" w:edGrp="everyone"/>
      <w:r>
        <w:rPr>
          <w:rFonts w:ascii="Verdana" w:hAnsi="Verdana"/>
          <w:sz w:val="20"/>
        </w:rPr>
        <w:t xml:space="preserve">Similar to our response to Q. 40, </w:t>
      </w:r>
      <w:r w:rsidRPr="00930087">
        <w:rPr>
          <w:rFonts w:ascii="Verdana" w:hAnsi="Verdana"/>
          <w:sz w:val="20"/>
        </w:rPr>
        <w:t xml:space="preserve">Euronext notes that ESMA is considering the use of JSON format for reporting in a number of areas (i.e. RTS3, RTS21, RTS22, RTS23 &amp; RTS24). It is critical that any approach ESMA decides to take in relation to reporting formats must be holistic and seek to progressively extend to all areas and reporting layers; otherwise it will not produce benefits and instead would lead to additional complexity and unnecessary cost. </w:t>
      </w:r>
      <w:r>
        <w:rPr>
          <w:rFonts w:ascii="Verdana" w:hAnsi="Verdana"/>
          <w:sz w:val="20"/>
        </w:rPr>
        <w:t xml:space="preserve">We are concerned that already it seems ESMA is approaching it differently for different reporting areas, given ESMA has already concluded for commodity derivatives that it will not be used, yet it seems it is still being considered for other areas. </w:t>
      </w:r>
      <w:r w:rsidRPr="00930087">
        <w:rPr>
          <w:rFonts w:ascii="Verdana" w:hAnsi="Verdana"/>
          <w:sz w:val="20"/>
        </w:rPr>
        <w:t xml:space="preserve">It is critical that a thorough cost / benefit </w:t>
      </w:r>
      <w:r w:rsidRPr="00930087">
        <w:rPr>
          <w:rFonts w:ascii="Verdana" w:hAnsi="Verdana"/>
          <w:sz w:val="20"/>
        </w:rPr>
        <w:lastRenderedPageBreak/>
        <w:t xml:space="preserve">analysis is carried out by ESMA before proceeding with such a significant change. </w:t>
      </w:r>
      <w:r>
        <w:rPr>
          <w:rFonts w:ascii="Verdana" w:hAnsi="Verdana"/>
          <w:sz w:val="20"/>
        </w:rPr>
        <w:t>Euronext is not convinced that a switch to JSON will result in any improvements to the regulatory reporting process.</w:t>
      </w:r>
    </w:p>
    <w:p w14:paraId="104176E0" w14:textId="77777777" w:rsidR="00E43A18" w:rsidRPr="00930087" w:rsidRDefault="00E43A18" w:rsidP="00E43A18">
      <w:pPr>
        <w:rPr>
          <w:rStyle w:val="cf01"/>
          <w:rFonts w:ascii="Verdana" w:hAnsi="Verdana"/>
          <w:sz w:val="20"/>
        </w:rPr>
      </w:pPr>
      <w:r w:rsidRPr="00930087">
        <w:rPr>
          <w:rFonts w:ascii="Verdana" w:hAnsi="Verdana"/>
          <w:sz w:val="20"/>
        </w:rPr>
        <w:t>Fundamentally, any evolution towards the JSON format must as a prerequisite receive full endorsement from all NCAs and commitment that they will also adjust their practices and requirements in favour of this new unique format. Euronext has experienced</w:t>
      </w:r>
      <w:r w:rsidRPr="00930087">
        <w:rPr>
          <w:rStyle w:val="cf01"/>
          <w:rFonts w:ascii="Verdana" w:hAnsi="Verdana"/>
          <w:sz w:val="20"/>
        </w:rPr>
        <w:t xml:space="preserve"> inefficiencies linked to NCAs that currently sometimes require and request different reporting formats for operational reasons for the same reporting purposes. A broader evolution towards JSON can only be meaningful and successful if such discrepancies can be dismantled in favour of a unique format that is used by all. </w:t>
      </w:r>
    </w:p>
    <w:p w14:paraId="0E76F3F2" w14:textId="5908E48D" w:rsidR="005D3762" w:rsidRDefault="00E43A18" w:rsidP="00E43A18">
      <w:r w:rsidRPr="00930087">
        <w:rPr>
          <w:rStyle w:val="cf01"/>
          <w:rFonts w:ascii="Verdana" w:hAnsi="Verdana"/>
          <w:sz w:val="20"/>
        </w:rPr>
        <w:t>Lastly, given that this would be a significant structural change, it is important that sufficient implementation time is provided for this transition (12 months at a minimum) and it is necessary that any evolutions towards this only be taken in a context where it can be confirmed to the industry by ESMA that JSON would be the go-to format for the foreseeable future and that at a minimum, no new reporting format would be introduced or required in the coming 5 to 8 years</w:t>
      </w:r>
      <w:r w:rsidRPr="001F5C75">
        <w:rPr>
          <w:rStyle w:val="cf01"/>
          <w:rFonts w:ascii="Verdana" w:hAnsi="Verdana"/>
          <w:sz w:val="20"/>
        </w:rPr>
        <w:t>.</w:t>
      </w:r>
      <w:r w:rsidRPr="005A4096">
        <w:rPr>
          <w:rFonts w:ascii="Verdana" w:hAnsi="Verdana"/>
          <w:sz w:val="20"/>
        </w:rPr>
        <w:t xml:space="preserve"> </w:t>
      </w:r>
      <w:r w:rsidRPr="00CE3531">
        <w:rPr>
          <w:rFonts w:ascii="Verdana" w:hAnsi="Verdana"/>
          <w:sz w:val="20"/>
        </w:rPr>
        <w:t>The conclusion not to change to JSON formatting in the Final Report on Commodities (published on 16 December 2024) would therefore make it questionable that ESMA reaches a different conclusion for other RTS reporting</w:t>
      </w:r>
      <w:r>
        <w:t xml:space="preserve">. </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74DCB083" w14:textId="77777777" w:rsidR="00E43A18" w:rsidRDefault="005D3762" w:rsidP="00E43A18">
      <w:pPr>
        <w:spacing w:after="0"/>
      </w:pPr>
      <w:r>
        <w:t>&lt;ESMA_QUESTION_</w:t>
      </w:r>
      <w:r w:rsidR="00DF3781">
        <w:t>RTS2224</w:t>
      </w:r>
      <w:r>
        <w:t>_</w:t>
      </w:r>
      <w:r w:rsidR="00BE02A2">
        <w:t>45</w:t>
      </w:r>
      <w:r>
        <w:t>&gt;</w:t>
      </w:r>
      <w:permStart w:id="1225332318" w:edGrp="everyone"/>
    </w:p>
    <w:p w14:paraId="06D67CA0" w14:textId="0A86EA71" w:rsidR="00E43A18" w:rsidRPr="00E43A18" w:rsidRDefault="00E43A18" w:rsidP="00E43A18">
      <w:pPr>
        <w:spacing w:after="0"/>
      </w:pPr>
      <w:r w:rsidRPr="00AB311D">
        <w:rPr>
          <w:rFonts w:ascii="Verdana" w:hAnsi="Verdana"/>
          <w:sz w:val="20"/>
        </w:rPr>
        <w:t xml:space="preserve">Please see our response </w:t>
      </w:r>
      <w:proofErr w:type="spellStart"/>
      <w:r w:rsidRPr="00AB311D">
        <w:rPr>
          <w:rFonts w:ascii="Verdana" w:hAnsi="Verdana"/>
          <w:sz w:val="20"/>
        </w:rPr>
        <w:t>tor</w:t>
      </w:r>
      <w:proofErr w:type="spellEnd"/>
      <w:r w:rsidRPr="00AB311D">
        <w:rPr>
          <w:rFonts w:ascii="Verdana" w:hAnsi="Verdana"/>
          <w:sz w:val="20"/>
        </w:rPr>
        <w:t xml:space="preserve"> Q. 44</w:t>
      </w:r>
    </w:p>
    <w:p w14:paraId="522E58E1" w14:textId="77777777" w:rsidR="00E43A18" w:rsidRDefault="00E43A18" w:rsidP="00E43A18">
      <w:pPr>
        <w:rPr>
          <w:rFonts w:ascii="Verdana" w:hAnsi="Verdana"/>
          <w:sz w:val="20"/>
        </w:rPr>
      </w:pPr>
    </w:p>
    <w:p w14:paraId="6D77BA33" w14:textId="636C70C0" w:rsidR="00E43A18" w:rsidRPr="00C27C30" w:rsidRDefault="00E43A18" w:rsidP="00E43A18">
      <w:pPr>
        <w:rPr>
          <w:rFonts w:ascii="Verdana" w:hAnsi="Verdana"/>
          <w:sz w:val="20"/>
        </w:rPr>
      </w:pPr>
      <w:r w:rsidRPr="00C27C30">
        <w:rPr>
          <w:rFonts w:ascii="Verdana" w:hAnsi="Verdana"/>
          <w:sz w:val="20"/>
        </w:rPr>
        <w:t xml:space="preserve">In </w:t>
      </w:r>
      <w:r>
        <w:rPr>
          <w:rFonts w:ascii="Verdana" w:hAnsi="Verdana"/>
          <w:sz w:val="20"/>
        </w:rPr>
        <w:t>addition regarding</w:t>
      </w:r>
      <w:r w:rsidRPr="00C27C30">
        <w:rPr>
          <w:rFonts w:ascii="Verdana" w:hAnsi="Verdana"/>
          <w:sz w:val="20"/>
        </w:rPr>
        <w:t xml:space="preserve"> any potential changes for these files, we recommend ESMA considers the following:</w:t>
      </w:r>
    </w:p>
    <w:p w14:paraId="252F1996" w14:textId="77777777" w:rsidR="00E43A18" w:rsidRPr="00C27C30" w:rsidRDefault="00E43A18" w:rsidP="00E43A18">
      <w:pPr>
        <w:pStyle w:val="ListParagraph"/>
        <w:numPr>
          <w:ilvl w:val="0"/>
          <w:numId w:val="40"/>
        </w:numPr>
        <w:spacing w:after="160" w:line="278" w:lineRule="auto"/>
        <w:rPr>
          <w:rFonts w:ascii="Verdana" w:hAnsi="Verdana"/>
          <w:sz w:val="20"/>
        </w:rPr>
      </w:pPr>
      <w:r w:rsidRPr="00C27C30">
        <w:rPr>
          <w:rFonts w:ascii="Verdana" w:hAnsi="Verdana"/>
          <w:sz w:val="20"/>
        </w:rPr>
        <w:t>Template changes should not apply retrospectively, as the costs would be prohibitive.</w:t>
      </w:r>
    </w:p>
    <w:p w14:paraId="1AF54811" w14:textId="77777777" w:rsidR="00E43A18" w:rsidRPr="00C27C30" w:rsidRDefault="00E43A18" w:rsidP="00E43A18">
      <w:pPr>
        <w:pStyle w:val="ListParagraph"/>
        <w:numPr>
          <w:ilvl w:val="0"/>
          <w:numId w:val="40"/>
        </w:numPr>
        <w:spacing w:after="160" w:line="278" w:lineRule="auto"/>
        <w:rPr>
          <w:rFonts w:ascii="Verdana" w:hAnsi="Verdana"/>
          <w:sz w:val="20"/>
        </w:rPr>
      </w:pPr>
      <w:r w:rsidRPr="00C27C30">
        <w:rPr>
          <w:rFonts w:ascii="Verdana" w:hAnsi="Verdana"/>
          <w:sz w:val="20"/>
        </w:rPr>
        <w:t>A transition phase is essential to allow the market time to adapt to new requirements.</w:t>
      </w:r>
    </w:p>
    <w:p w14:paraId="4EDA6CF9" w14:textId="77777777" w:rsidR="00E43A18" w:rsidRPr="00C27C30" w:rsidRDefault="00E43A18" w:rsidP="00E43A18">
      <w:pPr>
        <w:pStyle w:val="ListParagraph"/>
        <w:numPr>
          <w:ilvl w:val="0"/>
          <w:numId w:val="40"/>
        </w:numPr>
        <w:spacing w:after="160" w:line="278" w:lineRule="auto"/>
        <w:rPr>
          <w:rFonts w:ascii="Verdana" w:hAnsi="Verdana"/>
          <w:sz w:val="20"/>
        </w:rPr>
      </w:pPr>
      <w:r w:rsidRPr="00C27C30">
        <w:rPr>
          <w:rFonts w:ascii="Verdana" w:hAnsi="Verdana"/>
          <w:sz w:val="20"/>
        </w:rPr>
        <w:t>Other execution venues, such as Systematic Internalisers (SIs), should ultimately also be included in these requirements</w:t>
      </w:r>
      <w:r>
        <w:rPr>
          <w:rFonts w:ascii="Verdana" w:hAnsi="Verdana"/>
          <w:sz w:val="20"/>
        </w:rPr>
        <w:t>, as</w:t>
      </w:r>
      <w:r w:rsidRPr="00C27C30">
        <w:rPr>
          <w:rFonts w:ascii="Verdana" w:hAnsi="Verdana"/>
          <w:sz w:val="20"/>
        </w:rPr>
        <w:t xml:space="preserve"> </w:t>
      </w:r>
      <w:r w:rsidRPr="00EC08ED">
        <w:rPr>
          <w:rFonts w:ascii="Verdana" w:hAnsi="Verdana"/>
          <w:sz w:val="20"/>
        </w:rPr>
        <w:t xml:space="preserve">we strongly believe that standardised pre-trade information requirements should apply to all execution venues, including SIs, which </w:t>
      </w:r>
      <w:r w:rsidRPr="00EC08ED">
        <w:rPr>
          <w:rFonts w:ascii="Verdana" w:hAnsi="Verdana"/>
          <w:sz w:val="20"/>
        </w:rPr>
        <w:lastRenderedPageBreak/>
        <w:t>would also allow for simpler processing for regulators</w:t>
      </w:r>
      <w:r>
        <w:rPr>
          <w:rFonts w:ascii="Verdana" w:hAnsi="Verdana"/>
          <w:sz w:val="20"/>
        </w:rPr>
        <w:t xml:space="preserve"> and easier exchange of information. </w:t>
      </w:r>
    </w:p>
    <w:p w14:paraId="3747F98C" w14:textId="5714957D" w:rsidR="005D3762" w:rsidRDefault="00E43A18" w:rsidP="00E43A18">
      <w:r w:rsidRPr="00B11FB1">
        <w:rPr>
          <w:rFonts w:ascii="Verdana" w:hAnsi="Verdana"/>
          <w:sz w:val="20"/>
        </w:rPr>
        <w:t xml:space="preserve">As a final comment, it is essential whichever format is chosen that the same format is required by all NCAs so that a harmonised approach is ensured. </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7ED8D9B2" w14:textId="401EB74D" w:rsidR="00E43A18" w:rsidRDefault="00E43A18" w:rsidP="00E43A18">
      <w:pPr>
        <w:spacing w:after="0"/>
        <w:rPr>
          <w:rFonts w:ascii="Verdana" w:hAnsi="Verdana"/>
          <w:sz w:val="20"/>
        </w:rPr>
      </w:pPr>
      <w:permStart w:id="779768261" w:edGrp="everyone"/>
      <w:r w:rsidRPr="001F5C75">
        <w:rPr>
          <w:rFonts w:ascii="Verdana" w:hAnsi="Verdana"/>
          <w:sz w:val="20"/>
        </w:rPr>
        <w:t>Euronext is fully supportive of maintaining alignment between reporting under RTS 24 and RTS 22. This is completely logical and should be done to maintain data consistency and avoid degradation in data quality.</w:t>
      </w:r>
    </w:p>
    <w:p w14:paraId="60247667" w14:textId="77777777" w:rsidR="00E43A18" w:rsidRDefault="00E43A18" w:rsidP="00E43A18">
      <w:pPr>
        <w:spacing w:after="0"/>
        <w:rPr>
          <w:rFonts w:ascii="Verdana" w:hAnsi="Verdana"/>
          <w:sz w:val="20"/>
        </w:rPr>
      </w:pPr>
    </w:p>
    <w:p w14:paraId="594B0AAA" w14:textId="06F07906" w:rsidR="005D3762" w:rsidRPr="00E43A18" w:rsidRDefault="00E43A18" w:rsidP="00E43A18">
      <w:pPr>
        <w:rPr>
          <w:lang w:val="en-US"/>
        </w:rPr>
      </w:pPr>
      <w:bookmarkStart w:id="14" w:name="_Hlk187917207"/>
      <w:r>
        <w:rPr>
          <w:rFonts w:ascii="Verdana" w:hAnsi="Verdana"/>
          <w:sz w:val="20"/>
          <w:lang w:val="en-US"/>
        </w:rPr>
        <w:t xml:space="preserve">It is appropriate to ensure consistency in the treatment of the same information that is required by the two RTS as this will address practical issues that have arisen in this context. For example, an issue arises from the requirements set by RTS22 and RTS24 for the treatment of joint accounts. RTS22 clearly requires that information related to each account holder have to be reported, whereas the same obligation does not clearly exist in RTS24. RTS24 imposes a maximum of 35 characters for the Client Identification Code field which is problematic in some jurisdictions in the case of joint accounts because the number of characters needed to report at least two fiscal codes is higher, so the maximum </w:t>
      </w:r>
      <w:r>
        <w:rPr>
          <w:rFonts w:ascii="Verdana" w:hAnsi="Verdana"/>
          <w:sz w:val="20"/>
          <w:lang w:val="en-US"/>
        </w:rPr>
        <w:t xml:space="preserve">characters </w:t>
      </w:r>
      <w:r>
        <w:rPr>
          <w:rFonts w:ascii="Verdana" w:hAnsi="Verdana"/>
          <w:sz w:val="20"/>
          <w:lang w:val="en-US"/>
        </w:rPr>
        <w:t>should be extended.</w:t>
      </w:r>
      <w:bookmarkEnd w:id="14"/>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2014C855" w14:textId="22FE70B9" w:rsidR="00E43A18" w:rsidRPr="001F5C75" w:rsidRDefault="00E43A18" w:rsidP="00E43A18">
      <w:pPr>
        <w:pStyle w:val="ListParagraph"/>
        <w:numPr>
          <w:ilvl w:val="0"/>
          <w:numId w:val="41"/>
        </w:numPr>
        <w:spacing w:after="0" w:line="278" w:lineRule="auto"/>
        <w:rPr>
          <w:rFonts w:ascii="Verdana" w:hAnsi="Verdana"/>
          <w:sz w:val="20"/>
        </w:rPr>
      </w:pPr>
      <w:permStart w:id="2138990765" w:edGrp="everyone"/>
      <w:r>
        <w:rPr>
          <w:rFonts w:ascii="Verdana" w:hAnsi="Verdana"/>
          <w:b/>
          <w:bCs/>
          <w:sz w:val="20"/>
        </w:rPr>
        <w:t xml:space="preserve">New field - </w:t>
      </w:r>
      <w:r w:rsidRPr="00F44DA5">
        <w:rPr>
          <w:rFonts w:ascii="Verdana" w:hAnsi="Verdana"/>
          <w:b/>
          <w:bCs/>
          <w:sz w:val="20"/>
        </w:rPr>
        <w:t>Transaction cancellation Date and Time:</w:t>
      </w:r>
      <w:r w:rsidRPr="001F5C75">
        <w:rPr>
          <w:rFonts w:ascii="Verdana" w:hAnsi="Verdana"/>
          <w:sz w:val="20"/>
        </w:rPr>
        <w:t xml:space="preserve"> </w:t>
      </w:r>
      <w:r>
        <w:rPr>
          <w:rFonts w:ascii="Verdana" w:hAnsi="Verdana"/>
          <w:sz w:val="20"/>
        </w:rPr>
        <w:t>While this seems fine as</w:t>
      </w:r>
      <w:r w:rsidRPr="001F5C75">
        <w:rPr>
          <w:rFonts w:ascii="Verdana" w:hAnsi="Verdana"/>
          <w:sz w:val="20"/>
        </w:rPr>
        <w:t xml:space="preserve"> we already send out trade cancellations in market data feeds</w:t>
      </w:r>
      <w:r>
        <w:rPr>
          <w:rFonts w:ascii="Verdana" w:hAnsi="Verdana"/>
          <w:sz w:val="20"/>
        </w:rPr>
        <w:t xml:space="preserve">, it is not clear to us why a new field is needed for this purpose. It may be worth considering requiring </w:t>
      </w:r>
      <w:r w:rsidRPr="001F5C75">
        <w:rPr>
          <w:rFonts w:ascii="Verdana" w:hAnsi="Verdana"/>
          <w:sz w:val="20"/>
        </w:rPr>
        <w:t>this timestamp in the existing field “Date and Time”, that is used to cover every event mapped in the order record keeping reports</w:t>
      </w:r>
      <w:r>
        <w:rPr>
          <w:rFonts w:ascii="Verdana" w:hAnsi="Verdana"/>
          <w:sz w:val="20"/>
        </w:rPr>
        <w:t xml:space="preserve">. </w:t>
      </w:r>
    </w:p>
    <w:p w14:paraId="58562458" w14:textId="77777777" w:rsidR="00E43A18" w:rsidRPr="001F5C75" w:rsidRDefault="00E43A18" w:rsidP="00E43A18">
      <w:pPr>
        <w:pStyle w:val="ListParagraph"/>
        <w:numPr>
          <w:ilvl w:val="0"/>
          <w:numId w:val="41"/>
        </w:numPr>
        <w:spacing w:after="0" w:line="278" w:lineRule="auto"/>
        <w:rPr>
          <w:rFonts w:ascii="Verdana" w:hAnsi="Verdana"/>
          <w:sz w:val="20"/>
        </w:rPr>
      </w:pPr>
      <w:r>
        <w:rPr>
          <w:rFonts w:ascii="Verdana" w:hAnsi="Verdana"/>
          <w:b/>
          <w:bCs/>
          <w:sz w:val="20"/>
        </w:rPr>
        <w:t xml:space="preserve">Field 5 </w:t>
      </w:r>
      <w:r w:rsidRPr="00F44DA5">
        <w:rPr>
          <w:rFonts w:ascii="Verdana" w:hAnsi="Verdana"/>
          <w:b/>
          <w:bCs/>
          <w:sz w:val="20"/>
        </w:rPr>
        <w:t>Execution within firm:</w:t>
      </w:r>
      <w:r w:rsidRPr="001F5C75">
        <w:rPr>
          <w:rFonts w:ascii="Verdana" w:hAnsi="Verdana"/>
          <w:sz w:val="20"/>
        </w:rPr>
        <w:t xml:space="preserve"> see comments to question 34.</w:t>
      </w:r>
    </w:p>
    <w:p w14:paraId="7BBD1809" w14:textId="77777777" w:rsidR="00E43A18" w:rsidRDefault="00E43A18" w:rsidP="00E43A18">
      <w:pPr>
        <w:pStyle w:val="ListParagraph"/>
        <w:numPr>
          <w:ilvl w:val="0"/>
          <w:numId w:val="41"/>
        </w:numPr>
        <w:spacing w:after="0" w:line="278" w:lineRule="auto"/>
        <w:rPr>
          <w:rFonts w:ascii="Verdana" w:hAnsi="Verdana"/>
          <w:sz w:val="20"/>
        </w:rPr>
      </w:pPr>
      <w:r>
        <w:rPr>
          <w:rFonts w:ascii="Verdana" w:hAnsi="Verdana"/>
          <w:b/>
          <w:bCs/>
          <w:sz w:val="20"/>
        </w:rPr>
        <w:lastRenderedPageBreak/>
        <w:t xml:space="preserve">Field 3 </w:t>
      </w:r>
      <w:r w:rsidRPr="00F44DA5">
        <w:rPr>
          <w:rFonts w:ascii="Verdana" w:hAnsi="Verdana"/>
          <w:b/>
          <w:bCs/>
          <w:sz w:val="20"/>
        </w:rPr>
        <w:t>Client identification code:</w:t>
      </w:r>
      <w:r w:rsidRPr="001F5C75">
        <w:rPr>
          <w:rFonts w:ascii="Verdana" w:hAnsi="Verdana"/>
          <w:sz w:val="20"/>
        </w:rPr>
        <w:t xml:space="preserve"> it is not clear what </w:t>
      </w:r>
      <w:r>
        <w:rPr>
          <w:rFonts w:ascii="Verdana" w:hAnsi="Verdana"/>
          <w:sz w:val="20"/>
        </w:rPr>
        <w:t xml:space="preserve">is </w:t>
      </w:r>
      <w:r w:rsidRPr="001F5C75">
        <w:rPr>
          <w:rFonts w:ascii="Verdana" w:hAnsi="Verdana"/>
          <w:sz w:val="20"/>
        </w:rPr>
        <w:t>mean</w:t>
      </w:r>
      <w:r>
        <w:rPr>
          <w:rFonts w:ascii="Verdana" w:hAnsi="Verdana"/>
          <w:sz w:val="20"/>
        </w:rPr>
        <w:t>t</w:t>
      </w:r>
      <w:r w:rsidRPr="001F5C75">
        <w:rPr>
          <w:rFonts w:ascii="Verdana" w:hAnsi="Verdana"/>
          <w:sz w:val="20"/>
        </w:rPr>
        <w:t xml:space="preserve"> by saying that a new value should be added, on top of PNAL and AGGR. What are exactly the cases where each of these should be used? How PNAL and AGGR should be then managed to the purposes of RTS 22, once also INTC is added? See also comments to question 34. </w:t>
      </w:r>
    </w:p>
    <w:p w14:paraId="5E707742" w14:textId="0E6B3309" w:rsidR="005D3762" w:rsidRPr="00E43A18" w:rsidRDefault="00E43A18" w:rsidP="00E43A18">
      <w:pPr>
        <w:ind w:left="720"/>
        <w:rPr>
          <w:lang w:val="en-US"/>
        </w:rPr>
      </w:pPr>
      <w:r w:rsidRPr="005B48FD">
        <w:rPr>
          <w:rFonts w:ascii="Verdana" w:hAnsi="Verdana"/>
          <w:sz w:val="20"/>
        </w:rPr>
        <w:t>For the orders entered in our markets, we currently accept only two reserved values for the field “</w:t>
      </w:r>
      <w:proofErr w:type="spellStart"/>
      <w:r w:rsidRPr="005B48FD">
        <w:rPr>
          <w:rFonts w:ascii="Verdana" w:hAnsi="Verdana"/>
          <w:sz w:val="20"/>
        </w:rPr>
        <w:t>ClientIdentificationShortCode</w:t>
      </w:r>
      <w:proofErr w:type="spellEnd"/>
      <w:r w:rsidRPr="005B48FD">
        <w:rPr>
          <w:rFonts w:ascii="Verdana" w:hAnsi="Verdana"/>
          <w:sz w:val="20"/>
        </w:rPr>
        <w:t xml:space="preserve">” that are 1: “AGGR” and 2: “PNAL”. </w:t>
      </w:r>
      <w:r>
        <w:rPr>
          <w:rFonts w:ascii="Verdana" w:hAnsi="Verdana"/>
          <w:sz w:val="20"/>
        </w:rPr>
        <w:t xml:space="preserve">While the addition of </w:t>
      </w:r>
      <w:r w:rsidRPr="005B48FD">
        <w:rPr>
          <w:rFonts w:ascii="Verdana" w:hAnsi="Verdana"/>
          <w:sz w:val="20"/>
        </w:rPr>
        <w:t xml:space="preserve"> a third reserved value is not a </w:t>
      </w:r>
      <w:r>
        <w:rPr>
          <w:rFonts w:ascii="Verdana" w:hAnsi="Verdana"/>
          <w:sz w:val="20"/>
        </w:rPr>
        <w:t>major development</w:t>
      </w:r>
      <w:r w:rsidRPr="005B48FD">
        <w:rPr>
          <w:rFonts w:ascii="Verdana" w:hAnsi="Verdana"/>
          <w:sz w:val="20"/>
        </w:rPr>
        <w:t xml:space="preserve">, it can create issues in reconciling historical data, as someone could have already used value “3” (for example) to identify a specific client in the past. </w:t>
      </w:r>
      <w:r>
        <w:rPr>
          <w:rFonts w:ascii="Verdana" w:hAnsi="Verdana"/>
          <w:sz w:val="20"/>
        </w:rPr>
        <w:t xml:space="preserve">It would be helpful if ESMA could clarify the need </w:t>
      </w:r>
      <w:r>
        <w:rPr>
          <w:rFonts w:ascii="Verdana" w:hAnsi="Verdana"/>
          <w:sz w:val="20"/>
        </w:rPr>
        <w:t>for</w:t>
      </w:r>
      <w:r>
        <w:rPr>
          <w:rFonts w:ascii="Verdana" w:hAnsi="Verdana"/>
          <w:sz w:val="20"/>
        </w:rPr>
        <w:t xml:space="preserve"> this addition.</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0C31ED0" w14:textId="4EDEBBA2" w:rsidR="00E43A18" w:rsidRPr="001F5C75" w:rsidRDefault="00E43A18" w:rsidP="00E43A18">
      <w:pPr>
        <w:spacing w:after="0"/>
        <w:rPr>
          <w:rFonts w:ascii="Verdana" w:hAnsi="Verdana"/>
          <w:sz w:val="20"/>
        </w:rPr>
      </w:pPr>
      <w:permStart w:id="1985704236" w:edGrp="everyone"/>
      <w:r w:rsidRPr="001F5C75">
        <w:rPr>
          <w:rFonts w:ascii="Verdana" w:hAnsi="Verdana"/>
          <w:sz w:val="20"/>
        </w:rPr>
        <w:t xml:space="preserve">See </w:t>
      </w:r>
      <w:r>
        <w:rPr>
          <w:rFonts w:ascii="Verdana" w:hAnsi="Verdana"/>
          <w:sz w:val="20"/>
        </w:rPr>
        <w:t>our</w:t>
      </w:r>
      <w:r w:rsidRPr="001F5C75">
        <w:rPr>
          <w:rFonts w:ascii="Verdana" w:hAnsi="Verdana"/>
          <w:sz w:val="20"/>
        </w:rPr>
        <w:t xml:space="preserve"> answer to question 47.</w:t>
      </w:r>
    </w:p>
    <w:p w14:paraId="020E425A" w14:textId="51D11F80" w:rsidR="005D3762" w:rsidRDefault="00E43A18" w:rsidP="00E43A18">
      <w:r w:rsidRPr="001F5C75">
        <w:rPr>
          <w:rFonts w:ascii="Verdana" w:hAnsi="Verdana"/>
          <w:sz w:val="20"/>
        </w:rPr>
        <w:t>While the change from AGGR to INTC makes sense for aggregated orders, we note that this will require technical changes by both trading venues and participants to manage the new value.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59F65C09" w14:textId="6A141233" w:rsidR="00E43A18" w:rsidRPr="00E43A18" w:rsidRDefault="00E43A18" w:rsidP="00E43A18">
      <w:pPr>
        <w:rPr>
          <w:rFonts w:ascii="Verdana" w:hAnsi="Verdana"/>
          <w:sz w:val="20"/>
        </w:rPr>
      </w:pPr>
      <w:permStart w:id="1549152834" w:edGrp="everyone"/>
      <w:r w:rsidRPr="00E43A18">
        <w:rPr>
          <w:rFonts w:ascii="Verdana" w:hAnsi="Verdana"/>
          <w:sz w:val="20"/>
        </w:rPr>
        <w:t>In relation to RTS24, we suggest a number of improvements as follows:</w:t>
      </w:r>
    </w:p>
    <w:p w14:paraId="5B35A7A6" w14:textId="77777777" w:rsidR="00E43A18" w:rsidRPr="00E43A18" w:rsidRDefault="00E43A18" w:rsidP="00E43A18">
      <w:pPr>
        <w:pStyle w:val="ListParagraph"/>
        <w:numPr>
          <w:ilvl w:val="0"/>
          <w:numId w:val="44"/>
        </w:numPr>
        <w:spacing w:after="160" w:line="278" w:lineRule="auto"/>
        <w:rPr>
          <w:rFonts w:ascii="Verdana" w:hAnsi="Verdana"/>
          <w:sz w:val="20"/>
        </w:rPr>
      </w:pPr>
      <w:r w:rsidRPr="00E43A18">
        <w:rPr>
          <w:rFonts w:ascii="Verdana" w:eastAsia="Times New Roman" w:hAnsi="Verdana" w:cs="Calibri"/>
          <w:b/>
          <w:bCs/>
          <w:sz w:val="20"/>
          <w:lang w:val="en-US"/>
        </w:rPr>
        <w:t>Validity Period (field#10):</w:t>
      </w:r>
      <w:r w:rsidRPr="00E43A18">
        <w:rPr>
          <w:rFonts w:ascii="Verdana" w:eastAsia="Times New Roman" w:hAnsi="Verdana" w:cs="Calibri"/>
          <w:sz w:val="20"/>
          <w:lang w:val="en-US"/>
        </w:rPr>
        <w:t xml:space="preserve"> we believe there may be a typo and suggest Day Validity should be </w:t>
      </w:r>
      <w:r w:rsidRPr="00E43A18">
        <w:rPr>
          <w:rFonts w:ascii="Verdana" w:eastAsia="Times New Roman" w:hAnsi="Verdana" w:cs="Calibri"/>
          <w:b/>
          <w:bCs/>
          <w:sz w:val="20"/>
          <w:lang w:val="en-US"/>
        </w:rPr>
        <w:t>DAYV</w:t>
      </w:r>
      <w:r w:rsidRPr="00E43A18">
        <w:rPr>
          <w:rFonts w:ascii="Verdana" w:eastAsia="Times New Roman" w:hAnsi="Verdana" w:cs="Calibri"/>
          <w:sz w:val="20"/>
          <w:lang w:val="en-US"/>
        </w:rPr>
        <w:t xml:space="preserve"> instead of </w:t>
      </w:r>
      <w:r w:rsidRPr="00E43A18">
        <w:rPr>
          <w:rFonts w:ascii="Verdana" w:eastAsia="Times New Roman" w:hAnsi="Verdana" w:cs="Calibri"/>
          <w:b/>
          <w:bCs/>
          <w:sz w:val="20"/>
          <w:lang w:val="en-US"/>
        </w:rPr>
        <w:t>DAVY</w:t>
      </w:r>
      <w:r w:rsidRPr="00E43A18">
        <w:rPr>
          <w:rFonts w:ascii="Verdana" w:eastAsia="Times New Roman" w:hAnsi="Verdana" w:cs="Calibri"/>
          <w:sz w:val="20"/>
          <w:lang w:val="en-US"/>
        </w:rPr>
        <w:t xml:space="preserve"> If we follow the logic that applies to the other fields. </w:t>
      </w:r>
    </w:p>
    <w:p w14:paraId="346D781A" w14:textId="77777777" w:rsidR="00E43A18" w:rsidRPr="00D27F7A" w:rsidRDefault="00E43A18" w:rsidP="00E43A18">
      <w:pPr>
        <w:pStyle w:val="ListParagraph"/>
        <w:rPr>
          <w:rFonts w:ascii="Verdana" w:eastAsia="Times New Roman" w:hAnsi="Verdana"/>
          <w:sz w:val="20"/>
          <w:lang w:val="en-US"/>
        </w:rPr>
      </w:pPr>
    </w:p>
    <w:p w14:paraId="66A54D64" w14:textId="77777777" w:rsidR="00E43A18" w:rsidRDefault="00E43A18" w:rsidP="00E43A18">
      <w:pPr>
        <w:pStyle w:val="ListParagraph"/>
        <w:numPr>
          <w:ilvl w:val="0"/>
          <w:numId w:val="44"/>
        </w:numPr>
        <w:spacing w:after="160" w:line="278" w:lineRule="auto"/>
        <w:rPr>
          <w:rFonts w:ascii="Verdana" w:eastAsia="Times New Roman" w:hAnsi="Verdana"/>
          <w:sz w:val="20"/>
          <w:lang w:val="en-US"/>
        </w:rPr>
      </w:pPr>
      <w:r w:rsidRPr="00F44DA5">
        <w:rPr>
          <w:rFonts w:ascii="Verdana" w:eastAsia="Times New Roman" w:hAnsi="Verdana"/>
          <w:sz w:val="20"/>
          <w:lang w:val="en-US"/>
        </w:rPr>
        <w:t xml:space="preserve">The </w:t>
      </w:r>
      <w:r>
        <w:rPr>
          <w:rFonts w:ascii="Verdana" w:eastAsia="Times New Roman" w:hAnsi="Verdana"/>
          <w:b/>
          <w:bCs/>
          <w:sz w:val="20"/>
          <w:lang w:val="en-US"/>
        </w:rPr>
        <w:t>Or</w:t>
      </w:r>
      <w:r w:rsidRPr="00F44DA5">
        <w:rPr>
          <w:rFonts w:ascii="Verdana" w:eastAsia="Times New Roman" w:hAnsi="Verdana"/>
          <w:b/>
          <w:bCs/>
          <w:sz w:val="20"/>
          <w:lang w:val="en-US"/>
        </w:rPr>
        <w:t xml:space="preserve">der </w:t>
      </w:r>
      <w:r>
        <w:rPr>
          <w:rFonts w:ascii="Verdana" w:eastAsia="Times New Roman" w:hAnsi="Verdana"/>
          <w:b/>
          <w:bCs/>
          <w:sz w:val="20"/>
          <w:lang w:val="en-US"/>
        </w:rPr>
        <w:t>R</w:t>
      </w:r>
      <w:r w:rsidRPr="00F44DA5">
        <w:rPr>
          <w:rFonts w:ascii="Verdana" w:eastAsia="Times New Roman" w:hAnsi="Verdana"/>
          <w:b/>
          <w:bCs/>
          <w:sz w:val="20"/>
          <w:lang w:val="en-US"/>
        </w:rPr>
        <w:t>estriction field</w:t>
      </w:r>
      <w:r w:rsidRPr="00F44DA5">
        <w:rPr>
          <w:rFonts w:ascii="Verdana" w:eastAsia="Times New Roman" w:hAnsi="Verdana"/>
          <w:sz w:val="20"/>
          <w:lang w:val="en-US"/>
        </w:rPr>
        <w:t xml:space="preserve"> that is currently used by NCAs includes a lot of different information and there is no harmonization among NCAs. We recommend ESMA and NCAs clarify the use of this field </w:t>
      </w:r>
      <w:r>
        <w:rPr>
          <w:rFonts w:ascii="Verdana" w:eastAsia="Times New Roman" w:hAnsi="Verdana"/>
          <w:sz w:val="20"/>
          <w:lang w:val="en-US"/>
        </w:rPr>
        <w:t xml:space="preserve">and ensure a harmonized approach is taken as it is very problematic if different NCAs require different information. </w:t>
      </w:r>
    </w:p>
    <w:p w14:paraId="6E96EE43" w14:textId="77777777" w:rsidR="00E43A18" w:rsidRPr="00B4324A" w:rsidRDefault="00E43A18" w:rsidP="00E43A18">
      <w:pPr>
        <w:pStyle w:val="ListParagraph"/>
        <w:rPr>
          <w:rFonts w:ascii="Verdana" w:eastAsia="Times New Roman" w:hAnsi="Verdana"/>
          <w:sz w:val="20"/>
          <w:lang w:val="en-US"/>
        </w:rPr>
      </w:pPr>
    </w:p>
    <w:p w14:paraId="2F3F60A0" w14:textId="77777777" w:rsidR="00E43A18" w:rsidRPr="00F44DA5" w:rsidRDefault="00E43A18" w:rsidP="00E43A18">
      <w:pPr>
        <w:pStyle w:val="ListParagraph"/>
        <w:spacing w:after="0"/>
        <w:rPr>
          <w:rFonts w:ascii="Verdana" w:hAnsi="Verdana"/>
          <w:sz w:val="20"/>
        </w:rPr>
      </w:pPr>
      <w:r w:rsidRPr="00B4324A">
        <w:rPr>
          <w:rFonts w:ascii="Verdana" w:hAnsi="Verdana"/>
          <w:sz w:val="20"/>
        </w:rPr>
        <w:lastRenderedPageBreak/>
        <w:t>In addition,</w:t>
      </w:r>
      <w:r>
        <w:rPr>
          <w:rFonts w:ascii="Verdana" w:hAnsi="Verdana"/>
          <w:b/>
          <w:bCs/>
          <w:sz w:val="20"/>
        </w:rPr>
        <w:t xml:space="preserve"> regarding the content of </w:t>
      </w:r>
      <w:r w:rsidRPr="00F44DA5">
        <w:rPr>
          <w:rFonts w:ascii="Verdana" w:hAnsi="Verdana"/>
          <w:b/>
          <w:bCs/>
          <w:sz w:val="20"/>
        </w:rPr>
        <w:t>Order Restriction (field#11):</w:t>
      </w:r>
      <w:r w:rsidRPr="00F44DA5">
        <w:rPr>
          <w:rFonts w:ascii="Verdana" w:hAnsi="Verdana"/>
          <w:sz w:val="20"/>
        </w:rPr>
        <w:t xml:space="preserve"> there seems to be an inversion between SESR and VFCR  in the right column. The definition of the SESR code is that of the VFCR code and vice versa., so suggest amending:</w:t>
      </w:r>
    </w:p>
    <w:p w14:paraId="2D6A9D56" w14:textId="77777777" w:rsidR="00E43A18" w:rsidRPr="00F44DA5" w:rsidRDefault="00E43A18" w:rsidP="00E43A18">
      <w:pPr>
        <w:pStyle w:val="ListParagraph"/>
        <w:numPr>
          <w:ilvl w:val="0"/>
          <w:numId w:val="43"/>
        </w:numPr>
        <w:spacing w:after="0" w:line="278" w:lineRule="auto"/>
        <w:rPr>
          <w:rFonts w:ascii="Verdana" w:hAnsi="Verdana"/>
          <w:sz w:val="20"/>
        </w:rPr>
      </w:pPr>
      <w:r w:rsidRPr="00F44DA5">
        <w:rPr>
          <w:rFonts w:ascii="Verdana" w:hAnsi="Verdana"/>
          <w:b/>
          <w:bCs/>
          <w:sz w:val="20"/>
        </w:rPr>
        <w:t>SESR</w:t>
      </w:r>
      <w:r w:rsidRPr="00F44DA5">
        <w:rPr>
          <w:rFonts w:ascii="Verdana" w:hAnsi="Verdana"/>
          <w:sz w:val="20"/>
        </w:rPr>
        <w:t xml:space="preserve"> (standing for </w:t>
      </w:r>
      <w:proofErr w:type="spellStart"/>
      <w:r w:rsidRPr="00F44DA5">
        <w:rPr>
          <w:rFonts w:ascii="Verdana" w:hAnsi="Verdana"/>
          <w:b/>
          <w:bCs/>
          <w:sz w:val="20"/>
        </w:rPr>
        <w:t>SES</w:t>
      </w:r>
      <w:r w:rsidRPr="00F44DA5">
        <w:rPr>
          <w:rFonts w:ascii="Verdana" w:hAnsi="Verdana"/>
          <w:sz w:val="20"/>
        </w:rPr>
        <w:t>sion</w:t>
      </w:r>
      <w:proofErr w:type="spellEnd"/>
      <w:r w:rsidRPr="00F44DA5">
        <w:rPr>
          <w:rFonts w:ascii="Verdana" w:hAnsi="Verdana"/>
          <w:sz w:val="20"/>
        </w:rPr>
        <w:t xml:space="preserve"> </w:t>
      </w:r>
      <w:r w:rsidRPr="00F44DA5">
        <w:rPr>
          <w:rFonts w:ascii="Verdana" w:hAnsi="Verdana"/>
          <w:b/>
          <w:bCs/>
          <w:sz w:val="20"/>
        </w:rPr>
        <w:t>R</w:t>
      </w:r>
      <w:r w:rsidRPr="00F44DA5">
        <w:rPr>
          <w:rFonts w:ascii="Verdana" w:hAnsi="Verdana"/>
          <w:sz w:val="20"/>
        </w:rPr>
        <w:t>estriction) should have the definition “Valid for Continuous Trading only”</w:t>
      </w:r>
    </w:p>
    <w:p w14:paraId="6E22C375" w14:textId="77777777" w:rsidR="00E43A18" w:rsidRPr="00F44DA5" w:rsidRDefault="00E43A18" w:rsidP="00E43A18">
      <w:pPr>
        <w:pStyle w:val="ListParagraph"/>
        <w:numPr>
          <w:ilvl w:val="0"/>
          <w:numId w:val="43"/>
        </w:numPr>
        <w:spacing w:after="0" w:line="278" w:lineRule="auto"/>
        <w:rPr>
          <w:rFonts w:ascii="Verdana" w:hAnsi="Verdana"/>
          <w:sz w:val="20"/>
        </w:rPr>
      </w:pPr>
      <w:r w:rsidRPr="00F44DA5">
        <w:rPr>
          <w:rFonts w:ascii="Verdana" w:hAnsi="Verdana"/>
          <w:b/>
          <w:bCs/>
          <w:sz w:val="20"/>
        </w:rPr>
        <w:t>VFCR</w:t>
      </w:r>
      <w:r w:rsidRPr="00F44DA5">
        <w:rPr>
          <w:rFonts w:ascii="Verdana" w:hAnsi="Verdana"/>
          <w:sz w:val="20"/>
        </w:rPr>
        <w:t xml:space="preserve"> (standing for </w:t>
      </w:r>
      <w:r w:rsidRPr="00F44DA5">
        <w:rPr>
          <w:rFonts w:ascii="Verdana" w:hAnsi="Verdana"/>
          <w:b/>
          <w:bCs/>
          <w:sz w:val="20"/>
        </w:rPr>
        <w:t>V</w:t>
      </w:r>
      <w:r w:rsidRPr="00F44DA5">
        <w:rPr>
          <w:rFonts w:ascii="Verdana" w:hAnsi="Verdana"/>
          <w:sz w:val="20"/>
        </w:rPr>
        <w:t xml:space="preserve">alid </w:t>
      </w:r>
      <w:r w:rsidRPr="00F44DA5">
        <w:rPr>
          <w:rFonts w:ascii="Verdana" w:hAnsi="Verdana"/>
          <w:b/>
          <w:bCs/>
          <w:sz w:val="20"/>
        </w:rPr>
        <w:t>F</w:t>
      </w:r>
      <w:r w:rsidRPr="00F44DA5">
        <w:rPr>
          <w:rFonts w:ascii="Verdana" w:hAnsi="Verdana"/>
          <w:sz w:val="20"/>
        </w:rPr>
        <w:t xml:space="preserve">or </w:t>
      </w:r>
      <w:r w:rsidRPr="00F44DA5">
        <w:rPr>
          <w:rFonts w:ascii="Verdana" w:hAnsi="Verdana"/>
          <w:b/>
          <w:bCs/>
          <w:sz w:val="20"/>
        </w:rPr>
        <w:t>C</w:t>
      </w:r>
      <w:r w:rsidRPr="00F44DA5">
        <w:rPr>
          <w:rFonts w:ascii="Verdana" w:hAnsi="Verdana"/>
          <w:sz w:val="20"/>
        </w:rPr>
        <w:t xml:space="preserve">losing </w:t>
      </w:r>
      <w:r w:rsidRPr="00F44DA5">
        <w:rPr>
          <w:rFonts w:ascii="Verdana" w:hAnsi="Verdana"/>
          <w:b/>
          <w:bCs/>
          <w:sz w:val="20"/>
        </w:rPr>
        <w:t>R</w:t>
      </w:r>
      <w:r w:rsidRPr="00F44DA5">
        <w:rPr>
          <w:rFonts w:ascii="Verdana" w:hAnsi="Verdana"/>
          <w:sz w:val="20"/>
        </w:rPr>
        <w:t>estriction ) should have the definition “Good For Closing Price Crossing only”</w:t>
      </w:r>
    </w:p>
    <w:p w14:paraId="1A6A1A44" w14:textId="77777777" w:rsidR="00E43A18" w:rsidRPr="00057877" w:rsidRDefault="00E43A18" w:rsidP="00E43A18">
      <w:pPr>
        <w:pStyle w:val="ListParagraph"/>
        <w:rPr>
          <w:rFonts w:ascii="Verdana" w:hAnsi="Verdana"/>
          <w:sz w:val="20"/>
          <w:lang w:val="en-US"/>
        </w:rPr>
      </w:pPr>
    </w:p>
    <w:p w14:paraId="737E6AC8" w14:textId="77777777" w:rsidR="00E43A18" w:rsidRPr="00F44DA5" w:rsidRDefault="00E43A18" w:rsidP="00E43A18">
      <w:pPr>
        <w:pStyle w:val="ListParagraph"/>
        <w:numPr>
          <w:ilvl w:val="0"/>
          <w:numId w:val="44"/>
        </w:numPr>
        <w:spacing w:after="0" w:line="240" w:lineRule="auto"/>
        <w:rPr>
          <w:rFonts w:ascii="Verdana" w:eastAsia="Times New Roman" w:hAnsi="Verdana"/>
          <w:sz w:val="20"/>
          <w:lang w:val="en-US"/>
        </w:rPr>
      </w:pPr>
      <w:r w:rsidRPr="00F44DA5">
        <w:rPr>
          <w:rFonts w:ascii="Verdana" w:eastAsia="Times New Roman" w:hAnsi="Verdana"/>
          <w:b/>
          <w:bCs/>
          <w:sz w:val="20"/>
          <w:lang w:val="en-US"/>
        </w:rPr>
        <w:t>Investment Decision fields</w:t>
      </w:r>
      <w:r w:rsidRPr="00F44DA5">
        <w:rPr>
          <w:rFonts w:ascii="Verdana" w:eastAsia="Times New Roman" w:hAnsi="Verdana"/>
          <w:sz w:val="20"/>
          <w:lang w:val="en-US"/>
        </w:rPr>
        <w:t xml:space="preserve"> should be completed with 'EMPTY' keyword in case customers do not report on time long codes and ‘INVALID’ when long codes are invalid. This does not apply to RTS22 as transactions remain in pending state until the information is provided. The objective is to prevent the sending of incorrect information in RTS24 files or to prevent the sending of RTS24 files on time (Euronext systematically sends files to NCA two days after the trading session took place.)</w:t>
      </w:r>
    </w:p>
    <w:p w14:paraId="53D370D1" w14:textId="77777777" w:rsidR="00E43A18" w:rsidRPr="00F44DA5" w:rsidRDefault="00E43A18" w:rsidP="00E43A18">
      <w:pPr>
        <w:pStyle w:val="ListParagraph"/>
        <w:rPr>
          <w:rFonts w:ascii="Verdana" w:hAnsi="Verdana"/>
          <w:sz w:val="20"/>
          <w:lang w:val="en-US"/>
        </w:rPr>
      </w:pPr>
    </w:p>
    <w:p w14:paraId="719BECFF" w14:textId="77777777" w:rsidR="00E43A18" w:rsidRPr="00F44DA5" w:rsidRDefault="00E43A18" w:rsidP="00E43A18">
      <w:pPr>
        <w:pStyle w:val="ListParagraph"/>
        <w:numPr>
          <w:ilvl w:val="0"/>
          <w:numId w:val="44"/>
        </w:numPr>
        <w:spacing w:after="0" w:line="240" w:lineRule="auto"/>
        <w:rPr>
          <w:rFonts w:ascii="Verdana" w:eastAsia="Times New Roman" w:hAnsi="Verdana"/>
          <w:sz w:val="20"/>
          <w:lang w:val="en-US"/>
        </w:rPr>
      </w:pPr>
      <w:r w:rsidRPr="00F44DA5">
        <w:rPr>
          <w:rFonts w:ascii="Verdana" w:eastAsia="Times New Roman" w:hAnsi="Verdana"/>
          <w:b/>
          <w:bCs/>
          <w:sz w:val="20"/>
          <w:lang w:val="en-US"/>
        </w:rPr>
        <w:t>Legal Entity ID fields</w:t>
      </w:r>
      <w:r w:rsidRPr="00F44DA5">
        <w:rPr>
          <w:rFonts w:ascii="Verdana" w:eastAsia="Times New Roman" w:hAnsi="Verdana"/>
          <w:sz w:val="20"/>
          <w:lang w:val="en-US"/>
        </w:rPr>
        <w:t xml:space="preserve"> should be completed with 'EMPTY' keyword in case customers do not report on time long codes and ‘INVALID’ when long codes are invalid. This does not apply to RTS22 as transactions remain in pending state until the information is provided. The objective is to prevent the sending of incorrect information in RTS24 files or to prevent the sending of RTS24 files on time (Euronext systematically sends files to NCA two days after the trading session took place.)</w:t>
      </w:r>
    </w:p>
    <w:p w14:paraId="7A9CCAC7" w14:textId="77777777" w:rsidR="00E43A18" w:rsidRPr="00E43A18" w:rsidRDefault="00E43A18" w:rsidP="00E43A18">
      <w:pPr>
        <w:pStyle w:val="ListParagraph"/>
        <w:spacing w:after="0" w:line="240" w:lineRule="auto"/>
        <w:rPr>
          <w:rFonts w:ascii="Verdana" w:eastAsia="Times New Roman" w:hAnsi="Verdana"/>
          <w:sz w:val="20"/>
          <w:lang w:val="en-US"/>
        </w:rPr>
      </w:pPr>
    </w:p>
    <w:p w14:paraId="78F2F09D" w14:textId="52755723" w:rsidR="00E43A18" w:rsidRPr="00F44DA5" w:rsidRDefault="00E43A18" w:rsidP="00E43A18">
      <w:pPr>
        <w:pStyle w:val="ListParagraph"/>
        <w:numPr>
          <w:ilvl w:val="0"/>
          <w:numId w:val="44"/>
        </w:numPr>
        <w:spacing w:after="0" w:line="240" w:lineRule="auto"/>
        <w:rPr>
          <w:rFonts w:ascii="Verdana" w:eastAsia="Times New Roman" w:hAnsi="Verdana"/>
          <w:sz w:val="20"/>
          <w:lang w:val="en-US"/>
        </w:rPr>
      </w:pPr>
      <w:r w:rsidRPr="00F44DA5">
        <w:rPr>
          <w:rFonts w:ascii="Verdana" w:eastAsia="Times New Roman" w:hAnsi="Verdana"/>
          <w:b/>
          <w:bCs/>
          <w:sz w:val="20"/>
          <w:lang w:val="en-US"/>
        </w:rPr>
        <w:t>Non Executing Broker fields</w:t>
      </w:r>
      <w:r w:rsidRPr="00F44DA5">
        <w:rPr>
          <w:rFonts w:ascii="Verdana" w:eastAsia="Times New Roman" w:hAnsi="Verdana"/>
          <w:sz w:val="20"/>
          <w:lang w:val="en-US"/>
        </w:rPr>
        <w:t xml:space="preserve"> should be completed with ‘INVALID’ when long codes are invalid. This does not apply to RTS22 as transactions remain in pending state until the information is provided. The objective is to prevent the sending of incorrect information in RTS24 files or to prevent the sending of RTS24 files on time (Euronext systematically sends files to NCA two days after the trading session took place.</w:t>
      </w:r>
    </w:p>
    <w:p w14:paraId="2F3FDF82" w14:textId="77777777" w:rsidR="00E43A18" w:rsidRDefault="00E43A18" w:rsidP="00E43A18">
      <w:pPr>
        <w:pStyle w:val="ListParagraph"/>
        <w:snapToGrid w:val="0"/>
        <w:spacing w:after="120" w:line="240" w:lineRule="auto"/>
        <w:ind w:right="-52"/>
        <w:rPr>
          <w:rFonts w:ascii="Verdana" w:hAnsi="Verdana"/>
          <w:color w:val="000000" w:themeColor="text1"/>
          <w:sz w:val="20"/>
        </w:rPr>
      </w:pPr>
    </w:p>
    <w:p w14:paraId="450014BB" w14:textId="55B22B9C" w:rsidR="00E43A18" w:rsidRPr="00F44DA5" w:rsidRDefault="00E43A18" w:rsidP="00E43A18">
      <w:pPr>
        <w:pStyle w:val="ListParagraph"/>
        <w:numPr>
          <w:ilvl w:val="0"/>
          <w:numId w:val="44"/>
        </w:numPr>
        <w:snapToGrid w:val="0"/>
        <w:spacing w:after="120" w:line="240" w:lineRule="auto"/>
        <w:ind w:right="-52"/>
        <w:rPr>
          <w:rFonts w:ascii="Verdana" w:hAnsi="Verdana"/>
          <w:color w:val="000000" w:themeColor="text1"/>
          <w:sz w:val="20"/>
        </w:rPr>
      </w:pPr>
      <w:r w:rsidRPr="00F44DA5">
        <w:rPr>
          <w:rFonts w:ascii="Verdana" w:hAnsi="Verdana"/>
          <w:color w:val="000000" w:themeColor="text1"/>
          <w:sz w:val="20"/>
        </w:rPr>
        <w:t xml:space="preserve">We suggest removing: </w:t>
      </w:r>
    </w:p>
    <w:p w14:paraId="2F2835AF" w14:textId="301BE52B" w:rsidR="00E43A18" w:rsidRPr="002C7474" w:rsidRDefault="00E43A18" w:rsidP="00E43A18">
      <w:pPr>
        <w:numPr>
          <w:ilvl w:val="0"/>
          <w:numId w:val="42"/>
        </w:numPr>
        <w:snapToGrid w:val="0"/>
        <w:spacing w:after="120" w:line="240" w:lineRule="auto"/>
        <w:ind w:left="567" w:right="-52"/>
        <w:rPr>
          <w:rFonts w:ascii="Verdana" w:hAnsi="Verdana"/>
          <w:color w:val="000000" w:themeColor="text1"/>
          <w:sz w:val="20"/>
        </w:rPr>
      </w:pPr>
      <w:r w:rsidRPr="002C7474">
        <w:rPr>
          <w:rFonts w:ascii="Verdana" w:hAnsi="Verdana"/>
          <w:color w:val="000000" w:themeColor="text1"/>
          <w:sz w:val="20"/>
        </w:rPr>
        <w:t>“Liquidity Provision Activity”: It is not clear that this field offers any value with regards to market surveillance but can be challenging for firms to correctly report.</w:t>
      </w:r>
    </w:p>
    <w:p w14:paraId="34A035B2" w14:textId="77777777" w:rsidR="00E43A18" w:rsidRPr="002C7474" w:rsidRDefault="00E43A18" w:rsidP="00E43A18">
      <w:pPr>
        <w:numPr>
          <w:ilvl w:val="0"/>
          <w:numId w:val="42"/>
        </w:numPr>
        <w:snapToGrid w:val="0"/>
        <w:spacing w:after="120" w:line="240" w:lineRule="auto"/>
        <w:ind w:left="567" w:right="-52"/>
        <w:rPr>
          <w:rFonts w:ascii="Verdana" w:hAnsi="Verdana"/>
          <w:color w:val="000000" w:themeColor="text1"/>
          <w:sz w:val="20"/>
        </w:rPr>
      </w:pPr>
      <w:r w:rsidRPr="002C7474">
        <w:rPr>
          <w:rFonts w:ascii="Verdana" w:hAnsi="Verdana"/>
          <w:color w:val="000000" w:themeColor="text1"/>
          <w:sz w:val="20"/>
        </w:rPr>
        <w:t>“Initial quantity”: It is not clear that this field offers any value with regards to market surveillance – the Remaining, Displayed and Traded Quantity fields already provide all the information required to track orders over the lifetime.</w:t>
      </w:r>
    </w:p>
    <w:p w14:paraId="0138AD35" w14:textId="77777777" w:rsidR="00E43A18" w:rsidRDefault="00E43A18" w:rsidP="00E43A18">
      <w:pPr>
        <w:rPr>
          <w:rFonts w:ascii="Verdana" w:hAnsi="Verdana"/>
          <w:b/>
          <w:bCs/>
          <w:sz w:val="20"/>
        </w:rPr>
      </w:pPr>
    </w:p>
    <w:p w14:paraId="76597EED" w14:textId="32261CB7" w:rsidR="00E43A18" w:rsidRDefault="00E43A18" w:rsidP="00E43A18">
      <w:pPr>
        <w:rPr>
          <w:rFonts w:ascii="Verdana" w:hAnsi="Verdana"/>
          <w:sz w:val="20"/>
          <w:lang w:val="en-US"/>
        </w:rPr>
      </w:pPr>
      <w:r>
        <w:rPr>
          <w:rFonts w:ascii="Verdana" w:hAnsi="Verdana"/>
          <w:sz w:val="20"/>
          <w:lang w:val="en-US"/>
        </w:rPr>
        <w:t>In addition, we had previously raised issues with respect to current regulatory reporting and the additional and differing requests that we receive at a local level which can be very onerous. We plan to follow up directly with ESMA with these more specific points but as an overall remark, we would ask that it is clarified that NCAs should not be asking for additional field</w:t>
      </w:r>
      <w:r>
        <w:rPr>
          <w:rFonts w:ascii="Verdana" w:hAnsi="Verdana"/>
          <w:sz w:val="20"/>
          <w:lang w:val="en-US"/>
        </w:rPr>
        <w:t>s</w:t>
      </w:r>
      <w:r>
        <w:rPr>
          <w:rFonts w:ascii="Verdana" w:hAnsi="Verdana"/>
          <w:sz w:val="20"/>
          <w:lang w:val="en-US"/>
        </w:rPr>
        <w:t xml:space="preserve">/data at Member State level that is above and beyond the information required in the RTS 24 so as to ensure a harmonized and consistent approach is taken across the EU. </w:t>
      </w:r>
    </w:p>
    <w:p w14:paraId="62673E89" w14:textId="77777777" w:rsidR="00E43A18" w:rsidRDefault="00E43A18" w:rsidP="00E43A18">
      <w:pPr>
        <w:spacing w:after="0"/>
        <w:rPr>
          <w:rFonts w:ascii="Verdana" w:hAnsi="Verdana"/>
          <w:sz w:val="20"/>
        </w:rPr>
      </w:pPr>
      <w:r>
        <w:rPr>
          <w:rFonts w:ascii="Verdana" w:hAnsi="Verdana"/>
          <w:sz w:val="20"/>
          <w:lang w:val="en-US"/>
        </w:rPr>
        <w:t>As a final comment, and as per our response to Q. 3 on RTS22, we suggest ESMA should consider</w:t>
      </w:r>
      <w:r w:rsidRPr="00827000">
        <w:rPr>
          <w:rFonts w:ascii="Verdana" w:hAnsi="Verdana"/>
          <w:sz w:val="20"/>
        </w:rPr>
        <w:t xml:space="preserve"> </w:t>
      </w:r>
      <w:r>
        <w:rPr>
          <w:rFonts w:ascii="Verdana" w:hAnsi="Verdana"/>
          <w:sz w:val="20"/>
        </w:rPr>
        <w:t xml:space="preserve">some more fundamental changes to the approach to RTS22 &amp; 24, and instead of </w:t>
      </w:r>
      <w:r>
        <w:rPr>
          <w:rFonts w:ascii="Verdana" w:hAnsi="Verdana"/>
          <w:sz w:val="20"/>
        </w:rPr>
        <w:lastRenderedPageBreak/>
        <w:t xml:space="preserve">requiring entities to report to individual NCAs, it would be more efficient and streamlined if these reports were submitted directly to a central hub, such as ESMA, and that each NCA can then retrieve the required information. The need for a centralised system here is clear and would significantly reduce issues with respect to information exchanges between entities and different NCAs, and indeed between NCAs themselves. </w:t>
      </w:r>
    </w:p>
    <w:p w14:paraId="2DD6FD7D" w14:textId="77777777" w:rsidR="00E43A18" w:rsidRDefault="00E43A18" w:rsidP="00E43A18">
      <w:pPr>
        <w:spacing w:after="0"/>
        <w:rPr>
          <w:rFonts w:ascii="Verdana" w:hAnsi="Verdana"/>
          <w:sz w:val="20"/>
        </w:rPr>
      </w:pPr>
    </w:p>
    <w:p w14:paraId="49245049" w14:textId="17F2046F" w:rsidR="005D3762" w:rsidRDefault="00E43A18" w:rsidP="005D3762">
      <w:pPr>
        <w:spacing w:after="0"/>
      </w:pPr>
      <w:r>
        <w:rPr>
          <w:rFonts w:ascii="Verdana" w:hAnsi="Verdana"/>
          <w:sz w:val="20"/>
        </w:rPr>
        <w:t xml:space="preserve">This would also address concerns arising from the new Cross Market Order Surveillance Mechanism set out in </w:t>
      </w:r>
      <w:r>
        <w:rPr>
          <w:rFonts w:ascii="Verdana" w:hAnsi="Verdana"/>
          <w:sz w:val="20"/>
        </w:rPr>
        <w:t xml:space="preserve">the </w:t>
      </w:r>
      <w:r>
        <w:rPr>
          <w:rFonts w:ascii="Verdana" w:hAnsi="Verdana"/>
          <w:sz w:val="20"/>
        </w:rPr>
        <w:t>Listing Act changes to MAR as it is critical that this does not lead to duplicative and additional reporting requirements for trading venues; and it seems the issue that needs to be addressed generally relates to the exchange of information between NCAs. We believe a central hub for this information would solve this issue.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3A5F1" w14:textId="77777777" w:rsidR="009776B1" w:rsidRDefault="009776B1" w:rsidP="00F716D4">
      <w:r>
        <w:separator/>
      </w:r>
    </w:p>
    <w:p w14:paraId="2FE1F594" w14:textId="77777777" w:rsidR="009776B1" w:rsidRDefault="009776B1" w:rsidP="00F716D4"/>
  </w:endnote>
  <w:endnote w:type="continuationSeparator" w:id="0">
    <w:p w14:paraId="5DCAA425" w14:textId="77777777" w:rsidR="009776B1" w:rsidRDefault="009776B1" w:rsidP="00F716D4">
      <w:r>
        <w:continuationSeparator/>
      </w:r>
    </w:p>
    <w:p w14:paraId="4208093E" w14:textId="77777777" w:rsidR="009776B1" w:rsidRDefault="009776B1" w:rsidP="00F716D4"/>
  </w:endnote>
  <w:endnote w:type="continuationNotice" w:id="1">
    <w:p w14:paraId="366F891E" w14:textId="77777777" w:rsidR="009776B1" w:rsidRDefault="009776B1"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4B9F1A2" w:rsidR="005A4533" w:rsidRDefault="00E06895">
    <w:pPr>
      <w:pStyle w:val="Footer"/>
    </w:pPr>
    <w:r>
      <w:rPr>
        <w:noProof/>
      </w:rPr>
      <mc:AlternateContent>
        <mc:Choice Requires="wps">
          <w:drawing>
            <wp:anchor distT="0" distB="0" distL="0" distR="0" simplePos="0" relativeHeight="251668480" behindDoc="0" locked="0" layoutInCell="1" allowOverlap="1" wp14:anchorId="1C77BCD4" wp14:editId="5E109326">
              <wp:simplePos x="635" y="635"/>
              <wp:positionH relativeFrom="page">
                <wp:align>center</wp:align>
              </wp:positionH>
              <wp:positionV relativeFrom="page">
                <wp:align>bottom</wp:align>
              </wp:positionV>
              <wp:extent cx="436245" cy="368935"/>
              <wp:effectExtent l="0" t="0" r="1905" b="0"/>
              <wp:wrapNone/>
              <wp:docPr id="1341076350" name="Text Box 2"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245" cy="368935"/>
                      </a:xfrm>
                      <a:prstGeom prst="rect">
                        <a:avLst/>
                      </a:prstGeom>
                      <a:noFill/>
                      <a:ln>
                        <a:noFill/>
                      </a:ln>
                    </wps:spPr>
                    <wps:txbx>
                      <w:txbxContent>
                        <w:p w14:paraId="61969AE8" w14:textId="69C193F0"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77BCD4" id="_x0000_t202" coordsize="21600,21600" o:spt="202" path="m,l,21600r21600,l21600,xe">
              <v:stroke joinstyle="miter"/>
              <v:path gradientshapeok="t" o:connecttype="rect"/>
            </v:shapetype>
            <v:shape id="Text Box 2" o:spid="_x0000_s1026" type="#_x0000_t202" alt="PRIVATE" style="position:absolute;left:0;text-align:left;margin-left:0;margin-top:0;width:34.35pt;height:29.0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iSDCwIAABUEAAAOAAAAZHJzL2Uyb0RvYy54bWysU8Fu2zAMvQ/YPwi6L3aSJmiNOEXWIsOA&#10;oC2QDj3LshQbsERBUmJnXz9KtpOu22nYRaZJ6pF8fFrdd6ohJ2FdDTqn00lKidAcylofcvrjdfvl&#10;lhLnmS5ZA1rk9CwcvV9//rRqTSZmUEFTCksQRLusNTmtvDdZkjheCcXcBIzQGJRgFfP4aw9JaVmL&#10;6KpJZmm6TFqwpbHAhXPofeyDdB3xpRTcP0vphCdNTrE3H08bzyKcyXrFsoNlpqr50Ab7hy4UqzUW&#10;vUA9Ms/I0dZ/QKmaW3Ag/YSDSkDKmos4A04zTT9Ms6+YEXEWJMeZC03u/8Hyp9PevFjiu6/Q4QID&#10;Ia1xmUNnmKeTVoUvdkowjhSeL7SJzhOOzpv5cnazoIRjaL68vZsvAkpyvWys898EKBKMnFrcSiSL&#10;nXbO96ljSqilYVs3TdxMo39zIGbwJNcOg+W7ohvaLqA84zQW+kU7w7c11twx51+Yxc3iAKhW/4yH&#10;bKDNKQwWJRXYn3/zh3wkHKOUtKiUnGqUMiXNd42LCKIaDTsaRTSmd+kixbg+qgdA/U3xKRgeTfRa&#10;34ymtKDeUMebUAhDTHMsl9NiNB98L1l8B1xsNjEJ9WOY3+m94QE68BRIfO3emDUD0x5X9ASjjFj2&#10;gfA+N9x0ZnP0SHvcRuC0J3KgGrUX9zm8kyDu9/8x6/qa178AAAD//wMAUEsDBBQABgAIAAAAIQBH&#10;P2eQ2gAAAAMBAAAPAAAAZHJzL2Rvd25yZXYueG1sTI/BasJAEIbvBd9hGaG3ulGpDWk2UoSeLAW1&#10;l97W3TGJZmdDdqPx7Tv1opeB4f/55pt8ObhGnLELtScF00kCAsl4W1Op4Gf3+ZKCCFGT1Y0nVHDF&#10;AMti9JTrzPoLbfC8jaVgCIVMK6hibDMpg6nQ6TDxLRJnB985HXntSmk7fWG4a+QsSRbS6Zr4QqVb&#10;XFVoTtveKXjdxK/+m3bz32F2Pa7blZkf1kap5/Hw8Q4i4hDvZfjXZ3Uo2Gnve7JBNAr4kXibnC3S&#10;NxB75qZTkEUuH92LPwAAAP//AwBQSwECLQAUAAYACAAAACEAtoM4kv4AAADhAQAAEwAAAAAAAAAA&#10;AAAAAAAAAAAAW0NvbnRlbnRfVHlwZXNdLnhtbFBLAQItABQABgAIAAAAIQA4/SH/1gAAAJQBAAAL&#10;AAAAAAAAAAAAAAAAAC8BAABfcmVscy8ucmVsc1BLAQItABQABgAIAAAAIQDP7iSDCwIAABUEAAAO&#10;AAAAAAAAAAAAAAAAAC4CAABkcnMvZTJvRG9jLnhtbFBLAQItABQABgAIAAAAIQBHP2eQ2gAAAAMB&#10;AAAPAAAAAAAAAAAAAAAAAGUEAABkcnMvZG93bnJldi54bWxQSwUGAAAAAAQABADzAAAAbAUAAAAA&#10;" filled="f" stroked="f">
              <v:textbox style="mso-fit-shape-to-text:t" inset="0,0,0,15pt">
                <w:txbxContent>
                  <w:p w14:paraId="61969AE8" w14:textId="69C193F0"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78A9579B" w:rsidR="00C54034" w:rsidRPr="00104E00" w:rsidRDefault="00E06895" w:rsidP="00104E00">
    <w:pPr>
      <w:pStyle w:val="Footer"/>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69504" behindDoc="0" locked="0" layoutInCell="1" allowOverlap="1" wp14:anchorId="1392D810" wp14:editId="18CA5B11">
              <wp:simplePos x="635" y="635"/>
              <wp:positionH relativeFrom="page">
                <wp:align>center</wp:align>
              </wp:positionH>
              <wp:positionV relativeFrom="page">
                <wp:align>bottom</wp:align>
              </wp:positionV>
              <wp:extent cx="436245" cy="368935"/>
              <wp:effectExtent l="0" t="0" r="1905" b="0"/>
              <wp:wrapNone/>
              <wp:docPr id="1159659516" name="Text Box 3"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245" cy="368935"/>
                      </a:xfrm>
                      <a:prstGeom prst="rect">
                        <a:avLst/>
                      </a:prstGeom>
                      <a:noFill/>
                      <a:ln>
                        <a:noFill/>
                      </a:ln>
                    </wps:spPr>
                    <wps:txbx>
                      <w:txbxContent>
                        <w:p w14:paraId="6C3BCFF1" w14:textId="4DA53E65"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92D810" id="_x0000_t202" coordsize="21600,21600" o:spt="202" path="m,l,21600r21600,l21600,xe">
              <v:stroke joinstyle="miter"/>
              <v:path gradientshapeok="t" o:connecttype="rect"/>
            </v:shapetype>
            <v:shape id="Text Box 3" o:spid="_x0000_s1027" type="#_x0000_t202" alt="PRIVATE" style="position:absolute;margin-left:0;margin-top:0;width:34.35pt;height:29.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y9DQIAABwEAAAOAAAAZHJzL2Uyb0RvYy54bWysU8Fu2zAMvQ/YPwi6L3aSJmiNOEXWIsOA&#10;oC2QDj0rshQbkERBUmJnXz9KjpOu22nYRaZJ6pF8fFrcd1qRo3C+AVPS8SinRBgOVWP2Jf3xuv5y&#10;S4kPzFRMgRElPQlP75efPy1aW4gJ1KAq4QiCGF+0tqR1CLbIMs9roZkfgRUGgxKcZgF/3T6rHGsR&#10;XatskufzrAVXWQdceI/exz5IlwlfSsHDs5ReBKJKir2FdLp07uKZLRes2Dtm64af22D/0IVmjcGi&#10;F6hHFhg5uOYPKN1wBx5kGHHQGUjZcJFmwGnG+YdptjWzIs2C5Hh7ocn/P1j+dNzaF0dC9xU6XGAk&#10;pLW+8OiM83TS6fjFTgnGkcLThTbRBcLReTOdT25mlHAMTee3d9NZRMmul63z4ZsATaJRUodbSWSx&#10;48aHPnVIibUMrBul0maU+c2BmNGTXTuMVuh2HWmqd93voDrhUA76fXvL1w2W3jAfXpjDBeMcKNrw&#10;jIdU0JYUzhYlNbiff/PHfOQdo5S0KJiSGlQ0Jeq7wX1EbQ2GG4xdMsZ3+SzHuDnoB0AZjvFFWJ5M&#10;9LqgBlM60G8o51UshCFmOJYr6W4wH0KvXHwOXKxWKQllZFnYmK3lETrSFbl87d6Ys2fCA27qCQY1&#10;seID731uvOnt6hCQ/bSUSG1P5JlxlGBa6/m5RI2//09Z10e9/AUAAP//AwBQSwMEFAAGAAgAAAAh&#10;AEc/Z5DaAAAAAwEAAA8AAABkcnMvZG93bnJldi54bWxMj8FqwkAQhu8F32EZobe6UakNaTZShJ4s&#10;BbWX3tbdMYlmZ0N2o/HtO/Wil4Hh//nmm3w5uEacsQu1JwXTSQICyXhbU6ngZ/f5koIIUZPVjSdU&#10;cMUAy2L0lOvM+gtt8LyNpWAIhUwrqGJsMymDqdDpMPEtEmcH3zkdee1KaTt9Ybhr5CxJFtLpmvhC&#10;pVtcVWhO294peN3Er/6bdvPfYXY9rtuVmR/WRqnn8fDxDiLiEO9l+NdndSjYae97skE0CviReJuc&#10;LdI3EHvmplOQRS4f3Ys/AAAA//8DAFBLAQItABQABgAIAAAAIQC2gziS/gAAAOEBAAATAAAAAAAA&#10;AAAAAAAAAAAAAABbQ29udGVudF9UeXBlc10ueG1sUEsBAi0AFAAGAAgAAAAhADj9If/WAAAAlAEA&#10;AAsAAAAAAAAAAAAAAAAALwEAAF9yZWxzLy5yZWxzUEsBAi0AFAAGAAgAAAAhAC6f7L0NAgAAHAQA&#10;AA4AAAAAAAAAAAAAAAAALgIAAGRycy9lMm9Eb2MueG1sUEsBAi0AFAAGAAgAAAAhAEc/Z5DaAAAA&#10;AwEAAA8AAAAAAAAAAAAAAAAAZwQAAGRycy9kb3ducmV2LnhtbFBLBQYAAAAABAAEAPMAAABuBQAA&#10;AAA=&#10;" filled="f" stroked="f">
              <v:textbox style="mso-fit-shape-to-text:t" inset="0,0,0,15pt">
                <w:txbxContent>
                  <w:p w14:paraId="6C3BCFF1" w14:textId="4DA53E65"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yperlink"/>
          <w:sz w:val="15"/>
          <w:szCs w:val="15"/>
          <w:lang w:val="fr-FR"/>
        </w:rPr>
        <w:t>www.esma.</w:t>
      </w:r>
      <w:proofErr w:type="spellStart"/>
      <w:r w:rsidR="00104E00" w:rsidRPr="00A8626B">
        <w:rPr>
          <w:rStyle w:val="Hyperlink"/>
          <w:sz w:val="15"/>
          <w:szCs w:val="15"/>
          <w:lang w:val="fr-BE"/>
        </w:rPr>
        <w:t>europa</w:t>
      </w:r>
      <w:proofErr w:type="spellEnd"/>
      <w:r w:rsidR="00104E00"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104E00" w:rsidRPr="00104E00">
          <w:rPr>
            <w:color w:val="001B4F"/>
            <w:sz w:val="15"/>
            <w:szCs w:val="15"/>
          </w:rPr>
          <w:fldChar w:fldCharType="begin"/>
        </w:r>
        <w:r w:rsidR="00104E00" w:rsidRPr="00104E00">
          <w:rPr>
            <w:color w:val="001B4F"/>
            <w:sz w:val="15"/>
            <w:szCs w:val="15"/>
            <w:lang w:val="fr-FR"/>
          </w:rPr>
          <w:instrText xml:space="preserve"> PAGE   \* MERGEFORMAT </w:instrText>
        </w:r>
        <w:r w:rsidR="00104E00" w:rsidRPr="00104E00">
          <w:rPr>
            <w:color w:val="001B4F"/>
            <w:sz w:val="15"/>
            <w:szCs w:val="15"/>
          </w:rPr>
          <w:fldChar w:fldCharType="separate"/>
        </w:r>
        <w:r w:rsidR="00104E00">
          <w:rPr>
            <w:color w:val="001B4F"/>
            <w:sz w:val="15"/>
            <w:szCs w:val="15"/>
          </w:rPr>
          <w:t>2</w:t>
        </w:r>
        <w:r w:rsidR="00104E00"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499CC15B" w:rsidR="005A4533" w:rsidRDefault="00E06895">
    <w:pPr>
      <w:pStyle w:val="Footer"/>
    </w:pPr>
    <w:r>
      <w:rPr>
        <w:noProof/>
      </w:rPr>
      <mc:AlternateContent>
        <mc:Choice Requires="wps">
          <w:drawing>
            <wp:anchor distT="0" distB="0" distL="0" distR="0" simplePos="0" relativeHeight="251667456" behindDoc="0" locked="0" layoutInCell="1" allowOverlap="1" wp14:anchorId="1DB29CF9" wp14:editId="1FD7BD95">
              <wp:simplePos x="901700" y="9899650"/>
              <wp:positionH relativeFrom="page">
                <wp:align>center</wp:align>
              </wp:positionH>
              <wp:positionV relativeFrom="page">
                <wp:align>bottom</wp:align>
              </wp:positionV>
              <wp:extent cx="436245" cy="368935"/>
              <wp:effectExtent l="0" t="0" r="1905" b="0"/>
              <wp:wrapNone/>
              <wp:docPr id="1004601579" name="Text Box 1"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245" cy="368935"/>
                      </a:xfrm>
                      <a:prstGeom prst="rect">
                        <a:avLst/>
                      </a:prstGeom>
                      <a:noFill/>
                      <a:ln>
                        <a:noFill/>
                      </a:ln>
                    </wps:spPr>
                    <wps:txbx>
                      <w:txbxContent>
                        <w:p w14:paraId="1AB0C569" w14:textId="0A91FBAE"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B29CF9" id="_x0000_t202" coordsize="21600,21600" o:spt="202" path="m,l,21600r21600,l21600,xe">
              <v:stroke joinstyle="miter"/>
              <v:path gradientshapeok="t" o:connecttype="rect"/>
            </v:shapetype>
            <v:shape id="Text Box 1" o:spid="_x0000_s1028" type="#_x0000_t202" alt="PRIVATE" style="position:absolute;left:0;text-align:left;margin-left:0;margin-top:0;width:34.35pt;height:29.0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v7DwIAABwEAAAOAAAAZHJzL2Uyb0RvYy54bWysU8Fu2zAMvQ/YPwi6L3aSJmiNOEXWIsOA&#10;oC2QDj0rshQbkERBUmJnXz9KjpOu22nYRaZJ6pF8fFrcd1qRo3C+AVPS8SinRBgOVWP2Jf3xuv5y&#10;S4kPzFRMgRElPQlP75efPy1aW4gJ1KAq4QiCGF+0tqR1CLbIMs9roZkfgRUGgxKcZgF/3T6rHGsR&#10;XatskufzrAVXWQdceI/exz5IlwlfSsHDs5ReBKJKir2FdLp07uKZLRes2Dtm64af22D/0IVmjcGi&#10;F6hHFhg5uOYPKN1wBx5kGHHQGUjZcJFmwGnG+YdptjWzIs2C5Hh7ocn/P1j+dNzaF0dC9xU6XGAk&#10;pLW+8OiM83TS6fjFTgnGkcLThTbRBcLReTOdT25mlHAMTee3d9NZRMmul63z4ZsATaJRUodbSWSx&#10;48aHPnVIibUMrBul0maU+c2BmNGTXTuMVuh2HWmqkk6G7ndQnXAoB/2+veXrBktvmA8vzOGCcQ4U&#10;bXjGQypoSwpni5Ia3M+/+WM+8o5RSloUTEkNKpoS9d3gPqK2BsMNxi4Z47t8lmPcHPQDoAzH+CIs&#10;TyZ6XVCDKR3oN5TzKhbCEDMcy5V0N5gPoVcuPgcuVquUhDKyLGzM1vIIHemKXL52b8zZM+EBN/UE&#10;g5pY8YH3Pjfe9HZ1CMh+WkqktifyzDhKMK31/Fyixt//p6zro17+AgAA//8DAFBLAwQUAAYACAAA&#10;ACEARz9nkNoAAAADAQAADwAAAGRycy9kb3ducmV2LnhtbEyPwWrCQBCG7wXfYRmht7pRqQ1pNlKE&#10;niwFtZfe1t0xiWZnQ3aj8e079aKXgeH/+eabfDm4RpyxC7UnBdNJAgLJeFtTqeBn9/mSgghRk9WN&#10;J1RwxQDLYvSU68z6C23wvI2lYAiFTCuoYmwzKYOp0Okw8S0SZwffOR157UppO31huGvkLEkW0uma&#10;+EKlW1xVaE7b3il43cSv/pt2899hdj2u25WZH9ZGqefx8PEOIuIQ72X412d1KNhp73uyQTQK+JF4&#10;m5wt0jcQe+amU5BFLh/diz8AAAD//wMAUEsBAi0AFAAGAAgAAAAhALaDOJL+AAAA4QEAABMAAAAA&#10;AAAAAAAAAAAAAAAAAFtDb250ZW50X1R5cGVzXS54bWxQSwECLQAUAAYACAAAACEAOP0h/9YAAACU&#10;AQAACwAAAAAAAAAAAAAAAAAvAQAAX3JlbHMvLnJlbHNQSwECLQAUAAYACAAAACEAmV47+w8CAAAc&#10;BAAADgAAAAAAAAAAAAAAAAAuAgAAZHJzL2Uyb0RvYy54bWxQSwECLQAUAAYACAAAACEARz9nkNoA&#10;AAADAQAADwAAAAAAAAAAAAAAAABpBAAAZHJzL2Rvd25yZXYueG1sUEsFBgAAAAAEAAQA8wAAAHAF&#10;AAAAAA==&#10;" filled="f" stroked="f">
              <v:textbox style="mso-fit-shape-to-text:t" inset="0,0,0,15pt">
                <w:txbxContent>
                  <w:p w14:paraId="1AB0C569" w14:textId="0A91FBAE"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F7CA" w14:textId="36C42DEF" w:rsidR="00E06895" w:rsidRDefault="00E06895">
    <w:pPr>
      <w:pStyle w:val="Footer"/>
    </w:pPr>
    <w:r>
      <w:rPr>
        <w:noProof/>
      </w:rPr>
      <mc:AlternateContent>
        <mc:Choice Requires="wps">
          <w:drawing>
            <wp:anchor distT="0" distB="0" distL="0" distR="0" simplePos="0" relativeHeight="251671552" behindDoc="0" locked="0" layoutInCell="1" allowOverlap="1" wp14:anchorId="1F230B75" wp14:editId="0192A269">
              <wp:simplePos x="635" y="635"/>
              <wp:positionH relativeFrom="page">
                <wp:align>center</wp:align>
              </wp:positionH>
              <wp:positionV relativeFrom="page">
                <wp:align>bottom</wp:align>
              </wp:positionV>
              <wp:extent cx="436245" cy="368935"/>
              <wp:effectExtent l="0" t="0" r="1905" b="0"/>
              <wp:wrapNone/>
              <wp:docPr id="803051450" name="Text Box 5"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245" cy="368935"/>
                      </a:xfrm>
                      <a:prstGeom prst="rect">
                        <a:avLst/>
                      </a:prstGeom>
                      <a:noFill/>
                      <a:ln>
                        <a:noFill/>
                      </a:ln>
                    </wps:spPr>
                    <wps:txbx>
                      <w:txbxContent>
                        <w:p w14:paraId="20D7B303" w14:textId="0DFB30DE"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230B75" id="_x0000_t202" coordsize="21600,21600" o:spt="202" path="m,l,21600r21600,l21600,xe">
              <v:stroke joinstyle="miter"/>
              <v:path gradientshapeok="t" o:connecttype="rect"/>
            </v:shapetype>
            <v:shape id="Text Box 5" o:spid="_x0000_s1029" type="#_x0000_t202" alt="PRIVATE" style="position:absolute;left:0;text-align:left;margin-left:0;margin-top:0;width:34.35pt;height:29.05pt;z-index:251671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YnGDwIAABwEAAAOAAAAZHJzL2Uyb0RvYy54bWysU8Fu2zAMvQ/YPwi6L3aSJmiNOEXWIsOA&#10;oC2QDj0rshQbkERBUmJnXz9KjpOu22nYRaZJ6pF8fFrcd1qRo3C+AVPS8SinRBgOVWP2Jf3xuv5y&#10;S4kPzFRMgRElPQlP75efPy1aW4gJ1KAq4QiCGF+0tqR1CLbIMs9roZkfgRUGgxKcZgF/3T6rHGsR&#10;XatskufzrAVXWQdceI/exz5IlwlfSsHDs5ReBKJKir2FdLp07uKZLRes2Dtm64af22D/0IVmjcGi&#10;F6hHFhg5uOYPKN1wBx5kGHHQGUjZcJFmwGnG+YdptjWzIs2C5Hh7ocn/P1j+dNzaF0dC9xU6XGAk&#10;pLW+8OiM83TS6fjFTgnGkcLThTbRBcLReTOdT25mlHAMTee3d9NZRMmul63z4ZsATaJRUodbSWSx&#10;48aHPnVIibUMrBul0maU+c2BmNGTXTuMVuh2HWkqLD50v4PqhEM56PftLV83WHrDfHhhDheMc6Bo&#10;wzMeUkFbUjhblNTgfv7NH/ORd4xS0qJgSmpQ0ZSo7wb3EbU1GG4wdskY3+WzHOPmoB8AZTjGF2F5&#10;MtHrghpM6UC/oZxXsRCGmOFYrqS7wXwIvXLxOXCxWqUklJFlYWO2lkfoSFfk8rV7Y86eCQ+4qScY&#10;1MSKD7z3ufGmt6tDQPbTUiK1PZFnxlGCaa3n5xI1/v4/ZV0f9fIXAAAA//8DAFBLAwQUAAYACAAA&#10;ACEARz9nkNoAAAADAQAADwAAAGRycy9kb3ducmV2LnhtbEyPwWrCQBCG7wXfYRmht7pRqQ1pNlKE&#10;niwFtZfe1t0xiWZnQ3aj8e079aKXgeH/+eabfDm4RpyxC7UnBdNJAgLJeFtTqeBn9/mSgghRk9WN&#10;J1RwxQDLYvSU68z6C23wvI2lYAiFTCuoYmwzKYOp0Okw8S0SZwffOR157UppO31huGvkLEkW0uma&#10;+EKlW1xVaE7b3il43cSv/pt2899hdj2u25WZH9ZGqefx8PEOIuIQ72X412d1KNhp73uyQTQK+JF4&#10;m5wt0jcQe+amU5BFLh/diz8AAAD//wMAUEsBAi0AFAAGAAgAAAAhALaDOJL+AAAA4QEAABMAAAAA&#10;AAAAAAAAAAAAAAAAAFtDb250ZW50X1R5cGVzXS54bWxQSwECLQAUAAYACAAAACEAOP0h/9YAAACU&#10;AQAACwAAAAAAAAAAAAAAAAAvAQAAX3JlbHMvLnJlbHNQSwECLQAUAAYACAAAACEA9OGJxg8CAAAc&#10;BAAADgAAAAAAAAAAAAAAAAAuAgAAZHJzL2Uyb0RvYy54bWxQSwECLQAUAAYACAAAACEARz9nkNoA&#10;AAADAQAADwAAAAAAAAAAAAAAAABpBAAAZHJzL2Rvd25yZXYueG1sUEsFBgAAAAAEAAQA8wAAAHAF&#10;AAAAAA==&#10;" filled="f" stroked="f">
              <v:textbox style="mso-fit-shape-to-text:t" inset="0,0,0,15pt">
                <w:txbxContent>
                  <w:p w14:paraId="20D7B303" w14:textId="0DFB30DE"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465F" w14:textId="4A37E3FE" w:rsidR="00E06895" w:rsidRDefault="00E06895">
    <w:pPr>
      <w:pStyle w:val="Footer"/>
    </w:pPr>
    <w:r>
      <w:rPr>
        <w:noProof/>
      </w:rPr>
      <mc:AlternateContent>
        <mc:Choice Requires="wps">
          <w:drawing>
            <wp:anchor distT="0" distB="0" distL="0" distR="0" simplePos="0" relativeHeight="251672576" behindDoc="0" locked="0" layoutInCell="1" allowOverlap="1" wp14:anchorId="5D325DF7" wp14:editId="295C7924">
              <wp:simplePos x="635" y="635"/>
              <wp:positionH relativeFrom="page">
                <wp:align>center</wp:align>
              </wp:positionH>
              <wp:positionV relativeFrom="page">
                <wp:align>bottom</wp:align>
              </wp:positionV>
              <wp:extent cx="436245" cy="368935"/>
              <wp:effectExtent l="0" t="0" r="1905" b="0"/>
              <wp:wrapNone/>
              <wp:docPr id="2053344774" name="Text Box 6"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245" cy="368935"/>
                      </a:xfrm>
                      <a:prstGeom prst="rect">
                        <a:avLst/>
                      </a:prstGeom>
                      <a:noFill/>
                      <a:ln>
                        <a:noFill/>
                      </a:ln>
                    </wps:spPr>
                    <wps:txbx>
                      <w:txbxContent>
                        <w:p w14:paraId="6069A0B9" w14:textId="4F47CCBF"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25DF7" id="_x0000_t202" coordsize="21600,21600" o:spt="202" path="m,l,21600r21600,l21600,xe">
              <v:stroke joinstyle="miter"/>
              <v:path gradientshapeok="t" o:connecttype="rect"/>
            </v:shapetype>
            <v:shape id="Text Box 6" o:spid="_x0000_s1030" type="#_x0000_t202" alt="PRIVATE" style="position:absolute;left:0;text-align:left;margin-left:0;margin-top:0;width:34.35pt;height:29.05pt;z-index:251672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ZR2DwIAABwEAAAOAAAAZHJzL2Uyb0RvYy54bWysU8Fu2zAMvQ/YPwi6L3aSJmiNOEXWIsOA&#10;oC2QDj0rshQbkERBUmJnXz9KjpOu22nYRaZJ6pF8fFrcd1qRo3C+AVPS8SinRBgOVWP2Jf3xuv5y&#10;S4kPzFRMgRElPQlP75efPy1aW4gJ1KAq4QiCGF+0tqR1CLbIMs9roZkfgRUGgxKcZgF/3T6rHGsR&#10;XatskufzrAVXWQdceI/exz5IlwlfSsHDs5ReBKJKir2FdLp07uKZLRes2Dtm64af22D/0IVmjcGi&#10;F6hHFhg5uOYPKN1wBx5kGHHQGUjZcJFmwGnG+YdptjWzIs2C5Hh7ocn/P1j+dNzaF0dC9xU6XGAk&#10;pLW+8OiM83TS6fjFTgnGkcLThTbRBcLReTOdT25mlHAMTee3d9NZRMmul63z4ZsATaJRUodbSWSx&#10;48aHPnVIibUMrBul0maU+c2BmNGTXTuMVuh2HWkqbGTofgfVCYdy0O/bW75usPSG+fDCHC4Y50DR&#10;hmc8pIK2pHC2KKnB/fybP+Yj7xilpEXBlNSgoilR3w3uI2prMNxg7JIxvstnOcbNQT8AynCML8Ly&#10;ZKLXBTWY0oF+QzmvYiEMMcOxXEl3g/kQeuXic+BitUpJKCPLwsZsLY/Qka7I5Wv3xpw9Ex5wU08w&#10;qIkVH3jvc+NNb1eHgOynpURqeyLPjKME01rPzyVq/P1/yro+6uUvAAAA//8DAFBLAwQUAAYACAAA&#10;ACEARz9nkNoAAAADAQAADwAAAGRycy9kb3ducmV2LnhtbEyPwWrCQBCG7wXfYRmht7pRqQ1pNlKE&#10;niwFtZfe1t0xiWZnQ3aj8e079aKXgeH/+eabfDm4RpyxC7UnBdNJAgLJeFtTqeBn9/mSgghRk9WN&#10;J1RwxQDLYvSU68z6C23wvI2lYAiFTCuoYmwzKYOp0Okw8S0SZwffOR157UppO31huGvkLEkW0uma&#10;+EKlW1xVaE7b3il43cSv/pt2899hdj2u25WZH9ZGqefx8PEOIuIQ72X412d1KNhp73uyQTQK+JF4&#10;m5wt0jcQe+amU5BFLh/diz8AAAD//wMAUEsBAi0AFAAGAAgAAAAhALaDOJL+AAAA4QEAABMAAAAA&#10;AAAAAAAAAAAAAAAAAFtDb250ZW50X1R5cGVzXS54bWxQSwECLQAUAAYACAAAACEAOP0h/9YAAACU&#10;AQAACwAAAAAAAAAAAAAAAAAvAQAAX3JlbHMvLnJlbHNQSwECLQAUAAYACAAAACEA992Udg8CAAAc&#10;BAAADgAAAAAAAAAAAAAAAAAuAgAAZHJzL2Uyb0RvYy54bWxQSwECLQAUAAYACAAAACEARz9nkNoA&#10;AAADAQAADwAAAAAAAAAAAAAAAABpBAAAZHJzL2Rvd25yZXYueG1sUEsFBgAAAAAEAAQA8wAAAHAF&#10;AAAAAA==&#10;" filled="f" stroked="f">
              <v:textbox style="mso-fit-shape-to-text:t" inset="0,0,0,15pt">
                <w:txbxContent>
                  <w:p w14:paraId="6069A0B9" w14:textId="4F47CCBF"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7675D32E" w:rsidR="00C54034" w:rsidRPr="00104E00" w:rsidRDefault="00E06895" w:rsidP="00104E00">
    <w:pPr>
      <w:pStyle w:val="Footer"/>
      <w:jc w:val="left"/>
      <w:rPr>
        <w:color w:val="001B4F"/>
        <w:sz w:val="15"/>
        <w:szCs w:val="15"/>
        <w:lang w:val="fr-FR"/>
      </w:rPr>
    </w:pPr>
    <w:r>
      <w:rPr>
        <w:noProof/>
        <w:color w:val="001B4F"/>
        <w:sz w:val="15"/>
        <w:szCs w:val="15"/>
        <w:lang w:val="fr-FR"/>
      </w:rPr>
      <mc:AlternateContent>
        <mc:Choice Requires="wps">
          <w:drawing>
            <wp:anchor distT="0" distB="0" distL="0" distR="0" simplePos="0" relativeHeight="251670528" behindDoc="0" locked="0" layoutInCell="1" allowOverlap="1" wp14:anchorId="21337609" wp14:editId="2ED1127F">
              <wp:simplePos x="792480" y="9958070"/>
              <wp:positionH relativeFrom="page">
                <wp:align>center</wp:align>
              </wp:positionH>
              <wp:positionV relativeFrom="page">
                <wp:align>bottom</wp:align>
              </wp:positionV>
              <wp:extent cx="436245" cy="368935"/>
              <wp:effectExtent l="0" t="0" r="1905" b="0"/>
              <wp:wrapNone/>
              <wp:docPr id="1863415926" name="Text Box 4" descr="PRIVAT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36245" cy="368935"/>
                      </a:xfrm>
                      <a:prstGeom prst="rect">
                        <a:avLst/>
                      </a:prstGeom>
                      <a:noFill/>
                      <a:ln>
                        <a:noFill/>
                      </a:ln>
                    </wps:spPr>
                    <wps:txbx>
                      <w:txbxContent>
                        <w:p w14:paraId="3696B5DB" w14:textId="4ECB5731"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337609" id="_x0000_t202" coordsize="21600,21600" o:spt="202" path="m,l,21600r21600,l21600,xe">
              <v:stroke joinstyle="miter"/>
              <v:path gradientshapeok="t" o:connecttype="rect"/>
            </v:shapetype>
            <v:shape id="Text Box 4" o:spid="_x0000_s1031" type="#_x0000_t202" alt="PRIVATE" style="position:absolute;margin-left:0;margin-top:0;width:34.35pt;height:29.05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iZLDgIAABwEAAAOAAAAZHJzL2Uyb0RvYy54bWysU8Fu2zAMvQ/YPwi6L3aSJmiNOEXWIsOA&#10;oC2QDj0rshQbkERBUmJnXz9KjpOu22nYRaZJ6pF8fFrcd1qRo3C+AVPS8SinRBgOVWP2Jf3xuv5y&#10;S4kPzFRMgRElPQlP75efPy1aW4gJ1KAq4QiCGF+0tqR1CLbIMs9roZkfgRUGgxKcZgF/3T6rHGsR&#10;XatskufzrAVXWQdceI/exz5IlwlfSsHDs5ReBKJKir2FdLp07uKZLRes2Dtm64af22D/0IVmjcGi&#10;F6hHFhg5uOYPKN1wBx5kGHHQGUjZcJFmwGnG+YdptjWzIs2C5Hh7ocn/P1j+dNzaF0dC9xU6XGAk&#10;pLW+8OiM83TS6fjFTgnGkcLThTbRBcLReTOdT25mlHAMTee3d9NZRMmul63z4ZsATaJRUodbSWSx&#10;48aHPnVIibUMrBul0maU+c2BmNGTXTuMVuh2HWmqkqa60bOD6oRDOej37S1fN1h6w3x4YQ4XjHOg&#10;aMMzHlJBW1I4W5TU4H7+zR/zkXeMUtKiYEpqUNGUqO8G9xG1NRhuMHbJGN/lsxzj5qAfAGU4xhdh&#10;eTLR64IaTOlAv6GcV7EQhpjhWK6ku8F8CL1y8TlwsVqlJJSRZWFjtpZH6EhX5PK1e2POngkPuKkn&#10;GNTEig+897nxprerQ0D201KuRJ4ZRwmmtZ6fS9T4+/+UdX3Uy18AAAD//wMAUEsDBBQABgAIAAAA&#10;IQBHP2eQ2gAAAAMBAAAPAAAAZHJzL2Rvd25yZXYueG1sTI/BasJAEIbvBd9hGaG3ulGpDWk2UoSe&#10;LAW1l97W3TGJZmdDdqPx7Tv1opeB4f/55pt8ObhGnLELtScF00kCAsl4W1Op4Gf3+ZKCCFGT1Y0n&#10;VHDFAMti9JTrzPoLbfC8jaVgCIVMK6hibDMpg6nQ6TDxLRJnB985HXntSmk7fWG4a+QsSRbS6Zr4&#10;QqVbXFVoTtveKXjdxK/+m3bz32F2Pa7blZkf1kap5/Hw8Q4i4hDvZfjXZ3Uo2Gnve7JBNAr4kXib&#10;nC3SNxB75qZTkEUuH92LPwAAAP//AwBQSwECLQAUAAYACAAAACEAtoM4kv4AAADhAQAAEwAAAAAA&#10;AAAAAAAAAAAAAAAAW0NvbnRlbnRfVHlwZXNdLnhtbFBLAQItABQABgAIAAAAIQA4/SH/1gAAAJQB&#10;AAALAAAAAAAAAAAAAAAAAC8BAABfcmVscy8ucmVsc1BLAQItABQABgAIAAAAIQCaYiZLDgIAABwE&#10;AAAOAAAAAAAAAAAAAAAAAC4CAABkcnMvZTJvRG9jLnhtbFBLAQItABQABgAIAAAAIQBHP2eQ2gAA&#10;AAMBAAAPAAAAAAAAAAAAAAAAAGgEAABkcnMvZG93bnJldi54bWxQSwUGAAAAAAQABADzAAAAbwUA&#10;AAAA&#10;" filled="f" stroked="f">
              <v:textbox style="mso-fit-shape-to-text:t" inset="0,0,0,15pt">
                <w:txbxContent>
                  <w:p w14:paraId="3696B5DB" w14:textId="4ECB5731" w:rsidR="00E06895" w:rsidRPr="00E06895" w:rsidRDefault="00E06895" w:rsidP="00E06895">
                    <w:pPr>
                      <w:spacing w:after="0"/>
                      <w:rPr>
                        <w:rFonts w:ascii="Calibri" w:eastAsia="Calibri" w:hAnsi="Calibri" w:cs="Calibri"/>
                        <w:noProof/>
                        <w:color w:val="FFEF00"/>
                        <w:sz w:val="20"/>
                      </w:rPr>
                    </w:pPr>
                    <w:r w:rsidRPr="00E06895">
                      <w:rPr>
                        <w:rFonts w:ascii="Calibri" w:eastAsia="Calibri" w:hAnsi="Calibri" w:cs="Calibri"/>
                        <w:noProof/>
                        <w:color w:val="FFEF00"/>
                        <w:sz w:val="20"/>
                      </w:rPr>
                      <w:t>PRIVATE</w:t>
                    </w:r>
                  </w:p>
                </w:txbxContent>
              </v:textbox>
              <w10:wrap anchorx="page" anchory="page"/>
            </v:shape>
          </w:pict>
        </mc:Fallback>
      </mc:AlternateContent>
    </w:r>
    <w:r w:rsidR="00104E00" w:rsidRPr="00104E00">
      <w:rPr>
        <w:color w:val="001B4F"/>
        <w:sz w:val="15"/>
        <w:szCs w:val="15"/>
        <w:lang w:val="fr-FR"/>
      </w:rPr>
      <w:t xml:space="preserve">ESMA - 201-203 rue de Bercy - CS 80910 - 75589 Paris Cedex 12 - France - Tel. </w:t>
    </w:r>
    <w:r w:rsidR="00104E00" w:rsidRPr="00104E00">
      <w:rPr>
        <w:color w:val="001B4F"/>
        <w:sz w:val="15"/>
        <w:szCs w:val="15"/>
        <w:lang w:val="fr-BE"/>
      </w:rPr>
      <w:t xml:space="preserve">+33 (0) 1 58 36 43 21 - </w:t>
    </w:r>
    <w:hyperlink r:id="rId1" w:history="1">
      <w:r w:rsidR="00104E00" w:rsidRPr="00A8626B">
        <w:rPr>
          <w:rStyle w:val="Hyperlink"/>
          <w:sz w:val="15"/>
          <w:szCs w:val="15"/>
          <w:lang w:val="fr-FR"/>
        </w:rPr>
        <w:t>www.esma.</w:t>
      </w:r>
      <w:proofErr w:type="spellStart"/>
      <w:r w:rsidR="00104E00" w:rsidRPr="00A8626B">
        <w:rPr>
          <w:rStyle w:val="Hyperlink"/>
          <w:sz w:val="15"/>
          <w:szCs w:val="15"/>
          <w:lang w:val="fr-BE"/>
        </w:rPr>
        <w:t>europa</w:t>
      </w:r>
      <w:proofErr w:type="spellEnd"/>
      <w:r w:rsidR="00104E00"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sidR="00104E00">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7A599" w14:textId="77777777" w:rsidR="009776B1" w:rsidRDefault="009776B1" w:rsidP="00F716D4">
      <w:r>
        <w:separator/>
      </w:r>
    </w:p>
    <w:p w14:paraId="4728B43A" w14:textId="77777777" w:rsidR="009776B1" w:rsidRDefault="009776B1" w:rsidP="00F716D4"/>
  </w:footnote>
  <w:footnote w:type="continuationSeparator" w:id="0">
    <w:p w14:paraId="5A21EBCB" w14:textId="77777777" w:rsidR="009776B1" w:rsidRDefault="009776B1" w:rsidP="00F716D4">
      <w:r>
        <w:continuationSeparator/>
      </w:r>
    </w:p>
    <w:p w14:paraId="625FAA6E" w14:textId="77777777" w:rsidR="009776B1" w:rsidRDefault="009776B1" w:rsidP="00F716D4"/>
  </w:footnote>
  <w:footnote w:type="continuationNotice" w:id="1">
    <w:p w14:paraId="02CDC820" w14:textId="77777777" w:rsidR="009776B1" w:rsidRDefault="009776B1"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516B44"/>
    <w:multiLevelType w:val="hybridMultilevel"/>
    <w:tmpl w:val="DBC252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0D6EC7"/>
    <w:multiLevelType w:val="hybridMultilevel"/>
    <w:tmpl w:val="C8DA065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6"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2C840195"/>
    <w:multiLevelType w:val="hybridMultilevel"/>
    <w:tmpl w:val="1A687FD2"/>
    <w:lvl w:ilvl="0" w:tplc="20E0AE62">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0CD5BEB"/>
    <w:multiLevelType w:val="hybridMultilevel"/>
    <w:tmpl w:val="413268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6"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0"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1"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2" w15:restartNumberingAfterBreak="0">
    <w:nsid w:val="44FD6CB4"/>
    <w:multiLevelType w:val="hybridMultilevel"/>
    <w:tmpl w:val="F386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6"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CF01C0"/>
    <w:multiLevelType w:val="hybridMultilevel"/>
    <w:tmpl w:val="C8DA065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6"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7" w15:restartNumberingAfterBreak="0">
    <w:nsid w:val="6A760B88"/>
    <w:multiLevelType w:val="hybridMultilevel"/>
    <w:tmpl w:val="9F9A4724"/>
    <w:lvl w:ilvl="0" w:tplc="0809000B">
      <w:start w:val="1"/>
      <w:numFmt w:val="bullet"/>
      <w:lvlText w:val=""/>
      <w:lvlJc w:val="left"/>
      <w:pPr>
        <w:ind w:left="2175" w:hanging="360"/>
      </w:pPr>
      <w:rPr>
        <w:rFonts w:ascii="Wingdings" w:hAnsi="Wingdings" w:hint="default"/>
      </w:rPr>
    </w:lvl>
    <w:lvl w:ilvl="1" w:tplc="08090003">
      <w:start w:val="1"/>
      <w:numFmt w:val="bullet"/>
      <w:lvlText w:val="o"/>
      <w:lvlJc w:val="left"/>
      <w:pPr>
        <w:ind w:left="2895" w:hanging="360"/>
      </w:pPr>
      <w:rPr>
        <w:rFonts w:ascii="Courier New" w:hAnsi="Courier New" w:cs="Courier New" w:hint="default"/>
      </w:rPr>
    </w:lvl>
    <w:lvl w:ilvl="2" w:tplc="08090005">
      <w:start w:val="1"/>
      <w:numFmt w:val="bullet"/>
      <w:lvlText w:val=""/>
      <w:lvlJc w:val="left"/>
      <w:pPr>
        <w:ind w:left="3615" w:hanging="360"/>
      </w:pPr>
      <w:rPr>
        <w:rFonts w:ascii="Wingdings" w:hAnsi="Wingdings" w:hint="default"/>
      </w:rPr>
    </w:lvl>
    <w:lvl w:ilvl="3" w:tplc="08090001">
      <w:start w:val="1"/>
      <w:numFmt w:val="bullet"/>
      <w:lvlText w:val=""/>
      <w:lvlJc w:val="left"/>
      <w:pPr>
        <w:ind w:left="4335" w:hanging="360"/>
      </w:pPr>
      <w:rPr>
        <w:rFonts w:ascii="Symbol" w:hAnsi="Symbol" w:hint="default"/>
      </w:rPr>
    </w:lvl>
    <w:lvl w:ilvl="4" w:tplc="08090003">
      <w:start w:val="1"/>
      <w:numFmt w:val="bullet"/>
      <w:lvlText w:val="o"/>
      <w:lvlJc w:val="left"/>
      <w:pPr>
        <w:ind w:left="5055" w:hanging="360"/>
      </w:pPr>
      <w:rPr>
        <w:rFonts w:ascii="Courier New" w:hAnsi="Courier New" w:cs="Courier New" w:hint="default"/>
      </w:rPr>
    </w:lvl>
    <w:lvl w:ilvl="5" w:tplc="08090005">
      <w:start w:val="1"/>
      <w:numFmt w:val="bullet"/>
      <w:lvlText w:val=""/>
      <w:lvlJc w:val="left"/>
      <w:pPr>
        <w:ind w:left="5775" w:hanging="360"/>
      </w:pPr>
      <w:rPr>
        <w:rFonts w:ascii="Wingdings" w:hAnsi="Wingdings" w:hint="default"/>
      </w:rPr>
    </w:lvl>
    <w:lvl w:ilvl="6" w:tplc="08090001">
      <w:start w:val="1"/>
      <w:numFmt w:val="bullet"/>
      <w:lvlText w:val=""/>
      <w:lvlJc w:val="left"/>
      <w:pPr>
        <w:ind w:left="6495" w:hanging="360"/>
      </w:pPr>
      <w:rPr>
        <w:rFonts w:ascii="Symbol" w:hAnsi="Symbol" w:hint="default"/>
      </w:rPr>
    </w:lvl>
    <w:lvl w:ilvl="7" w:tplc="08090003">
      <w:start w:val="1"/>
      <w:numFmt w:val="bullet"/>
      <w:lvlText w:val="o"/>
      <w:lvlJc w:val="left"/>
      <w:pPr>
        <w:ind w:left="7215" w:hanging="360"/>
      </w:pPr>
      <w:rPr>
        <w:rFonts w:ascii="Courier New" w:hAnsi="Courier New" w:cs="Courier New" w:hint="default"/>
      </w:rPr>
    </w:lvl>
    <w:lvl w:ilvl="8" w:tplc="08090005">
      <w:start w:val="1"/>
      <w:numFmt w:val="bullet"/>
      <w:lvlText w:val=""/>
      <w:lvlJc w:val="left"/>
      <w:pPr>
        <w:ind w:left="7935" w:hanging="360"/>
      </w:pPr>
      <w:rPr>
        <w:rFonts w:ascii="Wingdings" w:hAnsi="Wingdings" w:hint="default"/>
      </w:rPr>
    </w:lvl>
  </w:abstractNum>
  <w:abstractNum w:abstractNumId="38"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9"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C67B8C"/>
    <w:multiLevelType w:val="hybridMultilevel"/>
    <w:tmpl w:val="7F4C0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3"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4"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8"/>
  </w:num>
  <w:num w:numId="2" w16cid:durableId="1769932826">
    <w:abstractNumId w:val="21"/>
  </w:num>
  <w:num w:numId="3" w16cid:durableId="550074866">
    <w:abstractNumId w:val="13"/>
  </w:num>
  <w:num w:numId="4" w16cid:durableId="1881627233">
    <w:abstractNumId w:val="27"/>
  </w:num>
  <w:num w:numId="5" w16cid:durableId="208225584">
    <w:abstractNumId w:val="0"/>
  </w:num>
  <w:num w:numId="6" w16cid:durableId="1787233265">
    <w:abstractNumId w:val="5"/>
  </w:num>
  <w:num w:numId="7" w16cid:durableId="18463575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5"/>
  </w:num>
  <w:num w:numId="9" w16cid:durableId="1008846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30"/>
  </w:num>
  <w:num w:numId="12" w16cid:durableId="1500659627">
    <w:abstractNumId w:val="33"/>
  </w:num>
  <w:num w:numId="13" w16cid:durableId="1879658227">
    <w:abstractNumId w:val="26"/>
  </w:num>
  <w:num w:numId="14" w16cid:durableId="1495758855">
    <w:abstractNumId w:val="10"/>
  </w:num>
  <w:num w:numId="15" w16cid:durableId="1186556611">
    <w:abstractNumId w:val="1"/>
  </w:num>
  <w:num w:numId="16" w16cid:durableId="679087124">
    <w:abstractNumId w:val="16"/>
  </w:num>
  <w:num w:numId="17" w16cid:durableId="1695498691">
    <w:abstractNumId w:val="17"/>
  </w:num>
  <w:num w:numId="18" w16cid:durableId="1042363640">
    <w:abstractNumId w:val="19"/>
  </w:num>
  <w:num w:numId="19" w16cid:durableId="820345968">
    <w:abstractNumId w:val="29"/>
  </w:num>
  <w:num w:numId="20" w16cid:durableId="1805388212">
    <w:abstractNumId w:val="41"/>
  </w:num>
  <w:num w:numId="21" w16cid:durableId="538709007">
    <w:abstractNumId w:val="28"/>
  </w:num>
  <w:num w:numId="22" w16cid:durableId="104540172">
    <w:abstractNumId w:val="9"/>
  </w:num>
  <w:num w:numId="23" w16cid:durableId="1824349076">
    <w:abstractNumId w:val="32"/>
  </w:num>
  <w:num w:numId="24" w16cid:durableId="672032853">
    <w:abstractNumId w:val="31"/>
  </w:num>
  <w:num w:numId="25" w16cid:durableId="48917541">
    <w:abstractNumId w:val="23"/>
  </w:num>
  <w:num w:numId="26" w16cid:durableId="978925443">
    <w:abstractNumId w:val="36"/>
  </w:num>
  <w:num w:numId="27" w16cid:durableId="1036613928">
    <w:abstractNumId w:val="43"/>
  </w:num>
  <w:num w:numId="28" w16cid:durableId="872039349">
    <w:abstractNumId w:val="7"/>
  </w:num>
  <w:num w:numId="29" w16cid:durableId="924530660">
    <w:abstractNumId w:val="3"/>
  </w:num>
  <w:num w:numId="30" w16cid:durableId="419180233">
    <w:abstractNumId w:val="25"/>
  </w:num>
  <w:num w:numId="31" w16cid:durableId="276761337">
    <w:abstractNumId w:val="24"/>
  </w:num>
  <w:num w:numId="32" w16cid:durableId="1166238383">
    <w:abstractNumId w:val="39"/>
  </w:num>
  <w:num w:numId="33" w16cid:durableId="2076850202">
    <w:abstractNumId w:val="38"/>
  </w:num>
  <w:num w:numId="34" w16cid:durableId="469176496">
    <w:abstractNumId w:val="14"/>
  </w:num>
  <w:num w:numId="35" w16cid:durableId="674843309">
    <w:abstractNumId w:val="20"/>
  </w:num>
  <w:num w:numId="36" w16cid:durableId="1954971501">
    <w:abstractNumId w:val="44"/>
  </w:num>
  <w:num w:numId="37" w16cid:durableId="1082868818">
    <w:abstractNumId w:val="12"/>
  </w:num>
  <w:num w:numId="38" w16cid:durableId="1792168617">
    <w:abstractNumId w:val="11"/>
  </w:num>
  <w:num w:numId="39" w16cid:durableId="613640078">
    <w:abstractNumId w:val="4"/>
  </w:num>
  <w:num w:numId="40" w16cid:durableId="1698922099">
    <w:abstractNumId w:val="22"/>
  </w:num>
  <w:num w:numId="41" w16cid:durableId="1113285026">
    <w:abstractNumId w:val="34"/>
  </w:num>
  <w:num w:numId="42" w16cid:durableId="43413161">
    <w:abstractNumId w:val="37"/>
  </w:num>
  <w:num w:numId="43" w16cid:durableId="1469131798">
    <w:abstractNumId w:val="2"/>
  </w:num>
  <w:num w:numId="44" w16cid:durableId="280232909">
    <w:abstractNumId w:val="40"/>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305"/>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5B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0BC"/>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4F73"/>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3DB7"/>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776B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08CA"/>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179D"/>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0689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8F4"/>
    <w:rsid w:val="00E32AC9"/>
    <w:rsid w:val="00E354DA"/>
    <w:rsid w:val="00E354F5"/>
    <w:rsid w:val="00E3687E"/>
    <w:rsid w:val="00E40974"/>
    <w:rsid w:val="00E40AAB"/>
    <w:rsid w:val="00E41205"/>
    <w:rsid w:val="00E41F32"/>
    <w:rsid w:val="00E42608"/>
    <w:rsid w:val="00E43387"/>
    <w:rsid w:val="00E43536"/>
    <w:rsid w:val="00E43A18"/>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cf01">
    <w:name w:val="cf01"/>
    <w:basedOn w:val="DefaultParagraphFont"/>
    <w:rsid w:val="004945B9"/>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www.esma.europa.eu" TargetMode="External"/><Relationship Id="rId34"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oter" Target="footer4.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www.esma.europa.eu/sites/default/files/library/esma74-362-1013_final_report_mifir_review_-_data_reporting.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hyperlink" Target="https://www.fca.org.uk/publication/fca/handbook-notice-96.pdf"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hyperlink" Target="https://eur-lex.europa.eu/legal-content/EN/TXT/PDF/?uri=CELEX:52022AB0019"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header" Target="header5.xml"/><Relationship Id="rId30" Type="http://schemas.openxmlformats.org/officeDocument/2006/relationships/hyperlink" Target="https://eur-lex.europa.eu/eli/reg/2024/791/oj" TargetMode="Externa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6.xml><?xml version="1.0" encoding="utf-8"?>
<ds:datastoreItem xmlns:ds="http://schemas.openxmlformats.org/officeDocument/2006/customXml" ds:itemID="{7FB30FA8-3D72-457A-9AB5-7BB1703E6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6862</Words>
  <Characters>39117</Characters>
  <Application>Microsoft Office Word</Application>
  <DocSecurity>0</DocSecurity>
  <Lines>325</Lines>
  <Paragraphs>91</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45888</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Gillian Leeson</cp:lastModifiedBy>
  <cp:revision>6</cp:revision>
  <cp:lastPrinted>2015-02-18T11:01:00Z</cp:lastPrinted>
  <dcterms:created xsi:type="dcterms:W3CDTF">2025-01-17T10:25:00Z</dcterms:created>
  <dcterms:modified xsi:type="dcterms:W3CDTF">2025-01-17T14:34:00Z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ClassificationContentMarkingFooterShapeIds">
    <vt:lpwstr>3be100eb,4fef337e,451efffc,6f117876,2fdd97ba,7a638e06</vt:lpwstr>
  </property>
  <property fmtid="{D5CDD505-2E9C-101B-9397-08002B2CF9AE}" pid="20" name="ClassificationContentMarkingFooterFontProps">
    <vt:lpwstr>#ffef00,10,Calibri</vt:lpwstr>
  </property>
  <property fmtid="{D5CDD505-2E9C-101B-9397-08002B2CF9AE}" pid="21" name="ClassificationContentMarkingFooterText">
    <vt:lpwstr>PRIVATE</vt:lpwstr>
  </property>
  <property fmtid="{D5CDD505-2E9C-101B-9397-08002B2CF9AE}" pid="22" name="MSIP_Label_ac0b9ce6-6e99-42a1-af95-429494370cbc_Enabled">
    <vt:lpwstr>true</vt:lpwstr>
  </property>
  <property fmtid="{D5CDD505-2E9C-101B-9397-08002B2CF9AE}" pid="23" name="MSIP_Label_ac0b9ce6-6e99-42a1-af95-429494370cbc_SetDate">
    <vt:lpwstr>2025-01-17T10:25:15Z</vt:lpwstr>
  </property>
  <property fmtid="{D5CDD505-2E9C-101B-9397-08002B2CF9AE}" pid="24" name="MSIP_Label_ac0b9ce6-6e99-42a1-af95-429494370cbc_Method">
    <vt:lpwstr>Standard</vt:lpwstr>
  </property>
  <property fmtid="{D5CDD505-2E9C-101B-9397-08002B2CF9AE}" pid="25" name="MSIP_Label_ac0b9ce6-6e99-42a1-af95-429494370cbc_Name">
    <vt:lpwstr>ac0b9ce6-6e99-42a1-af95-429494370cbc</vt:lpwstr>
  </property>
  <property fmtid="{D5CDD505-2E9C-101B-9397-08002B2CF9AE}" pid="26" name="MSIP_Label_ac0b9ce6-6e99-42a1-af95-429494370cbc_SiteId">
    <vt:lpwstr>315b1ee5-c224-498b-871e-c140611d6d07</vt:lpwstr>
  </property>
  <property fmtid="{D5CDD505-2E9C-101B-9397-08002B2CF9AE}" pid="27" name="MSIP_Label_ac0b9ce6-6e99-42a1-af95-429494370cbc_ActionId">
    <vt:lpwstr>2b9f1aef-d7ad-4d77-a395-4a43d823373a</vt:lpwstr>
  </property>
  <property fmtid="{D5CDD505-2E9C-101B-9397-08002B2CF9AE}" pid="28" name="MSIP_Label_ac0b9ce6-6e99-42a1-af95-429494370cbc_ContentBits">
    <vt:lpwstr>2</vt:lpwstr>
  </property>
</Properties>
</file>