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EE208" w14:textId="77777777" w:rsidR="00CB3DF6" w:rsidRDefault="00CB3DF6" w:rsidP="00CB3DF6">
      <w:pPr>
        <w:pStyle w:val="descriptifAMAFI"/>
        <w:rPr>
          <w:i w:val="0"/>
          <w:iCs/>
          <w:lang w:val="en-US"/>
        </w:rPr>
      </w:pPr>
    </w:p>
    <w:p w14:paraId="037B7F82" w14:textId="77777777" w:rsidR="00CB3DF6" w:rsidRDefault="00CB3DF6" w:rsidP="00CB3DF6">
      <w:pPr>
        <w:pStyle w:val="descriptifAMAFI"/>
        <w:rPr>
          <w:i w:val="0"/>
          <w:iCs/>
          <w:lang w:val="en-US"/>
        </w:rPr>
      </w:pPr>
    </w:p>
    <w:p w14:paraId="29213683" w14:textId="459EC230" w:rsidR="00CB3DF6" w:rsidRDefault="00CB3DF6" w:rsidP="00CB3DF6">
      <w:pPr>
        <w:pStyle w:val="descriptifAMAFI"/>
        <w:rPr>
          <w:i w:val="0"/>
          <w:iCs/>
          <w:lang w:val="en-US"/>
        </w:rPr>
      </w:pPr>
      <w:r>
        <w:rPr>
          <w:i w:val="0"/>
          <w:iCs/>
          <w:lang w:val="en-US"/>
        </w:rPr>
        <w:t>FPM welcomes the opportunity to respond to ESMA’s consultation on the revision of RTS 22 and RTS 24 following the M</w:t>
      </w:r>
      <w:r w:rsidR="00C64C82">
        <w:rPr>
          <w:i w:val="0"/>
          <w:iCs/>
          <w:lang w:val="en-US"/>
        </w:rPr>
        <w:t>i</w:t>
      </w:r>
      <w:r>
        <w:rPr>
          <w:i w:val="0"/>
          <w:iCs/>
          <w:lang w:val="en-US"/>
        </w:rPr>
        <w:t xml:space="preserve">FIR review. In </w:t>
      </w:r>
      <w:r w:rsidRPr="00CB3DF6">
        <w:rPr>
          <w:i w:val="0"/>
          <w:iCs/>
          <w:lang w:val="en-US"/>
        </w:rPr>
        <w:t>addition to the answers to the questions concerning the members of FPM</w:t>
      </w:r>
      <w:r>
        <w:rPr>
          <w:i w:val="0"/>
          <w:iCs/>
          <w:lang w:val="en-US"/>
        </w:rPr>
        <w:t xml:space="preserve"> (those related to RTS 22), FPM would like to share </w:t>
      </w:r>
      <w:r w:rsidR="004179A7">
        <w:rPr>
          <w:i w:val="0"/>
          <w:iCs/>
          <w:lang w:val="en-US"/>
        </w:rPr>
        <w:t>w</w:t>
      </w:r>
      <w:r>
        <w:rPr>
          <w:i w:val="0"/>
          <w:iCs/>
          <w:lang w:val="en-US"/>
        </w:rPr>
        <w:t>ith ESMA some general comments</w:t>
      </w:r>
      <w:r w:rsidR="00A54B6B">
        <w:rPr>
          <w:i w:val="0"/>
          <w:iCs/>
          <w:lang w:val="en-US"/>
        </w:rPr>
        <w:t>.</w:t>
      </w:r>
    </w:p>
    <w:p w14:paraId="762B7FC9" w14:textId="6752C3AA" w:rsidR="00A54B6B" w:rsidRDefault="00A54B6B" w:rsidP="00A54B6B">
      <w:pPr>
        <w:pStyle w:val="descriptifAMAFI"/>
        <w:rPr>
          <w:i w:val="0"/>
          <w:iCs/>
          <w:lang w:val="en-US"/>
        </w:rPr>
      </w:pPr>
      <w:r>
        <w:rPr>
          <w:i w:val="0"/>
          <w:iCs/>
          <w:lang w:val="en-US"/>
        </w:rPr>
        <w:t>I</w:t>
      </w:r>
      <w:r w:rsidR="00CB3DF6">
        <w:rPr>
          <w:i w:val="0"/>
          <w:iCs/>
          <w:lang w:val="en-US"/>
        </w:rPr>
        <w:t>f we understand the objective</w:t>
      </w:r>
      <w:r>
        <w:rPr>
          <w:i w:val="0"/>
          <w:iCs/>
          <w:lang w:val="en-US"/>
        </w:rPr>
        <w:t>,</w:t>
      </w:r>
      <w:r w:rsidR="00CB3DF6">
        <w:rPr>
          <w:i w:val="0"/>
          <w:iCs/>
          <w:lang w:val="en-US"/>
        </w:rPr>
        <w:t xml:space="preserve"> namely to help ESMA and NCAs to more easily and more quickly process the reporting of transactions received</w:t>
      </w:r>
      <w:r>
        <w:rPr>
          <w:i w:val="0"/>
          <w:iCs/>
          <w:lang w:val="en-US"/>
        </w:rPr>
        <w:t xml:space="preserve"> from the industry in order “</w:t>
      </w:r>
      <w:r w:rsidRPr="002C5436">
        <w:rPr>
          <w:lang w:val="en-US"/>
        </w:rPr>
        <w:t>to detect and investigate potential cases of market abuse, to monitor the fair and orderly functioning of markets, as well as the activities of investment firms</w:t>
      </w:r>
      <w:r>
        <w:rPr>
          <w:i w:val="0"/>
          <w:iCs/>
          <w:lang w:val="en-US"/>
        </w:rPr>
        <w:t>”</w:t>
      </w:r>
      <w:r>
        <w:rPr>
          <w:rStyle w:val="Appelnotedebasdep"/>
          <w:i w:val="0"/>
          <w:iCs/>
          <w:lang w:val="en-US"/>
        </w:rPr>
        <w:footnoteReference w:id="1"/>
      </w:r>
      <w:r>
        <w:rPr>
          <w:i w:val="0"/>
          <w:iCs/>
          <w:lang w:val="en-US"/>
        </w:rPr>
        <w:t>, we have major concerns on the proposed changes:</w:t>
      </w:r>
    </w:p>
    <w:p w14:paraId="7938A775" w14:textId="5354329F" w:rsidR="00CF2EA7" w:rsidRPr="00005CB4" w:rsidRDefault="00A54B6B" w:rsidP="00005CB4">
      <w:pPr>
        <w:pStyle w:val="descriptifAMAFI"/>
        <w:numPr>
          <w:ilvl w:val="0"/>
          <w:numId w:val="2"/>
        </w:numPr>
        <w:rPr>
          <w:i w:val="0"/>
          <w:iCs/>
          <w:lang w:val="en-US"/>
        </w:rPr>
      </w:pPr>
      <w:r>
        <w:rPr>
          <w:i w:val="0"/>
          <w:iCs/>
          <w:lang w:val="en-US"/>
        </w:rPr>
        <w:lastRenderedPageBreak/>
        <w:t>The number of fields to be reported will go from 64 to more than 110, requiring FPM’s members to adapt their IT system while most of the</w:t>
      </w:r>
      <w:r w:rsidR="00005CB4">
        <w:rPr>
          <w:i w:val="0"/>
          <w:iCs/>
          <w:lang w:val="en-US"/>
        </w:rPr>
        <w:t xml:space="preserve"> added </w:t>
      </w:r>
      <w:r w:rsidR="002C5436">
        <w:rPr>
          <w:i w:val="0"/>
          <w:iCs/>
          <w:lang w:val="en-US"/>
        </w:rPr>
        <w:t>fields</w:t>
      </w:r>
      <w:r>
        <w:rPr>
          <w:i w:val="0"/>
          <w:iCs/>
          <w:lang w:val="en-US"/>
        </w:rPr>
        <w:t xml:space="preserve"> will not be populated since they do not </w:t>
      </w:r>
      <w:r w:rsidR="00CF2EA7">
        <w:rPr>
          <w:i w:val="0"/>
          <w:iCs/>
          <w:lang w:val="en-US"/>
        </w:rPr>
        <w:t>relate to transferrable securities</w:t>
      </w:r>
    </w:p>
    <w:p w14:paraId="1697167D" w14:textId="268FAC29" w:rsidR="002C5436" w:rsidRPr="002C5436" w:rsidRDefault="00CF2EA7" w:rsidP="002C5436">
      <w:pPr>
        <w:pStyle w:val="descriptifAMAFI"/>
        <w:numPr>
          <w:ilvl w:val="0"/>
          <w:numId w:val="2"/>
        </w:numPr>
        <w:rPr>
          <w:i w:val="0"/>
          <w:iCs/>
          <w:lang w:val="en-US"/>
        </w:rPr>
      </w:pPr>
      <w:r>
        <w:rPr>
          <w:i w:val="0"/>
          <w:iCs/>
          <w:lang w:val="en-US"/>
        </w:rPr>
        <w:t>For fields applying to FPM’s members’ activity, we regret the absence of a cost - benefits anaysis where benefits for market supervision will be weight against the costs for the reporting entities</w:t>
      </w:r>
      <w:r w:rsidR="002C5436">
        <w:rPr>
          <w:i w:val="0"/>
          <w:iCs/>
          <w:lang w:val="en-US"/>
        </w:rPr>
        <w:t>; indeed</w:t>
      </w:r>
      <w:r w:rsidR="000355C3">
        <w:rPr>
          <w:i w:val="0"/>
          <w:iCs/>
          <w:lang w:val="en-US"/>
        </w:rPr>
        <w:t>,</w:t>
      </w:r>
      <w:r w:rsidR="002C5436">
        <w:rPr>
          <w:i w:val="0"/>
          <w:iCs/>
          <w:lang w:val="en-US"/>
        </w:rPr>
        <w:t xml:space="preserve"> n</w:t>
      </w:r>
      <w:r w:rsidR="00005CB4" w:rsidRPr="002C5436">
        <w:rPr>
          <w:i w:val="0"/>
          <w:iCs/>
          <w:lang w:val="en-US"/>
        </w:rPr>
        <w:t>one of the change</w:t>
      </w:r>
      <w:r w:rsidR="00C64C82" w:rsidRPr="002C5436">
        <w:rPr>
          <w:i w:val="0"/>
          <w:iCs/>
          <w:lang w:val="en-US"/>
        </w:rPr>
        <w:t>s</w:t>
      </w:r>
      <w:r w:rsidR="00005CB4" w:rsidRPr="002C5436">
        <w:rPr>
          <w:i w:val="0"/>
          <w:iCs/>
          <w:lang w:val="en-US"/>
        </w:rPr>
        <w:t xml:space="preserve"> is a minor one</w:t>
      </w:r>
      <w:r w:rsidR="00C64C82" w:rsidRPr="002C5436">
        <w:rPr>
          <w:i w:val="0"/>
          <w:iCs/>
          <w:lang w:val="en-US"/>
        </w:rPr>
        <w:t xml:space="preserve"> </w:t>
      </w:r>
    </w:p>
    <w:p w14:paraId="38ECBD2A" w14:textId="79149B1D" w:rsidR="00A54B6B" w:rsidRDefault="002C5436" w:rsidP="00CB3DF6">
      <w:pPr>
        <w:pStyle w:val="descriptifAMAFI"/>
        <w:numPr>
          <w:ilvl w:val="0"/>
          <w:numId w:val="2"/>
        </w:numPr>
        <w:rPr>
          <w:i w:val="0"/>
          <w:iCs/>
          <w:lang w:val="en-US"/>
        </w:rPr>
      </w:pPr>
      <w:r>
        <w:rPr>
          <w:i w:val="0"/>
          <w:iCs/>
          <w:lang w:val="en-US"/>
        </w:rPr>
        <w:t xml:space="preserve">Some of the changes </w:t>
      </w:r>
      <w:r w:rsidR="004179A7">
        <w:rPr>
          <w:i w:val="0"/>
          <w:iCs/>
          <w:lang w:val="en-US"/>
        </w:rPr>
        <w:t>either</w:t>
      </w:r>
      <w:r w:rsidR="00C64C82">
        <w:rPr>
          <w:i w:val="0"/>
          <w:iCs/>
          <w:lang w:val="en-US"/>
        </w:rPr>
        <w:t xml:space="preserve"> presuppose a full compliance by upstream actors (TVTIC for non EEA TV)</w:t>
      </w:r>
      <w:r>
        <w:rPr>
          <w:i w:val="0"/>
          <w:iCs/>
          <w:lang w:val="en-US"/>
        </w:rPr>
        <w:t xml:space="preserve"> or</w:t>
      </w:r>
      <w:r w:rsidR="004179A7">
        <w:rPr>
          <w:i w:val="0"/>
          <w:iCs/>
          <w:lang w:val="en-US"/>
        </w:rPr>
        <w:t xml:space="preserve"> </w:t>
      </w:r>
      <w:r w:rsidR="00C64C82">
        <w:rPr>
          <w:i w:val="0"/>
          <w:iCs/>
          <w:lang w:val="en-US"/>
        </w:rPr>
        <w:t xml:space="preserve">cover a single and rare case (the TV is required to report on belhalf of a broker not submitted to MiFIR) </w:t>
      </w:r>
      <w:r>
        <w:rPr>
          <w:i w:val="0"/>
          <w:iCs/>
          <w:lang w:val="en-US"/>
        </w:rPr>
        <w:t>and</w:t>
      </w:r>
      <w:r w:rsidR="00C64C82">
        <w:rPr>
          <w:i w:val="0"/>
          <w:iCs/>
          <w:lang w:val="en-US"/>
        </w:rPr>
        <w:t xml:space="preserve"> their benefit </w:t>
      </w:r>
      <w:r>
        <w:rPr>
          <w:i w:val="0"/>
          <w:iCs/>
          <w:lang w:val="en-US"/>
        </w:rPr>
        <w:t>may prove to</w:t>
      </w:r>
      <w:r w:rsidR="00C64C82">
        <w:rPr>
          <w:i w:val="0"/>
          <w:iCs/>
          <w:lang w:val="en-US"/>
        </w:rPr>
        <w:t xml:space="preserve"> be limited (the Chain ID)</w:t>
      </w:r>
    </w:p>
    <w:p w14:paraId="6CF32005" w14:textId="3A924B14" w:rsidR="00CB3DF6" w:rsidRDefault="002C5436" w:rsidP="00CB3DF6">
      <w:pPr>
        <w:pStyle w:val="descriptifAMAFI"/>
        <w:numPr>
          <w:ilvl w:val="0"/>
          <w:numId w:val="2"/>
        </w:numPr>
        <w:rPr>
          <w:i w:val="0"/>
          <w:iCs/>
          <w:lang w:val="en-US"/>
        </w:rPr>
      </w:pPr>
      <w:r>
        <w:rPr>
          <w:i w:val="0"/>
          <w:iCs/>
          <w:lang w:val="en-US"/>
        </w:rPr>
        <w:t>W</w:t>
      </w:r>
      <w:r w:rsidR="00CF2EA7">
        <w:rPr>
          <w:i w:val="0"/>
          <w:iCs/>
          <w:lang w:val="en-US"/>
        </w:rPr>
        <w:t xml:space="preserve">e urge ESMA to </w:t>
      </w:r>
      <w:r w:rsidR="00005CB4">
        <w:rPr>
          <w:i w:val="0"/>
          <w:iCs/>
          <w:lang w:val="en-US"/>
        </w:rPr>
        <w:t xml:space="preserve">place this evolution in a more global context where the Union aims to improve its </w:t>
      </w:r>
      <w:r w:rsidR="00005CB4">
        <w:rPr>
          <w:i w:val="0"/>
          <w:iCs/>
          <w:lang w:val="en-US"/>
        </w:rPr>
        <w:lastRenderedPageBreak/>
        <w:t xml:space="preserve">attractiveness (thus favor the investors), reduce the regulatory complexity (what does not appear clearly in this consultation) and achieve the transition to T+1 by mid-October 2027. As regards the latter it is already </w:t>
      </w:r>
      <w:r>
        <w:rPr>
          <w:i w:val="0"/>
          <w:iCs/>
          <w:lang w:val="en-US"/>
        </w:rPr>
        <w:t>obvious</w:t>
      </w:r>
      <w:r w:rsidR="00005CB4">
        <w:rPr>
          <w:i w:val="0"/>
          <w:iCs/>
          <w:lang w:val="en-US"/>
        </w:rPr>
        <w:t xml:space="preserve"> that the MIFIR adaptations </w:t>
      </w:r>
      <w:r>
        <w:rPr>
          <w:i w:val="0"/>
          <w:iCs/>
          <w:lang w:val="en-US"/>
        </w:rPr>
        <w:t>can</w:t>
      </w:r>
      <w:r w:rsidR="00005CB4">
        <w:rPr>
          <w:i w:val="0"/>
          <w:iCs/>
          <w:lang w:val="en-US"/>
        </w:rPr>
        <w:t xml:space="preserve"> not be </w:t>
      </w:r>
      <w:r>
        <w:rPr>
          <w:i w:val="0"/>
          <w:iCs/>
          <w:lang w:val="en-US"/>
        </w:rPr>
        <w:t>conducted</w:t>
      </w:r>
      <w:r w:rsidR="00005CB4">
        <w:rPr>
          <w:i w:val="0"/>
          <w:iCs/>
          <w:lang w:val="en-US"/>
        </w:rPr>
        <w:t xml:space="preserve"> in parallel with the ones for the T+1 move, scheduled for 2026</w:t>
      </w:r>
    </w:p>
    <w:p w14:paraId="47A4C58B" w14:textId="45AD28B5" w:rsidR="00005CB4" w:rsidRPr="004179A7" w:rsidRDefault="00005CB4" w:rsidP="004179A7">
      <w:pPr>
        <w:pStyle w:val="descriptifAMAFI"/>
        <w:numPr>
          <w:ilvl w:val="0"/>
          <w:numId w:val="2"/>
        </w:numPr>
        <w:rPr>
          <w:i w:val="0"/>
          <w:iCs/>
          <w:lang w:val="en-US"/>
        </w:rPr>
      </w:pPr>
      <w:r>
        <w:rPr>
          <w:i w:val="0"/>
          <w:iCs/>
          <w:lang w:val="en-US"/>
        </w:rPr>
        <w:t>Finally</w:t>
      </w:r>
      <w:r w:rsidR="004179A7">
        <w:rPr>
          <w:i w:val="0"/>
          <w:iCs/>
          <w:lang w:val="en-US"/>
        </w:rPr>
        <w:t xml:space="preserve">, we would like to point out our incomprehension following the introduction of the client’s categorisation. Beyond </w:t>
      </w:r>
      <w:r w:rsidR="004179A7" w:rsidRPr="004179A7">
        <w:rPr>
          <w:i w:val="0"/>
          <w:iCs/>
          <w:lang w:val="en-US"/>
        </w:rPr>
        <w:t xml:space="preserve">the uselessness of this data for detecting market abuse, we do not understand the addition of this information since it has never been requested by the </w:t>
      </w:r>
      <w:r w:rsidR="004179A7">
        <w:rPr>
          <w:i w:val="0"/>
          <w:iCs/>
          <w:lang w:val="en-US"/>
        </w:rPr>
        <w:t>Commission</w:t>
      </w:r>
      <w:r w:rsidR="004179A7" w:rsidRPr="004179A7">
        <w:rPr>
          <w:i w:val="0"/>
          <w:iCs/>
          <w:lang w:val="en-US"/>
        </w:rPr>
        <w:t xml:space="preserve"> in </w:t>
      </w:r>
      <w:r w:rsidR="004179A7">
        <w:rPr>
          <w:i w:val="0"/>
          <w:iCs/>
          <w:lang w:val="en-US"/>
        </w:rPr>
        <w:t>MiFIR review</w:t>
      </w:r>
      <w:r w:rsidR="002C5436">
        <w:rPr>
          <w:i w:val="0"/>
          <w:iCs/>
          <w:lang w:val="en-US"/>
        </w:rPr>
        <w:t xml:space="preserve"> while </w:t>
      </w:r>
      <w:r w:rsidR="004179A7" w:rsidRPr="004179A7">
        <w:rPr>
          <w:i w:val="0"/>
          <w:iCs/>
          <w:lang w:val="en-US"/>
        </w:rPr>
        <w:t>we know that ESMA is usually very vigilant in respecting the framework and mandate that has been given to it</w:t>
      </w:r>
      <w:r w:rsidR="004179A7">
        <w:rPr>
          <w:i w:val="0"/>
          <w:iCs/>
          <w:lang w:val="en-US"/>
        </w:rPr>
        <w:t>.</w:t>
      </w:r>
    </w:p>
    <w:p w14:paraId="612BED7F" w14:textId="7DD73C2C" w:rsidR="00CB3DF6" w:rsidRDefault="00CB3DF6" w:rsidP="00CB3DF6">
      <w:pPr>
        <w:pStyle w:val="descriptifAMAFI"/>
        <w:rPr>
          <w:i w:val="0"/>
          <w:iCs/>
          <w:lang w:val="en-US"/>
        </w:rPr>
      </w:pPr>
    </w:p>
    <w:p w14:paraId="452C5C8B" w14:textId="51D4AD33" w:rsidR="004A32E4" w:rsidRDefault="004A32E4" w:rsidP="00CB3DF6">
      <w:pPr>
        <w:pStyle w:val="descriptifAMAFI"/>
        <w:rPr>
          <w:i w:val="0"/>
          <w:iCs/>
          <w:lang w:val="en-US"/>
        </w:rPr>
      </w:pPr>
      <w:r w:rsidRPr="004A32E4">
        <w:rPr>
          <w:i w:val="0"/>
          <w:iCs/>
          <w:lang w:val="en-US"/>
        </w:rPr>
        <w:t>In conclusion, the implementation of developments essential for meeting regulatory requirements, along with the timing, associated costs, and complexity of these processes, may undermine the simplification ambitions expressed by the European Commission, thereby necessitating a thorough reflection on the balance between compliance and operational efficiency.</w:t>
      </w:r>
    </w:p>
    <w:p w14:paraId="72E523E9" w14:textId="77777777" w:rsidR="00211396" w:rsidRPr="00CB3DF6" w:rsidRDefault="00211396">
      <w:pPr>
        <w:rPr>
          <w:lang w:val="en-US"/>
        </w:rPr>
      </w:pPr>
      <w:bookmarkStart w:id="0" w:name="_GoBack"/>
      <w:bookmarkEnd w:id="0"/>
    </w:p>
    <w:sectPr w:rsidR="00211396" w:rsidRPr="00CB3D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B56E3" w14:textId="77777777" w:rsidR="00AB1EC0" w:rsidRDefault="00AB1EC0" w:rsidP="00A54B6B">
      <w:pPr>
        <w:spacing w:after="0" w:line="240" w:lineRule="auto"/>
      </w:pPr>
      <w:r>
        <w:separator/>
      </w:r>
    </w:p>
  </w:endnote>
  <w:endnote w:type="continuationSeparator" w:id="0">
    <w:p w14:paraId="1B577C6D" w14:textId="77777777" w:rsidR="00AB1EC0" w:rsidRDefault="00AB1EC0" w:rsidP="00A54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FF0EA" w14:textId="77777777" w:rsidR="00AB1EC0" w:rsidRDefault="00AB1EC0" w:rsidP="00A54B6B">
      <w:pPr>
        <w:spacing w:after="0" w:line="240" w:lineRule="auto"/>
      </w:pPr>
      <w:r>
        <w:separator/>
      </w:r>
    </w:p>
  </w:footnote>
  <w:footnote w:type="continuationSeparator" w:id="0">
    <w:p w14:paraId="5999175C" w14:textId="77777777" w:rsidR="00AB1EC0" w:rsidRDefault="00AB1EC0" w:rsidP="00A54B6B">
      <w:pPr>
        <w:spacing w:after="0" w:line="240" w:lineRule="auto"/>
      </w:pPr>
      <w:r>
        <w:continuationSeparator/>
      </w:r>
    </w:p>
  </w:footnote>
  <w:footnote w:id="1">
    <w:p w14:paraId="12846218" w14:textId="4A54DE6E" w:rsidR="00A54B6B" w:rsidRDefault="00A54B6B">
      <w:pPr>
        <w:pStyle w:val="Notedebasdepage"/>
      </w:pPr>
      <w:r>
        <w:rPr>
          <w:rStyle w:val="Appelnotedebasdep"/>
        </w:rPr>
        <w:footnoteRef/>
      </w:r>
      <w:r>
        <w:t xml:space="preserve"> </w:t>
      </w:r>
      <w:proofErr w:type="spellStart"/>
      <w:r>
        <w:t>Recital</w:t>
      </w:r>
      <w:proofErr w:type="spellEnd"/>
      <w:r>
        <w:t xml:space="preserve"> 32 </w:t>
      </w:r>
      <w:proofErr w:type="spellStart"/>
      <w:r>
        <w:t>regulation</w:t>
      </w:r>
      <w:proofErr w:type="spellEnd"/>
      <w:r>
        <w:t xml:space="preserve"> 600/2014 (MIIFIR)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27569"/>
    <w:multiLevelType w:val="hybridMultilevel"/>
    <w:tmpl w:val="1932F5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9A5A34"/>
    <w:multiLevelType w:val="multilevel"/>
    <w:tmpl w:val="9CDC3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F6"/>
    <w:rsid w:val="00005CB4"/>
    <w:rsid w:val="000355C3"/>
    <w:rsid w:val="00211396"/>
    <w:rsid w:val="002C5436"/>
    <w:rsid w:val="004179A7"/>
    <w:rsid w:val="004A32E4"/>
    <w:rsid w:val="0050077F"/>
    <w:rsid w:val="008112F5"/>
    <w:rsid w:val="00A54B6B"/>
    <w:rsid w:val="00AB1EC0"/>
    <w:rsid w:val="00C64C82"/>
    <w:rsid w:val="00CB3DF6"/>
    <w:rsid w:val="00CF2E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486ED"/>
  <w15:chartTrackingRefBased/>
  <w15:docId w15:val="{98115099-087E-478B-919F-90C940B17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F6"/>
    <w:pPr>
      <w:spacing w:line="256" w:lineRule="auto"/>
      <w:jc w:val="both"/>
    </w:pPr>
    <w:rPr>
      <w:rFonts w:ascii="Calibri" w:hAnsi="Calibri" w:cs="ArialMT"/>
      <w:kern w:val="0"/>
      <w:szCs w:val="20"/>
    </w:rPr>
  </w:style>
  <w:style w:type="paragraph" w:styleId="Titre1">
    <w:name w:val="heading 1"/>
    <w:basedOn w:val="Normal"/>
    <w:next w:val="Normal"/>
    <w:link w:val="Titre1Car"/>
    <w:uiPriority w:val="9"/>
    <w:qFormat/>
    <w:rsid w:val="00CB3D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aragraphedelisteCar">
    <w:name w:val="Paragraphe de liste Car"/>
    <w:aliases w:val="Paragraphe EI Car,Paragraphe de liste1 Car,EC Car"/>
    <w:basedOn w:val="Policepardfaut"/>
    <w:link w:val="Paragraphedeliste"/>
    <w:uiPriority w:val="34"/>
    <w:locked/>
    <w:rsid w:val="00CB3DF6"/>
    <w:rPr>
      <w:rFonts w:ascii="Calibri" w:hAnsi="Calibri" w:cs="ArialMT"/>
      <w:kern w:val="0"/>
      <w:szCs w:val="20"/>
    </w:rPr>
  </w:style>
  <w:style w:type="paragraph" w:styleId="Paragraphedeliste">
    <w:name w:val="List Paragraph"/>
    <w:aliases w:val="Paragraphe EI,Paragraphe de liste1,EC"/>
    <w:basedOn w:val="Normal"/>
    <w:link w:val="ParagraphedelisteCar"/>
    <w:uiPriority w:val="34"/>
    <w:qFormat/>
    <w:rsid w:val="00CB3DF6"/>
    <w:pPr>
      <w:ind w:left="720"/>
      <w:contextualSpacing/>
    </w:pPr>
  </w:style>
  <w:style w:type="character" w:customStyle="1" w:styleId="Generalcomments-ObservationsgnralesCar">
    <w:name w:val="General comments - Observations générales Car"/>
    <w:basedOn w:val="Policepardfaut"/>
    <w:link w:val="Generalcomments-Observationsgnrales"/>
    <w:locked/>
    <w:rsid w:val="00CB3DF6"/>
    <w:rPr>
      <w:rFonts w:ascii="Arial-BoldMT" w:eastAsiaTheme="majorEastAsia" w:hAnsi="Arial-BoldMT" w:cs="Arial-BoldMT"/>
      <w:b/>
      <w:bCs/>
      <w:smallCaps/>
      <w:color w:val="026EA6"/>
      <w:kern w:val="0"/>
      <w:sz w:val="28"/>
      <w:szCs w:val="28"/>
      <w:lang w:val="en-US"/>
    </w:rPr>
  </w:style>
  <w:style w:type="paragraph" w:customStyle="1" w:styleId="Generalcomments-Observationsgnrales">
    <w:name w:val="General comments - Observations générales"/>
    <w:basedOn w:val="Titre1"/>
    <w:link w:val="Generalcomments-ObservationsgnralesCar"/>
    <w:qFormat/>
    <w:rsid w:val="00CB3DF6"/>
    <w:pPr>
      <w:keepNext w:val="0"/>
      <w:keepLines w:val="0"/>
      <w:spacing w:before="600" w:after="240"/>
      <w:jc w:val="left"/>
    </w:pPr>
    <w:rPr>
      <w:rFonts w:ascii="Arial-BoldMT" w:hAnsi="Arial-BoldMT" w:cs="Arial-BoldMT"/>
      <w:b/>
      <w:bCs/>
      <w:smallCaps/>
      <w:color w:val="026EA6"/>
      <w:sz w:val="28"/>
      <w:szCs w:val="28"/>
      <w:lang w:val="en-US"/>
    </w:rPr>
  </w:style>
  <w:style w:type="character" w:customStyle="1" w:styleId="descriptifAMAFICar">
    <w:name w:val="descriptif AMAFI Car"/>
    <w:basedOn w:val="Policepardfaut"/>
    <w:link w:val="descriptifAMAFI"/>
    <w:locked/>
    <w:rsid w:val="00CB3DF6"/>
    <w:rPr>
      <w:rFonts w:ascii="Calibri" w:hAnsi="Calibri" w:cs="Calibri"/>
      <w:i/>
      <w:noProof/>
      <w:kern w:val="0"/>
      <w:lang w:eastAsia="fr-FR"/>
      <w14:ligatures w14:val="none"/>
    </w:rPr>
  </w:style>
  <w:style w:type="paragraph" w:customStyle="1" w:styleId="descriptifAMAFI">
    <w:name w:val="descriptif AMAFI"/>
    <w:basedOn w:val="Normal"/>
    <w:link w:val="descriptifAMAFICar"/>
    <w:qFormat/>
    <w:rsid w:val="00CB3DF6"/>
    <w:rPr>
      <w:rFonts w:cs="Calibri"/>
      <w:i/>
      <w:noProof/>
      <w:szCs w:val="22"/>
      <w:lang w:eastAsia="fr-FR"/>
      <w14:ligatures w14:val="none"/>
    </w:rPr>
  </w:style>
  <w:style w:type="character" w:styleId="Titredulivre">
    <w:name w:val="Book Title"/>
    <w:basedOn w:val="Policepardfaut"/>
    <w:uiPriority w:val="33"/>
    <w:qFormat/>
    <w:rsid w:val="00CB3DF6"/>
    <w:rPr>
      <w:b/>
      <w:bCs/>
      <w:i/>
      <w:iCs/>
      <w:spacing w:val="5"/>
    </w:rPr>
  </w:style>
  <w:style w:type="character" w:customStyle="1" w:styleId="Titre1Car">
    <w:name w:val="Titre 1 Car"/>
    <w:basedOn w:val="Policepardfaut"/>
    <w:link w:val="Titre1"/>
    <w:uiPriority w:val="9"/>
    <w:rsid w:val="00CB3DF6"/>
    <w:rPr>
      <w:rFonts w:asciiTheme="majorHAnsi" w:eastAsiaTheme="majorEastAsia" w:hAnsiTheme="majorHAnsi" w:cstheme="majorBidi"/>
      <w:color w:val="2F5496" w:themeColor="accent1" w:themeShade="BF"/>
      <w:kern w:val="0"/>
      <w:sz w:val="32"/>
      <w:szCs w:val="32"/>
    </w:rPr>
  </w:style>
  <w:style w:type="paragraph" w:styleId="Notedebasdepage">
    <w:name w:val="footnote text"/>
    <w:basedOn w:val="Normal"/>
    <w:link w:val="NotedebasdepageCar"/>
    <w:uiPriority w:val="99"/>
    <w:semiHidden/>
    <w:unhideWhenUsed/>
    <w:rsid w:val="00A54B6B"/>
    <w:pPr>
      <w:spacing w:after="0" w:line="240" w:lineRule="auto"/>
    </w:pPr>
    <w:rPr>
      <w:sz w:val="20"/>
    </w:rPr>
  </w:style>
  <w:style w:type="character" w:customStyle="1" w:styleId="NotedebasdepageCar">
    <w:name w:val="Note de bas de page Car"/>
    <w:basedOn w:val="Policepardfaut"/>
    <w:link w:val="Notedebasdepage"/>
    <w:uiPriority w:val="99"/>
    <w:semiHidden/>
    <w:rsid w:val="00A54B6B"/>
    <w:rPr>
      <w:rFonts w:ascii="Calibri" w:hAnsi="Calibri" w:cs="ArialMT"/>
      <w:kern w:val="0"/>
      <w:sz w:val="20"/>
      <w:szCs w:val="20"/>
    </w:rPr>
  </w:style>
  <w:style w:type="character" w:styleId="Appelnotedebasdep">
    <w:name w:val="footnote reference"/>
    <w:basedOn w:val="Policepardfaut"/>
    <w:uiPriority w:val="99"/>
    <w:semiHidden/>
    <w:unhideWhenUsed/>
    <w:rsid w:val="00A54B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898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2212</Characters>
  <Application>Microsoft Office Word</Application>
  <DocSecurity>4</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BONDUELLE Sylvie SgssCaoPai</dc:creator>
  <cp:keywords/>
  <dc:description/>
  <cp:lastModifiedBy>BYL Olivier</cp:lastModifiedBy>
  <cp:revision>2</cp:revision>
  <dcterms:created xsi:type="dcterms:W3CDTF">2025-01-17T15:11:00Z</dcterms:created>
  <dcterms:modified xsi:type="dcterms:W3CDTF">2025-01-17T15:11:00Z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01b303-ecb1-4a9d-936a-70858c2d9a3e_Enabled">
    <vt:lpwstr>true</vt:lpwstr>
  </property>
  <property fmtid="{D5CDD505-2E9C-101B-9397-08002B2CF9AE}" pid="3" name="MSIP_Label_a401b303-ecb1-4a9d-936a-70858c2d9a3e_SetDate">
    <vt:lpwstr>2025-01-17T11:01:33Z</vt:lpwstr>
  </property>
  <property fmtid="{D5CDD505-2E9C-101B-9397-08002B2CF9AE}" pid="4" name="MSIP_Label_a401b303-ecb1-4a9d-936a-70858c2d9a3e_Method">
    <vt:lpwstr>Privileged</vt:lpwstr>
  </property>
  <property fmtid="{D5CDD505-2E9C-101B-9397-08002B2CF9AE}" pid="5" name="MSIP_Label_a401b303-ecb1-4a9d-936a-70858c2d9a3e_Name">
    <vt:lpwstr>a401b303-ecb1-4a9d-936a-70858c2d9a3e</vt:lpwstr>
  </property>
  <property fmtid="{D5CDD505-2E9C-101B-9397-08002B2CF9AE}" pid="6" name="MSIP_Label_a401b303-ecb1-4a9d-936a-70858c2d9a3e_SiteId">
    <vt:lpwstr>c9a7d621-4bc4-4407-b730-f428e656aa9e</vt:lpwstr>
  </property>
  <property fmtid="{D5CDD505-2E9C-101B-9397-08002B2CF9AE}" pid="7" name="MSIP_Label_a401b303-ecb1-4a9d-936a-70858c2d9a3e_ActionId">
    <vt:lpwstr>d2b69e0c-77f8-4394-95b2-c89e0d333c20</vt:lpwstr>
  </property>
  <property fmtid="{D5CDD505-2E9C-101B-9397-08002B2CF9AE}" pid="8" name="MSIP_Label_a401b303-ecb1-4a9d-936a-70858c2d9a3e_ContentBits">
    <vt:lpwstr>0</vt:lpwstr>
  </property>
</Properties>
</file>