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3BB6DAD" w14:textId="565E2B32" w:rsidR="00AC651E" w:rsidRDefault="00B740DB" w:rsidP="00A060CB">
      <w:pPr>
        <w:jc w:val="both"/>
        <w:rPr>
          <w:rFonts w:cstheme="minorHAnsi"/>
          <w:b/>
          <w:bCs/>
          <w:color w:val="000000" w:themeColor="text1"/>
        </w:rPr>
      </w:pPr>
      <w:r>
        <w:rPr>
          <w:rFonts w:cstheme="minorHAnsi"/>
          <w:b/>
          <w:bCs/>
          <w:color w:val="000000" w:themeColor="text1"/>
        </w:rPr>
        <w:t xml:space="preserve"> </w:t>
      </w:r>
      <w:r w:rsidR="00BE407A">
        <w:rPr>
          <w:rFonts w:cstheme="minorHAnsi"/>
          <w:b/>
          <w:bCs/>
          <w:color w:val="000000" w:themeColor="text1"/>
        </w:rPr>
        <w:t>R</w:t>
      </w:r>
      <w:r w:rsidR="00A060CB" w:rsidRPr="00F64203">
        <w:rPr>
          <w:rFonts w:cstheme="minorHAnsi"/>
          <w:b/>
          <w:bCs/>
          <w:color w:val="000000" w:themeColor="text1"/>
        </w:rPr>
        <w:t xml:space="preserve">esponse to </w:t>
      </w:r>
      <w:r w:rsidR="00FF6B95" w:rsidRPr="00FF6B95">
        <w:rPr>
          <w:rFonts w:cstheme="minorHAnsi"/>
          <w:b/>
          <w:bCs/>
          <w:color w:val="000000" w:themeColor="text1"/>
        </w:rPr>
        <w:t>ESMA35-335435667-5979</w:t>
      </w:r>
      <w:r w:rsidR="00A060CB" w:rsidRPr="00F64203">
        <w:rPr>
          <w:rFonts w:cstheme="minorHAnsi"/>
          <w:b/>
          <w:bCs/>
          <w:color w:val="000000" w:themeColor="text1"/>
        </w:rPr>
        <w:t xml:space="preserve">: </w:t>
      </w:r>
    </w:p>
    <w:p w14:paraId="685209C9" w14:textId="3B4C2886" w:rsidR="00A060CB" w:rsidRPr="00EF60D4" w:rsidRDefault="00FF6B95" w:rsidP="009C5F4C">
      <w:pPr>
        <w:ind w:left="720"/>
        <w:jc w:val="both"/>
        <w:rPr>
          <w:rFonts w:cstheme="minorHAnsi"/>
          <w:b/>
          <w:bCs/>
          <w:color w:val="000000" w:themeColor="text1"/>
        </w:rPr>
      </w:pPr>
      <w:r w:rsidRPr="00FF6B95">
        <w:rPr>
          <w:b/>
          <w:bCs/>
        </w:rPr>
        <w:t>Draft technical Advice to the European Commission on the amendments to the research provisions in the MiFID II Delegated Directive in the context of the Listing Act</w:t>
      </w:r>
    </w:p>
    <w:p w14:paraId="2E4E485A" w14:textId="77777777" w:rsidR="00A060CB" w:rsidRPr="00D21FB3" w:rsidRDefault="00A060CB" w:rsidP="00A060CB">
      <w:pPr>
        <w:jc w:val="both"/>
        <w:rPr>
          <w:rFonts w:cstheme="minorHAnsi"/>
          <w:color w:val="000000" w:themeColor="text1"/>
        </w:rPr>
      </w:pPr>
      <w:r w:rsidRPr="00BE407A">
        <w:rPr>
          <w:rFonts w:cstheme="minorHAnsi"/>
          <w:b/>
          <w:bCs/>
          <w:color w:val="000000" w:themeColor="text1"/>
        </w:rPr>
        <w:t>From</w:t>
      </w:r>
      <w:r w:rsidRPr="00D21FB3">
        <w:rPr>
          <w:rFonts w:cstheme="minorHAnsi"/>
          <w:color w:val="000000" w:themeColor="text1"/>
        </w:rPr>
        <w:t xml:space="preserve"> Morningstar Inc.</w:t>
      </w:r>
    </w:p>
    <w:p w14:paraId="78182D48" w14:textId="52331110" w:rsidR="00A060CB" w:rsidRPr="00D21FB3" w:rsidRDefault="00A060CB" w:rsidP="00A060CB">
      <w:pPr>
        <w:jc w:val="both"/>
        <w:rPr>
          <w:rFonts w:cstheme="minorHAnsi"/>
          <w:color w:val="000000" w:themeColor="text1"/>
        </w:rPr>
      </w:pPr>
      <w:r w:rsidRPr="00BE407A">
        <w:rPr>
          <w:rFonts w:cstheme="minorHAnsi"/>
          <w:b/>
          <w:bCs/>
          <w:color w:val="000000" w:themeColor="text1"/>
        </w:rPr>
        <w:t xml:space="preserve">Submitted </w:t>
      </w:r>
      <w:r w:rsidR="002A0C58">
        <w:rPr>
          <w:rFonts w:cstheme="minorHAnsi"/>
          <w:b/>
          <w:bCs/>
          <w:color w:val="000000" w:themeColor="text1"/>
        </w:rPr>
        <w:t xml:space="preserve">online at </w:t>
      </w:r>
      <w:hyperlink r:id="rId8" w:history="1">
        <w:r w:rsidR="002A0C58" w:rsidRPr="009B6E83">
          <w:rPr>
            <w:rStyle w:val="Hyperlink"/>
            <w:rFonts w:cstheme="minorHAnsi"/>
            <w:b/>
            <w:bCs/>
          </w:rPr>
          <w:t>www.esma.europa.eu</w:t>
        </w:r>
      </w:hyperlink>
      <w:r w:rsidR="002A0C58">
        <w:rPr>
          <w:rFonts w:cstheme="minorHAnsi"/>
          <w:b/>
          <w:bCs/>
          <w:color w:val="000000" w:themeColor="text1"/>
        </w:rPr>
        <w:t xml:space="preserve"> </w:t>
      </w:r>
      <w:r w:rsidR="00D65CD6" w:rsidRPr="00D65CD6">
        <w:t xml:space="preserve"> </w:t>
      </w:r>
      <w:r w:rsidR="008725C7" w:rsidRPr="008725C7">
        <w:t>‘Your input - Consultations’.</w:t>
      </w:r>
    </w:p>
    <w:p w14:paraId="1AE0BB3C" w14:textId="3FEDD5C3" w:rsidR="008E1694" w:rsidRDefault="003C1B6D" w:rsidP="00A060CB">
      <w:pPr>
        <w:jc w:val="both"/>
        <w:rPr>
          <w:rFonts w:cstheme="minorHAnsi"/>
          <w:color w:val="000000" w:themeColor="text1"/>
        </w:rPr>
      </w:pPr>
      <w:r w:rsidRPr="003C1B6D">
        <w:rPr>
          <w:rFonts w:cstheme="minorHAnsi"/>
          <w:b/>
          <w:bCs/>
          <w:color w:val="000000" w:themeColor="text1"/>
        </w:rPr>
        <w:t>Date</w:t>
      </w:r>
      <w:r>
        <w:rPr>
          <w:rFonts w:cstheme="minorHAnsi"/>
          <w:color w:val="000000" w:themeColor="text1"/>
        </w:rPr>
        <w:t xml:space="preserve"> </w:t>
      </w:r>
      <w:r w:rsidR="00FF6B95">
        <w:rPr>
          <w:rFonts w:cstheme="minorHAnsi"/>
          <w:color w:val="000000" w:themeColor="text1"/>
        </w:rPr>
        <w:t>28</w:t>
      </w:r>
      <w:r w:rsidR="00FF6B95" w:rsidRPr="00FF6B95">
        <w:rPr>
          <w:rFonts w:cstheme="minorHAnsi"/>
          <w:color w:val="000000" w:themeColor="text1"/>
          <w:vertAlign w:val="superscript"/>
        </w:rPr>
        <w:t>th</w:t>
      </w:r>
      <w:r w:rsidR="00FF6B95">
        <w:rPr>
          <w:rFonts w:cstheme="minorHAnsi"/>
          <w:color w:val="000000" w:themeColor="text1"/>
        </w:rPr>
        <w:t xml:space="preserve"> January 2025</w:t>
      </w:r>
    </w:p>
    <w:p w14:paraId="30AD60A8" w14:textId="11879EB8" w:rsidR="00A060CB" w:rsidRPr="00D21FB3" w:rsidRDefault="00A060CB" w:rsidP="00A060CB">
      <w:pPr>
        <w:jc w:val="both"/>
        <w:rPr>
          <w:rFonts w:cstheme="minorHAnsi"/>
          <w:color w:val="000000" w:themeColor="text1"/>
        </w:rPr>
      </w:pPr>
      <w:r w:rsidRPr="00D21FB3">
        <w:rPr>
          <w:rFonts w:cstheme="minorHAnsi"/>
          <w:color w:val="000000" w:themeColor="text1"/>
        </w:rPr>
        <w:t>Dear Ladies and Gentlemen</w:t>
      </w:r>
      <w:r w:rsidR="002F3D05">
        <w:rPr>
          <w:rFonts w:cstheme="minorHAnsi"/>
          <w:color w:val="000000" w:themeColor="text1"/>
        </w:rPr>
        <w:t>,</w:t>
      </w:r>
    </w:p>
    <w:p w14:paraId="45173555" w14:textId="4F318CAA" w:rsidR="00324955" w:rsidRDefault="00A060CB" w:rsidP="00A060CB">
      <w:pPr>
        <w:jc w:val="both"/>
        <w:rPr>
          <w:rFonts w:cstheme="minorHAnsi"/>
          <w:color w:val="000000" w:themeColor="text1"/>
        </w:rPr>
      </w:pPr>
      <w:r w:rsidRPr="00D21FB3">
        <w:rPr>
          <w:rFonts w:cstheme="minorHAnsi"/>
          <w:color w:val="000000" w:themeColor="text1"/>
        </w:rPr>
        <w:t>Morningstar</w:t>
      </w:r>
      <w:r w:rsidR="00FD6504">
        <w:rPr>
          <w:rFonts w:cstheme="minorHAnsi"/>
          <w:color w:val="000000" w:themeColor="text1"/>
        </w:rPr>
        <w:t xml:space="preserve"> </w:t>
      </w:r>
      <w:r w:rsidRPr="00D21FB3">
        <w:rPr>
          <w:rFonts w:cstheme="minorHAnsi"/>
          <w:color w:val="000000" w:themeColor="text1"/>
        </w:rPr>
        <w:t xml:space="preserve">welcomes the opportunity to comment on </w:t>
      </w:r>
      <w:r w:rsidR="009060FE">
        <w:rPr>
          <w:rFonts w:cstheme="minorHAnsi"/>
          <w:color w:val="000000" w:themeColor="text1"/>
        </w:rPr>
        <w:t xml:space="preserve">the important issues tackled in </w:t>
      </w:r>
      <w:r w:rsidR="00FF6B95">
        <w:rPr>
          <w:rFonts w:cstheme="minorHAnsi"/>
          <w:color w:val="000000" w:themeColor="text1"/>
        </w:rPr>
        <w:t>ESMA’s</w:t>
      </w:r>
      <w:r w:rsidR="00CF219C">
        <w:rPr>
          <w:rFonts w:cstheme="minorHAnsi"/>
          <w:color w:val="000000" w:themeColor="text1"/>
        </w:rPr>
        <w:t xml:space="preserve"> paper.</w:t>
      </w:r>
    </w:p>
    <w:p w14:paraId="31645A19" w14:textId="54926087" w:rsidR="00696231" w:rsidRDefault="0019175A" w:rsidP="00D65CD6">
      <w:pPr>
        <w:jc w:val="both"/>
        <w:rPr>
          <w:rFonts w:cstheme="minorHAnsi"/>
          <w:color w:val="000000" w:themeColor="text1"/>
        </w:rPr>
      </w:pPr>
      <w:r w:rsidRPr="0019175A">
        <w:rPr>
          <w:lang w:val="en-US"/>
        </w:rPr>
        <w:t>Morningstar is a leading provider of independent investment research, with a long history of advocating for transparency in global markets and brings several perspectives to the proposed rule</w:t>
      </w:r>
      <w:r w:rsidR="00424224">
        <w:rPr>
          <w:lang w:val="en-US"/>
        </w:rPr>
        <w:t>s</w:t>
      </w:r>
      <w:r w:rsidRPr="0019175A">
        <w:rPr>
          <w:lang w:val="en-US"/>
        </w:rPr>
        <w:t>. Morningstar’s mission is to help investors reach their financial goals by providing them and their advisors with rigorously researched analysis and insights</w:t>
      </w:r>
      <w:r w:rsidR="00424224">
        <w:rPr>
          <w:lang w:val="en-US"/>
        </w:rPr>
        <w:t>.</w:t>
      </w:r>
      <w:r w:rsidR="00E80D33">
        <w:rPr>
          <w:rFonts w:cstheme="minorHAnsi"/>
          <w:color w:val="000000" w:themeColor="text1"/>
        </w:rPr>
        <w:t xml:space="preserve"> </w:t>
      </w:r>
      <w:r w:rsidR="00A060CB" w:rsidRPr="00D21FB3">
        <w:rPr>
          <w:rFonts w:cstheme="minorHAnsi"/>
          <w:color w:val="000000" w:themeColor="text1"/>
        </w:rPr>
        <w:t>This letter contains</w:t>
      </w:r>
      <w:r w:rsidR="009E12F3">
        <w:rPr>
          <w:rFonts w:cstheme="minorHAnsi"/>
          <w:color w:val="000000" w:themeColor="text1"/>
        </w:rPr>
        <w:t xml:space="preserve"> </w:t>
      </w:r>
      <w:r w:rsidR="00A060CB" w:rsidRPr="00D21FB3">
        <w:rPr>
          <w:rFonts w:cstheme="minorHAnsi"/>
          <w:color w:val="000000" w:themeColor="text1"/>
        </w:rPr>
        <w:t xml:space="preserve">a summary of our views </w:t>
      </w:r>
      <w:r w:rsidR="00B26DE8">
        <w:rPr>
          <w:rFonts w:cstheme="minorHAnsi"/>
          <w:color w:val="000000" w:themeColor="text1"/>
        </w:rPr>
        <w:t xml:space="preserve">together with specific responses </w:t>
      </w:r>
      <w:r w:rsidR="00F078A5">
        <w:rPr>
          <w:rFonts w:cstheme="minorHAnsi"/>
          <w:color w:val="000000" w:themeColor="text1"/>
        </w:rPr>
        <w:t>to individual</w:t>
      </w:r>
      <w:r w:rsidR="00A060CB" w:rsidRPr="00D21FB3">
        <w:rPr>
          <w:rFonts w:cstheme="minorHAnsi"/>
          <w:color w:val="000000" w:themeColor="text1"/>
        </w:rPr>
        <w:t xml:space="preserve"> questions posed in the consultation paper.</w:t>
      </w:r>
    </w:p>
    <w:p w14:paraId="6808CBF9" w14:textId="5386AB52" w:rsidR="00CB6096" w:rsidRDefault="00E5320C" w:rsidP="00D30585">
      <w:pPr>
        <w:rPr>
          <w:lang w:val="en-US"/>
        </w:rPr>
      </w:pPr>
      <w:r>
        <w:rPr>
          <w:lang w:val="en-US"/>
        </w:rPr>
        <w:t xml:space="preserve">Overall, </w:t>
      </w:r>
      <w:r w:rsidR="007444F7" w:rsidRPr="00897A00">
        <w:rPr>
          <w:lang w:val="en-US"/>
        </w:rPr>
        <w:t xml:space="preserve">Morningstar </w:t>
      </w:r>
      <w:r w:rsidR="00C54AD3">
        <w:rPr>
          <w:lang w:val="en-US"/>
        </w:rPr>
        <w:t xml:space="preserve">is supportive of the proposals to expand </w:t>
      </w:r>
      <w:r w:rsidR="00181F1C">
        <w:rPr>
          <w:lang w:val="en-US"/>
        </w:rPr>
        <w:t xml:space="preserve">the options available </w:t>
      </w:r>
      <w:r w:rsidR="00791AC4">
        <w:rPr>
          <w:lang w:val="en-US"/>
        </w:rPr>
        <w:t>for payment in respect of research.</w:t>
      </w:r>
      <w:r w:rsidR="00AB1238">
        <w:rPr>
          <w:lang w:val="en-US"/>
        </w:rPr>
        <w:t xml:space="preserve"> Firstly, the change will </w:t>
      </w:r>
      <w:r w:rsidR="00261CA7">
        <w:rPr>
          <w:lang w:val="en-US"/>
        </w:rPr>
        <w:t xml:space="preserve">create an environment that allows for more consistency for </w:t>
      </w:r>
      <w:r w:rsidR="000E3E9F">
        <w:rPr>
          <w:lang w:val="en-US"/>
        </w:rPr>
        <w:t>those buy-side firms consuming both U.S. and U.K. research. Secondly, while it is unknown how many firms might</w:t>
      </w:r>
      <w:r w:rsidR="00E32BDE">
        <w:rPr>
          <w:lang w:val="en-US"/>
        </w:rPr>
        <w:t xml:space="preserve"> avail themselves of the re-introduced </w:t>
      </w:r>
      <w:r w:rsidR="006136F9">
        <w:rPr>
          <w:lang w:val="en-US"/>
        </w:rPr>
        <w:t>bundled</w:t>
      </w:r>
      <w:r w:rsidR="00EB6F8E">
        <w:rPr>
          <w:lang w:val="en-US"/>
        </w:rPr>
        <w:t>-</w:t>
      </w:r>
      <w:r w:rsidR="00E32BDE">
        <w:rPr>
          <w:lang w:val="en-US"/>
        </w:rPr>
        <w:t xml:space="preserve">payment option, </w:t>
      </w:r>
      <w:r w:rsidR="008A070E">
        <w:rPr>
          <w:lang w:val="en-US"/>
        </w:rPr>
        <w:t xml:space="preserve">any large or early adopters may create momentum in this regard. Thirdly, </w:t>
      </w:r>
      <w:r w:rsidR="007E26DC">
        <w:rPr>
          <w:lang w:val="en-US"/>
        </w:rPr>
        <w:t xml:space="preserve">it will potentially </w:t>
      </w:r>
      <w:r w:rsidR="00606A21">
        <w:rPr>
          <w:lang w:val="en-US"/>
        </w:rPr>
        <w:t xml:space="preserve">stem the </w:t>
      </w:r>
      <w:r w:rsidR="005E58D9">
        <w:rPr>
          <w:lang w:val="en-US"/>
        </w:rPr>
        <w:t xml:space="preserve">reduction in research coverage that has been seen alongside </w:t>
      </w:r>
      <w:r w:rsidR="005C0B45">
        <w:rPr>
          <w:lang w:val="en-US"/>
        </w:rPr>
        <w:t>the price compression that has been seen since the MiFID changes were introduced</w:t>
      </w:r>
      <w:r w:rsidR="00523782">
        <w:rPr>
          <w:lang w:val="en-US"/>
        </w:rPr>
        <w:t>.</w:t>
      </w:r>
    </w:p>
    <w:p w14:paraId="2F38B9BC" w14:textId="39FEBF1A" w:rsidR="00EB6F8E" w:rsidRDefault="00EB6F8E" w:rsidP="00D30585">
      <w:pPr>
        <w:rPr>
          <w:lang w:val="en-US"/>
        </w:rPr>
      </w:pPr>
      <w:r>
        <w:t xml:space="preserve">That said, it is vital that </w:t>
      </w:r>
      <w:r w:rsidRPr="00EB6F8E">
        <w:t>a</w:t>
      </w:r>
      <w:r w:rsidRPr="00EB6F8E">
        <w:rPr>
          <w:lang w:val="en-US"/>
        </w:rPr>
        <w:t xml:space="preserve"> level playing field exists across providers and </w:t>
      </w:r>
      <w:r w:rsidR="00DC0990">
        <w:rPr>
          <w:lang w:val="en-US"/>
        </w:rPr>
        <w:t xml:space="preserve">which </w:t>
      </w:r>
      <w:r w:rsidRPr="00EB6F8E">
        <w:rPr>
          <w:lang w:val="en-US"/>
        </w:rPr>
        <w:t>recognizes the value of independent research. Independent research is an essential component of a diverse and effective investment ecosystem, offering unique perspectives and enhancing decision-making for asset managers. To sustain the availability and quality of independent research, it is imperative that these providers are adequately compensated for their contributions.</w:t>
      </w:r>
    </w:p>
    <w:p w14:paraId="691E7499" w14:textId="52408BCE" w:rsidR="0046304E" w:rsidRPr="00EB6F8E" w:rsidRDefault="0046304E" w:rsidP="00D30585">
      <w:pPr>
        <w:rPr>
          <w:lang w:val="en-US"/>
        </w:rPr>
      </w:pPr>
      <w:r w:rsidRPr="0046304E">
        <w:rPr>
          <w:lang w:val="en-US"/>
        </w:rPr>
        <w:t>Importantly, the framework should ensure that not only brokers with execution desks but also independent research providers are eligible for fair remuneration. Clear provisions enabling asset managers to engage and pay independent research providers will foster competition, drive innovation, and ultimately benefit end investors by promoting a more dynamic and informed market.</w:t>
      </w:r>
    </w:p>
    <w:p w14:paraId="64206084" w14:textId="0211DD57" w:rsidR="00967028" w:rsidRDefault="000D580F" w:rsidP="00D30585">
      <w:pPr>
        <w:rPr>
          <w:lang w:val="en-US"/>
        </w:rPr>
      </w:pPr>
      <w:r>
        <w:rPr>
          <w:lang w:val="en-US"/>
        </w:rPr>
        <w:t>Below, w</w:t>
      </w:r>
      <w:r w:rsidR="00B1167B">
        <w:rPr>
          <w:lang w:val="en-US"/>
        </w:rPr>
        <w:t xml:space="preserve">e provide further responses in relation to specific questions posed in the </w:t>
      </w:r>
      <w:r>
        <w:rPr>
          <w:lang w:val="en-US"/>
        </w:rPr>
        <w:t>consultation paper.</w:t>
      </w:r>
    </w:p>
    <w:p w14:paraId="0E54011F" w14:textId="2BD8E815" w:rsidR="008E6041" w:rsidRDefault="005D6CB8" w:rsidP="00D30585">
      <w:pPr>
        <w:spacing w:line="252" w:lineRule="auto"/>
        <w:jc w:val="both"/>
      </w:pPr>
      <w:r>
        <w:rPr>
          <w:lang w:val="en-US"/>
        </w:rPr>
        <w:t>We hope our responses are helpful and will</w:t>
      </w:r>
      <w:r w:rsidR="0025052D">
        <w:rPr>
          <w:lang w:val="en-US"/>
        </w:rPr>
        <w:t xml:space="preserve"> </w:t>
      </w:r>
      <w:r w:rsidR="00D0739A">
        <w:rPr>
          <w:lang w:val="en-US"/>
        </w:rPr>
        <w:t xml:space="preserve">be happy to </w:t>
      </w:r>
      <w:r w:rsidR="00E45B76">
        <w:rPr>
          <w:lang w:val="en-US"/>
        </w:rPr>
        <w:t xml:space="preserve">answer </w:t>
      </w:r>
      <w:r w:rsidR="005A3204">
        <w:rPr>
          <w:lang w:val="en-US"/>
        </w:rPr>
        <w:t>further questions</w:t>
      </w:r>
      <w:r w:rsidR="00AC651E">
        <w:rPr>
          <w:lang w:val="en-US"/>
        </w:rPr>
        <w:t xml:space="preserve"> or</w:t>
      </w:r>
      <w:r w:rsidR="005A3204">
        <w:rPr>
          <w:lang w:val="en-US"/>
        </w:rPr>
        <w:t xml:space="preserve"> provide more information</w:t>
      </w:r>
      <w:r w:rsidR="00AC651E">
        <w:rPr>
          <w:lang w:val="en-US"/>
        </w:rPr>
        <w:t>.</w:t>
      </w:r>
    </w:p>
    <w:p w14:paraId="09446ADF" w14:textId="0F36DBE0" w:rsidR="002C6F80" w:rsidRDefault="002C6F80" w:rsidP="00D84361">
      <w:pPr>
        <w:spacing w:line="252" w:lineRule="auto"/>
        <w:jc w:val="both"/>
      </w:pPr>
      <w:r>
        <w:t>Yours faithfully,</w:t>
      </w:r>
    </w:p>
    <w:p w14:paraId="2B555A79" w14:textId="59C9DA6B" w:rsidR="002C6F80" w:rsidRDefault="00C265CC" w:rsidP="00D84361">
      <w:pPr>
        <w:spacing w:line="252" w:lineRule="auto"/>
        <w:jc w:val="both"/>
      </w:pPr>
      <w:r>
        <w:t>Luigi La</w:t>
      </w:r>
      <w:r w:rsidR="00305159">
        <w:t>z</w:t>
      </w:r>
      <w:r>
        <w:t xml:space="preserve">zini, </w:t>
      </w:r>
      <w:r w:rsidR="00305159">
        <w:t>Director, Equity Research Sales</w:t>
      </w:r>
      <w:r w:rsidR="00D30585">
        <w:t xml:space="preserve"> [Luigi.lazzini@morningstar.com]</w:t>
      </w:r>
    </w:p>
    <w:p w14:paraId="37999447" w14:textId="55DFA2A8" w:rsidR="00967028" w:rsidRDefault="002C6F80" w:rsidP="00924B41">
      <w:pPr>
        <w:spacing w:line="252" w:lineRule="auto"/>
        <w:jc w:val="both"/>
        <w:rPr>
          <w:b/>
          <w:bCs/>
        </w:rPr>
      </w:pPr>
      <w:r>
        <w:t>Andy Pettit, Director, Policy Research (EMEA)</w:t>
      </w:r>
      <w:r w:rsidR="001F265D">
        <w:t xml:space="preserve"> [andy.pettit@morningstar.com]</w:t>
      </w:r>
      <w:r w:rsidR="00967028">
        <w:rPr>
          <w:b/>
          <w:bCs/>
        </w:rPr>
        <w:br w:type="page"/>
      </w:r>
    </w:p>
    <w:p w14:paraId="255F1076" w14:textId="09425769" w:rsidR="00D24674" w:rsidRDefault="00D24674" w:rsidP="00576FE9">
      <w:pPr>
        <w:jc w:val="both"/>
        <w:rPr>
          <w:b/>
          <w:bCs/>
        </w:rPr>
      </w:pPr>
      <w:r>
        <w:rPr>
          <w:b/>
          <w:bCs/>
        </w:rPr>
        <w:lastRenderedPageBreak/>
        <w:t xml:space="preserve">Responses to </w:t>
      </w:r>
      <w:r w:rsidR="008725C7">
        <w:rPr>
          <w:b/>
          <w:bCs/>
        </w:rPr>
        <w:t>ESMA</w:t>
      </w:r>
      <w:r>
        <w:rPr>
          <w:b/>
          <w:bCs/>
        </w:rPr>
        <w:t xml:space="preserve"> Questions</w:t>
      </w:r>
    </w:p>
    <w:p w14:paraId="087CDD31" w14:textId="77777777" w:rsidR="002E3125" w:rsidRDefault="002E3125" w:rsidP="00576FE9">
      <w:pPr>
        <w:jc w:val="both"/>
      </w:pPr>
      <w:r w:rsidRPr="002E3125">
        <w:t xml:space="preserve">Question 1: Do you agree with the proposed approach? Or would you prefer a more or less detailed approach? Please state the reasons for your answer. </w:t>
      </w:r>
    </w:p>
    <w:p w14:paraId="0CFCCB94" w14:textId="77777777" w:rsidR="009521D5" w:rsidRPr="009521D5" w:rsidRDefault="009521D5" w:rsidP="009521D5">
      <w:pPr>
        <w:jc w:val="both"/>
        <w:rPr>
          <w:b/>
          <w:bCs/>
        </w:rPr>
      </w:pPr>
      <w:r w:rsidRPr="009521D5">
        <w:rPr>
          <w:b/>
          <w:bCs/>
        </w:rPr>
        <w:t>Maintaining the original objectives of MiFID II’s unbundling rules—namely, achieving transparency in research costs and minimizing conflicts of interest—remains of paramount importance.</w:t>
      </w:r>
    </w:p>
    <w:p w14:paraId="358DAA1F" w14:textId="6F0F93B5" w:rsidR="000F77F7" w:rsidRDefault="009521D5" w:rsidP="009521D5">
      <w:pPr>
        <w:jc w:val="both"/>
        <w:rPr>
          <w:b/>
          <w:bCs/>
          <w:lang w:val="en-US"/>
        </w:rPr>
      </w:pPr>
      <w:r w:rsidRPr="009521D5">
        <w:rPr>
          <w:b/>
          <w:bCs/>
        </w:rPr>
        <w:t xml:space="preserve">It is crucial to ensure that </w:t>
      </w:r>
      <w:r w:rsidR="00445140">
        <w:rPr>
          <w:b/>
          <w:bCs/>
        </w:rPr>
        <w:t xml:space="preserve">(a) </w:t>
      </w:r>
      <w:r w:rsidRPr="009521D5">
        <w:rPr>
          <w:b/>
          <w:bCs/>
        </w:rPr>
        <w:t>research is not utilized as an inducement to trade or to procure other banking services</w:t>
      </w:r>
      <w:r w:rsidR="00445140">
        <w:rPr>
          <w:b/>
          <w:bCs/>
        </w:rPr>
        <w:t xml:space="preserve"> and (b)</w:t>
      </w:r>
      <w:r w:rsidR="001B5AF0">
        <w:rPr>
          <w:b/>
          <w:bCs/>
        </w:rPr>
        <w:t xml:space="preserve"> a</w:t>
      </w:r>
      <w:r w:rsidR="00445140" w:rsidRPr="00445140">
        <w:rPr>
          <w:b/>
          <w:bCs/>
          <w:lang w:val="en-US"/>
        </w:rPr>
        <w:t xml:space="preserve"> level playing field </w:t>
      </w:r>
      <w:r w:rsidR="001B5AF0">
        <w:rPr>
          <w:b/>
          <w:bCs/>
          <w:lang w:val="en-US"/>
        </w:rPr>
        <w:t>exists across providers</w:t>
      </w:r>
      <w:r w:rsidR="006136F9">
        <w:rPr>
          <w:b/>
          <w:bCs/>
          <w:lang w:val="en-US"/>
        </w:rPr>
        <w:t xml:space="preserve"> and</w:t>
      </w:r>
      <w:r w:rsidR="00445140" w:rsidRPr="00445140">
        <w:rPr>
          <w:b/>
          <w:bCs/>
          <w:lang w:val="en-US"/>
        </w:rPr>
        <w:t xml:space="preserve"> recognizes the value of independent research. Independent research is an essential component of a diverse and effective investment ecosystem, offering unique perspectives and enhancing decision-making for asset managers. To sustain the availability and quality of independent research, it is imperative that these providers are adequately compensated for their contributions.</w:t>
      </w:r>
    </w:p>
    <w:p w14:paraId="60E28029" w14:textId="2878A5CB" w:rsidR="00F84AD9" w:rsidRPr="00F84AD9" w:rsidRDefault="00F84AD9" w:rsidP="00F84AD9">
      <w:pPr>
        <w:jc w:val="both"/>
        <w:rPr>
          <w:b/>
          <w:bCs/>
          <w:lang w:val="en-US"/>
        </w:rPr>
      </w:pPr>
      <w:r w:rsidRPr="00F84AD9">
        <w:rPr>
          <w:b/>
          <w:bCs/>
          <w:lang w:val="en-US"/>
        </w:rPr>
        <w:t xml:space="preserve">In order to be effective, we highly recommend clear guidelines for this payment option and making sure that there will be no impediment that would cause any research providers (even those without trading facilities) to be excluded from such payment option. </w:t>
      </w:r>
      <w:r w:rsidR="00E25C3B">
        <w:rPr>
          <w:b/>
          <w:bCs/>
          <w:lang w:val="en-US"/>
        </w:rPr>
        <w:t xml:space="preserve">Further, </w:t>
      </w:r>
      <w:r w:rsidR="00E25C3B" w:rsidRPr="00AB7B86">
        <w:rPr>
          <w:b/>
          <w:bCs/>
        </w:rPr>
        <w:t xml:space="preserve">a </w:t>
      </w:r>
      <w:r w:rsidR="00894697">
        <w:rPr>
          <w:b/>
          <w:bCs/>
        </w:rPr>
        <w:t>framework</w:t>
      </w:r>
      <w:r w:rsidR="00C514A1">
        <w:rPr>
          <w:b/>
          <w:bCs/>
        </w:rPr>
        <w:t xml:space="preserve"> which facilitates </w:t>
      </w:r>
      <w:r w:rsidR="00E25C3B" w:rsidRPr="00AB7B86">
        <w:rPr>
          <w:b/>
          <w:bCs/>
        </w:rPr>
        <w:t>more consistent research payment approach</w:t>
      </w:r>
      <w:r w:rsidR="00C514A1">
        <w:rPr>
          <w:b/>
          <w:bCs/>
        </w:rPr>
        <w:t>es</w:t>
      </w:r>
      <w:r w:rsidR="00E25C3B" w:rsidRPr="00AB7B86">
        <w:rPr>
          <w:b/>
          <w:bCs/>
        </w:rPr>
        <w:t xml:space="preserve"> internationally</w:t>
      </w:r>
      <w:r w:rsidR="00C514A1">
        <w:rPr>
          <w:b/>
          <w:bCs/>
        </w:rPr>
        <w:t xml:space="preserve">, while </w:t>
      </w:r>
      <w:r w:rsidR="002243C4">
        <w:rPr>
          <w:b/>
          <w:bCs/>
        </w:rPr>
        <w:t>preserving the aims of MiFID II</w:t>
      </w:r>
      <w:r w:rsidR="009C3A76">
        <w:rPr>
          <w:b/>
          <w:bCs/>
        </w:rPr>
        <w:t>, can</w:t>
      </w:r>
      <w:r w:rsidR="00E25C3B" w:rsidRPr="00AB7B86">
        <w:rPr>
          <w:b/>
          <w:bCs/>
        </w:rPr>
        <w:t xml:space="preserve"> be of help for asset managers with global operations.</w:t>
      </w:r>
    </w:p>
    <w:p w14:paraId="65CA366F" w14:textId="21397D6E" w:rsidR="009521D5" w:rsidRPr="009521D5" w:rsidRDefault="009521D5" w:rsidP="009521D5">
      <w:pPr>
        <w:jc w:val="both"/>
        <w:rPr>
          <w:b/>
          <w:bCs/>
        </w:rPr>
      </w:pPr>
      <w:r w:rsidRPr="009521D5">
        <w:rPr>
          <w:b/>
          <w:bCs/>
        </w:rPr>
        <w:t>To prevent conflicts of interest, appropriate levels of disclosure must be implemented. However, these disclosures should not create obstacles to switching between research providers. We are concerned that the emphasis on managing inducement risks appears to have been diminished in the revised text compared to the previous version.</w:t>
      </w:r>
    </w:p>
    <w:p w14:paraId="46564598" w14:textId="77777777" w:rsidR="002E3125" w:rsidRDefault="002E3125" w:rsidP="00576FE9">
      <w:pPr>
        <w:jc w:val="both"/>
      </w:pPr>
      <w:r w:rsidRPr="002E3125">
        <w:t xml:space="preserve">Question 2: Do you agree with the introduction of new paragraph 1b in Article 13 of Commission Delegated Directive (EU) 2017/593? Please explain why. </w:t>
      </w:r>
    </w:p>
    <w:p w14:paraId="29179E27" w14:textId="6B29E8A7" w:rsidR="002E3125" w:rsidRDefault="005A64EF" w:rsidP="00576FE9">
      <w:pPr>
        <w:jc w:val="both"/>
        <w:rPr>
          <w:b/>
          <w:bCs/>
        </w:rPr>
      </w:pPr>
      <w:r>
        <w:rPr>
          <w:b/>
          <w:bCs/>
        </w:rPr>
        <w:t xml:space="preserve">In principle, </w:t>
      </w:r>
      <w:r w:rsidR="00F22807" w:rsidRPr="000214C6">
        <w:rPr>
          <w:b/>
          <w:bCs/>
        </w:rPr>
        <w:t xml:space="preserve">Morningstar is supportive of the concept </w:t>
      </w:r>
      <w:r w:rsidR="000214C6" w:rsidRPr="000214C6">
        <w:rPr>
          <w:b/>
          <w:bCs/>
        </w:rPr>
        <w:t>of research comparisons</w:t>
      </w:r>
      <w:r>
        <w:rPr>
          <w:b/>
          <w:bCs/>
        </w:rPr>
        <w:t>. In practice</w:t>
      </w:r>
      <w:r w:rsidR="00B26209">
        <w:rPr>
          <w:b/>
          <w:bCs/>
        </w:rPr>
        <w:t xml:space="preserve">, </w:t>
      </w:r>
      <w:r w:rsidR="00220392">
        <w:rPr>
          <w:b/>
          <w:bCs/>
        </w:rPr>
        <w:t xml:space="preserve">it is challenging </w:t>
      </w:r>
      <w:r w:rsidR="00B26209">
        <w:rPr>
          <w:b/>
          <w:bCs/>
        </w:rPr>
        <w:t xml:space="preserve">to </w:t>
      </w:r>
      <w:r w:rsidR="00B9262C">
        <w:rPr>
          <w:b/>
          <w:bCs/>
        </w:rPr>
        <w:t>develop</w:t>
      </w:r>
      <w:r w:rsidR="00A63EE1">
        <w:rPr>
          <w:b/>
          <w:bCs/>
        </w:rPr>
        <w:t xml:space="preserve"> </w:t>
      </w:r>
      <w:r w:rsidR="00B26209">
        <w:rPr>
          <w:b/>
          <w:bCs/>
        </w:rPr>
        <w:t xml:space="preserve">meaningful </w:t>
      </w:r>
      <w:r w:rsidR="001F5C49">
        <w:rPr>
          <w:b/>
          <w:bCs/>
        </w:rPr>
        <w:t xml:space="preserve">and consistent </w:t>
      </w:r>
      <w:r w:rsidR="00A63EE1">
        <w:rPr>
          <w:b/>
          <w:bCs/>
        </w:rPr>
        <w:t>measures</w:t>
      </w:r>
      <w:r w:rsidR="00E97D0F">
        <w:rPr>
          <w:b/>
          <w:bCs/>
        </w:rPr>
        <w:t xml:space="preserve"> across </w:t>
      </w:r>
      <w:r w:rsidR="001E3124">
        <w:rPr>
          <w:b/>
          <w:bCs/>
        </w:rPr>
        <w:t>a range of important factors.</w:t>
      </w:r>
    </w:p>
    <w:p w14:paraId="7A1F1D6C" w14:textId="19F7ACD1" w:rsidR="00C3523F" w:rsidRPr="00C3523F" w:rsidRDefault="004D54FF" w:rsidP="00C3523F">
      <w:pPr>
        <w:jc w:val="both"/>
        <w:rPr>
          <w:b/>
          <w:bCs/>
        </w:rPr>
      </w:pPr>
      <w:r>
        <w:rPr>
          <w:b/>
          <w:bCs/>
        </w:rPr>
        <w:t>While m</w:t>
      </w:r>
      <w:r w:rsidR="00C3523F" w:rsidRPr="00C3523F">
        <w:rPr>
          <w:b/>
          <w:bCs/>
        </w:rPr>
        <w:t xml:space="preserve">etrics </w:t>
      </w:r>
      <w:r w:rsidR="005B4967">
        <w:rPr>
          <w:b/>
          <w:bCs/>
        </w:rPr>
        <w:t>can be established to monitor the</w:t>
      </w:r>
      <w:r w:rsidR="00C3523F" w:rsidRPr="00C3523F">
        <w:rPr>
          <w:b/>
          <w:bCs/>
        </w:rPr>
        <w:t xml:space="preserve"> performance of ratings</w:t>
      </w:r>
      <w:r w:rsidR="00720108">
        <w:rPr>
          <w:b/>
          <w:bCs/>
        </w:rPr>
        <w:t xml:space="preserve"> and </w:t>
      </w:r>
      <w:r w:rsidR="00C3523F" w:rsidRPr="00C3523F">
        <w:rPr>
          <w:b/>
          <w:bCs/>
        </w:rPr>
        <w:t>the</w:t>
      </w:r>
      <w:r w:rsidR="00720108">
        <w:rPr>
          <w:b/>
          <w:bCs/>
        </w:rPr>
        <w:t>ir</w:t>
      </w:r>
      <w:r w:rsidR="00C3523F" w:rsidRPr="00C3523F">
        <w:rPr>
          <w:b/>
          <w:bCs/>
        </w:rPr>
        <w:t xml:space="preserve"> predictive accuracy</w:t>
      </w:r>
      <w:r w:rsidR="00F618F3">
        <w:rPr>
          <w:b/>
          <w:bCs/>
        </w:rPr>
        <w:t>, o</w:t>
      </w:r>
      <w:r w:rsidR="00713669">
        <w:rPr>
          <w:b/>
          <w:bCs/>
        </w:rPr>
        <w:t>ther factors</w:t>
      </w:r>
      <w:r w:rsidR="00EF31FA">
        <w:rPr>
          <w:b/>
          <w:bCs/>
        </w:rPr>
        <w:t xml:space="preserve"> </w:t>
      </w:r>
      <w:r w:rsidR="004545DA">
        <w:rPr>
          <w:b/>
          <w:bCs/>
        </w:rPr>
        <w:t>beyond volume</w:t>
      </w:r>
      <w:r w:rsidR="00713669">
        <w:rPr>
          <w:b/>
          <w:bCs/>
        </w:rPr>
        <w:t xml:space="preserve">, </w:t>
      </w:r>
      <w:r w:rsidR="00B84555">
        <w:rPr>
          <w:b/>
          <w:bCs/>
        </w:rPr>
        <w:t xml:space="preserve">such as </w:t>
      </w:r>
      <w:r w:rsidR="006F2951">
        <w:rPr>
          <w:b/>
          <w:bCs/>
        </w:rPr>
        <w:t xml:space="preserve">quality and </w:t>
      </w:r>
      <w:r w:rsidR="00B84555">
        <w:rPr>
          <w:b/>
          <w:bCs/>
        </w:rPr>
        <w:t xml:space="preserve">availability of </w:t>
      </w:r>
      <w:r w:rsidR="00662113">
        <w:rPr>
          <w:b/>
          <w:bCs/>
        </w:rPr>
        <w:t xml:space="preserve">timely </w:t>
      </w:r>
      <w:r w:rsidR="00B84555">
        <w:rPr>
          <w:b/>
          <w:bCs/>
        </w:rPr>
        <w:t xml:space="preserve">research during </w:t>
      </w:r>
      <w:r w:rsidR="006655FB">
        <w:rPr>
          <w:b/>
          <w:bCs/>
        </w:rPr>
        <w:t>times of market turbulence</w:t>
      </w:r>
      <w:r w:rsidR="00544743">
        <w:rPr>
          <w:b/>
          <w:bCs/>
        </w:rPr>
        <w:t xml:space="preserve"> are also important</w:t>
      </w:r>
      <w:r w:rsidR="00D10012">
        <w:rPr>
          <w:b/>
          <w:bCs/>
        </w:rPr>
        <w:t>. I</w:t>
      </w:r>
      <w:r w:rsidR="00544743">
        <w:rPr>
          <w:b/>
          <w:bCs/>
        </w:rPr>
        <w:t xml:space="preserve">n this regard it is important that the nature of the research provider, i.e. independent or </w:t>
      </w:r>
      <w:r w:rsidR="00B32E9A">
        <w:rPr>
          <w:b/>
          <w:bCs/>
        </w:rPr>
        <w:t xml:space="preserve">broker/ investment bank, </w:t>
      </w:r>
      <w:r w:rsidR="00713669">
        <w:rPr>
          <w:b/>
          <w:bCs/>
        </w:rPr>
        <w:t xml:space="preserve">is indicated, </w:t>
      </w:r>
      <w:r w:rsidR="009363B4">
        <w:rPr>
          <w:b/>
          <w:bCs/>
        </w:rPr>
        <w:t xml:space="preserve">to account for the different priorities </w:t>
      </w:r>
      <w:r w:rsidR="00001E59">
        <w:rPr>
          <w:b/>
          <w:bCs/>
        </w:rPr>
        <w:t>and circumstances that drive their coverage and updating cycles.</w:t>
      </w:r>
    </w:p>
    <w:p w14:paraId="4C0D5B0E" w14:textId="77777777" w:rsidR="002E3125" w:rsidRDefault="002E3125" w:rsidP="00576FE9">
      <w:pPr>
        <w:jc w:val="both"/>
      </w:pPr>
      <w:r w:rsidRPr="002E3125">
        <w:t xml:space="preserve">Question 3: If you do not agree with the introduction of new paragraph 1b in Article 13 of Commission Delegated Directive (EU) 2017/593, please provide alternative suggestions and/or explain how investment firms operating a research payment account currently assess the quality of research purchased (Article 13, point 1(b)(iv) Delegated Directive). </w:t>
      </w:r>
    </w:p>
    <w:p w14:paraId="15B957F7" w14:textId="14AE5F29" w:rsidR="00904161" w:rsidRPr="00904161" w:rsidRDefault="00904161" w:rsidP="00267423">
      <w:pPr>
        <w:tabs>
          <w:tab w:val="num" w:pos="720"/>
        </w:tabs>
        <w:jc w:val="both"/>
        <w:rPr>
          <w:b/>
          <w:bCs/>
        </w:rPr>
      </w:pPr>
      <w:r w:rsidRPr="00FB099E">
        <w:rPr>
          <w:b/>
          <w:bCs/>
        </w:rPr>
        <w:t>In addition to our re</w:t>
      </w:r>
      <w:r w:rsidR="00267423" w:rsidRPr="00FB099E">
        <w:rPr>
          <w:b/>
          <w:bCs/>
        </w:rPr>
        <w:t>sponse to question 2 we believe it is important to c</w:t>
      </w:r>
      <w:r w:rsidRPr="00904161">
        <w:rPr>
          <w:b/>
          <w:bCs/>
        </w:rPr>
        <w:t>learly distinguish the dissemination of research (e.g., the level of service provided by sales teams) from the intrinsic quality of the research itself.</w:t>
      </w:r>
      <w:r w:rsidR="00267423" w:rsidRPr="00FB099E">
        <w:rPr>
          <w:b/>
          <w:bCs/>
        </w:rPr>
        <w:t xml:space="preserve"> </w:t>
      </w:r>
      <w:r w:rsidRPr="00904161">
        <w:rPr>
          <w:b/>
          <w:bCs/>
        </w:rPr>
        <w:t>Marketing and sales-driven efforts, akin to advertising, should not influence research quality assessments. These elements primarily reflect distribution efficiency rather than the actual substantive value of the research.</w:t>
      </w:r>
    </w:p>
    <w:p w14:paraId="727A55B6" w14:textId="04FD52FA" w:rsidR="00904161" w:rsidRPr="00904161" w:rsidRDefault="00485210" w:rsidP="00FB099E">
      <w:pPr>
        <w:tabs>
          <w:tab w:val="num" w:pos="720"/>
        </w:tabs>
        <w:jc w:val="both"/>
        <w:rPr>
          <w:b/>
          <w:bCs/>
        </w:rPr>
      </w:pPr>
      <w:r w:rsidRPr="00FB099E">
        <w:rPr>
          <w:b/>
          <w:bCs/>
        </w:rPr>
        <w:lastRenderedPageBreak/>
        <w:t xml:space="preserve">Further, we recommend the </w:t>
      </w:r>
      <w:r w:rsidR="00FB099E" w:rsidRPr="00FB099E">
        <w:rPr>
          <w:b/>
          <w:bCs/>
        </w:rPr>
        <w:t xml:space="preserve">exclusion </w:t>
      </w:r>
      <w:r w:rsidR="00904161" w:rsidRPr="00904161">
        <w:rPr>
          <w:b/>
          <w:bCs/>
        </w:rPr>
        <w:t xml:space="preserve">of corporate access </w:t>
      </w:r>
      <w:r w:rsidR="00FB099E" w:rsidRPr="00FB099E">
        <w:rPr>
          <w:b/>
          <w:bCs/>
        </w:rPr>
        <w:t>from</w:t>
      </w:r>
      <w:r w:rsidR="00904161" w:rsidRPr="00904161">
        <w:rPr>
          <w:b/>
          <w:bCs/>
        </w:rPr>
        <w:t xml:space="preserve"> research evaluations to prevent significant conflicts of interest.</w:t>
      </w:r>
      <w:r w:rsidR="00FB099E" w:rsidRPr="00FB099E">
        <w:rPr>
          <w:b/>
          <w:bCs/>
        </w:rPr>
        <w:t xml:space="preserve"> </w:t>
      </w:r>
      <w:r w:rsidR="00904161" w:rsidRPr="00904161">
        <w:rPr>
          <w:b/>
          <w:bCs/>
        </w:rPr>
        <w:t>While corporate access is undoubtedly valuable to asset managers, it must be treated as a separate service and entirely disentangled from research quality evaluations.</w:t>
      </w:r>
    </w:p>
    <w:p w14:paraId="29E30A88" w14:textId="77777777" w:rsidR="0062026B" w:rsidRPr="0062026B" w:rsidRDefault="0062026B" w:rsidP="0062026B">
      <w:pPr>
        <w:jc w:val="both"/>
        <w:rPr>
          <w:b/>
          <w:bCs/>
        </w:rPr>
      </w:pPr>
      <w:r w:rsidRPr="0062026B">
        <w:rPr>
          <w:b/>
          <w:bCs/>
        </w:rPr>
        <w:t>This proposed framework ensures that the evaluation of research focuses on transparency, quality, and fairness. By preventing conflicts of interest and maintaining a clear distinction between different services, it fosters a competitive and objective environment for research providers.</w:t>
      </w:r>
    </w:p>
    <w:p w14:paraId="430D3E39" w14:textId="77777777" w:rsidR="002E3125" w:rsidRDefault="002E3125" w:rsidP="00576FE9">
      <w:pPr>
        <w:jc w:val="both"/>
      </w:pPr>
      <w:r w:rsidRPr="002E3125">
        <w:t xml:space="preserve">Question 4: Do you agree that, when conducting the annual assessment provided in new Article 24(9a)(c) of MiFID II, an investment firm could be required to include a comparison with potential alternative research providers? Please state the reasons for your answer. Please also provide feedback on the availability of free trials for research services and why they may or may not be appropriate for investment firms to fulfil their obligations under Article 24(9a)(c). If free trials are not appropriate, which other methods could be used for comparison? </w:t>
      </w:r>
    </w:p>
    <w:p w14:paraId="5EBEE9BC" w14:textId="381B8658" w:rsidR="0022179F" w:rsidRPr="0022179F" w:rsidRDefault="0022179F" w:rsidP="000B78A1">
      <w:pPr>
        <w:jc w:val="both"/>
        <w:rPr>
          <w:b/>
          <w:bCs/>
        </w:rPr>
      </w:pPr>
      <w:r w:rsidRPr="0022179F">
        <w:rPr>
          <w:b/>
          <w:bCs/>
        </w:rPr>
        <w:t xml:space="preserve">Comparing alternative research providers is </w:t>
      </w:r>
      <w:r w:rsidR="006D7ED0">
        <w:rPr>
          <w:b/>
          <w:bCs/>
        </w:rPr>
        <w:t>an important way to</w:t>
      </w:r>
      <w:r w:rsidRPr="0022179F">
        <w:rPr>
          <w:b/>
          <w:bCs/>
        </w:rPr>
        <w:t xml:space="preserve"> ensure that asset managers access the best research services tailored to their needs.</w:t>
      </w:r>
      <w:r w:rsidR="000B78A1" w:rsidRPr="006D7ED0">
        <w:rPr>
          <w:b/>
          <w:bCs/>
        </w:rPr>
        <w:t xml:space="preserve"> Although d</w:t>
      </w:r>
      <w:r w:rsidRPr="0022179F">
        <w:rPr>
          <w:b/>
          <w:bCs/>
        </w:rPr>
        <w:t>iscovery mechanisms for evaluating research can add complexity, it ultimately benefits asset managers and end investors by ensuring access to high-quality research.</w:t>
      </w:r>
    </w:p>
    <w:p w14:paraId="3DA1A58F" w14:textId="47CF3489" w:rsidR="0022179F" w:rsidRPr="0022179F" w:rsidRDefault="0022179F" w:rsidP="00D92E65">
      <w:pPr>
        <w:jc w:val="both"/>
        <w:rPr>
          <w:b/>
          <w:bCs/>
        </w:rPr>
      </w:pPr>
      <w:r w:rsidRPr="0022179F">
        <w:rPr>
          <w:b/>
          <w:bCs/>
        </w:rPr>
        <w:t>Free trials provide a practical opportunity for asset managers to sample research and assess its relevance before committing to a subscription.</w:t>
      </w:r>
      <w:r w:rsidR="00D92E65" w:rsidRPr="006D7ED0">
        <w:rPr>
          <w:b/>
          <w:bCs/>
        </w:rPr>
        <w:t xml:space="preserve"> However, guardrails are vital to </w:t>
      </w:r>
      <w:r w:rsidR="009654FF" w:rsidRPr="006D7ED0">
        <w:rPr>
          <w:b/>
          <w:bCs/>
        </w:rPr>
        <w:t xml:space="preserve">protect providers intellectual property and to prevent </w:t>
      </w:r>
      <w:r w:rsidR="006D7ED0" w:rsidRPr="006D7ED0">
        <w:rPr>
          <w:b/>
          <w:bCs/>
        </w:rPr>
        <w:t>extended use of unpaid-for research.</w:t>
      </w:r>
    </w:p>
    <w:p w14:paraId="24477C8A" w14:textId="77777777" w:rsidR="002E3125" w:rsidRDefault="002E3125" w:rsidP="00576FE9">
      <w:pPr>
        <w:jc w:val="both"/>
      </w:pPr>
      <w:r w:rsidRPr="002E3125">
        <w:t xml:space="preserve">Question 5: Do you agree with the introduction of new paragraph 10 in Article 13 of Commission Delegated Directive (EU) 2017/593? Please state the reasons for your answer. </w:t>
      </w:r>
    </w:p>
    <w:p w14:paraId="37A88039" w14:textId="06C2D045" w:rsidR="00010F46" w:rsidRPr="00010F46" w:rsidRDefault="00010F46" w:rsidP="00010F46">
      <w:pPr>
        <w:jc w:val="both"/>
        <w:rPr>
          <w:b/>
          <w:bCs/>
        </w:rPr>
      </w:pPr>
      <w:r w:rsidRPr="00010F46">
        <w:rPr>
          <w:b/>
          <w:bCs/>
        </w:rPr>
        <w:t>A</w:t>
      </w:r>
      <w:r>
        <w:rPr>
          <w:b/>
          <w:bCs/>
        </w:rPr>
        <w:t xml:space="preserve"> </w:t>
      </w:r>
      <w:r w:rsidRPr="00010F46">
        <w:rPr>
          <w:b/>
          <w:bCs/>
        </w:rPr>
        <w:t xml:space="preserve">payment option through which all investment research (independent as well as broker research) can be paid for, provides operational flexibility for industry participants. </w:t>
      </w:r>
    </w:p>
    <w:p w14:paraId="6DE5A14B" w14:textId="77777777" w:rsidR="00840512" w:rsidRPr="00840512" w:rsidRDefault="00840512" w:rsidP="00840512">
      <w:pPr>
        <w:jc w:val="both"/>
        <w:rPr>
          <w:b/>
          <w:bCs/>
        </w:rPr>
      </w:pPr>
      <w:r w:rsidRPr="00840512">
        <w:rPr>
          <w:b/>
          <w:bCs/>
        </w:rPr>
        <w:t>To avoid unintended consequences adversely impacting the fairness and competitiveness of the research market, the operational guidelines for this research payment option should make clear that there will be no barriers that would cause asset managers to exclude any type of research providers, like independent research providers, to benefit from such payment option.</w:t>
      </w:r>
    </w:p>
    <w:p w14:paraId="342DF8A1" w14:textId="1ACD4D25" w:rsidR="002E3125" w:rsidRDefault="002E3125" w:rsidP="00576FE9">
      <w:pPr>
        <w:jc w:val="both"/>
      </w:pPr>
      <w:r w:rsidRPr="002E3125">
        <w:t>Question 6: Do you think that any further requirements or conditions applicable to investment research provided by third parties to investment firms should be introduced in the proposed amendments to Commission Delegated Directive (EU) 2017/593? Please state the reasons for your answer</w:t>
      </w:r>
      <w:r w:rsidR="00581895">
        <w:t>.</w:t>
      </w:r>
    </w:p>
    <w:p w14:paraId="4DC64533" w14:textId="2341FC58" w:rsidR="00581895" w:rsidRPr="00581895" w:rsidRDefault="00581895" w:rsidP="00576836">
      <w:pPr>
        <w:jc w:val="both"/>
        <w:rPr>
          <w:b/>
          <w:bCs/>
        </w:rPr>
      </w:pPr>
      <w:r w:rsidRPr="00581895">
        <w:rPr>
          <w:b/>
          <w:bCs/>
        </w:rPr>
        <w:t xml:space="preserve">We believe additional guardrails should be outlined, even if some of these will ultimately fall under Level 2 or Level 3 measures, or the jurisdiction of NCAs. </w:t>
      </w:r>
      <w:r w:rsidR="00AA0B0A" w:rsidRPr="00576836">
        <w:rPr>
          <w:b/>
          <w:bCs/>
        </w:rPr>
        <w:t>In particular, it is our view that t</w:t>
      </w:r>
      <w:r w:rsidRPr="00581895">
        <w:rPr>
          <w:b/>
          <w:bCs/>
        </w:rPr>
        <w:t xml:space="preserve">ransparency </w:t>
      </w:r>
      <w:r w:rsidR="00816297" w:rsidRPr="00576836">
        <w:rPr>
          <w:b/>
          <w:bCs/>
        </w:rPr>
        <w:t>of r</w:t>
      </w:r>
      <w:r w:rsidRPr="00581895">
        <w:rPr>
          <w:b/>
          <w:bCs/>
        </w:rPr>
        <w:t xml:space="preserve">esearch </w:t>
      </w:r>
      <w:r w:rsidR="00816297" w:rsidRPr="00576836">
        <w:rPr>
          <w:b/>
          <w:bCs/>
        </w:rPr>
        <w:t>cost a</w:t>
      </w:r>
      <w:r w:rsidRPr="00581895">
        <w:rPr>
          <w:b/>
          <w:bCs/>
        </w:rPr>
        <w:t>llocation</w:t>
      </w:r>
      <w:r w:rsidR="00816297" w:rsidRPr="00576836">
        <w:rPr>
          <w:b/>
          <w:bCs/>
        </w:rPr>
        <w:t>s are important, g</w:t>
      </w:r>
      <w:r w:rsidRPr="00581895">
        <w:rPr>
          <w:b/>
          <w:bCs/>
        </w:rPr>
        <w:t>iven the fundamental differences between independent research and broker/connected research</w:t>
      </w:r>
      <w:r w:rsidR="00816297" w:rsidRPr="00576836">
        <w:rPr>
          <w:b/>
          <w:bCs/>
        </w:rPr>
        <w:t>. A</w:t>
      </w:r>
      <w:r w:rsidRPr="00581895">
        <w:rPr>
          <w:b/>
          <w:bCs/>
        </w:rPr>
        <w:t xml:space="preserve"> breakdown of spending on these categories in annual research purchase report</w:t>
      </w:r>
      <w:r w:rsidR="00B7641D" w:rsidRPr="00576836">
        <w:rPr>
          <w:b/>
          <w:bCs/>
        </w:rPr>
        <w:t xml:space="preserve">s would shine a light on </w:t>
      </w:r>
      <w:r w:rsidR="00740F06" w:rsidRPr="00576836">
        <w:rPr>
          <w:b/>
          <w:bCs/>
        </w:rPr>
        <w:t>the proportion of a research budget that is allocated t</w:t>
      </w:r>
      <w:r w:rsidR="00576836" w:rsidRPr="00576836">
        <w:rPr>
          <w:b/>
          <w:bCs/>
        </w:rPr>
        <w:t>o independent versus</w:t>
      </w:r>
      <w:r w:rsidRPr="00581895">
        <w:rPr>
          <w:b/>
          <w:bCs/>
        </w:rPr>
        <w:t xml:space="preserve"> potentially conflicted research.</w:t>
      </w:r>
    </w:p>
    <w:sectPr w:rsidR="00581895" w:rsidRPr="00581895">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C1C4E01" w14:textId="77777777" w:rsidR="005F2A61" w:rsidRDefault="005F2A61" w:rsidP="002862CA">
      <w:pPr>
        <w:spacing w:after="0" w:line="240" w:lineRule="auto"/>
      </w:pPr>
      <w:r>
        <w:separator/>
      </w:r>
    </w:p>
  </w:endnote>
  <w:endnote w:type="continuationSeparator" w:id="0">
    <w:p w14:paraId="4B1AA6D5" w14:textId="77777777" w:rsidR="005F2A61" w:rsidRDefault="005F2A61" w:rsidP="002862CA">
      <w:pPr>
        <w:spacing w:after="0" w:line="240" w:lineRule="auto"/>
      </w:pPr>
      <w:r>
        <w:continuationSeparator/>
      </w:r>
    </w:p>
  </w:endnote>
  <w:endnote w:type="continuationNotice" w:id="1">
    <w:p w14:paraId="1E2DDBBA" w14:textId="77777777" w:rsidR="005F2A61" w:rsidRDefault="005F2A6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93878F8" w14:textId="77777777" w:rsidR="005F2A61" w:rsidRDefault="005F2A61" w:rsidP="002862CA">
      <w:pPr>
        <w:spacing w:after="0" w:line="240" w:lineRule="auto"/>
      </w:pPr>
      <w:r>
        <w:separator/>
      </w:r>
    </w:p>
  </w:footnote>
  <w:footnote w:type="continuationSeparator" w:id="0">
    <w:p w14:paraId="58865903" w14:textId="77777777" w:rsidR="005F2A61" w:rsidRDefault="005F2A61" w:rsidP="002862CA">
      <w:pPr>
        <w:spacing w:after="0" w:line="240" w:lineRule="auto"/>
      </w:pPr>
      <w:r>
        <w:continuationSeparator/>
      </w:r>
    </w:p>
  </w:footnote>
  <w:footnote w:type="continuationNotice" w:id="1">
    <w:p w14:paraId="02BFBF24" w14:textId="77777777" w:rsidR="005F2A61" w:rsidRDefault="005F2A6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C34585" w14:textId="77777777" w:rsidR="00F64203" w:rsidRDefault="00F64203" w:rsidP="00F64203">
    <w:pPr>
      <w:pStyle w:val="Header"/>
      <w:tabs>
        <w:tab w:val="left" w:pos="4320"/>
        <w:tab w:val="left" w:pos="6660"/>
      </w:tabs>
    </w:pPr>
    <w:r>
      <w:rPr>
        <w:noProof/>
      </w:rPr>
      <w:drawing>
        <wp:anchor distT="0" distB="0" distL="114300" distR="114300" simplePos="0" relativeHeight="251658240" behindDoc="0" locked="0" layoutInCell="1" allowOverlap="1" wp14:anchorId="1CB7332C" wp14:editId="3B32E917">
          <wp:simplePos x="0" y="0"/>
          <wp:positionH relativeFrom="page">
            <wp:posOffset>853440</wp:posOffset>
          </wp:positionH>
          <wp:positionV relativeFrom="page">
            <wp:posOffset>354362</wp:posOffset>
          </wp:positionV>
          <wp:extent cx="2047240" cy="436245"/>
          <wp:effectExtent l="0" t="0" r="0" b="1905"/>
          <wp:wrapTopAndBottom/>
          <wp:docPr id="3" name="Picture 3" descr="Mlogo_Black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logo_Black60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47240" cy="43624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1" behindDoc="0" locked="0" layoutInCell="1" allowOverlap="1" wp14:anchorId="2B24E37C" wp14:editId="4137D481">
          <wp:simplePos x="0" y="0"/>
          <wp:positionH relativeFrom="column">
            <wp:posOffset>3446418</wp:posOffset>
          </wp:positionH>
          <wp:positionV relativeFrom="paragraph">
            <wp:posOffset>184150</wp:posOffset>
          </wp:positionV>
          <wp:extent cx="2876550" cy="558800"/>
          <wp:effectExtent l="0" t="0" r="0" b="0"/>
          <wp:wrapNone/>
          <wp:docPr id="14" name="Picture 14" descr="CorpFund_h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orpFund_header"/>
                  <pic:cNvPicPr>
                    <a:picLocks noChangeAspect="1" noChangeArrowheads="1"/>
                  </pic:cNvPicPr>
                </pic:nvPicPr>
                <pic:blipFill rotWithShape="1">
                  <a:blip r:embed="rId2">
                    <a:extLst>
                      <a:ext uri="{28A0092B-C50C-407E-A947-70E740481C1C}">
                        <a14:useLocalDpi xmlns:a14="http://schemas.microsoft.com/office/drawing/2010/main" val="0"/>
                      </a:ext>
                    </a:extLst>
                  </a:blip>
                  <a:srcRect t="38028"/>
                  <a:stretch/>
                </pic:blipFill>
                <pic:spPr bwMode="auto">
                  <a:xfrm>
                    <a:off x="0" y="0"/>
                    <a:ext cx="2876550" cy="5588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A4ED110" w14:textId="77777777" w:rsidR="00F64203" w:rsidRDefault="00F64203" w:rsidP="00F64203">
    <w:pPr>
      <w:pStyle w:val="Header"/>
    </w:pPr>
  </w:p>
  <w:p w14:paraId="3E70CCEC" w14:textId="77777777" w:rsidR="00D65CD6" w:rsidRDefault="00D65CD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4969C0"/>
    <w:multiLevelType w:val="hybridMultilevel"/>
    <w:tmpl w:val="4B567F80"/>
    <w:lvl w:ilvl="0" w:tplc="20000001">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start w:val="1"/>
      <w:numFmt w:val="bullet"/>
      <w:lvlText w:val=""/>
      <w:lvlJc w:val="left"/>
      <w:pPr>
        <w:ind w:left="2160" w:hanging="360"/>
      </w:pPr>
      <w:rPr>
        <w:rFonts w:ascii="Wingdings" w:hAnsi="Wingdings" w:hint="default"/>
      </w:rPr>
    </w:lvl>
    <w:lvl w:ilvl="3" w:tplc="20000001">
      <w:start w:val="1"/>
      <w:numFmt w:val="bullet"/>
      <w:lvlText w:val=""/>
      <w:lvlJc w:val="left"/>
      <w:pPr>
        <w:ind w:left="2880" w:hanging="360"/>
      </w:pPr>
      <w:rPr>
        <w:rFonts w:ascii="Symbol" w:hAnsi="Symbol" w:hint="default"/>
      </w:rPr>
    </w:lvl>
    <w:lvl w:ilvl="4" w:tplc="20000003">
      <w:start w:val="1"/>
      <w:numFmt w:val="bullet"/>
      <w:lvlText w:val="o"/>
      <w:lvlJc w:val="left"/>
      <w:pPr>
        <w:ind w:left="3600" w:hanging="360"/>
      </w:pPr>
      <w:rPr>
        <w:rFonts w:ascii="Courier New" w:hAnsi="Courier New" w:cs="Courier New" w:hint="default"/>
      </w:rPr>
    </w:lvl>
    <w:lvl w:ilvl="5" w:tplc="20000005">
      <w:start w:val="1"/>
      <w:numFmt w:val="bullet"/>
      <w:lvlText w:val=""/>
      <w:lvlJc w:val="left"/>
      <w:pPr>
        <w:ind w:left="4320" w:hanging="360"/>
      </w:pPr>
      <w:rPr>
        <w:rFonts w:ascii="Wingdings" w:hAnsi="Wingdings" w:hint="default"/>
      </w:rPr>
    </w:lvl>
    <w:lvl w:ilvl="6" w:tplc="20000001">
      <w:start w:val="1"/>
      <w:numFmt w:val="bullet"/>
      <w:lvlText w:val=""/>
      <w:lvlJc w:val="left"/>
      <w:pPr>
        <w:ind w:left="5040" w:hanging="360"/>
      </w:pPr>
      <w:rPr>
        <w:rFonts w:ascii="Symbol" w:hAnsi="Symbol" w:hint="default"/>
      </w:rPr>
    </w:lvl>
    <w:lvl w:ilvl="7" w:tplc="20000003">
      <w:start w:val="1"/>
      <w:numFmt w:val="bullet"/>
      <w:lvlText w:val="o"/>
      <w:lvlJc w:val="left"/>
      <w:pPr>
        <w:ind w:left="5760" w:hanging="360"/>
      </w:pPr>
      <w:rPr>
        <w:rFonts w:ascii="Courier New" w:hAnsi="Courier New" w:cs="Courier New" w:hint="default"/>
      </w:rPr>
    </w:lvl>
    <w:lvl w:ilvl="8" w:tplc="20000005">
      <w:start w:val="1"/>
      <w:numFmt w:val="bullet"/>
      <w:lvlText w:val=""/>
      <w:lvlJc w:val="left"/>
      <w:pPr>
        <w:ind w:left="6480" w:hanging="360"/>
      </w:pPr>
      <w:rPr>
        <w:rFonts w:ascii="Wingdings" w:hAnsi="Wingdings" w:hint="default"/>
      </w:rPr>
    </w:lvl>
  </w:abstractNum>
  <w:abstractNum w:abstractNumId="1" w15:restartNumberingAfterBreak="0">
    <w:nsid w:val="02907935"/>
    <w:multiLevelType w:val="multilevel"/>
    <w:tmpl w:val="82044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A03367"/>
    <w:multiLevelType w:val="hybridMultilevel"/>
    <w:tmpl w:val="5574BC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8560C8A"/>
    <w:multiLevelType w:val="hybridMultilevel"/>
    <w:tmpl w:val="5290E3E0"/>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04D06FD"/>
    <w:multiLevelType w:val="multilevel"/>
    <w:tmpl w:val="829CFF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C5D4818"/>
    <w:multiLevelType w:val="hybridMultilevel"/>
    <w:tmpl w:val="2DD826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2C47CDD"/>
    <w:multiLevelType w:val="hybridMultilevel"/>
    <w:tmpl w:val="207202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30648E5"/>
    <w:multiLevelType w:val="hybridMultilevel"/>
    <w:tmpl w:val="724EA5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95D11B6"/>
    <w:multiLevelType w:val="hybridMultilevel"/>
    <w:tmpl w:val="4BAEBF44"/>
    <w:lvl w:ilvl="0" w:tplc="20000001">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start w:val="1"/>
      <w:numFmt w:val="bullet"/>
      <w:lvlText w:val=""/>
      <w:lvlJc w:val="left"/>
      <w:pPr>
        <w:ind w:left="2160" w:hanging="360"/>
      </w:pPr>
      <w:rPr>
        <w:rFonts w:ascii="Wingdings" w:hAnsi="Wingdings" w:hint="default"/>
      </w:rPr>
    </w:lvl>
    <w:lvl w:ilvl="3" w:tplc="20000001">
      <w:start w:val="1"/>
      <w:numFmt w:val="bullet"/>
      <w:lvlText w:val=""/>
      <w:lvlJc w:val="left"/>
      <w:pPr>
        <w:ind w:left="2880" w:hanging="360"/>
      </w:pPr>
      <w:rPr>
        <w:rFonts w:ascii="Symbol" w:hAnsi="Symbol" w:hint="default"/>
      </w:rPr>
    </w:lvl>
    <w:lvl w:ilvl="4" w:tplc="20000003">
      <w:start w:val="1"/>
      <w:numFmt w:val="bullet"/>
      <w:lvlText w:val="o"/>
      <w:lvlJc w:val="left"/>
      <w:pPr>
        <w:ind w:left="3600" w:hanging="360"/>
      </w:pPr>
      <w:rPr>
        <w:rFonts w:ascii="Courier New" w:hAnsi="Courier New" w:cs="Courier New" w:hint="default"/>
      </w:rPr>
    </w:lvl>
    <w:lvl w:ilvl="5" w:tplc="20000005">
      <w:start w:val="1"/>
      <w:numFmt w:val="bullet"/>
      <w:lvlText w:val=""/>
      <w:lvlJc w:val="left"/>
      <w:pPr>
        <w:ind w:left="4320" w:hanging="360"/>
      </w:pPr>
      <w:rPr>
        <w:rFonts w:ascii="Wingdings" w:hAnsi="Wingdings" w:hint="default"/>
      </w:rPr>
    </w:lvl>
    <w:lvl w:ilvl="6" w:tplc="20000001">
      <w:start w:val="1"/>
      <w:numFmt w:val="bullet"/>
      <w:lvlText w:val=""/>
      <w:lvlJc w:val="left"/>
      <w:pPr>
        <w:ind w:left="5040" w:hanging="360"/>
      </w:pPr>
      <w:rPr>
        <w:rFonts w:ascii="Symbol" w:hAnsi="Symbol" w:hint="default"/>
      </w:rPr>
    </w:lvl>
    <w:lvl w:ilvl="7" w:tplc="20000003">
      <w:start w:val="1"/>
      <w:numFmt w:val="bullet"/>
      <w:lvlText w:val="o"/>
      <w:lvlJc w:val="left"/>
      <w:pPr>
        <w:ind w:left="5760" w:hanging="360"/>
      </w:pPr>
      <w:rPr>
        <w:rFonts w:ascii="Courier New" w:hAnsi="Courier New" w:cs="Courier New" w:hint="default"/>
      </w:rPr>
    </w:lvl>
    <w:lvl w:ilvl="8" w:tplc="20000005">
      <w:start w:val="1"/>
      <w:numFmt w:val="bullet"/>
      <w:lvlText w:val=""/>
      <w:lvlJc w:val="left"/>
      <w:pPr>
        <w:ind w:left="6480" w:hanging="360"/>
      </w:pPr>
      <w:rPr>
        <w:rFonts w:ascii="Wingdings" w:hAnsi="Wingdings" w:hint="default"/>
      </w:rPr>
    </w:lvl>
  </w:abstractNum>
  <w:abstractNum w:abstractNumId="9" w15:restartNumberingAfterBreak="0">
    <w:nsid w:val="2A7C0DFA"/>
    <w:multiLevelType w:val="hybridMultilevel"/>
    <w:tmpl w:val="15A6CD08"/>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2F127D82"/>
    <w:multiLevelType w:val="hybridMultilevel"/>
    <w:tmpl w:val="543252F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383D3D94"/>
    <w:multiLevelType w:val="hybridMultilevel"/>
    <w:tmpl w:val="22CC75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DF51DC4"/>
    <w:multiLevelType w:val="hybridMultilevel"/>
    <w:tmpl w:val="EB3E3160"/>
    <w:lvl w:ilvl="0" w:tplc="A53C78AC">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3525882"/>
    <w:multiLevelType w:val="hybridMultilevel"/>
    <w:tmpl w:val="807A311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4D1E48BC"/>
    <w:multiLevelType w:val="hybridMultilevel"/>
    <w:tmpl w:val="43B6154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52D90542"/>
    <w:multiLevelType w:val="hybridMultilevel"/>
    <w:tmpl w:val="73A2B05C"/>
    <w:lvl w:ilvl="0" w:tplc="EBE0A83C">
      <w:start w:val="1"/>
      <w:numFmt w:val="decimal"/>
      <w:lvlText w:val="%1."/>
      <w:lvlJc w:val="left"/>
      <w:pPr>
        <w:ind w:left="720" w:hanging="360"/>
      </w:pPr>
      <w:rPr>
        <w:i w:val="0"/>
        <w:i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7017E46"/>
    <w:multiLevelType w:val="multilevel"/>
    <w:tmpl w:val="303A7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0057C5A"/>
    <w:multiLevelType w:val="hybridMultilevel"/>
    <w:tmpl w:val="607A90D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0317DAE"/>
    <w:multiLevelType w:val="hybridMultilevel"/>
    <w:tmpl w:val="799A6C4E"/>
    <w:lvl w:ilvl="0" w:tplc="645EFDA6">
      <w:numFmt w:val="bullet"/>
      <w:lvlText w:val="-"/>
      <w:lvlJc w:val="left"/>
      <w:pPr>
        <w:ind w:left="720" w:hanging="360"/>
      </w:pPr>
      <w:rPr>
        <w:rFonts w:ascii="Calibri" w:eastAsia="Aptos"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15:restartNumberingAfterBreak="0">
    <w:nsid w:val="6B5F7AF4"/>
    <w:multiLevelType w:val="multilevel"/>
    <w:tmpl w:val="8586FDF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E3B1B2E"/>
    <w:multiLevelType w:val="hybridMultilevel"/>
    <w:tmpl w:val="22080F5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33348E2"/>
    <w:multiLevelType w:val="hybridMultilevel"/>
    <w:tmpl w:val="CCF67BB8"/>
    <w:lvl w:ilvl="0" w:tplc="A55660F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9CD0701"/>
    <w:multiLevelType w:val="multilevel"/>
    <w:tmpl w:val="A0D2FF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94581476">
    <w:abstractNumId w:val="21"/>
  </w:num>
  <w:num w:numId="2" w16cid:durableId="1172253793">
    <w:abstractNumId w:val="12"/>
  </w:num>
  <w:num w:numId="3" w16cid:durableId="1842963206">
    <w:abstractNumId w:val="5"/>
  </w:num>
  <w:num w:numId="4" w16cid:durableId="1705249789">
    <w:abstractNumId w:val="9"/>
  </w:num>
  <w:num w:numId="5" w16cid:durableId="1736856246">
    <w:abstractNumId w:val="15"/>
  </w:num>
  <w:num w:numId="6" w16cid:durableId="1883591322">
    <w:abstractNumId w:val="10"/>
  </w:num>
  <w:num w:numId="7" w16cid:durableId="1525971362">
    <w:abstractNumId w:val="2"/>
  </w:num>
  <w:num w:numId="8" w16cid:durableId="10768607">
    <w:abstractNumId w:val="11"/>
  </w:num>
  <w:num w:numId="9" w16cid:durableId="1666208010">
    <w:abstractNumId w:val="0"/>
  </w:num>
  <w:num w:numId="10" w16cid:durableId="1919711709">
    <w:abstractNumId w:val="8"/>
  </w:num>
  <w:num w:numId="11" w16cid:durableId="1587574729">
    <w:abstractNumId w:val="17"/>
  </w:num>
  <w:num w:numId="12" w16cid:durableId="467406753">
    <w:abstractNumId w:val="6"/>
  </w:num>
  <w:num w:numId="13" w16cid:durableId="1895392045">
    <w:abstractNumId w:val="20"/>
  </w:num>
  <w:num w:numId="14" w16cid:durableId="1064254745">
    <w:abstractNumId w:val="7"/>
  </w:num>
  <w:num w:numId="15" w16cid:durableId="1026364862">
    <w:abstractNumId w:val="14"/>
  </w:num>
  <w:num w:numId="16" w16cid:durableId="1066225036">
    <w:abstractNumId w:val="3"/>
  </w:num>
  <w:num w:numId="17" w16cid:durableId="243489980">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14123748">
    <w:abstractNumId w:val="18"/>
  </w:num>
  <w:num w:numId="19" w16cid:durableId="1488017051">
    <w:abstractNumId w:val="13"/>
  </w:num>
  <w:num w:numId="20" w16cid:durableId="552428207">
    <w:abstractNumId w:val="1"/>
  </w:num>
  <w:num w:numId="21" w16cid:durableId="1415782778">
    <w:abstractNumId w:val="4"/>
  </w:num>
  <w:num w:numId="22" w16cid:durableId="1104111679">
    <w:abstractNumId w:val="16"/>
  </w:num>
  <w:num w:numId="23" w16cid:durableId="1246260754">
    <w:abstractNumId w:val="22"/>
  </w:num>
  <w:num w:numId="24" w16cid:durableId="105948065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0139"/>
    <w:rsid w:val="00001E59"/>
    <w:rsid w:val="00003D2A"/>
    <w:rsid w:val="00003DD1"/>
    <w:rsid w:val="00007167"/>
    <w:rsid w:val="000078F0"/>
    <w:rsid w:val="00010F46"/>
    <w:rsid w:val="00014458"/>
    <w:rsid w:val="0001774C"/>
    <w:rsid w:val="00020781"/>
    <w:rsid w:val="000214C6"/>
    <w:rsid w:val="00022632"/>
    <w:rsid w:val="0002511D"/>
    <w:rsid w:val="000308F6"/>
    <w:rsid w:val="00033525"/>
    <w:rsid w:val="00034B4E"/>
    <w:rsid w:val="0004147D"/>
    <w:rsid w:val="000449D0"/>
    <w:rsid w:val="0004666C"/>
    <w:rsid w:val="0005343F"/>
    <w:rsid w:val="00060A65"/>
    <w:rsid w:val="00063E6F"/>
    <w:rsid w:val="00063F1D"/>
    <w:rsid w:val="000661ED"/>
    <w:rsid w:val="00067580"/>
    <w:rsid w:val="000708D1"/>
    <w:rsid w:val="00071D7C"/>
    <w:rsid w:val="000746ED"/>
    <w:rsid w:val="00074B7A"/>
    <w:rsid w:val="00074EB8"/>
    <w:rsid w:val="00076149"/>
    <w:rsid w:val="00080639"/>
    <w:rsid w:val="00080D4A"/>
    <w:rsid w:val="00081EEB"/>
    <w:rsid w:val="000824AB"/>
    <w:rsid w:val="0008405D"/>
    <w:rsid w:val="00084943"/>
    <w:rsid w:val="00085200"/>
    <w:rsid w:val="00085537"/>
    <w:rsid w:val="00085F94"/>
    <w:rsid w:val="00090925"/>
    <w:rsid w:val="0009106A"/>
    <w:rsid w:val="00096222"/>
    <w:rsid w:val="000A25A2"/>
    <w:rsid w:val="000B1361"/>
    <w:rsid w:val="000B2C78"/>
    <w:rsid w:val="000B4C8D"/>
    <w:rsid w:val="000B57D3"/>
    <w:rsid w:val="000B78A1"/>
    <w:rsid w:val="000B7D66"/>
    <w:rsid w:val="000C2ABD"/>
    <w:rsid w:val="000C4971"/>
    <w:rsid w:val="000C6812"/>
    <w:rsid w:val="000C6B01"/>
    <w:rsid w:val="000D3BF6"/>
    <w:rsid w:val="000D468D"/>
    <w:rsid w:val="000D580F"/>
    <w:rsid w:val="000D6F75"/>
    <w:rsid w:val="000E0331"/>
    <w:rsid w:val="000E0C60"/>
    <w:rsid w:val="000E259F"/>
    <w:rsid w:val="000E3E9F"/>
    <w:rsid w:val="000E5BD2"/>
    <w:rsid w:val="000F3A9F"/>
    <w:rsid w:val="000F47AF"/>
    <w:rsid w:val="000F6050"/>
    <w:rsid w:val="000F6E4E"/>
    <w:rsid w:val="000F77F7"/>
    <w:rsid w:val="00101BDB"/>
    <w:rsid w:val="00101F80"/>
    <w:rsid w:val="00103133"/>
    <w:rsid w:val="001048FE"/>
    <w:rsid w:val="00104C54"/>
    <w:rsid w:val="00105CAB"/>
    <w:rsid w:val="00107E22"/>
    <w:rsid w:val="001129DF"/>
    <w:rsid w:val="00113CCA"/>
    <w:rsid w:val="001144B8"/>
    <w:rsid w:val="00115ECA"/>
    <w:rsid w:val="00121D26"/>
    <w:rsid w:val="00122BEC"/>
    <w:rsid w:val="00124B5D"/>
    <w:rsid w:val="001255F2"/>
    <w:rsid w:val="00126800"/>
    <w:rsid w:val="00130BBF"/>
    <w:rsid w:val="00131E57"/>
    <w:rsid w:val="00132254"/>
    <w:rsid w:val="001421EF"/>
    <w:rsid w:val="001428ED"/>
    <w:rsid w:val="00146BEB"/>
    <w:rsid w:val="001508F0"/>
    <w:rsid w:val="0015308E"/>
    <w:rsid w:val="00154695"/>
    <w:rsid w:val="0015603A"/>
    <w:rsid w:val="00162F16"/>
    <w:rsid w:val="001661AB"/>
    <w:rsid w:val="0016651D"/>
    <w:rsid w:val="00172B26"/>
    <w:rsid w:val="00174A05"/>
    <w:rsid w:val="00175183"/>
    <w:rsid w:val="00180395"/>
    <w:rsid w:val="00181F1C"/>
    <w:rsid w:val="001844DD"/>
    <w:rsid w:val="00185499"/>
    <w:rsid w:val="0019175A"/>
    <w:rsid w:val="00193769"/>
    <w:rsid w:val="00194E6F"/>
    <w:rsid w:val="001972DA"/>
    <w:rsid w:val="001A1B99"/>
    <w:rsid w:val="001A1E25"/>
    <w:rsid w:val="001A2B4C"/>
    <w:rsid w:val="001A5494"/>
    <w:rsid w:val="001B0E33"/>
    <w:rsid w:val="001B46C9"/>
    <w:rsid w:val="001B4F74"/>
    <w:rsid w:val="001B5A39"/>
    <w:rsid w:val="001B5AF0"/>
    <w:rsid w:val="001B724E"/>
    <w:rsid w:val="001C368E"/>
    <w:rsid w:val="001C6AFA"/>
    <w:rsid w:val="001C7BCA"/>
    <w:rsid w:val="001C7FA8"/>
    <w:rsid w:val="001D03BA"/>
    <w:rsid w:val="001D2B84"/>
    <w:rsid w:val="001E3124"/>
    <w:rsid w:val="001E328E"/>
    <w:rsid w:val="001E3786"/>
    <w:rsid w:val="001E555B"/>
    <w:rsid w:val="001F0F81"/>
    <w:rsid w:val="001F265D"/>
    <w:rsid w:val="001F2C43"/>
    <w:rsid w:val="001F5C49"/>
    <w:rsid w:val="001F6053"/>
    <w:rsid w:val="002013C9"/>
    <w:rsid w:val="0020393A"/>
    <w:rsid w:val="00203F7C"/>
    <w:rsid w:val="00205316"/>
    <w:rsid w:val="002054B8"/>
    <w:rsid w:val="00205A82"/>
    <w:rsid w:val="0021328A"/>
    <w:rsid w:val="002155F0"/>
    <w:rsid w:val="00216A86"/>
    <w:rsid w:val="00217A47"/>
    <w:rsid w:val="00220392"/>
    <w:rsid w:val="0022179F"/>
    <w:rsid w:val="002243C4"/>
    <w:rsid w:val="00224B7E"/>
    <w:rsid w:val="00236B7B"/>
    <w:rsid w:val="002403E9"/>
    <w:rsid w:val="00240C2F"/>
    <w:rsid w:val="00243238"/>
    <w:rsid w:val="0024332E"/>
    <w:rsid w:val="00245E83"/>
    <w:rsid w:val="002470CB"/>
    <w:rsid w:val="002477FD"/>
    <w:rsid w:val="0025052D"/>
    <w:rsid w:val="00256438"/>
    <w:rsid w:val="00261CA7"/>
    <w:rsid w:val="0026268C"/>
    <w:rsid w:val="00262A7E"/>
    <w:rsid w:val="00262C03"/>
    <w:rsid w:val="002663E9"/>
    <w:rsid w:val="00267423"/>
    <w:rsid w:val="002716F3"/>
    <w:rsid w:val="0028362B"/>
    <w:rsid w:val="002862CA"/>
    <w:rsid w:val="002913F3"/>
    <w:rsid w:val="002979ED"/>
    <w:rsid w:val="002A0C58"/>
    <w:rsid w:val="002A195B"/>
    <w:rsid w:val="002A1B78"/>
    <w:rsid w:val="002A25E3"/>
    <w:rsid w:val="002A39EA"/>
    <w:rsid w:val="002A44D9"/>
    <w:rsid w:val="002A455C"/>
    <w:rsid w:val="002A5641"/>
    <w:rsid w:val="002B043D"/>
    <w:rsid w:val="002B0887"/>
    <w:rsid w:val="002B0FB7"/>
    <w:rsid w:val="002B10DC"/>
    <w:rsid w:val="002B1753"/>
    <w:rsid w:val="002B2294"/>
    <w:rsid w:val="002B305B"/>
    <w:rsid w:val="002C0433"/>
    <w:rsid w:val="002C6F80"/>
    <w:rsid w:val="002C72DA"/>
    <w:rsid w:val="002E136B"/>
    <w:rsid w:val="002E3125"/>
    <w:rsid w:val="002E3167"/>
    <w:rsid w:val="002E3CA9"/>
    <w:rsid w:val="002E4068"/>
    <w:rsid w:val="002E4DC1"/>
    <w:rsid w:val="002E79C0"/>
    <w:rsid w:val="002F2D5A"/>
    <w:rsid w:val="002F30F9"/>
    <w:rsid w:val="002F3D05"/>
    <w:rsid w:val="002F57C1"/>
    <w:rsid w:val="002F6931"/>
    <w:rsid w:val="002F703F"/>
    <w:rsid w:val="0030396D"/>
    <w:rsid w:val="003048CA"/>
    <w:rsid w:val="00305159"/>
    <w:rsid w:val="0030537A"/>
    <w:rsid w:val="00305FC6"/>
    <w:rsid w:val="00310023"/>
    <w:rsid w:val="00310403"/>
    <w:rsid w:val="003127FC"/>
    <w:rsid w:val="00314BDF"/>
    <w:rsid w:val="00320C0E"/>
    <w:rsid w:val="00321DDE"/>
    <w:rsid w:val="00322446"/>
    <w:rsid w:val="00324955"/>
    <w:rsid w:val="00326168"/>
    <w:rsid w:val="00326B7B"/>
    <w:rsid w:val="003320E7"/>
    <w:rsid w:val="00332D59"/>
    <w:rsid w:val="00336528"/>
    <w:rsid w:val="00340C66"/>
    <w:rsid w:val="00345BB7"/>
    <w:rsid w:val="0035041C"/>
    <w:rsid w:val="00350E46"/>
    <w:rsid w:val="003528FD"/>
    <w:rsid w:val="003540F8"/>
    <w:rsid w:val="00354A50"/>
    <w:rsid w:val="003643C7"/>
    <w:rsid w:val="00367852"/>
    <w:rsid w:val="003764D9"/>
    <w:rsid w:val="0038419F"/>
    <w:rsid w:val="00390562"/>
    <w:rsid w:val="00395C42"/>
    <w:rsid w:val="00396CAD"/>
    <w:rsid w:val="00397B4B"/>
    <w:rsid w:val="003A24B6"/>
    <w:rsid w:val="003A2D0F"/>
    <w:rsid w:val="003A316C"/>
    <w:rsid w:val="003A434C"/>
    <w:rsid w:val="003B1D19"/>
    <w:rsid w:val="003C11CC"/>
    <w:rsid w:val="003C1B6D"/>
    <w:rsid w:val="003C45C6"/>
    <w:rsid w:val="003C4F5C"/>
    <w:rsid w:val="003D07C2"/>
    <w:rsid w:val="003D1E3F"/>
    <w:rsid w:val="003D2EA8"/>
    <w:rsid w:val="003D3AC6"/>
    <w:rsid w:val="003D497A"/>
    <w:rsid w:val="003E1FDD"/>
    <w:rsid w:val="003E6B40"/>
    <w:rsid w:val="003E730C"/>
    <w:rsid w:val="003F1284"/>
    <w:rsid w:val="003F60F1"/>
    <w:rsid w:val="0040582D"/>
    <w:rsid w:val="004108DF"/>
    <w:rsid w:val="0041165A"/>
    <w:rsid w:val="00411C2E"/>
    <w:rsid w:val="00413042"/>
    <w:rsid w:val="00415384"/>
    <w:rsid w:val="00417E47"/>
    <w:rsid w:val="00421467"/>
    <w:rsid w:val="00424224"/>
    <w:rsid w:val="00424A53"/>
    <w:rsid w:val="00424D6E"/>
    <w:rsid w:val="004331F8"/>
    <w:rsid w:val="004355D1"/>
    <w:rsid w:val="00445140"/>
    <w:rsid w:val="0044580B"/>
    <w:rsid w:val="00446719"/>
    <w:rsid w:val="00450EE8"/>
    <w:rsid w:val="004527FC"/>
    <w:rsid w:val="00453238"/>
    <w:rsid w:val="004544FD"/>
    <w:rsid w:val="004545DA"/>
    <w:rsid w:val="004551FC"/>
    <w:rsid w:val="00456F8F"/>
    <w:rsid w:val="00461195"/>
    <w:rsid w:val="0046304E"/>
    <w:rsid w:val="00463A6F"/>
    <w:rsid w:val="00465603"/>
    <w:rsid w:val="004668C4"/>
    <w:rsid w:val="004676B7"/>
    <w:rsid w:val="00471D36"/>
    <w:rsid w:val="00477075"/>
    <w:rsid w:val="004779BC"/>
    <w:rsid w:val="004807A8"/>
    <w:rsid w:val="00480F43"/>
    <w:rsid w:val="004836E0"/>
    <w:rsid w:val="0048387B"/>
    <w:rsid w:val="00485210"/>
    <w:rsid w:val="004901AA"/>
    <w:rsid w:val="004906EE"/>
    <w:rsid w:val="004926E0"/>
    <w:rsid w:val="004942DD"/>
    <w:rsid w:val="00496034"/>
    <w:rsid w:val="0049634E"/>
    <w:rsid w:val="004A0E07"/>
    <w:rsid w:val="004A1A45"/>
    <w:rsid w:val="004A2397"/>
    <w:rsid w:val="004A248E"/>
    <w:rsid w:val="004A29D1"/>
    <w:rsid w:val="004A3643"/>
    <w:rsid w:val="004A53C4"/>
    <w:rsid w:val="004A5766"/>
    <w:rsid w:val="004B2D78"/>
    <w:rsid w:val="004B4197"/>
    <w:rsid w:val="004B52DC"/>
    <w:rsid w:val="004B747E"/>
    <w:rsid w:val="004B7C66"/>
    <w:rsid w:val="004C26DD"/>
    <w:rsid w:val="004C3F4E"/>
    <w:rsid w:val="004C7780"/>
    <w:rsid w:val="004C7A0E"/>
    <w:rsid w:val="004C7FC2"/>
    <w:rsid w:val="004D168B"/>
    <w:rsid w:val="004D4576"/>
    <w:rsid w:val="004D54FF"/>
    <w:rsid w:val="004D5C4C"/>
    <w:rsid w:val="004E6184"/>
    <w:rsid w:val="004E6B7C"/>
    <w:rsid w:val="004F1E97"/>
    <w:rsid w:val="004F50BF"/>
    <w:rsid w:val="004F5488"/>
    <w:rsid w:val="004F7C71"/>
    <w:rsid w:val="005016AC"/>
    <w:rsid w:val="00507B94"/>
    <w:rsid w:val="00510732"/>
    <w:rsid w:val="00511FDB"/>
    <w:rsid w:val="0051415E"/>
    <w:rsid w:val="00516CF2"/>
    <w:rsid w:val="0052191C"/>
    <w:rsid w:val="00522698"/>
    <w:rsid w:val="00523782"/>
    <w:rsid w:val="00526604"/>
    <w:rsid w:val="005275AC"/>
    <w:rsid w:val="00531DCD"/>
    <w:rsid w:val="005324AA"/>
    <w:rsid w:val="00533334"/>
    <w:rsid w:val="005344B0"/>
    <w:rsid w:val="00534ABA"/>
    <w:rsid w:val="00535875"/>
    <w:rsid w:val="00543A94"/>
    <w:rsid w:val="00543D2F"/>
    <w:rsid w:val="00544743"/>
    <w:rsid w:val="005457E6"/>
    <w:rsid w:val="0054757B"/>
    <w:rsid w:val="005511E0"/>
    <w:rsid w:val="005512AE"/>
    <w:rsid w:val="00551394"/>
    <w:rsid w:val="00552B2B"/>
    <w:rsid w:val="00557BC9"/>
    <w:rsid w:val="00557F68"/>
    <w:rsid w:val="00561B3E"/>
    <w:rsid w:val="00566081"/>
    <w:rsid w:val="005762EA"/>
    <w:rsid w:val="00576836"/>
    <w:rsid w:val="00576FE9"/>
    <w:rsid w:val="00577EF1"/>
    <w:rsid w:val="005811B0"/>
    <w:rsid w:val="00581895"/>
    <w:rsid w:val="00584AAD"/>
    <w:rsid w:val="00587909"/>
    <w:rsid w:val="00592BE4"/>
    <w:rsid w:val="005947BE"/>
    <w:rsid w:val="0059647F"/>
    <w:rsid w:val="00596988"/>
    <w:rsid w:val="00597BA2"/>
    <w:rsid w:val="005A06DA"/>
    <w:rsid w:val="005A0733"/>
    <w:rsid w:val="005A09FE"/>
    <w:rsid w:val="005A136D"/>
    <w:rsid w:val="005A3043"/>
    <w:rsid w:val="005A3204"/>
    <w:rsid w:val="005A64EF"/>
    <w:rsid w:val="005B0E99"/>
    <w:rsid w:val="005B25EA"/>
    <w:rsid w:val="005B311D"/>
    <w:rsid w:val="005B3235"/>
    <w:rsid w:val="005B3AF7"/>
    <w:rsid w:val="005B458C"/>
    <w:rsid w:val="005B489E"/>
    <w:rsid w:val="005B4967"/>
    <w:rsid w:val="005B63E7"/>
    <w:rsid w:val="005C02D2"/>
    <w:rsid w:val="005C0B45"/>
    <w:rsid w:val="005C24FC"/>
    <w:rsid w:val="005C2796"/>
    <w:rsid w:val="005C62A5"/>
    <w:rsid w:val="005D3B26"/>
    <w:rsid w:val="005D642F"/>
    <w:rsid w:val="005D6CB8"/>
    <w:rsid w:val="005E18AC"/>
    <w:rsid w:val="005E1F8C"/>
    <w:rsid w:val="005E58D9"/>
    <w:rsid w:val="005E6174"/>
    <w:rsid w:val="005E65DB"/>
    <w:rsid w:val="005F1E51"/>
    <w:rsid w:val="005F2A61"/>
    <w:rsid w:val="005F690C"/>
    <w:rsid w:val="005F697A"/>
    <w:rsid w:val="005F7D96"/>
    <w:rsid w:val="006037E1"/>
    <w:rsid w:val="00605B28"/>
    <w:rsid w:val="00606450"/>
    <w:rsid w:val="00606A21"/>
    <w:rsid w:val="00610F4E"/>
    <w:rsid w:val="0061174E"/>
    <w:rsid w:val="006136F9"/>
    <w:rsid w:val="00613792"/>
    <w:rsid w:val="00615786"/>
    <w:rsid w:val="0062026B"/>
    <w:rsid w:val="006213F0"/>
    <w:rsid w:val="0062439F"/>
    <w:rsid w:val="006430EE"/>
    <w:rsid w:val="006468B6"/>
    <w:rsid w:val="00651040"/>
    <w:rsid w:val="006526AA"/>
    <w:rsid w:val="006526D4"/>
    <w:rsid w:val="00655EF8"/>
    <w:rsid w:val="006600B0"/>
    <w:rsid w:val="00660DC4"/>
    <w:rsid w:val="00662113"/>
    <w:rsid w:val="00662F89"/>
    <w:rsid w:val="00663B7A"/>
    <w:rsid w:val="006655FB"/>
    <w:rsid w:val="00665C5A"/>
    <w:rsid w:val="00666007"/>
    <w:rsid w:val="00671223"/>
    <w:rsid w:val="00675E42"/>
    <w:rsid w:val="006762C0"/>
    <w:rsid w:val="00680A21"/>
    <w:rsid w:val="0068136C"/>
    <w:rsid w:val="00686993"/>
    <w:rsid w:val="006904BA"/>
    <w:rsid w:val="00694057"/>
    <w:rsid w:val="00696231"/>
    <w:rsid w:val="00697F62"/>
    <w:rsid w:val="006A242E"/>
    <w:rsid w:val="006A26EE"/>
    <w:rsid w:val="006B0165"/>
    <w:rsid w:val="006B2ADD"/>
    <w:rsid w:val="006C23CD"/>
    <w:rsid w:val="006C698E"/>
    <w:rsid w:val="006C7521"/>
    <w:rsid w:val="006D07E5"/>
    <w:rsid w:val="006D159F"/>
    <w:rsid w:val="006D1D82"/>
    <w:rsid w:val="006D274B"/>
    <w:rsid w:val="006D4E19"/>
    <w:rsid w:val="006D5D7F"/>
    <w:rsid w:val="006D6EFB"/>
    <w:rsid w:val="006D7ED0"/>
    <w:rsid w:val="006E1AB4"/>
    <w:rsid w:val="006E2308"/>
    <w:rsid w:val="006E3BDF"/>
    <w:rsid w:val="006F213E"/>
    <w:rsid w:val="006F2951"/>
    <w:rsid w:val="006F33E4"/>
    <w:rsid w:val="006F38F9"/>
    <w:rsid w:val="006F57C7"/>
    <w:rsid w:val="006F6F5F"/>
    <w:rsid w:val="007012C9"/>
    <w:rsid w:val="00706644"/>
    <w:rsid w:val="00706873"/>
    <w:rsid w:val="00707AD8"/>
    <w:rsid w:val="00713669"/>
    <w:rsid w:val="007166A3"/>
    <w:rsid w:val="00720108"/>
    <w:rsid w:val="00720932"/>
    <w:rsid w:val="00732756"/>
    <w:rsid w:val="00735324"/>
    <w:rsid w:val="00740F06"/>
    <w:rsid w:val="00741FCA"/>
    <w:rsid w:val="007444F7"/>
    <w:rsid w:val="00747644"/>
    <w:rsid w:val="00747BB2"/>
    <w:rsid w:val="00750CEE"/>
    <w:rsid w:val="00751639"/>
    <w:rsid w:val="00754B3B"/>
    <w:rsid w:val="007620DD"/>
    <w:rsid w:val="00763FBA"/>
    <w:rsid w:val="00767211"/>
    <w:rsid w:val="007730E2"/>
    <w:rsid w:val="00774083"/>
    <w:rsid w:val="00780407"/>
    <w:rsid w:val="007810CF"/>
    <w:rsid w:val="00782794"/>
    <w:rsid w:val="00785BF2"/>
    <w:rsid w:val="00791AC4"/>
    <w:rsid w:val="00791DB6"/>
    <w:rsid w:val="00794A4A"/>
    <w:rsid w:val="0079692D"/>
    <w:rsid w:val="00797D9E"/>
    <w:rsid w:val="007A1267"/>
    <w:rsid w:val="007A19F7"/>
    <w:rsid w:val="007A3034"/>
    <w:rsid w:val="007A6416"/>
    <w:rsid w:val="007A79CE"/>
    <w:rsid w:val="007C06E4"/>
    <w:rsid w:val="007C10E9"/>
    <w:rsid w:val="007C1E55"/>
    <w:rsid w:val="007C2126"/>
    <w:rsid w:val="007C7600"/>
    <w:rsid w:val="007D0F4F"/>
    <w:rsid w:val="007D43D3"/>
    <w:rsid w:val="007D51C6"/>
    <w:rsid w:val="007E04D2"/>
    <w:rsid w:val="007E12E0"/>
    <w:rsid w:val="007E26DC"/>
    <w:rsid w:val="007E4720"/>
    <w:rsid w:val="007E5582"/>
    <w:rsid w:val="007F1613"/>
    <w:rsid w:val="007F1DCF"/>
    <w:rsid w:val="007F3077"/>
    <w:rsid w:val="00802D60"/>
    <w:rsid w:val="00804371"/>
    <w:rsid w:val="00804E30"/>
    <w:rsid w:val="00805F34"/>
    <w:rsid w:val="008069C0"/>
    <w:rsid w:val="0080704C"/>
    <w:rsid w:val="008073A5"/>
    <w:rsid w:val="0080794A"/>
    <w:rsid w:val="00810A8F"/>
    <w:rsid w:val="0081206B"/>
    <w:rsid w:val="008129A0"/>
    <w:rsid w:val="00816297"/>
    <w:rsid w:val="00817590"/>
    <w:rsid w:val="00822824"/>
    <w:rsid w:val="00822AD4"/>
    <w:rsid w:val="0082356B"/>
    <w:rsid w:val="00830278"/>
    <w:rsid w:val="008324AA"/>
    <w:rsid w:val="00833CB3"/>
    <w:rsid w:val="00834D44"/>
    <w:rsid w:val="00837D78"/>
    <w:rsid w:val="00840512"/>
    <w:rsid w:val="008416AF"/>
    <w:rsid w:val="0084390D"/>
    <w:rsid w:val="0084441A"/>
    <w:rsid w:val="008450AD"/>
    <w:rsid w:val="00845ADE"/>
    <w:rsid w:val="00847407"/>
    <w:rsid w:val="008517C7"/>
    <w:rsid w:val="00853768"/>
    <w:rsid w:val="00856341"/>
    <w:rsid w:val="00864A80"/>
    <w:rsid w:val="00864DC7"/>
    <w:rsid w:val="008676E9"/>
    <w:rsid w:val="008716B7"/>
    <w:rsid w:val="008725C7"/>
    <w:rsid w:val="008766EB"/>
    <w:rsid w:val="00877923"/>
    <w:rsid w:val="00877DE6"/>
    <w:rsid w:val="0088493C"/>
    <w:rsid w:val="0088521C"/>
    <w:rsid w:val="00890D17"/>
    <w:rsid w:val="0089135A"/>
    <w:rsid w:val="0089407A"/>
    <w:rsid w:val="00894697"/>
    <w:rsid w:val="0089485E"/>
    <w:rsid w:val="00897A00"/>
    <w:rsid w:val="008A0139"/>
    <w:rsid w:val="008A070E"/>
    <w:rsid w:val="008A311C"/>
    <w:rsid w:val="008A3F1E"/>
    <w:rsid w:val="008A6547"/>
    <w:rsid w:val="008B1CE2"/>
    <w:rsid w:val="008C118A"/>
    <w:rsid w:val="008C1DF0"/>
    <w:rsid w:val="008C4A01"/>
    <w:rsid w:val="008C6DB7"/>
    <w:rsid w:val="008C71DB"/>
    <w:rsid w:val="008D2B7F"/>
    <w:rsid w:val="008D50D7"/>
    <w:rsid w:val="008D7D45"/>
    <w:rsid w:val="008E1694"/>
    <w:rsid w:val="008E42CA"/>
    <w:rsid w:val="008E6041"/>
    <w:rsid w:val="008E7452"/>
    <w:rsid w:val="008F0E85"/>
    <w:rsid w:val="008F0F3D"/>
    <w:rsid w:val="008F2C35"/>
    <w:rsid w:val="008F4767"/>
    <w:rsid w:val="008F47BF"/>
    <w:rsid w:val="008F798E"/>
    <w:rsid w:val="00904161"/>
    <w:rsid w:val="009060FE"/>
    <w:rsid w:val="009113B0"/>
    <w:rsid w:val="00917D5C"/>
    <w:rsid w:val="00922C81"/>
    <w:rsid w:val="00924349"/>
    <w:rsid w:val="00924B41"/>
    <w:rsid w:val="0092637B"/>
    <w:rsid w:val="00926C73"/>
    <w:rsid w:val="00934101"/>
    <w:rsid w:val="00935918"/>
    <w:rsid w:val="009363B4"/>
    <w:rsid w:val="00940E5E"/>
    <w:rsid w:val="00941FCC"/>
    <w:rsid w:val="0094344A"/>
    <w:rsid w:val="00943D10"/>
    <w:rsid w:val="009455C5"/>
    <w:rsid w:val="0094659B"/>
    <w:rsid w:val="0094704E"/>
    <w:rsid w:val="009521D5"/>
    <w:rsid w:val="009539F7"/>
    <w:rsid w:val="009543BC"/>
    <w:rsid w:val="00961949"/>
    <w:rsid w:val="00965165"/>
    <w:rsid w:val="009654E6"/>
    <w:rsid w:val="009654FF"/>
    <w:rsid w:val="00967028"/>
    <w:rsid w:val="00972447"/>
    <w:rsid w:val="00973AD1"/>
    <w:rsid w:val="00976EB0"/>
    <w:rsid w:val="00983784"/>
    <w:rsid w:val="0098681A"/>
    <w:rsid w:val="0099213E"/>
    <w:rsid w:val="00997268"/>
    <w:rsid w:val="00997DF8"/>
    <w:rsid w:val="009A1457"/>
    <w:rsid w:val="009A233F"/>
    <w:rsid w:val="009A4FA9"/>
    <w:rsid w:val="009A685E"/>
    <w:rsid w:val="009B41F9"/>
    <w:rsid w:val="009B4949"/>
    <w:rsid w:val="009B67F8"/>
    <w:rsid w:val="009C18B9"/>
    <w:rsid w:val="009C3A76"/>
    <w:rsid w:val="009C5F4C"/>
    <w:rsid w:val="009C67C2"/>
    <w:rsid w:val="009E0618"/>
    <w:rsid w:val="009E12F3"/>
    <w:rsid w:val="009E20F9"/>
    <w:rsid w:val="009E2753"/>
    <w:rsid w:val="009E531C"/>
    <w:rsid w:val="009E7A87"/>
    <w:rsid w:val="009E7C64"/>
    <w:rsid w:val="009F15BC"/>
    <w:rsid w:val="009F2FDE"/>
    <w:rsid w:val="009F69D9"/>
    <w:rsid w:val="00A01CA1"/>
    <w:rsid w:val="00A0315C"/>
    <w:rsid w:val="00A0332E"/>
    <w:rsid w:val="00A060CB"/>
    <w:rsid w:val="00A06D0F"/>
    <w:rsid w:val="00A07EEE"/>
    <w:rsid w:val="00A14B57"/>
    <w:rsid w:val="00A15273"/>
    <w:rsid w:val="00A159A7"/>
    <w:rsid w:val="00A16658"/>
    <w:rsid w:val="00A3068D"/>
    <w:rsid w:val="00A34406"/>
    <w:rsid w:val="00A3537C"/>
    <w:rsid w:val="00A45264"/>
    <w:rsid w:val="00A4662F"/>
    <w:rsid w:val="00A541D0"/>
    <w:rsid w:val="00A5511D"/>
    <w:rsid w:val="00A55AA4"/>
    <w:rsid w:val="00A55F33"/>
    <w:rsid w:val="00A618E1"/>
    <w:rsid w:val="00A61C93"/>
    <w:rsid w:val="00A63B9C"/>
    <w:rsid w:val="00A63EE1"/>
    <w:rsid w:val="00A640B5"/>
    <w:rsid w:val="00A67530"/>
    <w:rsid w:val="00A71B13"/>
    <w:rsid w:val="00A734AF"/>
    <w:rsid w:val="00A7549F"/>
    <w:rsid w:val="00A831CB"/>
    <w:rsid w:val="00A8355F"/>
    <w:rsid w:val="00A92FA5"/>
    <w:rsid w:val="00A95BE9"/>
    <w:rsid w:val="00AA01B3"/>
    <w:rsid w:val="00AA0B0A"/>
    <w:rsid w:val="00AB1238"/>
    <w:rsid w:val="00AB1B1D"/>
    <w:rsid w:val="00AB3BAE"/>
    <w:rsid w:val="00AB7B86"/>
    <w:rsid w:val="00AC2529"/>
    <w:rsid w:val="00AC391E"/>
    <w:rsid w:val="00AC651E"/>
    <w:rsid w:val="00AD03D9"/>
    <w:rsid w:val="00AD16E0"/>
    <w:rsid w:val="00AD3BD5"/>
    <w:rsid w:val="00AE17A9"/>
    <w:rsid w:val="00AE332C"/>
    <w:rsid w:val="00AE6ACF"/>
    <w:rsid w:val="00AE7AB0"/>
    <w:rsid w:val="00AF1C92"/>
    <w:rsid w:val="00B024C3"/>
    <w:rsid w:val="00B03219"/>
    <w:rsid w:val="00B063CE"/>
    <w:rsid w:val="00B06933"/>
    <w:rsid w:val="00B07D1D"/>
    <w:rsid w:val="00B1167B"/>
    <w:rsid w:val="00B120A4"/>
    <w:rsid w:val="00B126FA"/>
    <w:rsid w:val="00B139B2"/>
    <w:rsid w:val="00B1718B"/>
    <w:rsid w:val="00B26209"/>
    <w:rsid w:val="00B26DE8"/>
    <w:rsid w:val="00B30C3D"/>
    <w:rsid w:val="00B3134D"/>
    <w:rsid w:val="00B32E9A"/>
    <w:rsid w:val="00B3443F"/>
    <w:rsid w:val="00B355DC"/>
    <w:rsid w:val="00B35D2D"/>
    <w:rsid w:val="00B3724E"/>
    <w:rsid w:val="00B4693E"/>
    <w:rsid w:val="00B47081"/>
    <w:rsid w:val="00B53C1C"/>
    <w:rsid w:val="00B5429D"/>
    <w:rsid w:val="00B54C28"/>
    <w:rsid w:val="00B571FC"/>
    <w:rsid w:val="00B575D3"/>
    <w:rsid w:val="00B60668"/>
    <w:rsid w:val="00B63155"/>
    <w:rsid w:val="00B63C9A"/>
    <w:rsid w:val="00B64700"/>
    <w:rsid w:val="00B70557"/>
    <w:rsid w:val="00B71187"/>
    <w:rsid w:val="00B72699"/>
    <w:rsid w:val="00B73E36"/>
    <w:rsid w:val="00B740DB"/>
    <w:rsid w:val="00B7641D"/>
    <w:rsid w:val="00B809C8"/>
    <w:rsid w:val="00B81692"/>
    <w:rsid w:val="00B84555"/>
    <w:rsid w:val="00B84B7F"/>
    <w:rsid w:val="00B850F8"/>
    <w:rsid w:val="00B87BFF"/>
    <w:rsid w:val="00B91CE6"/>
    <w:rsid w:val="00B9237E"/>
    <w:rsid w:val="00B9262C"/>
    <w:rsid w:val="00B9331E"/>
    <w:rsid w:val="00B937F8"/>
    <w:rsid w:val="00B95393"/>
    <w:rsid w:val="00B965DA"/>
    <w:rsid w:val="00B97A0E"/>
    <w:rsid w:val="00BA201C"/>
    <w:rsid w:val="00BA2965"/>
    <w:rsid w:val="00BA4C7D"/>
    <w:rsid w:val="00BA4FF1"/>
    <w:rsid w:val="00BA7F23"/>
    <w:rsid w:val="00BB39CC"/>
    <w:rsid w:val="00BB57B8"/>
    <w:rsid w:val="00BD076B"/>
    <w:rsid w:val="00BD0A3D"/>
    <w:rsid w:val="00BD3E47"/>
    <w:rsid w:val="00BD5808"/>
    <w:rsid w:val="00BD6B57"/>
    <w:rsid w:val="00BD76CC"/>
    <w:rsid w:val="00BE0105"/>
    <w:rsid w:val="00BE2CBC"/>
    <w:rsid w:val="00BE385F"/>
    <w:rsid w:val="00BE407A"/>
    <w:rsid w:val="00BE58F6"/>
    <w:rsid w:val="00BE7EB0"/>
    <w:rsid w:val="00BE7FCF"/>
    <w:rsid w:val="00BF0837"/>
    <w:rsid w:val="00BF0AA5"/>
    <w:rsid w:val="00BF28FB"/>
    <w:rsid w:val="00BF2C81"/>
    <w:rsid w:val="00BF473F"/>
    <w:rsid w:val="00BF4E97"/>
    <w:rsid w:val="00C005AB"/>
    <w:rsid w:val="00C01C58"/>
    <w:rsid w:val="00C030C1"/>
    <w:rsid w:val="00C05C46"/>
    <w:rsid w:val="00C079BC"/>
    <w:rsid w:val="00C13EC1"/>
    <w:rsid w:val="00C141F8"/>
    <w:rsid w:val="00C142FC"/>
    <w:rsid w:val="00C20437"/>
    <w:rsid w:val="00C2098D"/>
    <w:rsid w:val="00C2419E"/>
    <w:rsid w:val="00C249B4"/>
    <w:rsid w:val="00C2537B"/>
    <w:rsid w:val="00C265CC"/>
    <w:rsid w:val="00C270F7"/>
    <w:rsid w:val="00C331BE"/>
    <w:rsid w:val="00C34E5B"/>
    <w:rsid w:val="00C3523F"/>
    <w:rsid w:val="00C36836"/>
    <w:rsid w:val="00C375F4"/>
    <w:rsid w:val="00C42046"/>
    <w:rsid w:val="00C44CAA"/>
    <w:rsid w:val="00C453D9"/>
    <w:rsid w:val="00C471AE"/>
    <w:rsid w:val="00C514A1"/>
    <w:rsid w:val="00C54AD3"/>
    <w:rsid w:val="00C55A0B"/>
    <w:rsid w:val="00C579C2"/>
    <w:rsid w:val="00C618CC"/>
    <w:rsid w:val="00C62B67"/>
    <w:rsid w:val="00C760F9"/>
    <w:rsid w:val="00C7675D"/>
    <w:rsid w:val="00C92EEE"/>
    <w:rsid w:val="00C951EE"/>
    <w:rsid w:val="00C95A6B"/>
    <w:rsid w:val="00CA1A33"/>
    <w:rsid w:val="00CA2657"/>
    <w:rsid w:val="00CA5253"/>
    <w:rsid w:val="00CA57FB"/>
    <w:rsid w:val="00CA621B"/>
    <w:rsid w:val="00CA70BF"/>
    <w:rsid w:val="00CB2D38"/>
    <w:rsid w:val="00CB4672"/>
    <w:rsid w:val="00CB6096"/>
    <w:rsid w:val="00CB6144"/>
    <w:rsid w:val="00CB68C1"/>
    <w:rsid w:val="00CC3EFA"/>
    <w:rsid w:val="00CC3F3C"/>
    <w:rsid w:val="00CC51BE"/>
    <w:rsid w:val="00CC5AC4"/>
    <w:rsid w:val="00CC631E"/>
    <w:rsid w:val="00CC74FB"/>
    <w:rsid w:val="00CD112D"/>
    <w:rsid w:val="00CE138B"/>
    <w:rsid w:val="00CE403C"/>
    <w:rsid w:val="00CE60E6"/>
    <w:rsid w:val="00CE6D99"/>
    <w:rsid w:val="00CE7C83"/>
    <w:rsid w:val="00CF03C9"/>
    <w:rsid w:val="00CF137B"/>
    <w:rsid w:val="00CF219C"/>
    <w:rsid w:val="00CF4BC7"/>
    <w:rsid w:val="00CF72AB"/>
    <w:rsid w:val="00D036F0"/>
    <w:rsid w:val="00D05E91"/>
    <w:rsid w:val="00D06756"/>
    <w:rsid w:val="00D0739A"/>
    <w:rsid w:val="00D10012"/>
    <w:rsid w:val="00D128AA"/>
    <w:rsid w:val="00D147A6"/>
    <w:rsid w:val="00D15194"/>
    <w:rsid w:val="00D16360"/>
    <w:rsid w:val="00D20BBC"/>
    <w:rsid w:val="00D2167F"/>
    <w:rsid w:val="00D24674"/>
    <w:rsid w:val="00D248B3"/>
    <w:rsid w:val="00D25E75"/>
    <w:rsid w:val="00D2761D"/>
    <w:rsid w:val="00D30585"/>
    <w:rsid w:val="00D30F61"/>
    <w:rsid w:val="00D367A7"/>
    <w:rsid w:val="00D412CF"/>
    <w:rsid w:val="00D420E1"/>
    <w:rsid w:val="00D43C52"/>
    <w:rsid w:val="00D46299"/>
    <w:rsid w:val="00D51A0C"/>
    <w:rsid w:val="00D52A94"/>
    <w:rsid w:val="00D54F33"/>
    <w:rsid w:val="00D55D32"/>
    <w:rsid w:val="00D56150"/>
    <w:rsid w:val="00D622A0"/>
    <w:rsid w:val="00D635A5"/>
    <w:rsid w:val="00D63C98"/>
    <w:rsid w:val="00D647FF"/>
    <w:rsid w:val="00D6511C"/>
    <w:rsid w:val="00D65CD6"/>
    <w:rsid w:val="00D67BD3"/>
    <w:rsid w:val="00D67F76"/>
    <w:rsid w:val="00D75A39"/>
    <w:rsid w:val="00D75DED"/>
    <w:rsid w:val="00D770AF"/>
    <w:rsid w:val="00D81D1D"/>
    <w:rsid w:val="00D83671"/>
    <w:rsid w:val="00D84361"/>
    <w:rsid w:val="00D87D8C"/>
    <w:rsid w:val="00D87FD6"/>
    <w:rsid w:val="00D92A34"/>
    <w:rsid w:val="00D92E65"/>
    <w:rsid w:val="00D94338"/>
    <w:rsid w:val="00D96BFA"/>
    <w:rsid w:val="00DA5170"/>
    <w:rsid w:val="00DB0452"/>
    <w:rsid w:val="00DB1929"/>
    <w:rsid w:val="00DB1AE4"/>
    <w:rsid w:val="00DB66C7"/>
    <w:rsid w:val="00DC009E"/>
    <w:rsid w:val="00DC021D"/>
    <w:rsid w:val="00DC0990"/>
    <w:rsid w:val="00DC2034"/>
    <w:rsid w:val="00DC5260"/>
    <w:rsid w:val="00DD0DBA"/>
    <w:rsid w:val="00DD0E90"/>
    <w:rsid w:val="00DD2D56"/>
    <w:rsid w:val="00DD5354"/>
    <w:rsid w:val="00DD7C20"/>
    <w:rsid w:val="00DE00D9"/>
    <w:rsid w:val="00DE0465"/>
    <w:rsid w:val="00DE6DAD"/>
    <w:rsid w:val="00DF146B"/>
    <w:rsid w:val="00DF3B43"/>
    <w:rsid w:val="00DF5495"/>
    <w:rsid w:val="00DF6E80"/>
    <w:rsid w:val="00DF70A7"/>
    <w:rsid w:val="00E0013A"/>
    <w:rsid w:val="00E00842"/>
    <w:rsid w:val="00E00ED3"/>
    <w:rsid w:val="00E0187B"/>
    <w:rsid w:val="00E039EB"/>
    <w:rsid w:val="00E03ACF"/>
    <w:rsid w:val="00E12211"/>
    <w:rsid w:val="00E124D3"/>
    <w:rsid w:val="00E150A5"/>
    <w:rsid w:val="00E155D1"/>
    <w:rsid w:val="00E20227"/>
    <w:rsid w:val="00E24D99"/>
    <w:rsid w:val="00E2578B"/>
    <w:rsid w:val="00E25C3B"/>
    <w:rsid w:val="00E261A5"/>
    <w:rsid w:val="00E2669D"/>
    <w:rsid w:val="00E31A30"/>
    <w:rsid w:val="00E32BDE"/>
    <w:rsid w:val="00E33311"/>
    <w:rsid w:val="00E34E51"/>
    <w:rsid w:val="00E36810"/>
    <w:rsid w:val="00E414CB"/>
    <w:rsid w:val="00E436F9"/>
    <w:rsid w:val="00E43D66"/>
    <w:rsid w:val="00E44C8B"/>
    <w:rsid w:val="00E45B76"/>
    <w:rsid w:val="00E47DEE"/>
    <w:rsid w:val="00E503E3"/>
    <w:rsid w:val="00E50D68"/>
    <w:rsid w:val="00E52C31"/>
    <w:rsid w:val="00E5320C"/>
    <w:rsid w:val="00E554F8"/>
    <w:rsid w:val="00E57224"/>
    <w:rsid w:val="00E60C5E"/>
    <w:rsid w:val="00E6768F"/>
    <w:rsid w:val="00E77852"/>
    <w:rsid w:val="00E805A5"/>
    <w:rsid w:val="00E80631"/>
    <w:rsid w:val="00E808E0"/>
    <w:rsid w:val="00E80C09"/>
    <w:rsid w:val="00E80D33"/>
    <w:rsid w:val="00E822B4"/>
    <w:rsid w:val="00E84312"/>
    <w:rsid w:val="00E8442E"/>
    <w:rsid w:val="00E85B9F"/>
    <w:rsid w:val="00E87D1A"/>
    <w:rsid w:val="00E936EF"/>
    <w:rsid w:val="00E97D0F"/>
    <w:rsid w:val="00EA06E4"/>
    <w:rsid w:val="00EA2BA6"/>
    <w:rsid w:val="00EA5A4D"/>
    <w:rsid w:val="00EB2C6A"/>
    <w:rsid w:val="00EB5C2F"/>
    <w:rsid w:val="00EB60EE"/>
    <w:rsid w:val="00EB6D39"/>
    <w:rsid w:val="00EB6F8E"/>
    <w:rsid w:val="00EC07D8"/>
    <w:rsid w:val="00EC2F6C"/>
    <w:rsid w:val="00EC5B52"/>
    <w:rsid w:val="00EC61D5"/>
    <w:rsid w:val="00EC68B8"/>
    <w:rsid w:val="00EC6AF8"/>
    <w:rsid w:val="00ED14EE"/>
    <w:rsid w:val="00ED1C2C"/>
    <w:rsid w:val="00ED3438"/>
    <w:rsid w:val="00ED37BC"/>
    <w:rsid w:val="00ED438D"/>
    <w:rsid w:val="00ED474B"/>
    <w:rsid w:val="00ED5D30"/>
    <w:rsid w:val="00EE3461"/>
    <w:rsid w:val="00EE70EA"/>
    <w:rsid w:val="00EE7581"/>
    <w:rsid w:val="00EE7CC4"/>
    <w:rsid w:val="00EF31FA"/>
    <w:rsid w:val="00EF53A8"/>
    <w:rsid w:val="00EF60D4"/>
    <w:rsid w:val="00F003D1"/>
    <w:rsid w:val="00F015F4"/>
    <w:rsid w:val="00F0168F"/>
    <w:rsid w:val="00F0193E"/>
    <w:rsid w:val="00F02478"/>
    <w:rsid w:val="00F04076"/>
    <w:rsid w:val="00F061D7"/>
    <w:rsid w:val="00F06A75"/>
    <w:rsid w:val="00F078A5"/>
    <w:rsid w:val="00F105E2"/>
    <w:rsid w:val="00F10918"/>
    <w:rsid w:val="00F1253B"/>
    <w:rsid w:val="00F126E5"/>
    <w:rsid w:val="00F1478B"/>
    <w:rsid w:val="00F14F28"/>
    <w:rsid w:val="00F17754"/>
    <w:rsid w:val="00F203C7"/>
    <w:rsid w:val="00F21E11"/>
    <w:rsid w:val="00F22807"/>
    <w:rsid w:val="00F22846"/>
    <w:rsid w:val="00F23181"/>
    <w:rsid w:val="00F253BA"/>
    <w:rsid w:val="00F26C09"/>
    <w:rsid w:val="00F32683"/>
    <w:rsid w:val="00F33FB7"/>
    <w:rsid w:val="00F35EC3"/>
    <w:rsid w:val="00F3656D"/>
    <w:rsid w:val="00F36EFC"/>
    <w:rsid w:val="00F371F5"/>
    <w:rsid w:val="00F37CCE"/>
    <w:rsid w:val="00F42B44"/>
    <w:rsid w:val="00F47F65"/>
    <w:rsid w:val="00F51E04"/>
    <w:rsid w:val="00F618F3"/>
    <w:rsid w:val="00F626B6"/>
    <w:rsid w:val="00F64203"/>
    <w:rsid w:val="00F644E2"/>
    <w:rsid w:val="00F70756"/>
    <w:rsid w:val="00F70761"/>
    <w:rsid w:val="00F70FB7"/>
    <w:rsid w:val="00F711A1"/>
    <w:rsid w:val="00F728F3"/>
    <w:rsid w:val="00F72A1F"/>
    <w:rsid w:val="00F76150"/>
    <w:rsid w:val="00F8154E"/>
    <w:rsid w:val="00F81F44"/>
    <w:rsid w:val="00F823CB"/>
    <w:rsid w:val="00F82680"/>
    <w:rsid w:val="00F82B71"/>
    <w:rsid w:val="00F84AD9"/>
    <w:rsid w:val="00F86D94"/>
    <w:rsid w:val="00F9060F"/>
    <w:rsid w:val="00F90A4E"/>
    <w:rsid w:val="00F9101A"/>
    <w:rsid w:val="00F93766"/>
    <w:rsid w:val="00F93AB7"/>
    <w:rsid w:val="00F95A16"/>
    <w:rsid w:val="00F95C2A"/>
    <w:rsid w:val="00F973CB"/>
    <w:rsid w:val="00FA28A9"/>
    <w:rsid w:val="00FA31BE"/>
    <w:rsid w:val="00FA36A6"/>
    <w:rsid w:val="00FA456B"/>
    <w:rsid w:val="00FA5105"/>
    <w:rsid w:val="00FA6A33"/>
    <w:rsid w:val="00FA77F6"/>
    <w:rsid w:val="00FA7C68"/>
    <w:rsid w:val="00FA7D89"/>
    <w:rsid w:val="00FB099E"/>
    <w:rsid w:val="00FB26CA"/>
    <w:rsid w:val="00FB40EB"/>
    <w:rsid w:val="00FB47C3"/>
    <w:rsid w:val="00FC16AC"/>
    <w:rsid w:val="00FC4136"/>
    <w:rsid w:val="00FC76F7"/>
    <w:rsid w:val="00FD1B99"/>
    <w:rsid w:val="00FD23E9"/>
    <w:rsid w:val="00FD403D"/>
    <w:rsid w:val="00FD4EBD"/>
    <w:rsid w:val="00FD5D2C"/>
    <w:rsid w:val="00FD6504"/>
    <w:rsid w:val="00FD6862"/>
    <w:rsid w:val="00FD6AC3"/>
    <w:rsid w:val="00FD701B"/>
    <w:rsid w:val="00FE0C6B"/>
    <w:rsid w:val="00FE763B"/>
    <w:rsid w:val="00FF194E"/>
    <w:rsid w:val="00FF355B"/>
    <w:rsid w:val="00FF64B0"/>
    <w:rsid w:val="00FF6B95"/>
    <w:rsid w:val="00FF6E85"/>
    <w:rsid w:val="066261A8"/>
    <w:rsid w:val="07C069F5"/>
    <w:rsid w:val="0B00353C"/>
    <w:rsid w:val="100A3D1A"/>
    <w:rsid w:val="14AFA7BA"/>
    <w:rsid w:val="14B489D0"/>
    <w:rsid w:val="156C0999"/>
    <w:rsid w:val="15EF0A1A"/>
    <w:rsid w:val="1818195D"/>
    <w:rsid w:val="18857A56"/>
    <w:rsid w:val="1DE4C58C"/>
    <w:rsid w:val="254EA946"/>
    <w:rsid w:val="26497897"/>
    <w:rsid w:val="296D3118"/>
    <w:rsid w:val="29B7422E"/>
    <w:rsid w:val="2A98A046"/>
    <w:rsid w:val="2B1D9E95"/>
    <w:rsid w:val="2B9D13BD"/>
    <w:rsid w:val="2F2D281C"/>
    <w:rsid w:val="3290E320"/>
    <w:rsid w:val="3388AE44"/>
    <w:rsid w:val="35A948F5"/>
    <w:rsid w:val="39EF44A8"/>
    <w:rsid w:val="3BD309F1"/>
    <w:rsid w:val="3CDAC556"/>
    <w:rsid w:val="4298CCB9"/>
    <w:rsid w:val="4313F65F"/>
    <w:rsid w:val="432C3FC1"/>
    <w:rsid w:val="444E2ED7"/>
    <w:rsid w:val="492C203C"/>
    <w:rsid w:val="4DB4CB81"/>
    <w:rsid w:val="4DEFB5CA"/>
    <w:rsid w:val="52E3D054"/>
    <w:rsid w:val="53AD17CC"/>
    <w:rsid w:val="580F20BD"/>
    <w:rsid w:val="617A13A4"/>
    <w:rsid w:val="651316EF"/>
    <w:rsid w:val="66B68344"/>
    <w:rsid w:val="6716A353"/>
    <w:rsid w:val="689F89D9"/>
    <w:rsid w:val="6C2643A4"/>
    <w:rsid w:val="6F46F6AE"/>
    <w:rsid w:val="6F8C1052"/>
    <w:rsid w:val="6FDE49F6"/>
    <w:rsid w:val="70B29723"/>
    <w:rsid w:val="74A5B69D"/>
    <w:rsid w:val="7A635C06"/>
    <w:rsid w:val="7B271588"/>
    <w:rsid w:val="7E471DE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8CB922"/>
  <w15:chartTrackingRefBased/>
  <w15:docId w15:val="{4469B5CF-F342-435B-8396-48F8BA0600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A0139"/>
    <w:pPr>
      <w:ind w:left="720"/>
      <w:contextualSpacing/>
    </w:pPr>
  </w:style>
  <w:style w:type="character" w:styleId="Hyperlink">
    <w:name w:val="Hyperlink"/>
    <w:basedOn w:val="DefaultParagraphFont"/>
    <w:uiPriority w:val="99"/>
    <w:unhideWhenUsed/>
    <w:rsid w:val="00B4693E"/>
    <w:rPr>
      <w:color w:val="0563C1"/>
      <w:u w:val="single"/>
    </w:rPr>
  </w:style>
  <w:style w:type="character" w:styleId="UnresolvedMention">
    <w:name w:val="Unresolved Mention"/>
    <w:basedOn w:val="DefaultParagraphFont"/>
    <w:uiPriority w:val="99"/>
    <w:semiHidden/>
    <w:unhideWhenUsed/>
    <w:rsid w:val="00D2761D"/>
    <w:rPr>
      <w:color w:val="605E5C"/>
      <w:shd w:val="clear" w:color="auto" w:fill="E1DFDD"/>
    </w:rPr>
  </w:style>
  <w:style w:type="character" w:styleId="FollowedHyperlink">
    <w:name w:val="FollowedHyperlink"/>
    <w:basedOn w:val="DefaultParagraphFont"/>
    <w:uiPriority w:val="99"/>
    <w:semiHidden/>
    <w:unhideWhenUsed/>
    <w:rsid w:val="0024332E"/>
    <w:rPr>
      <w:color w:val="954F72" w:themeColor="followedHyperlink"/>
      <w:u w:val="single"/>
    </w:rPr>
  </w:style>
  <w:style w:type="paragraph" w:styleId="Header">
    <w:name w:val="header"/>
    <w:basedOn w:val="Normal"/>
    <w:link w:val="HeaderChar"/>
    <w:uiPriority w:val="99"/>
    <w:unhideWhenUsed/>
    <w:rsid w:val="00D65CD6"/>
    <w:pPr>
      <w:tabs>
        <w:tab w:val="center" w:pos="4513"/>
        <w:tab w:val="right" w:pos="9026"/>
      </w:tabs>
      <w:spacing w:after="0" w:line="240" w:lineRule="auto"/>
    </w:pPr>
  </w:style>
  <w:style w:type="character" w:customStyle="1" w:styleId="HeaderChar">
    <w:name w:val="Header Char"/>
    <w:basedOn w:val="DefaultParagraphFont"/>
    <w:link w:val="Header"/>
    <w:uiPriority w:val="99"/>
    <w:rsid w:val="00D65CD6"/>
  </w:style>
  <w:style w:type="paragraph" w:styleId="Footer">
    <w:name w:val="footer"/>
    <w:basedOn w:val="Normal"/>
    <w:link w:val="FooterChar"/>
    <w:uiPriority w:val="99"/>
    <w:unhideWhenUsed/>
    <w:rsid w:val="00D65CD6"/>
    <w:pPr>
      <w:tabs>
        <w:tab w:val="center" w:pos="4513"/>
        <w:tab w:val="right" w:pos="9026"/>
      </w:tabs>
      <w:spacing w:after="0" w:line="240" w:lineRule="auto"/>
    </w:pPr>
  </w:style>
  <w:style w:type="character" w:customStyle="1" w:styleId="FooterChar">
    <w:name w:val="Footer Char"/>
    <w:basedOn w:val="DefaultParagraphFont"/>
    <w:link w:val="Footer"/>
    <w:uiPriority w:val="99"/>
    <w:rsid w:val="00D65CD6"/>
  </w:style>
  <w:style w:type="paragraph" w:styleId="Revision">
    <w:name w:val="Revision"/>
    <w:hidden/>
    <w:uiPriority w:val="99"/>
    <w:semiHidden/>
    <w:rsid w:val="00FA456B"/>
    <w:pPr>
      <w:spacing w:after="0" w:line="240" w:lineRule="auto"/>
    </w:pPr>
  </w:style>
  <w:style w:type="paragraph" w:styleId="FootnoteText">
    <w:name w:val="footnote text"/>
    <w:basedOn w:val="Normal"/>
    <w:link w:val="FootnoteTextChar"/>
    <w:uiPriority w:val="99"/>
    <w:semiHidden/>
    <w:unhideWhenUsed/>
    <w:rsid w:val="00EF53A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F53A8"/>
    <w:rPr>
      <w:sz w:val="20"/>
      <w:szCs w:val="20"/>
    </w:rPr>
  </w:style>
  <w:style w:type="character" w:styleId="FootnoteReference">
    <w:name w:val="footnote reference"/>
    <w:basedOn w:val="DefaultParagraphFont"/>
    <w:uiPriority w:val="99"/>
    <w:semiHidden/>
    <w:unhideWhenUsed/>
    <w:rsid w:val="00EF53A8"/>
    <w:rPr>
      <w:vertAlign w:val="superscript"/>
    </w:rPr>
  </w:style>
  <w:style w:type="character" w:styleId="CommentReference">
    <w:name w:val="annotation reference"/>
    <w:basedOn w:val="DefaultParagraphFont"/>
    <w:uiPriority w:val="99"/>
    <w:semiHidden/>
    <w:unhideWhenUsed/>
    <w:rsid w:val="00833CB3"/>
    <w:rPr>
      <w:sz w:val="16"/>
      <w:szCs w:val="16"/>
    </w:rPr>
  </w:style>
  <w:style w:type="paragraph" w:styleId="CommentText">
    <w:name w:val="annotation text"/>
    <w:basedOn w:val="Normal"/>
    <w:link w:val="CommentTextChar"/>
    <w:uiPriority w:val="99"/>
    <w:unhideWhenUsed/>
    <w:rsid w:val="00833CB3"/>
    <w:pPr>
      <w:spacing w:line="240" w:lineRule="auto"/>
    </w:pPr>
    <w:rPr>
      <w:sz w:val="20"/>
      <w:szCs w:val="20"/>
    </w:rPr>
  </w:style>
  <w:style w:type="character" w:customStyle="1" w:styleId="CommentTextChar">
    <w:name w:val="Comment Text Char"/>
    <w:basedOn w:val="DefaultParagraphFont"/>
    <w:link w:val="CommentText"/>
    <w:uiPriority w:val="99"/>
    <w:rsid w:val="00833CB3"/>
    <w:rPr>
      <w:sz w:val="20"/>
      <w:szCs w:val="20"/>
    </w:rPr>
  </w:style>
  <w:style w:type="paragraph" w:styleId="CommentSubject">
    <w:name w:val="annotation subject"/>
    <w:basedOn w:val="CommentText"/>
    <w:next w:val="CommentText"/>
    <w:link w:val="CommentSubjectChar"/>
    <w:uiPriority w:val="99"/>
    <w:semiHidden/>
    <w:unhideWhenUsed/>
    <w:rsid w:val="00833CB3"/>
    <w:rPr>
      <w:b/>
      <w:bCs/>
    </w:rPr>
  </w:style>
  <w:style w:type="character" w:customStyle="1" w:styleId="CommentSubjectChar">
    <w:name w:val="Comment Subject Char"/>
    <w:basedOn w:val="CommentTextChar"/>
    <w:link w:val="CommentSubject"/>
    <w:uiPriority w:val="99"/>
    <w:semiHidden/>
    <w:rsid w:val="00833CB3"/>
    <w:rPr>
      <w:b/>
      <w:bCs/>
      <w:sz w:val="20"/>
      <w:szCs w:val="20"/>
    </w:rPr>
  </w:style>
  <w:style w:type="table" w:styleId="TableGrid">
    <w:name w:val="Table Grid"/>
    <w:basedOn w:val="TableNormal"/>
    <w:uiPriority w:val="39"/>
    <w:rsid w:val="00F019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3350241">
      <w:bodyDiv w:val="1"/>
      <w:marLeft w:val="0"/>
      <w:marRight w:val="0"/>
      <w:marTop w:val="0"/>
      <w:marBottom w:val="0"/>
      <w:divBdr>
        <w:top w:val="none" w:sz="0" w:space="0" w:color="auto"/>
        <w:left w:val="none" w:sz="0" w:space="0" w:color="auto"/>
        <w:bottom w:val="none" w:sz="0" w:space="0" w:color="auto"/>
        <w:right w:val="none" w:sz="0" w:space="0" w:color="auto"/>
      </w:divBdr>
    </w:div>
    <w:div w:id="269556603">
      <w:bodyDiv w:val="1"/>
      <w:marLeft w:val="0"/>
      <w:marRight w:val="0"/>
      <w:marTop w:val="0"/>
      <w:marBottom w:val="0"/>
      <w:divBdr>
        <w:top w:val="none" w:sz="0" w:space="0" w:color="auto"/>
        <w:left w:val="none" w:sz="0" w:space="0" w:color="auto"/>
        <w:bottom w:val="none" w:sz="0" w:space="0" w:color="auto"/>
        <w:right w:val="none" w:sz="0" w:space="0" w:color="auto"/>
      </w:divBdr>
    </w:div>
    <w:div w:id="614479149">
      <w:bodyDiv w:val="1"/>
      <w:marLeft w:val="0"/>
      <w:marRight w:val="0"/>
      <w:marTop w:val="0"/>
      <w:marBottom w:val="0"/>
      <w:divBdr>
        <w:top w:val="none" w:sz="0" w:space="0" w:color="auto"/>
        <w:left w:val="none" w:sz="0" w:space="0" w:color="auto"/>
        <w:bottom w:val="none" w:sz="0" w:space="0" w:color="auto"/>
        <w:right w:val="none" w:sz="0" w:space="0" w:color="auto"/>
      </w:divBdr>
    </w:div>
    <w:div w:id="619997486">
      <w:bodyDiv w:val="1"/>
      <w:marLeft w:val="0"/>
      <w:marRight w:val="0"/>
      <w:marTop w:val="0"/>
      <w:marBottom w:val="0"/>
      <w:divBdr>
        <w:top w:val="none" w:sz="0" w:space="0" w:color="auto"/>
        <w:left w:val="none" w:sz="0" w:space="0" w:color="auto"/>
        <w:bottom w:val="none" w:sz="0" w:space="0" w:color="auto"/>
        <w:right w:val="none" w:sz="0" w:space="0" w:color="auto"/>
      </w:divBdr>
    </w:div>
    <w:div w:id="761414671">
      <w:bodyDiv w:val="1"/>
      <w:marLeft w:val="0"/>
      <w:marRight w:val="0"/>
      <w:marTop w:val="0"/>
      <w:marBottom w:val="0"/>
      <w:divBdr>
        <w:top w:val="none" w:sz="0" w:space="0" w:color="auto"/>
        <w:left w:val="none" w:sz="0" w:space="0" w:color="auto"/>
        <w:bottom w:val="none" w:sz="0" w:space="0" w:color="auto"/>
        <w:right w:val="none" w:sz="0" w:space="0" w:color="auto"/>
      </w:divBdr>
    </w:div>
    <w:div w:id="761879782">
      <w:bodyDiv w:val="1"/>
      <w:marLeft w:val="0"/>
      <w:marRight w:val="0"/>
      <w:marTop w:val="0"/>
      <w:marBottom w:val="0"/>
      <w:divBdr>
        <w:top w:val="none" w:sz="0" w:space="0" w:color="auto"/>
        <w:left w:val="none" w:sz="0" w:space="0" w:color="auto"/>
        <w:bottom w:val="none" w:sz="0" w:space="0" w:color="auto"/>
        <w:right w:val="none" w:sz="0" w:space="0" w:color="auto"/>
      </w:divBdr>
    </w:div>
    <w:div w:id="1241477904">
      <w:bodyDiv w:val="1"/>
      <w:marLeft w:val="0"/>
      <w:marRight w:val="0"/>
      <w:marTop w:val="0"/>
      <w:marBottom w:val="0"/>
      <w:divBdr>
        <w:top w:val="none" w:sz="0" w:space="0" w:color="auto"/>
        <w:left w:val="none" w:sz="0" w:space="0" w:color="auto"/>
        <w:bottom w:val="none" w:sz="0" w:space="0" w:color="auto"/>
        <w:right w:val="none" w:sz="0" w:space="0" w:color="auto"/>
      </w:divBdr>
    </w:div>
    <w:div w:id="1513185713">
      <w:bodyDiv w:val="1"/>
      <w:marLeft w:val="0"/>
      <w:marRight w:val="0"/>
      <w:marTop w:val="0"/>
      <w:marBottom w:val="0"/>
      <w:divBdr>
        <w:top w:val="none" w:sz="0" w:space="0" w:color="auto"/>
        <w:left w:val="none" w:sz="0" w:space="0" w:color="auto"/>
        <w:bottom w:val="none" w:sz="0" w:space="0" w:color="auto"/>
        <w:right w:val="none" w:sz="0" w:space="0" w:color="auto"/>
      </w:divBdr>
    </w:div>
    <w:div w:id="1751808186">
      <w:bodyDiv w:val="1"/>
      <w:marLeft w:val="0"/>
      <w:marRight w:val="0"/>
      <w:marTop w:val="0"/>
      <w:marBottom w:val="0"/>
      <w:divBdr>
        <w:top w:val="none" w:sz="0" w:space="0" w:color="auto"/>
        <w:left w:val="none" w:sz="0" w:space="0" w:color="auto"/>
        <w:bottom w:val="none" w:sz="0" w:space="0" w:color="auto"/>
        <w:right w:val="none" w:sz="0" w:space="0" w:color="auto"/>
      </w:divBdr>
    </w:div>
    <w:div w:id="1787576196">
      <w:bodyDiv w:val="1"/>
      <w:marLeft w:val="0"/>
      <w:marRight w:val="0"/>
      <w:marTop w:val="0"/>
      <w:marBottom w:val="0"/>
      <w:divBdr>
        <w:top w:val="none" w:sz="0" w:space="0" w:color="auto"/>
        <w:left w:val="none" w:sz="0" w:space="0" w:color="auto"/>
        <w:bottom w:val="none" w:sz="0" w:space="0" w:color="auto"/>
        <w:right w:val="none" w:sz="0" w:space="0" w:color="auto"/>
      </w:divBdr>
    </w:div>
    <w:div w:id="1906262794">
      <w:bodyDiv w:val="1"/>
      <w:marLeft w:val="0"/>
      <w:marRight w:val="0"/>
      <w:marTop w:val="0"/>
      <w:marBottom w:val="0"/>
      <w:divBdr>
        <w:top w:val="none" w:sz="0" w:space="0" w:color="auto"/>
        <w:left w:val="none" w:sz="0" w:space="0" w:color="auto"/>
        <w:bottom w:val="none" w:sz="0" w:space="0" w:color="auto"/>
        <w:right w:val="none" w:sz="0" w:space="0" w:color="auto"/>
      </w:divBdr>
    </w:div>
    <w:div w:id="2084139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sma.europa.e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6C2D16-94E3-4B70-BF5E-75819CC4D2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1408</Words>
  <Characters>8026</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Morningstar</Company>
  <LinksUpToDate>false</LinksUpToDate>
  <CharactersWithSpaces>9416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Arthur Carabia</dc:creator>
  <cp:keywords/>
  <dc:description/>
  <cp:lastModifiedBy>Andy Pettit</cp:lastModifiedBy>
  <cp:revision>92</cp:revision>
  <cp:lastPrinted>2024-06-05T13:30:00Z</cp:lastPrinted>
  <dcterms:created xsi:type="dcterms:W3CDTF">2025-01-22T12:47:00Z</dcterms:created>
  <dcterms:modified xsi:type="dcterms:W3CDTF">2025-01-27T16:21:00Z</dcterms:modified>
</cp:coreProperties>
</file>