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01438AE1" w14:textId="2ED61AF3" w:rsidR="00563C1F" w:rsidRDefault="00EC6066" w:rsidP="00F72D28">
          <w:pPr>
            <w:pStyle w:val="Titolo"/>
          </w:pPr>
          <w:r>
            <w:t xml:space="preserve">Reply </w:t>
          </w:r>
          <w:r w:rsidR="00DD03DC">
            <w:t>F</w:t>
          </w:r>
          <w:r>
            <w:t>orm</w:t>
          </w:r>
        </w:p>
        <w:p w14:paraId="031F2108" w14:textId="0BCCFFED" w:rsidR="007E7997" w:rsidRPr="00C01571" w:rsidRDefault="00D77369" w:rsidP="00D77369">
          <w:pPr>
            <w:pStyle w:val="Sottotitolo"/>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ottotitolo"/>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Paragrafoelenco"/>
            <w:rPr>
              <w:lang w:val="en-GB"/>
            </w:rPr>
          </w:pPr>
          <w:r w:rsidRPr="00DB2FD6">
            <w:rPr>
              <w:lang w:val="en-GB"/>
            </w:rPr>
            <w:t>respond to the question stated;</w:t>
          </w:r>
        </w:p>
        <w:p w14:paraId="72FD40F6" w14:textId="77777777" w:rsidR="002533FC" w:rsidRPr="00DB2FD6" w:rsidRDefault="002533FC" w:rsidP="00EC6066">
          <w:pPr>
            <w:pStyle w:val="Paragrafoelenco"/>
            <w:rPr>
              <w:lang w:val="en-GB"/>
            </w:rPr>
          </w:pPr>
          <w:r w:rsidRPr="00DB2FD6">
            <w:rPr>
              <w:lang w:val="en-GB"/>
            </w:rPr>
            <w:t>indicate the specific question to which the comment relates;</w:t>
          </w:r>
        </w:p>
        <w:p w14:paraId="78B206B7" w14:textId="77777777" w:rsidR="002533FC" w:rsidRPr="00E13D25" w:rsidRDefault="002533FC" w:rsidP="00EC6066">
          <w:pPr>
            <w:pStyle w:val="Paragrafoelenco"/>
          </w:pPr>
          <w:r w:rsidRPr="00E13D25">
            <w:t>contain a clear rationale; and</w:t>
          </w:r>
        </w:p>
        <w:p w14:paraId="60B8834E" w14:textId="77777777" w:rsidR="002533FC" w:rsidRPr="00DB2FD6" w:rsidRDefault="002533FC" w:rsidP="00EC6066">
          <w:pPr>
            <w:pStyle w:val="Paragrafoelenco"/>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Collegamentoipertestuale"/>
              </w:rPr>
              <w:t>www.esma.europa.eu</w:t>
            </w:r>
          </w:hyperlink>
          <w:r w:rsidRPr="005B6B12">
            <w:t xml:space="preserve"> under the heading ‘Your input - Consultations’. </w:t>
          </w:r>
        </w:p>
        <w:p w14:paraId="5E44C845" w14:textId="77777777" w:rsidR="00EC6066" w:rsidRPr="0026459D" w:rsidRDefault="00EC6066" w:rsidP="00EC6066">
          <w:pPr>
            <w:pStyle w:val="Sottotitolo"/>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Collegamentoipertestuale"/>
              </w:rPr>
              <w:t>www.esma.europa.eu</w:t>
            </w:r>
          </w:hyperlink>
          <w:r w:rsidRPr="005B6B12">
            <w:t xml:space="preserve"> under the heading </w:t>
          </w:r>
          <w:r w:rsidRPr="00025A7F">
            <w:rPr>
              <w:rStyle w:val="Collegamentoipertestuale"/>
            </w:rPr>
            <w:t>‘</w:t>
          </w:r>
          <w:hyperlink r:id="rId17" w:history="1">
            <w:r>
              <w:rPr>
                <w:rStyle w:val="Collegamentoipertestuale"/>
              </w:rPr>
              <w:t>Data protection</w:t>
            </w:r>
          </w:hyperlink>
          <w:r>
            <w:rPr>
              <w:rStyle w:val="Collegamentoipertestuale"/>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Titolo1"/>
        <w:rPr>
          <w:lang w:val="fr-BE"/>
        </w:rPr>
      </w:pPr>
      <w:r>
        <w:rPr>
          <w:lang w:val="fr-BE"/>
        </w:rPr>
        <w:lastRenderedPageBreak/>
        <w:t xml:space="preserve">General information about </w:t>
      </w:r>
      <w:r w:rsidRPr="00501EF4">
        <w:t>respondent</w:t>
      </w:r>
    </w:p>
    <w:tbl>
      <w:tblPr>
        <w:tblStyle w:val="Grigliatabella"/>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tc>
              <w:tcPr>
                <w:tcW w:w="4531" w:type="dxa"/>
              </w:tcPr>
              <w:p w14:paraId="76683ED7" w14:textId="547B09E5" w:rsidR="00635BCA" w:rsidRPr="00557BD2" w:rsidRDefault="00484DE9" w:rsidP="00D21C35">
                <w:r>
                  <w:t>Genoa Centre for Law and Finance (University of Genoa)</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646956B2" w:rsidR="00B17279" w:rsidRDefault="00484DE9" w:rsidP="00B17279">
                <w:r>
                  <w:t>Academic research</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Content>
            <w:permStart w:id="605104681" w:edGrp="everyone" w:displacedByCustomXml="prev"/>
            <w:tc>
              <w:tcPr>
                <w:tcW w:w="4531" w:type="dxa"/>
              </w:tcPr>
              <w:p w14:paraId="10359AFE" w14:textId="4A69675F" w:rsidR="00B17279" w:rsidRDefault="00484DE9"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532A53AA" w:rsidR="00B17279" w:rsidRPr="00557BD2" w:rsidRDefault="00484DE9" w:rsidP="00B17279">
                <w:r>
                  <w:t>Italy</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Titolo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3111A860" w14:textId="2865E15B" w:rsidR="009B1E21" w:rsidRDefault="00484DE9" w:rsidP="009B1E21">
      <w:permStart w:id="627510576" w:edGrp="everyone"/>
      <w:r w:rsidRPr="00484DE9">
        <w:t>Yes, we agree with ESMA's definition of “protracted process” as “a series of several actions or steps spread in time which need to be performed, in order to achieve a pre-defined objective or result”, as opposed to the notion of “one-off event”.</w:t>
      </w:r>
    </w:p>
    <w:permEnd w:id="627510576"/>
    <w:p w14:paraId="0D7538F4" w14:textId="7777777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t>&lt;ESMA_QUESTION_LATA_2&gt;</w:t>
      </w:r>
    </w:p>
    <w:p w14:paraId="5572F42B" w14:textId="556FAB32" w:rsidR="009B1E21" w:rsidRDefault="00484DE9" w:rsidP="009B1E21">
      <w:permStart w:id="55053902" w:edGrp="everyone"/>
      <w:r w:rsidRPr="00484DE9">
        <w:t>Yes, we believe that the categories and general principles identified by ESMA are sufficiently clear to help issuers interpret the cases not included in the non-exhaustive list of “final events or circumstances” and the relative “moment of disclosure of inside information”, thereby promoting greater legal certainty in their favour. As to their content, we find that they strike a fair balance between reducing administrative burdens for issuers and ensuring sufficient investor protection.</w:t>
      </w:r>
    </w:p>
    <w:permEnd w:id="55053902"/>
    <w:p w14:paraId="360DEE1D" w14:textId="77777777"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1F7E2365" w14:textId="6D34B1B6" w:rsidR="009B1E21" w:rsidRDefault="00484DE9" w:rsidP="009B1E21">
      <w:permStart w:id="783093244" w:edGrp="everyone"/>
      <w:r w:rsidRPr="00484DE9">
        <w:t xml:space="preserve">Yes, we agree with ESMA's approach. We also suggest further clarifying the definition of “governing body” by specifying in the Proposed Delegated Act the meaning of “competent bodies […] having the decision power under national law or bylaws” to adopt the decision (Proposed Delegated Act, Annex I). This can be done by specifying, in Article 2 or in Annex I, what ESMA believes is the relevant competent body when the shareholders general meeting or the supervisory </w:t>
      </w:r>
      <w:proofErr w:type="gramStart"/>
      <w:r w:rsidRPr="00484DE9">
        <w:t>board  has</w:t>
      </w:r>
      <w:proofErr w:type="gramEnd"/>
      <w:r w:rsidRPr="00484DE9">
        <w:t xml:space="preserve"> the final say on the decision (ESMA Consultation Paper, p. 19, paras 59-61). We suggest defining it as “the power to adopt a decision that is binding on the company or, even if the decision is not immediately binding, because it becomes so only after approval by a second body, when this second body is the general meeting of shareholders or the supervisory board”.</w:t>
      </w:r>
    </w:p>
    <w:p w14:paraId="621AC5C9" w14:textId="7B0DF9CE" w:rsidR="00E330C3" w:rsidRDefault="00E330C3" w:rsidP="009B1E21">
      <w:r w:rsidRPr="00E330C3">
        <w:t>We believe that this definition promotes legal certainty to the benefit of the issuer, as it increases consistency with the approach followed by ESMA in Q4. It allows for precise identification of the “governing body” in internal proceedings in which the same decision is subject to subsequent approval by different bodies. In such situations, it would be otherwise difficult for issuers to identify the body that possesses “decision power” and, consequently, to determine the “final event” and the “moment of disclosure”.</w:t>
      </w:r>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199F779C" w14:textId="77777777" w:rsidR="00E330C3" w:rsidRDefault="00E330C3" w:rsidP="00E330C3">
      <w:permStart w:id="1801277174" w:edGrp="everyone"/>
      <w:r>
        <w:t>Yes, we agree with ESMA's approach. We suggest, consistent with the definition of “governing body” provided in our answer to Q3, specifying two additional conditions that the “governance structure” must fulfil, in addition to the approval of the governing body’s decision by another body of the company, to trigger the disclosure obligation. We suggest specifying in the Proposed Delegated Act, Art. 2 or Annex I, that the “first body” should be identified according to the provision we phrased under Q3.</w:t>
      </w:r>
    </w:p>
    <w:p w14:paraId="02D8C81C" w14:textId="2F5D7338" w:rsidR="009B1E21" w:rsidRDefault="00E330C3" w:rsidP="00E330C3">
      <w:r>
        <w:lastRenderedPageBreak/>
        <w:t xml:space="preserve">We believe that this approach promotes legal certainty in </w:t>
      </w:r>
      <w:proofErr w:type="spellStart"/>
      <w:r>
        <w:t>favor</w:t>
      </w:r>
      <w:proofErr w:type="spellEnd"/>
      <w:r>
        <w:t xml:space="preserve"> of the issuer as it makes it possible to exclude with certainty from the disclosure obligation preparatory acts that are purely internal to the company, the content of which is already sufficiently complete to coincide with that of the final decision. This is the case where the corporate governance of the company provides for complex procedures in which the draft of a decision is subsequently approved by several bodies. Without clarification, each of these decisions would risk triggering the disclosure obligation. Such a scenario would clearly undermine the objectives of the regulatory framework on protracted processes. The proposed specification consequently circumscribes the scope of the provision, in consistency with the regulatory rationale followed by ESMA, to cases in which it is appropriate to anticipate the moment of disclosure with respect to the approval of the second body, since the decision of the first body will be made public in any case or is sufficiently certain (ESMA Consultation Paper, p. 20, paras 60-62). Thus, the disclosure obligation would be triggered in the cases expressly provided for by ESMA where the management decision must be approved by the shareholders' meeting or the supervisory board and similar cases which are not expressly regulated, without creating uncertainty </w:t>
      </w:r>
      <w:proofErr w:type="gramStart"/>
      <w:r>
        <w:t>with regard to</w:t>
      </w:r>
      <w:proofErr w:type="gramEnd"/>
      <w:r>
        <w:t xml:space="preserve"> other internal procedures.</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2709DA18" w14:textId="147B214A" w:rsidR="009B1E21" w:rsidRDefault="00E330C3" w:rsidP="009B1E21">
      <w:permStart w:id="613818377" w:edGrp="everyone"/>
      <w:r w:rsidRPr="00E330C3">
        <w:t>Yes, we agree with ESMA's approach. We believe, specifically, that it is appropriate for the disclosure requirement to take place as soon as possible after the decision of the competent bodies of all parties involved, even when subsequent approval by another body is required in the hypotheses mentioned above. We suggest, for the sake of clarity and consistency, to refer to the same wording we phrased under Q3 and Q4.</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that for protracted processes that are driven by a public authority with the involvement of the issuer, the moment of disclosure should be when the issuer has received the final decision from the public authority, even where </w:t>
      </w:r>
      <w:r w:rsidRPr="008605FA">
        <w:lastRenderedPageBreak/>
        <w:t>the issuer and the public authority previously exchanged preliminary information that may on its own amount to inside information?</w:t>
      </w:r>
    </w:p>
    <w:p w14:paraId="494C6179" w14:textId="77777777" w:rsidR="009B1E21" w:rsidRDefault="009B1E21" w:rsidP="009B1E21">
      <w:r>
        <w:t>&lt;ESMA_QUESTION_LATA_6&gt;</w:t>
      </w:r>
    </w:p>
    <w:p w14:paraId="1244337B" w14:textId="4B9E20A5" w:rsidR="009B1E21" w:rsidRDefault="00E330C3" w:rsidP="009B1E21">
      <w:permStart w:id="126633024" w:edGrp="everyone"/>
      <w:r w:rsidRPr="00E330C3">
        <w:t>Yes, we believe that such an approach is consistent with the regulatory rationale of the new protracted process framework, as it avoids the premature disclosure of information, with the risk of misleading the public</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3285CB82" w14:textId="13B7C5DD" w:rsidR="009B1E21" w:rsidRDefault="00E330C3" w:rsidP="009B1E21">
      <w:permStart w:id="1778661475" w:edGrp="everyone"/>
      <w:r w:rsidRPr="00E330C3">
        <w:t xml:space="preserve">Yes, we agree with ESMA's approach. We consider it appropriate for the first disclosure obligation to take place as soon as possible after the company's decision, as it constitutes a significant commitment of which the market should be informed in a timely manner, even if the information is not intended to be made public prior to the decision of the public authority. At the same time, we also see the risk that the separation of the two processes could lead to premature disclosure when a positive outcome of the second (administrative) process cannot be expected with a sufficient level of certainty. We therefore suggest ESMA clarifies in its forthcoming new Guidelines on delayed disclosure that in the context of protracted processes that are triggered by the issuer, and whose </w:t>
      </w:r>
      <w:proofErr w:type="gramStart"/>
      <w:r w:rsidRPr="00E330C3">
        <w:t>final outcome</w:t>
      </w:r>
      <w:proofErr w:type="gramEnd"/>
      <w:r w:rsidRPr="00E330C3">
        <w:t xml:space="preserve"> is decided by a public authority, issuers have a legitimate interest to delay disclosure of inside information.</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4A6A8B12" w14:textId="7AD51FDF" w:rsidR="009B1E21" w:rsidRDefault="00E330C3" w:rsidP="009B1E21">
      <w:permStart w:id="265124465" w:edGrp="everyone"/>
      <w:r w:rsidRPr="00E330C3">
        <w:t xml:space="preserve">Yes, we agree with ESMA's position. We suggest improving the definition of ‘‘takeover bid received by the issuer’ in the Proposed Delegated Act, Annex 1, No. (A)(3). We believe that, in its proposed phrasing, the Annex does not reflect the distinction made by ESMA between </w:t>
      </w:r>
      <w:r w:rsidRPr="00E330C3">
        <w:lastRenderedPageBreak/>
        <w:t>“friendly takeover” and “hostile takeover” (ESMA Consultation Paper, p. 24, para. 80-81), according to which only the former is “protracted process”, while the latter is “one-off event”. The current wording seems, in fact, applicable to both circumstances. We therefore suggest amending the definition to “friendly takeover bid received by the issuer”.</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0FAEA3EF" w14:textId="77777777" w:rsidR="00E330C3" w:rsidRDefault="00E330C3" w:rsidP="00E330C3">
      <w:permStart w:id="941577706" w:edGrp="everyone"/>
      <w:r>
        <w:t xml:space="preserve">Yes, we agree with ESMA's approach in relation to financial reports, profit warnings and </w:t>
      </w:r>
      <w:proofErr w:type="spellStart"/>
      <w:r>
        <w:t>earning</w:t>
      </w:r>
      <w:proofErr w:type="spellEnd"/>
      <w:r>
        <w:t xml:space="preserve"> surprises.</w:t>
      </w:r>
    </w:p>
    <w:p w14:paraId="39D3C51E" w14:textId="77777777" w:rsidR="00E330C3" w:rsidRDefault="00E330C3" w:rsidP="00E330C3">
      <w:r>
        <w:t xml:space="preserve">However, while we agree that profit warnings and </w:t>
      </w:r>
      <w:proofErr w:type="spellStart"/>
      <w:r>
        <w:t>earning</w:t>
      </w:r>
      <w:proofErr w:type="spellEnd"/>
      <w:r>
        <w:t xml:space="preserve"> surprises can occur as "one-off events", we believe this might not always be the case, </w:t>
      </w:r>
      <w:proofErr w:type="gramStart"/>
      <w:r>
        <w:t>in particular when</w:t>
      </w:r>
      <w:proofErr w:type="gramEnd"/>
      <w:r>
        <w:t xml:space="preserve"> ascertaining those developments requires an internal process. To make the legal framework for profit warnings and </w:t>
      </w:r>
      <w:proofErr w:type="spellStart"/>
      <w:r>
        <w:t>earning</w:t>
      </w:r>
      <w:proofErr w:type="spellEnd"/>
      <w:r>
        <w:t xml:space="preserve"> surprises more certain, we suggest ESMA considers adding some clarification.</w:t>
      </w:r>
    </w:p>
    <w:p w14:paraId="0C3DD9B5" w14:textId="77777777" w:rsidR="00E330C3" w:rsidRDefault="00E330C3" w:rsidP="00E330C3">
      <w:r>
        <w:t xml:space="preserve">First, we suggest that the two notions of profit warnings and </w:t>
      </w:r>
      <w:proofErr w:type="spellStart"/>
      <w:r>
        <w:t>earning</w:t>
      </w:r>
      <w:proofErr w:type="spellEnd"/>
      <w:r>
        <w:t xml:space="preserve"> surprises be further specified, as it may not be easy to identify precisely which events trigger a disclosure duty in such cases, and when. We believe that three problems arise: a) whether profit warnings and </w:t>
      </w:r>
      <w:proofErr w:type="spellStart"/>
      <w:r>
        <w:t>earning</w:t>
      </w:r>
      <w:proofErr w:type="spellEnd"/>
      <w:r>
        <w:t xml:space="preserve"> surprises trigger disclosure only when certain or also when they are only probable; b) which forecasts constitute the benchmark against which they are compared; c) how much they must deviate from the benchmark. </w:t>
      </w:r>
    </w:p>
    <w:p w14:paraId="3BD5A502" w14:textId="77777777" w:rsidR="00E330C3" w:rsidRDefault="00E330C3" w:rsidP="00E330C3">
      <w:r>
        <w:t xml:space="preserve">We suggest specifying that "profit warnings" and "earning surprises" require that the company has previously made public statements or communications that contain sufficiently precise profit or loss </w:t>
      </w:r>
      <w:proofErr w:type="gramStart"/>
      <w:r>
        <w:t>forecasts</w:t>
      </w:r>
      <w:proofErr w:type="gramEnd"/>
      <w:r>
        <w:t xml:space="preserve"> and it becomes certain that the company will realize profits or losses that deviate significantly from those forecasts. Ascertaining these conditions may require a protracted process that is </w:t>
      </w:r>
      <w:proofErr w:type="gramStart"/>
      <w:r>
        <w:t>similar to</w:t>
      </w:r>
      <w:proofErr w:type="gramEnd"/>
      <w:r>
        <w:t xml:space="preserve"> those relating to financial reports. In such cases, we suggest specifying that ascertaining “profit warnings” and “earning surprises” may be part of a protracted process. This could be specified in a footnote after the words “Financial reports or interim financial reports” in Proposed Delegated Act, Annex 1, No. (C)(11), relating to “financial reports or interim financial reports”, in the field “protracted process”.</w:t>
      </w:r>
    </w:p>
    <w:p w14:paraId="4DF7680B" w14:textId="5278AEE9" w:rsidR="009B1E21" w:rsidRDefault="00E330C3" w:rsidP="00E330C3">
      <w:r>
        <w:lastRenderedPageBreak/>
        <w:t xml:space="preserve">We believe that this approach promotes legal certainty in </w:t>
      </w:r>
      <w:proofErr w:type="spellStart"/>
      <w:r>
        <w:t>favor</w:t>
      </w:r>
      <w:proofErr w:type="spellEnd"/>
      <w:r>
        <w:t xml:space="preserve"> of issuers, being consistent with ESMA's view on the peculiar characteristics of the protracted process of approval of financial reports: “as the figure collection and validation may be spread over time” and since this makes it “hard to identify a specific moment in which the figures were identified and confirmed” (ESMA Consultation Paper, p. 25, para. 86), other than the final approval of the report, we believe that unless such figures certainly deviate from precise expectations generated by the company itself, their early disclosure would risk mislead the public. As this would be contrary to the regulatory rationale of the protracted process framework, we believe that such figures should be only disclosed after the decision by the governing body that is generally in charge of approving the financial reports.</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7C00F17F" w14:textId="5DD77B64" w:rsidR="009B1E21" w:rsidRDefault="00E330C3" w:rsidP="009B1E21">
      <w:permStart w:id="1460612003" w:edGrp="everyone"/>
      <w:r w:rsidRPr="00E330C3">
        <w:t>Yes, we agree with ESMA's approach. We believe it effectively balances the need for investor protection through full and timely disclosure with the need to ensure the specific objectives of the credit institutions’ framework.</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6F1DBBCB" w14:textId="21C1B4E0" w:rsidR="009B1E21" w:rsidRDefault="00E330C3" w:rsidP="009B1E21">
      <w:permStart w:id="159128183" w:edGrp="everyone"/>
      <w:r w:rsidRPr="00E330C3">
        <w:t>Yes, we consider the list to be sufficiently comprehensive. We generally agree with the identification of the moment of disclosure. We do not deem it necessary to add or remove any process from the list</w:t>
      </w:r>
      <w:r>
        <w:t>.</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4791332E" w14:textId="77777777" w:rsidR="00E330C3" w:rsidRDefault="00E330C3" w:rsidP="00E330C3">
      <w:permStart w:id="421398651" w:edGrp="everyone"/>
      <w:r>
        <w:t xml:space="preserve">Yes, we believe that ESMA’s approach promotes investor protection. We consider it appropriate to further specify in which cases “it is not possible to draw a clear conclusion on the issuer's position on the subject solely on the basis of the latest communication”. To this end, we suggest introducing a “safe harbour clause” specifying that the issuer can include in any of its public statements or communications an explicit warning to investors that the only relevant information on which they should rely to establish the issuer’s position on the subject matter is that contained therein. Such warning must be drafted in a precise, clear and comprehensible manner. We believe that in such a case, only the public statement or communication containing such warning should be considered as “latest communication”, without other previous public statements and communications being </w:t>
      </w:r>
      <w:proofErr w:type="gramStart"/>
      <w:r>
        <w:t>taken into account</w:t>
      </w:r>
      <w:proofErr w:type="gramEnd"/>
      <w:r>
        <w:t>. The safe-</w:t>
      </w:r>
      <w:proofErr w:type="spellStart"/>
      <w:r>
        <w:t>habour</w:t>
      </w:r>
      <w:proofErr w:type="spellEnd"/>
      <w:r>
        <w:t xml:space="preserve"> clause could be inserted after the words “the issuer should also take into account other previous announcements”, in the Proposed Delegated Act, Recital 9. </w:t>
      </w:r>
    </w:p>
    <w:p w14:paraId="72C001C3" w14:textId="2233C6FA" w:rsidR="009B1E21" w:rsidRDefault="00E330C3" w:rsidP="00E330C3">
      <w:r>
        <w:t>We believe that in this manner a balance can be achieved between the issuer's need for legal certainty and the investor's need for protection. Consistent with the regulatory rationale of the Amending Regulation, as it modified Article 17(4)(b) of MAR, the issuer, on the one hand, is able to know with clarity the conditions of delay of the information, through reference to information that it has voluntarily disclosed through its own public statements or communications, the investor, on the other, is placed in the condition of knowing with certainty what information to rely on to determine its own investment choice.</w:t>
      </w:r>
    </w:p>
    <w:permEnd w:id="421398651"/>
    <w:p w14:paraId="4B107EF7" w14:textId="77777777"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0BCD2502" w:rsidR="009B1E21" w:rsidRDefault="00E330C3" w:rsidP="009B1E21">
      <w:permStart w:id="2070238072" w:edGrp="everyone"/>
      <w:r w:rsidRPr="00E330C3">
        <w:t xml:space="preserve">Yes, we agree with the list. We consider it sufficiently comprehensive: firstly, because of the exhaustive lists of specific hypotheses of communication to the public in the Proposed Delegated Act, Article 4 (a) to (g), secondly, by virtue of the catch-all clause in Article 4 (h), </w:t>
      </w:r>
      <w:r w:rsidRPr="00E330C3">
        <w:lastRenderedPageBreak/>
        <w:t>which includes “any other communication capable of reaching the public and delivered by any person perceived as representing the issuer”.</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0612BAF4" w14:textId="174FFAD4" w:rsidR="009B1E21" w:rsidRDefault="00E330C3" w:rsidP="009B1E21">
      <w:permStart w:id="131739657" w:edGrp="everyone"/>
      <w:r w:rsidRPr="00E330C3">
        <w:t xml:space="preserve">Yes, we agree with the list. We consider it sufficiently comprehensive, covering the main relevant events that concern the issuer. We further suggest adding to the proposed non-exhaustive list of events that trigger the disclosure obligation, an exhaustive list of situations in which the event is certainly not relevant and does not trigger it. This proposal appears to be consistent with the mandate given by the Commission to ESMA, </w:t>
      </w:r>
      <w:proofErr w:type="gramStart"/>
      <w:r w:rsidRPr="00E330C3">
        <w:t>on the basis of</w:t>
      </w:r>
      <w:proofErr w:type="gramEnd"/>
      <w:r w:rsidRPr="00E330C3">
        <w:t xml:space="preserve"> Article 17(2) of MAR as amended by the Listing Act, in that an exhaustive list of the kind we suggest can be shaped as a list of safe-harbour situations that contributes, in the negative, to defining the list of non-exhaustive situations. Thus, for example, the situations in the Proposed Delegated Act, Annex 2, No. (5) to (9), all relate to a “material change” in events or circumstances concerning the issuer and previously announced by the issuer. As the notion of material change is largely undefined, for each item in the list, a “materiality threshold” could be identified, as to which changes are not material enough to be considered in contrast with the latest public announcement or other types of communication. We believe that this solution </w:t>
      </w:r>
      <w:proofErr w:type="gramStart"/>
      <w:r w:rsidRPr="00E330C3">
        <w:t>is able to</w:t>
      </w:r>
      <w:proofErr w:type="gramEnd"/>
      <w:r w:rsidRPr="00E330C3">
        <w:t xml:space="preserve"> guarantee greater legal certainty to issuers, without harming the protection of investors. We believe, specifically, that since it is an exhaustive list of situations in which there is certainly no conflict with the latest communication, this does not in any way hinder the analogical application of the cases of the non-exhaustive list in which such conflict exists.</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7EE90ACB" w14:textId="35032366" w:rsidR="009B1E21" w:rsidRDefault="00E330C3" w:rsidP="009B1E21">
      <w:permStart w:id="224746622" w:edGrp="everyone"/>
      <w:r w:rsidRPr="00E330C3">
        <w:t>We agree with the methodology proposed by ESMA to conduct the analysis.</w:t>
      </w:r>
    </w:p>
    <w:permEnd w:id="224746622"/>
    <w:p w14:paraId="4D4FF991" w14:textId="77777777" w:rsidR="009B1E21" w:rsidRDefault="009B1E21" w:rsidP="009B1E21">
      <w:r>
        <w:lastRenderedPageBreak/>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5B0E0735" w:rsidR="009B1E21" w:rsidRDefault="00E330C3" w:rsidP="009B1E21">
      <w:permStart w:id="1599806274" w:edGrp="everyone"/>
      <w:r w:rsidRPr="00E330C3">
        <w:t>Yes, we believe the methodology is suitable. We agree with ESMA that it is sufficiently precise compared to alternative methodologies. We, specifically, believe that the other proposed options to identify the reference period as “a) one day”, “b) a period of at least 180 days in the previous year” (ESMA Consultation Paper, p. 38, para. 155) make the calculation overly dependent on temporary market fluctuations (e.g. a temporary crisis that affects SMEs more than other companies and drives them out of the market).</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26C0D951" w14:textId="65DB1C9B" w:rsidR="009B1E21" w:rsidRDefault="00E330C3" w:rsidP="009B1E21">
      <w:permStart w:id="166685556" w:edGrp="everyone"/>
      <w:r w:rsidRPr="00E330C3">
        <w:t xml:space="preserve">Yes, we agree with ESMA. We believe that the chosen methodology ensures that a refusal to be registered as an SME GM does not occur simply </w:t>
      </w:r>
      <w:proofErr w:type="gramStart"/>
      <w:r w:rsidRPr="00E330C3">
        <w:t>as a result of</w:t>
      </w:r>
      <w:proofErr w:type="gramEnd"/>
      <w:r w:rsidRPr="00E330C3">
        <w:t xml:space="preserve"> a temporary failure to meet the prescribed requirements. Firstly, we believe, as stated in our response to Q16, that compared to the other proposed methodologies, it ensures that the calculation is not exposed to momentary market fluctuations. Secondly, we believe that the methodology is consistent with the provisions of Article 79 of CDR 2017/565, according to which deregistration happens only if the 50% threshold is not met for three consecutive years (ESMA Consultation Paper, p. 47, para 213). We believe that together the two provisions ensure that the persistent qualification of the MTF as a GM SME depends on a structural inability to meet the 50 % threshold.</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450B9A03" w:rsidR="009B1E21" w:rsidRDefault="00E330C3" w:rsidP="009B1E21">
      <w:permStart w:id="14434267" w:edGrp="everyone"/>
      <w:r w:rsidRPr="00E330C3">
        <w:t>Yes, we agree with ESMA's view not to further specify the requirements in Articles 78 (2)(a) and 78(2)(b) of CDR 2017/565, as this ensures sufficient flexibility for MTFs in establishing SME GMs.</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08605CEE" w:rsidR="009B1E21" w:rsidRDefault="00E330C3" w:rsidP="009B1E21">
      <w:permStart w:id="305603693" w:edGrp="everyone"/>
      <w:r w:rsidRPr="00E330C3">
        <w:t>Yes, we agree with ESMA's approach, as it minimizes the administrative burden for issuers on SME GMs.</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6C0C6A14" w14:textId="55C6E5AA" w:rsidR="009B1E21" w:rsidRDefault="00E330C3" w:rsidP="009B1E21">
      <w:permStart w:id="767061203" w:edGrp="everyone"/>
      <w:r w:rsidRPr="00E330C3">
        <w:t xml:space="preserve">Yes, we consider it appropriate to align the two provisions </w:t>
      </w:r>
      <w:proofErr w:type="gramStart"/>
      <w:r w:rsidRPr="00E330C3">
        <w:t>in order to</w:t>
      </w:r>
      <w:proofErr w:type="gramEnd"/>
      <w:r w:rsidRPr="00E330C3">
        <w:t xml:space="preserve"> reduce the administrative burden for issuers. We believe that, since the Growth Issuance Prospectus finds its preferred place of application precisely in SME GMs, it is reasonable to remove the requirement also with respect to the admission document.</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lastRenderedPageBreak/>
        <w:t>&lt;ESMA_QUESTION_LATA_21&gt;</w:t>
      </w:r>
    </w:p>
    <w:p w14:paraId="2A51D947" w14:textId="77777777" w:rsidR="00E330C3" w:rsidRDefault="00E330C3" w:rsidP="00E330C3">
      <w:permStart w:id="366227586" w:edGrp="everyone"/>
      <w:r>
        <w:t>We agree with ESMA that requiring financial reports be subject to audits can significantly increase investor protection. At the same time, however, this can increase costs upon issuers having securities admitted to trading on SME GMs. We therefore suggest fostering some level of standardization within an optional regime. This should be accompanied by provisions specifying the scope and subject matter of such an optional regime, to provide more legal certainty for issuers.</w:t>
      </w:r>
    </w:p>
    <w:p w14:paraId="21094692" w14:textId="77777777" w:rsidR="00E330C3" w:rsidRDefault="00E330C3" w:rsidP="00E330C3">
      <w:r>
        <w:t>Firstly, we suggest specifying that SME GMs should determine if and, if so, which financial reports should be subject to audit. Market practices in this regard are in fact diverse. While almost all SME GMs do provide for a common audit requirement for annual reports, most do not provide for an audit requirement for interim reports (e.g. Euronext Growth, Euronext Growth Milan, First North Growth Market, Prague Stock Exchange – START Market), which is only provided for by the regulations of some markets (e.g. BME Growth). At the same time, new SME GM (or new segments within existing SME GM) might wish to facilitate market access by keeping a lighter-touch regime, provided they point out the risks connected with the lack of audit requirements. We therefore suggest the choice should be left, as in the current system, to the individual SME GM, subject to proper information to investors. The proposed solution therefore avoids imposing undue administrative burdens to the benefit of issuers.</w:t>
      </w:r>
    </w:p>
    <w:p w14:paraId="7F1D1933" w14:textId="0EDF331D" w:rsidR="009B1E21" w:rsidRDefault="00E330C3" w:rsidP="00E330C3">
      <w:r>
        <w:t>Secondly, we suggest clarifying the definition of audit. We consider this appropriate to promote legal certainty, as the notion of audit can be interpreted differently as to its requirements. We suggest that audit should refer to the notion of “statutory audit” as defined in Directive 2006/43/EC, Article 2(1) and as implemented by the regime of the Member State to which the SME GM is subject. SME GM should therefore decide whether to op into such audit regime. We believe that this solution is consistent with the regulatory rationale followed by ESMA, as it can provide flexibility and legal certainty in favo</w:t>
      </w:r>
      <w:r>
        <w:t>u</w:t>
      </w:r>
      <w:r>
        <w:t>r of SME GMs, while ensuring sufficient investor protection.</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057E95A4" w14:textId="33E77851" w:rsidR="009B1E21" w:rsidRDefault="00E330C3" w:rsidP="009B1E21">
      <w:permStart w:id="548149613" w:edGrp="everyone"/>
      <w:r w:rsidRPr="00E330C3">
        <w:t xml:space="preserve">Yes, we agree not to change the current provisions. We share ESMA's view not to reiterate the proposal, made in the 2020 Report on SME GMs, to extend the disclosure requirement to financial reports up to one year prior to admission to trading. It is true that some SME GMs </w:t>
      </w:r>
      <w:r w:rsidRPr="00E330C3">
        <w:lastRenderedPageBreak/>
        <w:t xml:space="preserve">require the disclosure of financial reports – as requirement for the admission to trading - up to one year (e.g. Euronext Growth Milan;) or two years (e.g. Euronext Growth; First North Growth) prior to admission to trading. It is true </w:t>
      </w:r>
      <w:proofErr w:type="gramStart"/>
      <w:r w:rsidRPr="00E330C3">
        <w:t>at the same time that</w:t>
      </w:r>
      <w:proofErr w:type="gramEnd"/>
      <w:r w:rsidRPr="00E330C3">
        <w:t xml:space="preserve"> many of these markets have flexible rules, which allow for the admission of companies in respect of which no financial reports existed (e.g. Euronext Growth Milan; First North Growth). We believe that such market practices are consistent with the comments made by market participants in response to the 2020 Report. We agree with ESMA that this flexibility should be preserved, leaving it to the SME GMs to set the requirements on a discretionary basis.</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4C3D28CA" w:rsidR="009B1E21" w:rsidRDefault="00E330C3" w:rsidP="009B1E21">
      <w:permStart w:id="474421293" w:edGrp="everyone"/>
      <w:r w:rsidRPr="00E330C3">
        <w:t xml:space="preserve">Yes, we agree with ESMA's proposals. We agree with the use of the MIC code to identify the market </w:t>
      </w:r>
      <w:proofErr w:type="gramStart"/>
      <w:r w:rsidRPr="00E330C3">
        <w:t>segment</w:t>
      </w:r>
      <w:proofErr w:type="gramEnd"/>
      <w:r w:rsidRPr="00E330C3">
        <w:t xml:space="preserve"> and the transactions conducted within it. We believe that it allows a precise distinction to be made between the specific GM SME segment and its transactions and the other segments operated by the same MTF.  For the sake of clarity, we suggest specifying that the MIC code is ‘under ISO 10383, as relevant to 20022’. It is true that MIC is part of the “data layer” of ISO 20022 standard. The latter considers, however, MIC as part of a broader financial messaging system, whereas MIC is specifically the subject of ISO 10383. Consistent with ESMA's view that individual MTFs may discretionally, but are not obliged to, adopt higher standards (ESMA Consultation Paper, p. 47, para. 206), and </w:t>
      </w:r>
      <w:proofErr w:type="gramStart"/>
      <w:r w:rsidRPr="00E330C3">
        <w:t>in order to</w:t>
      </w:r>
      <w:proofErr w:type="gramEnd"/>
      <w:r w:rsidRPr="00E330C3">
        <w:t xml:space="preserve"> avoid improper broad interpretations that require the application of other standards under ISO 20022, we suggest specifying that the provision is limited to ISO 10383.</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7DF2BCCF" w14:textId="6B514EE3" w:rsidR="009B1E21" w:rsidRDefault="00E330C3" w:rsidP="009B1E21">
      <w:permStart w:id="2060877361" w:edGrp="everyone"/>
      <w:r w:rsidRPr="00E330C3">
        <w:t>Yes, we agree with ESMA's proposals. We believe that the data identified as standardized information allows us to accurately provide “a comprehensive list of the instruments listed on the SME growth market segment”, as required by Article 33(3</w:t>
      </w:r>
      <w:proofErr w:type="gramStart"/>
      <w:r w:rsidRPr="00E330C3">
        <w:t>a)(</w:t>
      </w:r>
      <w:proofErr w:type="gramEnd"/>
      <w:r w:rsidRPr="00E330C3">
        <w:t xml:space="preserve">c) of CDR 2017/565 . They </w:t>
      </w:r>
      <w:r w:rsidRPr="00E330C3">
        <w:lastRenderedPageBreak/>
        <w:t>thus make it easier for NCAs to ascertain compliance with regulatory requirements, including the 50% SME issuers criterion, as required by Article 33(3)(a).</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4FD9ADF1" w14:textId="4368CD32" w:rsidR="009B1E21" w:rsidRDefault="00E330C3" w:rsidP="009B1E21">
      <w:permStart w:id="1612399469" w:edGrp="everyone"/>
      <w:r w:rsidRPr="00E330C3">
        <w:t>Yes, we support ESMA's view that as the criteria for deregistration refer to SME GMs in general, no change is necessary to adapt the provisions to SME GMs being organized on a segment.</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402B5AC9" w:rsidR="009B1E21" w:rsidRDefault="00E330C3" w:rsidP="009B1E21">
      <w:permStart w:id="434780100" w:edGrp="everyone"/>
      <w:r w:rsidRPr="00E330C3">
        <w:t>Yes, we agree. With specific reference to the 50% SME issuers criterion in Article 33(3)(a) of CDR 2017/565, we agree that deregistration should only take place after the SME GM has failed to meet it for a period of three consecutive years. We believe that this time frame ensures that deregistration does not occur due to a temporary failure to comply as in the case of temporary market fluctuations that do not depend on the SME GM.</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F97F7" w14:textId="77777777" w:rsidR="00107DD4" w:rsidRDefault="00107DD4" w:rsidP="007E7997">
      <w:pPr>
        <w:spacing w:line="240" w:lineRule="auto"/>
      </w:pPr>
      <w:r>
        <w:separator/>
      </w:r>
    </w:p>
  </w:endnote>
  <w:endnote w:type="continuationSeparator" w:id="0">
    <w:p w14:paraId="0114A9C1" w14:textId="77777777" w:rsidR="00107DD4" w:rsidRDefault="00107DD4" w:rsidP="007E7997">
      <w:pPr>
        <w:spacing w:line="240" w:lineRule="auto"/>
      </w:pPr>
      <w:r>
        <w:continuationSeparator/>
      </w:r>
    </w:p>
  </w:endnote>
  <w:endnote w:type="continuationNotice" w:id="1">
    <w:p w14:paraId="5686B5CA" w14:textId="77777777" w:rsidR="00107DD4" w:rsidRDefault="00107D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dipagin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051AA" w14:textId="77777777" w:rsidR="00107DD4" w:rsidRDefault="00107DD4" w:rsidP="007E7997">
      <w:pPr>
        <w:spacing w:line="240" w:lineRule="auto"/>
      </w:pPr>
      <w:r>
        <w:separator/>
      </w:r>
    </w:p>
  </w:footnote>
  <w:footnote w:type="continuationSeparator" w:id="0">
    <w:p w14:paraId="7AAA3065" w14:textId="77777777" w:rsidR="00107DD4" w:rsidRDefault="00107DD4" w:rsidP="007E7997">
      <w:pPr>
        <w:spacing w:line="240" w:lineRule="auto"/>
      </w:pPr>
      <w:r>
        <w:continuationSeparator/>
      </w:r>
    </w:p>
  </w:footnote>
  <w:footnote w:type="continuationNotice" w:id="1">
    <w:p w14:paraId="6569799C" w14:textId="77777777" w:rsidR="00107DD4" w:rsidRDefault="00107D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6B760F4" w:rsidR="00D77369" w:rsidRPr="00DB2FD6" w:rsidRDefault="00D77369" w:rsidP="008858FE">
    <w:pPr>
      <w:pStyle w:val="Intestazione"/>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Intestazione"/>
    </w:pPr>
  </w:p>
  <w:p w14:paraId="76D78551" w14:textId="45227A06" w:rsidR="00AD0B10" w:rsidRDefault="00AD0B10" w:rsidP="00AD0B10">
    <w:pPr>
      <w:pStyle w:val="Intestazione"/>
    </w:pPr>
  </w:p>
  <w:p w14:paraId="56B00CEC" w14:textId="77777777" w:rsidR="00AD0B10" w:rsidRPr="0043139E" w:rsidRDefault="00AD0B10" w:rsidP="00AD0B10">
    <w:pPr>
      <w:pStyle w:val="Intestazione"/>
    </w:pPr>
  </w:p>
  <w:p w14:paraId="68227DE6" w14:textId="77777777" w:rsidR="00AD0B10" w:rsidRPr="0043139E" w:rsidRDefault="00AD0B10" w:rsidP="00AD0B10">
    <w:pPr>
      <w:pStyle w:val="Intestazione"/>
    </w:pPr>
  </w:p>
  <w:p w14:paraId="0E44DBD1" w14:textId="77777777" w:rsidR="00AD0B10" w:rsidRPr="0043139E" w:rsidRDefault="00AD0B10" w:rsidP="00AD0B10">
    <w:pPr>
      <w:pStyle w:val="Intestazion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Intestazione"/>
    </w:pPr>
  </w:p>
  <w:p w14:paraId="706EF268" w14:textId="77777777" w:rsidR="00AD0B10" w:rsidRPr="0043139E" w:rsidRDefault="00AD0B10" w:rsidP="00AD0B10">
    <w:pPr>
      <w:pStyle w:val="Intestazione"/>
    </w:pPr>
  </w:p>
  <w:p w14:paraId="6B568202" w14:textId="77777777" w:rsidR="00AD0B10" w:rsidRPr="0043139E" w:rsidRDefault="00AD0B10" w:rsidP="00AD0B10">
    <w:pPr>
      <w:pStyle w:val="Intestazione"/>
    </w:pPr>
  </w:p>
  <w:p w14:paraId="70C66BCD" w14:textId="77777777" w:rsidR="00AD0B10" w:rsidRPr="0043139E" w:rsidRDefault="00AD0B10" w:rsidP="00AD0B10">
    <w:pPr>
      <w:pStyle w:val="Intestazione"/>
    </w:pPr>
  </w:p>
  <w:p w14:paraId="07229907" w14:textId="77777777" w:rsidR="00AD0B10" w:rsidRPr="0043139E" w:rsidRDefault="00AD0B10" w:rsidP="00AD0B10">
    <w:pPr>
      <w:pStyle w:val="Intestazione"/>
    </w:pPr>
  </w:p>
  <w:p w14:paraId="55555744" w14:textId="77777777" w:rsidR="00AD0B10" w:rsidRPr="0043139E" w:rsidRDefault="00AD0B10" w:rsidP="00AD0B10">
    <w:pPr>
      <w:pStyle w:val="Intestazione"/>
    </w:pPr>
  </w:p>
  <w:p w14:paraId="4601AE9C" w14:textId="77777777" w:rsidR="00AD0B10" w:rsidRDefault="00AD0B10" w:rsidP="00AD0B10">
    <w:pPr>
      <w:pStyle w:val="Intestazione"/>
    </w:pPr>
  </w:p>
  <w:p w14:paraId="49946785" w14:textId="77777777" w:rsidR="00AD0B10" w:rsidRPr="0043139E" w:rsidRDefault="00AD0B10" w:rsidP="00AD0B10">
    <w:pPr>
      <w:pStyle w:val="Intestazione"/>
    </w:pPr>
  </w:p>
  <w:p w14:paraId="72BAD19F" w14:textId="77777777" w:rsidR="008858FE" w:rsidRPr="00AD0B10" w:rsidRDefault="008858FE" w:rsidP="00AD0B1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o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Paragrafoelenco"/>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Titolo1"/>
      <w:lvlText w:val="%1"/>
      <w:lvlJc w:val="left"/>
      <w:pPr>
        <w:ind w:left="4686" w:hanging="432"/>
      </w:pPr>
    </w:lvl>
    <w:lvl w:ilvl="1">
      <w:start w:val="1"/>
      <w:numFmt w:val="decimal"/>
      <w:pStyle w:val="Titolo2"/>
      <w:lvlText w:val="%1.%2"/>
      <w:lvlJc w:val="left"/>
      <w:pPr>
        <w:ind w:left="8230"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618"/>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D4"/>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6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41"/>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C785E"/>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0D28"/>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4DE9"/>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0C3"/>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2FD6"/>
    <w:pPr>
      <w:spacing w:after="250" w:line="276" w:lineRule="auto"/>
      <w:jc w:val="both"/>
    </w:pPr>
    <w:rPr>
      <w:color w:val="181818" w:themeColor="background1" w:themeShade="1A"/>
      <w:sz w:val="22"/>
      <w:lang w:val="en-GB"/>
    </w:rPr>
  </w:style>
  <w:style w:type="paragraph" w:styleId="Titolo1">
    <w:name w:val="heading 1"/>
    <w:basedOn w:val="Normale"/>
    <w:next w:val="Normale"/>
    <w:link w:val="Titolo1Carattere"/>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olo2">
    <w:name w:val="heading 2"/>
    <w:basedOn w:val="Normale"/>
    <w:next w:val="Normale"/>
    <w:link w:val="Titolo2Carattere"/>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Titolo3">
    <w:name w:val="heading 3"/>
    <w:basedOn w:val="Normale"/>
    <w:next w:val="Normale"/>
    <w:link w:val="Titolo3Carattere"/>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Titolo4">
    <w:name w:val="heading 4"/>
    <w:basedOn w:val="Normale"/>
    <w:next w:val="Normale"/>
    <w:link w:val="Titolo4Carattere"/>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Titolo5">
    <w:name w:val="heading 5"/>
    <w:basedOn w:val="Normale"/>
    <w:next w:val="Normale"/>
    <w:link w:val="Titolo5Carattere"/>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Titolo6">
    <w:name w:val="heading 6"/>
    <w:basedOn w:val="Normale"/>
    <w:next w:val="Normale"/>
    <w:link w:val="Titolo6Carattere"/>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Titolo7">
    <w:name w:val="heading 7"/>
    <w:basedOn w:val="Normale"/>
    <w:next w:val="Normale"/>
    <w:link w:val="Titolo7Carattere"/>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olo8">
    <w:name w:val="heading 8"/>
    <w:basedOn w:val="Normale"/>
    <w:next w:val="Normale"/>
    <w:link w:val="Titolo8Carattere"/>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Titolo9">
    <w:name w:val="heading 9"/>
    <w:basedOn w:val="Normale"/>
    <w:next w:val="Normale"/>
    <w:link w:val="Titolo9Carattere"/>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5B6B12"/>
    <w:pPr>
      <w:spacing w:after="0" w:line="240" w:lineRule="auto"/>
    </w:pPr>
    <w:rPr>
      <w:lang w:val="en-GB"/>
    </w:rPr>
  </w:style>
  <w:style w:type="character" w:customStyle="1" w:styleId="Titolo4Carattere">
    <w:name w:val="Titolo 4 Carattere"/>
    <w:basedOn w:val="Carpredefinitoparagrafo"/>
    <w:link w:val="Titolo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Titolo3Carattere">
    <w:name w:val="Titolo 3 Carattere"/>
    <w:basedOn w:val="Carpredefinitoparagrafo"/>
    <w:link w:val="Titolo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Titolo1Carattere">
    <w:name w:val="Titolo 1 Carattere"/>
    <w:basedOn w:val="Carpredefinitoparagrafo"/>
    <w:link w:val="Titolo1"/>
    <w:uiPriority w:val="9"/>
    <w:rsid w:val="0082744A"/>
    <w:rPr>
      <w:rFonts w:asciiTheme="majorHAnsi" w:eastAsiaTheme="majorEastAsia" w:hAnsiTheme="majorHAnsi" w:cstheme="majorBidi"/>
      <w:b/>
      <w:color w:val="00379F" w:themeColor="text1"/>
      <w:sz w:val="32"/>
      <w:szCs w:val="32"/>
      <w:lang w:val="en-GB"/>
    </w:rPr>
  </w:style>
  <w:style w:type="character" w:customStyle="1" w:styleId="Titolo2Carattere">
    <w:name w:val="Titolo 2 Carattere"/>
    <w:basedOn w:val="Carpredefinitoparagrafo"/>
    <w:link w:val="Titolo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e"/>
    <w:link w:val="Subtitle1Char"/>
    <w:autoRedefine/>
    <w:rsid w:val="003C4EB5"/>
    <w:pPr>
      <w:tabs>
        <w:tab w:val="left" w:pos="414"/>
      </w:tabs>
    </w:pPr>
    <w:rPr>
      <w:b/>
    </w:rPr>
  </w:style>
  <w:style w:type="character" w:customStyle="1" w:styleId="Subtitle1Char">
    <w:name w:val="Subtitle1 Char"/>
    <w:basedOn w:val="Carpredefinitoparagrafo"/>
    <w:link w:val="Subtitle1"/>
    <w:rsid w:val="003C4EB5"/>
    <w:rPr>
      <w:rFonts w:cs="Times New Roman"/>
      <w:b/>
      <w:sz w:val="20"/>
      <w:szCs w:val="24"/>
      <w:lang w:val="en-GB" w:eastAsia="de-DE"/>
    </w:rPr>
  </w:style>
  <w:style w:type="paragraph" w:customStyle="1" w:styleId="Title1">
    <w:name w:val="Title 1"/>
    <w:basedOn w:val="Paragrafoelenco"/>
    <w:link w:val="Title1Char"/>
    <w:qFormat/>
    <w:rsid w:val="00F205B9"/>
    <w:pPr>
      <w:numPr>
        <w:numId w:val="0"/>
      </w:numPr>
      <w:ind w:left="792" w:hanging="432"/>
    </w:pPr>
    <w:rPr>
      <w:b/>
      <w:color w:val="00379F" w:themeColor="text1"/>
      <w:sz w:val="28"/>
    </w:rPr>
  </w:style>
  <w:style w:type="character" w:customStyle="1" w:styleId="Title1Char">
    <w:name w:val="Title 1 Char"/>
    <w:basedOn w:val="Carpredefinitoparagrafo"/>
    <w:link w:val="Title1"/>
    <w:rsid w:val="00F205B9"/>
    <w:rPr>
      <w:rFonts w:asciiTheme="majorHAnsi" w:hAnsiTheme="majorHAnsi" w:cstheme="majorHAnsi"/>
      <w:b/>
      <w:color w:val="00379F" w:themeColor="text1"/>
      <w:sz w:val="28"/>
      <w:szCs w:val="22"/>
      <w:lang w:val="pt-PT"/>
    </w:rPr>
  </w:style>
  <w:style w:type="paragraph" w:styleId="Paragrafoelenco">
    <w:name w:val="List Paragraph"/>
    <w:aliases w:val="Paragraphe EI,Paragraphe de liste1,EC"/>
    <w:basedOn w:val="Normale"/>
    <w:link w:val="ParagrafoelencoCarattere"/>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Paragrafoelenco"/>
    <w:link w:val="Title3Char"/>
    <w:autoRedefine/>
    <w:rsid w:val="00F205B9"/>
    <w:pPr>
      <w:numPr>
        <w:ilvl w:val="3"/>
        <w:numId w:val="4"/>
      </w:numPr>
    </w:pPr>
  </w:style>
  <w:style w:type="character" w:customStyle="1" w:styleId="Title3Char">
    <w:name w:val="Title 3 Char"/>
    <w:basedOn w:val="Carpredefinitoparagrafo"/>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e"/>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Carpredefinitoparagrafo"/>
    <w:link w:val="DocumentTitle"/>
    <w:rsid w:val="00563C1F"/>
    <w:rPr>
      <w:rFonts w:asciiTheme="majorHAnsi" w:hAnsiTheme="majorHAnsi"/>
      <w:b/>
      <w:color w:val="2D4190"/>
      <w:sz w:val="48"/>
      <w:lang w:val="en-GB"/>
    </w:rPr>
  </w:style>
  <w:style w:type="paragraph" w:customStyle="1" w:styleId="DocumentSubtitle">
    <w:name w:val="Document Subtitle"/>
    <w:basedOn w:val="Normale"/>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Carpredefinitoparagrafo"/>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e"/>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Carpredefinitoparagrafo"/>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e"/>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Carpredefinitoparagrafo"/>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e"/>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Carpredefinitoparagrafo"/>
    <w:link w:val="Introductionheading"/>
    <w:rsid w:val="00044C5A"/>
    <w:rPr>
      <w:rFonts w:ascii="Arial" w:eastAsia="Times New Roman" w:hAnsi="Arial" w:cs="Times New Roman"/>
      <w:b/>
      <w:sz w:val="28"/>
      <w:szCs w:val="24"/>
      <w:lang w:val="en-GB" w:eastAsia="de-DE"/>
    </w:rPr>
  </w:style>
  <w:style w:type="character" w:customStyle="1" w:styleId="Titolo5Carattere">
    <w:name w:val="Titolo 5 Carattere"/>
    <w:basedOn w:val="Carpredefinitoparagrafo"/>
    <w:link w:val="Titolo5"/>
    <w:uiPriority w:val="9"/>
    <w:rsid w:val="007E7997"/>
    <w:rPr>
      <w:rFonts w:asciiTheme="majorHAnsi" w:eastAsiaTheme="majorEastAsia" w:hAnsiTheme="majorHAnsi" w:cstheme="majorBidi"/>
      <w:color w:val="181818" w:themeColor="background1" w:themeShade="1A"/>
      <w:sz w:val="22"/>
      <w:szCs w:val="22"/>
      <w:lang w:val="en-GB"/>
    </w:rPr>
  </w:style>
  <w:style w:type="paragraph" w:styleId="Corpotesto">
    <w:name w:val="Body Text"/>
    <w:basedOn w:val="Normale"/>
    <w:link w:val="CorpotestoCarattere"/>
    <w:uiPriority w:val="99"/>
    <w:semiHidden/>
    <w:unhideWhenUsed/>
    <w:rsid w:val="00044C5A"/>
  </w:style>
  <w:style w:type="character" w:customStyle="1" w:styleId="CorpotestoCarattere">
    <w:name w:val="Corpo testo Carattere"/>
    <w:basedOn w:val="Carpredefinitoparagrafo"/>
    <w:link w:val="Corpotesto"/>
    <w:uiPriority w:val="99"/>
    <w:semiHidden/>
    <w:rsid w:val="00044C5A"/>
    <w:rPr>
      <w:rFonts w:ascii="Arial" w:eastAsiaTheme="minorEastAsia" w:hAnsi="Arial"/>
    </w:rPr>
  </w:style>
  <w:style w:type="paragraph" w:styleId="Primorientrocorpodeltesto">
    <w:name w:val="Body Text First Indent"/>
    <w:basedOn w:val="Corpotesto"/>
    <w:link w:val="PrimorientrocorpodeltestoCarattere"/>
    <w:uiPriority w:val="99"/>
    <w:semiHidden/>
    <w:unhideWhenUsed/>
    <w:rsid w:val="00044C5A"/>
    <w:pPr>
      <w:spacing w:after="0"/>
      <w:ind w:firstLine="360"/>
    </w:pPr>
  </w:style>
  <w:style w:type="character" w:customStyle="1" w:styleId="PrimorientrocorpodeltestoCarattere">
    <w:name w:val="Primo rientro corpo del testo Carattere"/>
    <w:basedOn w:val="CorpotestoCarattere"/>
    <w:link w:val="Primorientrocorpodeltesto"/>
    <w:uiPriority w:val="99"/>
    <w:semiHidden/>
    <w:rsid w:val="00044C5A"/>
    <w:rPr>
      <w:rFonts w:ascii="Arial" w:eastAsiaTheme="minorEastAsia" w:hAnsi="Arial"/>
    </w:rPr>
  </w:style>
  <w:style w:type="character" w:customStyle="1" w:styleId="Titolo6Carattere">
    <w:name w:val="Titolo 6 Carattere"/>
    <w:basedOn w:val="Carpredefinitoparagrafo"/>
    <w:link w:val="Titolo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olo">
    <w:name w:val="Title"/>
    <w:basedOn w:val="Normale"/>
    <w:next w:val="Normale"/>
    <w:link w:val="TitoloCarattere"/>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oloCarattere">
    <w:name w:val="Titolo Carattere"/>
    <w:basedOn w:val="Carpredefinitoparagrafo"/>
    <w:link w:val="Titolo"/>
    <w:uiPriority w:val="10"/>
    <w:rsid w:val="00516CBA"/>
    <w:rPr>
      <w:rFonts w:asciiTheme="majorHAnsi" w:eastAsiaTheme="majorEastAsia" w:hAnsiTheme="majorHAnsi" w:cstheme="majorBidi"/>
      <w:b/>
      <w:color w:val="00379F" w:themeColor="text1"/>
      <w:spacing w:val="-10"/>
      <w:sz w:val="56"/>
      <w:szCs w:val="56"/>
      <w:lang w:val="en-GB"/>
    </w:rPr>
  </w:style>
  <w:style w:type="paragraph" w:styleId="Sottotitolo">
    <w:name w:val="Subtitle"/>
    <w:basedOn w:val="Normale"/>
    <w:next w:val="Normale"/>
    <w:link w:val="SottotitoloCarattere"/>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ottotitoloCarattere">
    <w:name w:val="Sottotitolo Carattere"/>
    <w:basedOn w:val="Carpredefinitoparagrafo"/>
    <w:link w:val="Sottotitolo"/>
    <w:uiPriority w:val="11"/>
    <w:rsid w:val="0082744A"/>
    <w:rPr>
      <w:rFonts w:asciiTheme="majorHAnsi" w:eastAsiaTheme="majorEastAsia" w:hAnsiTheme="majorHAnsi" w:cstheme="majorBidi"/>
      <w:sz w:val="28"/>
      <w:szCs w:val="24"/>
      <w:lang w:val="en-GB"/>
    </w:rPr>
  </w:style>
  <w:style w:type="character" w:customStyle="1" w:styleId="Titolo7Carattere">
    <w:name w:val="Titolo 7 Carattere"/>
    <w:basedOn w:val="Carpredefinitoparagrafo"/>
    <w:link w:val="Titolo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Titolo8Carattere">
    <w:name w:val="Titolo 8 Carattere"/>
    <w:basedOn w:val="Carpredefinitoparagrafo"/>
    <w:link w:val="Titolo8"/>
    <w:uiPriority w:val="9"/>
    <w:semiHidden/>
    <w:rsid w:val="00AA054E"/>
    <w:rPr>
      <w:rFonts w:asciiTheme="majorHAnsi" w:eastAsiaTheme="majorEastAsia" w:hAnsiTheme="majorHAnsi" w:cstheme="majorBidi"/>
      <w:b/>
      <w:bCs/>
      <w:color w:val="007EFF" w:themeColor="text2"/>
      <w:sz w:val="22"/>
      <w:lang w:val="en-GB"/>
    </w:rPr>
  </w:style>
  <w:style w:type="character" w:customStyle="1" w:styleId="Titolo9Carattere">
    <w:name w:val="Titolo 9 Carattere"/>
    <w:basedOn w:val="Carpredefinitoparagrafo"/>
    <w:link w:val="Titolo9"/>
    <w:uiPriority w:val="9"/>
    <w:semiHidden/>
    <w:rsid w:val="00AA054E"/>
    <w:rPr>
      <w:rFonts w:asciiTheme="majorHAnsi" w:eastAsiaTheme="majorEastAsia" w:hAnsiTheme="majorHAnsi" w:cstheme="majorBidi"/>
      <w:b/>
      <w:bCs/>
      <w:i/>
      <w:iCs/>
      <w:color w:val="007EFF" w:themeColor="text2"/>
      <w:sz w:val="22"/>
      <w:lang w:val="en-GB"/>
    </w:rPr>
  </w:style>
  <w:style w:type="paragraph" w:styleId="Didascalia">
    <w:name w:val="caption"/>
    <w:basedOn w:val="Normale"/>
    <w:next w:val="Normale"/>
    <w:uiPriority w:val="35"/>
    <w:semiHidden/>
    <w:unhideWhenUsed/>
    <w:qFormat/>
    <w:rsid w:val="00AA054E"/>
    <w:pPr>
      <w:spacing w:line="240" w:lineRule="auto"/>
    </w:pPr>
    <w:rPr>
      <w:b/>
      <w:bCs/>
      <w:smallCaps/>
      <w:color w:val="1A69FF" w:themeColor="text1" w:themeTint="A6"/>
      <w:spacing w:val="6"/>
    </w:rPr>
  </w:style>
  <w:style w:type="character" w:styleId="Enfasigrassetto">
    <w:name w:val="Strong"/>
    <w:basedOn w:val="Carpredefinitoparagrafo"/>
    <w:uiPriority w:val="22"/>
    <w:qFormat/>
    <w:rsid w:val="00AA054E"/>
    <w:rPr>
      <w:b/>
      <w:bCs/>
    </w:rPr>
  </w:style>
  <w:style w:type="character" w:styleId="Enfasicorsivo">
    <w:name w:val="Emphasis"/>
    <w:basedOn w:val="Carpredefinitoparagrafo"/>
    <w:uiPriority w:val="20"/>
    <w:qFormat/>
    <w:rsid w:val="00AA054E"/>
    <w:rPr>
      <w:i/>
      <w:iCs/>
    </w:rPr>
  </w:style>
  <w:style w:type="paragraph" w:styleId="Citazione">
    <w:name w:val="Quote"/>
    <w:basedOn w:val="Normale"/>
    <w:next w:val="Normale"/>
    <w:link w:val="CitazioneCarattere"/>
    <w:uiPriority w:val="29"/>
    <w:qFormat/>
    <w:rsid w:val="00AA054E"/>
    <w:pPr>
      <w:spacing w:before="160"/>
      <w:ind w:left="720" w:right="720"/>
    </w:pPr>
    <w:rPr>
      <w:i/>
      <w:iCs/>
      <w:color w:val="0055F7" w:themeColor="text1" w:themeTint="BF"/>
    </w:rPr>
  </w:style>
  <w:style w:type="character" w:customStyle="1" w:styleId="CitazioneCarattere">
    <w:name w:val="Citazione Carattere"/>
    <w:basedOn w:val="Carpredefinitoparagrafo"/>
    <w:link w:val="Citazione"/>
    <w:uiPriority w:val="29"/>
    <w:rsid w:val="00AA054E"/>
    <w:rPr>
      <w:i/>
      <w:iCs/>
      <w:color w:val="0055F7" w:themeColor="text1" w:themeTint="BF"/>
    </w:rPr>
  </w:style>
  <w:style w:type="paragraph" w:styleId="Citazioneintensa">
    <w:name w:val="Intense Quote"/>
    <w:basedOn w:val="Normale"/>
    <w:next w:val="Normale"/>
    <w:link w:val="CitazioneintensaCarattere"/>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zioneintensaCarattere">
    <w:name w:val="Citazione intensa Carattere"/>
    <w:basedOn w:val="Carpredefinitoparagrafo"/>
    <w:link w:val="Citazioneintensa"/>
    <w:uiPriority w:val="30"/>
    <w:rsid w:val="00AA054E"/>
    <w:rPr>
      <w:rFonts w:asciiTheme="majorHAnsi" w:eastAsiaTheme="majorEastAsia" w:hAnsiTheme="majorHAnsi" w:cstheme="majorBidi"/>
      <w:color w:val="34009F" w:themeColor="accent1"/>
      <w:sz w:val="28"/>
      <w:szCs w:val="28"/>
    </w:rPr>
  </w:style>
  <w:style w:type="character" w:styleId="Enfasidelicata">
    <w:name w:val="Subtle Emphasis"/>
    <w:basedOn w:val="Carpredefinitoparagrafo"/>
    <w:uiPriority w:val="19"/>
    <w:qFormat/>
    <w:rsid w:val="00AA054E"/>
    <w:rPr>
      <w:i/>
      <w:iCs/>
      <w:color w:val="0055F7" w:themeColor="text1" w:themeTint="BF"/>
    </w:rPr>
  </w:style>
  <w:style w:type="character" w:styleId="Enfasiintensa">
    <w:name w:val="Intense Emphasis"/>
    <w:basedOn w:val="Carpredefinitoparagrafo"/>
    <w:uiPriority w:val="21"/>
    <w:qFormat/>
    <w:rsid w:val="00AA054E"/>
    <w:rPr>
      <w:b/>
      <w:bCs/>
      <w:i/>
      <w:iCs/>
    </w:rPr>
  </w:style>
  <w:style w:type="character" w:styleId="Riferimentodelicato">
    <w:name w:val="Subtle Reference"/>
    <w:basedOn w:val="Carpredefinitoparagrafo"/>
    <w:uiPriority w:val="31"/>
    <w:qFormat/>
    <w:rsid w:val="00AA054E"/>
    <w:rPr>
      <w:smallCaps/>
      <w:color w:val="0055F7" w:themeColor="text1" w:themeTint="BF"/>
      <w:u w:val="single" w:color="4E8BFF" w:themeColor="text1" w:themeTint="80"/>
    </w:rPr>
  </w:style>
  <w:style w:type="character" w:styleId="Riferimentointenso">
    <w:name w:val="Intense Reference"/>
    <w:basedOn w:val="Carpredefinitoparagrafo"/>
    <w:uiPriority w:val="32"/>
    <w:qFormat/>
    <w:rsid w:val="00AA054E"/>
    <w:rPr>
      <w:b/>
      <w:bCs/>
      <w:smallCaps/>
      <w:spacing w:val="5"/>
      <w:u w:val="single"/>
    </w:rPr>
  </w:style>
  <w:style w:type="character" w:styleId="Titolodellibro">
    <w:name w:val="Book Title"/>
    <w:basedOn w:val="Carpredefinitoparagrafo"/>
    <w:uiPriority w:val="33"/>
    <w:qFormat/>
    <w:rsid w:val="00AA054E"/>
    <w:rPr>
      <w:b/>
      <w:bCs/>
      <w:smallCaps/>
    </w:rPr>
  </w:style>
  <w:style w:type="paragraph" w:styleId="Titolosommario">
    <w:name w:val="TOC Heading"/>
    <w:basedOn w:val="Titolo1"/>
    <w:next w:val="Normale"/>
    <w:uiPriority w:val="39"/>
    <w:unhideWhenUsed/>
    <w:qFormat/>
    <w:rsid w:val="00F205B9"/>
    <w:pPr>
      <w:numPr>
        <w:numId w:val="0"/>
      </w:numPr>
      <w:outlineLvl w:val="9"/>
    </w:pPr>
  </w:style>
  <w:style w:type="character" w:customStyle="1" w:styleId="NessunaspaziaturaCarattere">
    <w:name w:val="Nessuna spaziatura Carattere"/>
    <w:basedOn w:val="Carpredefinitoparagrafo"/>
    <w:link w:val="Nessunaspaziatura"/>
    <w:uiPriority w:val="1"/>
    <w:rsid w:val="005B6B12"/>
    <w:rPr>
      <w:lang w:val="en-GB"/>
    </w:rPr>
  </w:style>
  <w:style w:type="paragraph" w:styleId="Intestazione">
    <w:name w:val="header"/>
    <w:basedOn w:val="Normale"/>
    <w:link w:val="IntestazioneCarattere"/>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IntestazioneCarattere">
    <w:name w:val="Intestazione Carattere"/>
    <w:basedOn w:val="Carpredefinitoparagrafo"/>
    <w:link w:val="Intestazione"/>
    <w:rsid w:val="00AF6B1E"/>
    <w:rPr>
      <w:color w:val="001B4F" w:themeColor="text1" w:themeShade="80"/>
      <w:sz w:val="16"/>
      <w:lang w:val="en-GB"/>
    </w:rPr>
  </w:style>
  <w:style w:type="paragraph" w:styleId="Pidipagina">
    <w:name w:val="footer"/>
    <w:basedOn w:val="Normale"/>
    <w:link w:val="PidipaginaCarattere"/>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PidipaginaCarattere">
    <w:name w:val="Piè di pagina Carattere"/>
    <w:basedOn w:val="Carpredefinitoparagrafo"/>
    <w:link w:val="Pidipagina"/>
    <w:uiPriority w:val="99"/>
    <w:rsid w:val="004E5FF8"/>
    <w:rPr>
      <w:color w:val="001B4F" w:themeColor="text1" w:themeShade="80"/>
      <w:sz w:val="16"/>
      <w:lang w:val="en-GB"/>
    </w:rPr>
  </w:style>
  <w:style w:type="paragraph" w:customStyle="1" w:styleId="00aPagenumber">
    <w:name w:val="00a_Page number"/>
    <w:basedOn w:val="Normale"/>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e"/>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Sommario1">
    <w:name w:val="toc 1"/>
    <w:basedOn w:val="Normale"/>
    <w:next w:val="Normale"/>
    <w:uiPriority w:val="39"/>
    <w:unhideWhenUsed/>
    <w:qFormat/>
    <w:rsid w:val="00F205B9"/>
    <w:pPr>
      <w:framePr w:hSpace="180" w:wrap="around" w:vAnchor="text" w:hAnchor="margin" w:y="115"/>
      <w:tabs>
        <w:tab w:val="left" w:pos="440"/>
        <w:tab w:val="right" w:leader="dot" w:pos="9062"/>
      </w:tabs>
      <w:spacing w:after="100"/>
    </w:pPr>
  </w:style>
  <w:style w:type="paragraph" w:styleId="Sommario2">
    <w:name w:val="toc 2"/>
    <w:basedOn w:val="Sommario1"/>
    <w:next w:val="Normale"/>
    <w:uiPriority w:val="39"/>
    <w:unhideWhenUsed/>
    <w:qFormat/>
    <w:rsid w:val="00F205B9"/>
    <w:pPr>
      <w:framePr w:wrap="around"/>
      <w:tabs>
        <w:tab w:val="right" w:leader="dot" w:pos="440"/>
      </w:tabs>
      <w:ind w:left="220"/>
    </w:pPr>
  </w:style>
  <w:style w:type="paragraph" w:styleId="Sommario3">
    <w:name w:val="toc 3"/>
    <w:basedOn w:val="Sommario1"/>
    <w:next w:val="Normale"/>
    <w:uiPriority w:val="39"/>
    <w:unhideWhenUsed/>
    <w:qFormat/>
    <w:rsid w:val="00AD0B10"/>
    <w:pPr>
      <w:framePr w:wrap="around"/>
      <w:ind w:left="442"/>
    </w:pPr>
  </w:style>
  <w:style w:type="character" w:styleId="Collegamentoipertestuale">
    <w:name w:val="Hyperlink"/>
    <w:basedOn w:val="Carpredefinitoparagrafo"/>
    <w:uiPriority w:val="99"/>
    <w:unhideWhenUsed/>
    <w:qFormat/>
    <w:rsid w:val="000C1E78"/>
    <w:rPr>
      <w:color w:val="005EBF" w:themeColor="text2" w:themeShade="BF"/>
      <w:u w:val="single"/>
    </w:rPr>
  </w:style>
  <w:style w:type="paragraph" w:customStyle="1" w:styleId="Questionstyle">
    <w:name w:val="Question style"/>
    <w:basedOn w:val="Normale"/>
    <w:next w:val="Normale"/>
    <w:link w:val="QuestionstyleChar"/>
    <w:autoRedefine/>
    <w:qFormat/>
    <w:rsid w:val="00C5469A"/>
    <w:pPr>
      <w:tabs>
        <w:tab w:val="left" w:pos="567"/>
      </w:tabs>
      <w:ind w:hanging="360"/>
      <w:contextualSpacing/>
    </w:pPr>
    <w:rPr>
      <w:b/>
    </w:rPr>
  </w:style>
  <w:style w:type="character" w:customStyle="1" w:styleId="QuestionstyleChar">
    <w:name w:val="Question style Char"/>
    <w:basedOn w:val="Carpredefinitoparagrafo"/>
    <w:link w:val="Questionstyle"/>
    <w:rsid w:val="00C5469A"/>
    <w:rPr>
      <w:b/>
      <w:color w:val="181818" w:themeColor="background1" w:themeShade="1A"/>
      <w:sz w:val="22"/>
      <w:lang w:val="en-GB"/>
    </w:rPr>
  </w:style>
  <w:style w:type="paragraph" w:customStyle="1" w:styleId="Listing2">
    <w:name w:val="Listing2"/>
    <w:basedOn w:val="Normale"/>
    <w:link w:val="Listing2Char"/>
    <w:autoRedefine/>
    <w:rsid w:val="00DF3785"/>
  </w:style>
  <w:style w:type="character" w:customStyle="1" w:styleId="Listing2Char">
    <w:name w:val="Listing2 Char"/>
    <w:basedOn w:val="Carpredefinitoparagrafo"/>
    <w:link w:val="Listing2"/>
    <w:rsid w:val="00DF3785"/>
    <w:rPr>
      <w:lang w:val="en-GB"/>
    </w:rPr>
  </w:style>
  <w:style w:type="table" w:styleId="Grigliatabella">
    <w:name w:val="Table Grid"/>
    <w:basedOn w:val="Tabellanorma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semiHidden/>
    <w:unhideWhenUsed/>
    <w:rsid w:val="00B50534"/>
    <w:pPr>
      <w:spacing w:after="0" w:line="240" w:lineRule="auto"/>
    </w:pPr>
  </w:style>
  <w:style w:type="character" w:customStyle="1" w:styleId="TestonotadichiusuraCarattere">
    <w:name w:val="Testo nota di chiusura Carattere"/>
    <w:basedOn w:val="Carpredefinitoparagrafo"/>
    <w:link w:val="Testonotadichiusura"/>
    <w:uiPriority w:val="99"/>
    <w:semiHidden/>
    <w:rsid w:val="00B50534"/>
    <w:rPr>
      <w:lang w:val="en-GB"/>
    </w:rPr>
  </w:style>
  <w:style w:type="character" w:styleId="Rimandonotadichiusura">
    <w:name w:val="endnote reference"/>
    <w:basedOn w:val="Carpredefinitoparagrafo"/>
    <w:uiPriority w:val="99"/>
    <w:semiHidden/>
    <w:unhideWhenUsed/>
    <w:rsid w:val="00B50534"/>
    <w:rPr>
      <w:vertAlign w:val="superscript"/>
    </w:rPr>
  </w:style>
  <w:style w:type="paragraph" w:styleId="Testonotaapidipagina">
    <w:name w:val="footnote text"/>
    <w:basedOn w:val="Normale"/>
    <w:link w:val="TestonotaapidipaginaCarattere"/>
    <w:autoRedefine/>
    <w:uiPriority w:val="99"/>
    <w:unhideWhenUsed/>
    <w:qFormat/>
    <w:rsid w:val="007A1A9D"/>
    <w:pPr>
      <w:spacing w:after="0" w:line="240" w:lineRule="auto"/>
    </w:pPr>
    <w:rPr>
      <w:sz w:val="16"/>
    </w:rPr>
  </w:style>
  <w:style w:type="character" w:customStyle="1" w:styleId="TestonotaapidipaginaCarattere">
    <w:name w:val="Testo nota a piè di pagina Carattere"/>
    <w:basedOn w:val="Carpredefinitoparagrafo"/>
    <w:link w:val="Testonotaapidipagina"/>
    <w:uiPriority w:val="99"/>
    <w:rsid w:val="007A1A9D"/>
    <w:rPr>
      <w:color w:val="181818" w:themeColor="background1" w:themeShade="1A"/>
      <w:sz w:val="16"/>
      <w:lang w:val="en-GB"/>
    </w:rPr>
  </w:style>
  <w:style w:type="character" w:styleId="Rimandonotaapidipagina">
    <w:name w:val="footnote reference"/>
    <w:basedOn w:val="Carpredefinitoparagrafo"/>
    <w:uiPriority w:val="99"/>
    <w:semiHidden/>
    <w:unhideWhenUsed/>
    <w:qFormat/>
    <w:rsid w:val="00A91D91"/>
    <w:rPr>
      <w:rFonts w:asciiTheme="majorHAnsi" w:hAnsiTheme="majorHAnsi"/>
      <w:sz w:val="16"/>
      <w:vertAlign w:val="superscript"/>
    </w:rPr>
  </w:style>
  <w:style w:type="paragraph" w:customStyle="1" w:styleId="Footnote">
    <w:name w:val="Footnote"/>
    <w:basedOn w:val="Testonotaapidipagina"/>
    <w:link w:val="FootnoteChar"/>
    <w:qFormat/>
    <w:rsid w:val="00672C04"/>
    <w:pPr>
      <w:ind w:left="454" w:hanging="454"/>
    </w:pPr>
    <w:rPr>
      <w:lang w:val="nl-BE"/>
    </w:rPr>
  </w:style>
  <w:style w:type="character" w:customStyle="1" w:styleId="FootnoteChar">
    <w:name w:val="Footnote Char"/>
    <w:basedOn w:val="TestonotaapidipaginaCarattere"/>
    <w:link w:val="Footnote"/>
    <w:rsid w:val="00672C04"/>
    <w:rPr>
      <w:color w:val="181818" w:themeColor="background1" w:themeShade="1A"/>
      <w:sz w:val="16"/>
      <w:lang w:val="en-GB"/>
    </w:r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stofumetto">
    <w:name w:val="Balloon Text"/>
    <w:basedOn w:val="Normale"/>
    <w:link w:val="TestofumettoCarattere"/>
    <w:uiPriority w:val="99"/>
    <w:semiHidden/>
    <w:unhideWhenUsed/>
    <w:rsid w:val="007151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51BF"/>
    <w:rPr>
      <w:rFonts w:ascii="Tahoma" w:hAnsi="Tahoma" w:cs="Tahoma"/>
      <w:sz w:val="16"/>
      <w:szCs w:val="16"/>
      <w:lang w:val="en-GB"/>
    </w:rPr>
  </w:style>
  <w:style w:type="paragraph" w:styleId="Sommario4">
    <w:name w:val="toc 4"/>
    <w:basedOn w:val="Sommario1"/>
    <w:next w:val="Normale"/>
    <w:uiPriority w:val="39"/>
    <w:unhideWhenUsed/>
    <w:qFormat/>
    <w:rsid w:val="00F205B9"/>
    <w:pPr>
      <w:framePr w:wrap="around"/>
      <w:ind w:left="660"/>
    </w:pPr>
  </w:style>
  <w:style w:type="character" w:styleId="Rimandocommento">
    <w:name w:val="annotation reference"/>
    <w:basedOn w:val="Carpredefinitoparagrafo"/>
    <w:uiPriority w:val="99"/>
    <w:semiHidden/>
    <w:unhideWhenUsed/>
    <w:rsid w:val="00D33C31"/>
    <w:rPr>
      <w:sz w:val="16"/>
      <w:szCs w:val="16"/>
    </w:rPr>
  </w:style>
  <w:style w:type="paragraph" w:styleId="Testocommento">
    <w:name w:val="annotation text"/>
    <w:basedOn w:val="Normale"/>
    <w:link w:val="TestocommentoCarattere"/>
    <w:uiPriority w:val="99"/>
    <w:unhideWhenUsed/>
    <w:rsid w:val="00D33C31"/>
    <w:pPr>
      <w:spacing w:line="240" w:lineRule="auto"/>
    </w:pPr>
    <w:rPr>
      <w:sz w:val="20"/>
    </w:rPr>
  </w:style>
  <w:style w:type="character" w:customStyle="1" w:styleId="TestocommentoCarattere">
    <w:name w:val="Testo commento Carattere"/>
    <w:basedOn w:val="Carpredefinitoparagrafo"/>
    <w:link w:val="Testocommento"/>
    <w:uiPriority w:val="99"/>
    <w:rsid w:val="00D33C31"/>
    <w:rPr>
      <w:lang w:val="en-GB"/>
    </w:rPr>
  </w:style>
  <w:style w:type="paragraph" w:styleId="Soggettocommento">
    <w:name w:val="annotation subject"/>
    <w:basedOn w:val="Testocommento"/>
    <w:next w:val="Testocommento"/>
    <w:link w:val="SoggettocommentoCarattere"/>
    <w:uiPriority w:val="99"/>
    <w:semiHidden/>
    <w:unhideWhenUsed/>
    <w:rsid w:val="00D33C31"/>
    <w:rPr>
      <w:b/>
      <w:bCs/>
    </w:rPr>
  </w:style>
  <w:style w:type="character" w:customStyle="1" w:styleId="SoggettocommentoCarattere">
    <w:name w:val="Soggetto commento Carattere"/>
    <w:basedOn w:val="TestocommentoCarattere"/>
    <w:link w:val="Soggettocommento"/>
    <w:uiPriority w:val="99"/>
    <w:semiHidden/>
    <w:rsid w:val="00D33C31"/>
    <w:rPr>
      <w:b/>
      <w:bCs/>
      <w:lang w:val="en-GB"/>
    </w:rPr>
  </w:style>
  <w:style w:type="character" w:styleId="Menzionenonrisolta">
    <w:name w:val="Unresolved Mention"/>
    <w:basedOn w:val="Carpredefinitoparagrafo"/>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Enfasigrassetto"/>
    <w:uiPriority w:val="1"/>
    <w:qFormat/>
    <w:rsid w:val="008858FE"/>
    <w:rPr>
      <w:b w:val="0"/>
      <w:bCs/>
      <w:caps/>
      <w:smallCaps w:val="0"/>
      <w:color w:val="FF0000" w:themeColor="accent6"/>
      <w:sz w:val="22"/>
    </w:rPr>
  </w:style>
  <w:style w:type="paragraph" w:customStyle="1" w:styleId="Disclaimer">
    <w:name w:val="Disclaimer"/>
    <w:basedOn w:val="Normale"/>
    <w:qFormat/>
    <w:rsid w:val="00906D18"/>
    <w:rPr>
      <w:i/>
      <w:iCs/>
      <w:sz w:val="18"/>
      <w:szCs w:val="18"/>
    </w:rPr>
  </w:style>
  <w:style w:type="paragraph" w:customStyle="1" w:styleId="ESMAHeader">
    <w:name w:val="ESMA Header"/>
    <w:basedOn w:val="Intestazione"/>
    <w:qFormat/>
    <w:rsid w:val="00AF6B1E"/>
  </w:style>
  <w:style w:type="paragraph" w:customStyle="1" w:styleId="Pageheader">
    <w:name w:val="Page header"/>
    <w:basedOn w:val="Intestazione"/>
    <w:next w:val="Intestazion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e"/>
    <w:qFormat/>
    <w:rsid w:val="00F205B9"/>
    <w:rPr>
      <w:rFonts w:ascii="Arial" w:eastAsia="Times New Roman" w:hAnsi="Arial" w:cs="Arial"/>
      <w:sz w:val="18"/>
      <w:szCs w:val="18"/>
      <w:lang w:eastAsia="de-DE"/>
    </w:rPr>
  </w:style>
  <w:style w:type="paragraph" w:styleId="Sommario5">
    <w:name w:val="toc 5"/>
    <w:basedOn w:val="Normale"/>
    <w:next w:val="Normale"/>
    <w:uiPriority w:val="39"/>
    <w:semiHidden/>
    <w:unhideWhenUsed/>
    <w:qFormat/>
    <w:rsid w:val="00F205B9"/>
    <w:pPr>
      <w:spacing w:after="100"/>
      <w:ind w:left="880"/>
    </w:pPr>
  </w:style>
  <w:style w:type="paragraph" w:styleId="Sommario6">
    <w:name w:val="toc 6"/>
    <w:basedOn w:val="Normale"/>
    <w:next w:val="Normale"/>
    <w:uiPriority w:val="39"/>
    <w:semiHidden/>
    <w:unhideWhenUsed/>
    <w:qFormat/>
    <w:rsid w:val="00F205B9"/>
    <w:pPr>
      <w:spacing w:after="100"/>
      <w:ind w:left="1100"/>
    </w:pPr>
  </w:style>
  <w:style w:type="paragraph" w:styleId="Sommario7">
    <w:name w:val="toc 7"/>
    <w:basedOn w:val="Normale"/>
    <w:next w:val="Normale"/>
    <w:uiPriority w:val="39"/>
    <w:semiHidden/>
    <w:unhideWhenUsed/>
    <w:qFormat/>
    <w:rsid w:val="00F205B9"/>
    <w:pPr>
      <w:spacing w:after="100"/>
      <w:ind w:left="1320"/>
    </w:pPr>
  </w:style>
  <w:style w:type="paragraph" w:styleId="Sommario8">
    <w:name w:val="toc 8"/>
    <w:basedOn w:val="Normale"/>
    <w:next w:val="Normale"/>
    <w:uiPriority w:val="39"/>
    <w:semiHidden/>
    <w:unhideWhenUsed/>
    <w:qFormat/>
    <w:rsid w:val="00F205B9"/>
    <w:pPr>
      <w:spacing w:after="100"/>
      <w:ind w:left="1540"/>
    </w:pPr>
  </w:style>
  <w:style w:type="paragraph" w:styleId="Sommario9">
    <w:name w:val="toc 9"/>
    <w:basedOn w:val="Normale"/>
    <w:next w:val="Normale"/>
    <w:uiPriority w:val="39"/>
    <w:semiHidden/>
    <w:unhideWhenUsed/>
    <w:qFormat/>
    <w:rsid w:val="00F205B9"/>
    <w:pPr>
      <w:spacing w:after="100"/>
      <w:ind w:left="1760"/>
    </w:pPr>
  </w:style>
  <w:style w:type="character" w:styleId="Collegamentovisitato">
    <w:name w:val="FollowedHyperlink"/>
    <w:basedOn w:val="Carpredefinitoparagrafo"/>
    <w:uiPriority w:val="99"/>
    <w:semiHidden/>
    <w:unhideWhenUsed/>
    <w:rsid w:val="0043139E"/>
    <w:rPr>
      <w:color w:val="0174AF" w:themeColor="followedHyperlink"/>
      <w:u w:val="single"/>
    </w:rPr>
  </w:style>
  <w:style w:type="character" w:customStyle="1" w:styleId="ParagrafoelencoCarattere">
    <w:name w:val="Paragrafo elenco Carattere"/>
    <w:aliases w:val="Paragraphe EI Carattere,Paragraphe de liste1 Carattere,EC Carattere"/>
    <w:link w:val="Paragrafoelenco"/>
    <w:uiPriority w:val="34"/>
    <w:locked/>
    <w:rsid w:val="00EC6066"/>
    <w:rPr>
      <w:rFonts w:asciiTheme="majorHAnsi" w:hAnsiTheme="majorHAnsi" w:cstheme="majorHAnsi"/>
      <w:color w:val="181818" w:themeColor="background1" w:themeShade="1A"/>
      <w:sz w:val="22"/>
      <w:szCs w:val="22"/>
      <w:lang w:val="pt-PT"/>
    </w:rPr>
  </w:style>
  <w:style w:type="paragraph" w:styleId="Revisione">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e"/>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Carpredefinitoparagrafo"/>
    <w:rsid w:val="00061F32"/>
    <w:rPr>
      <w:rFonts w:ascii="Segoe UI" w:hAnsi="Segoe UI" w:cs="Segoe UI" w:hint="default"/>
      <w:sz w:val="18"/>
      <w:szCs w:val="18"/>
    </w:rPr>
  </w:style>
  <w:style w:type="character" w:customStyle="1" w:styleId="cf11">
    <w:name w:val="cf11"/>
    <w:basedOn w:val="Carpredefinitoparagrafo"/>
    <w:rsid w:val="00061F32"/>
    <w:rPr>
      <w:rFonts w:ascii="Segoe UI" w:hAnsi="Segoe UI" w:cs="Segoe UI" w:hint="default"/>
      <w:color w:val="333333"/>
      <w:sz w:val="18"/>
      <w:szCs w:val="18"/>
      <w:shd w:val="clear" w:color="auto" w:fill="FFFFFF"/>
    </w:rPr>
  </w:style>
  <w:style w:type="character" w:styleId="Menzione">
    <w:name w:val="Mention"/>
    <w:basedOn w:val="Carpredefinitoparagrafo"/>
    <w:uiPriority w:val="99"/>
    <w:unhideWhenUsed/>
    <w:rsid w:val="00251F26"/>
    <w:rPr>
      <w:color w:val="2B579A"/>
      <w:shd w:val="clear" w:color="auto" w:fill="E1DFDD"/>
    </w:rPr>
  </w:style>
  <w:style w:type="character" w:styleId="Testosegnaposto">
    <w:name w:val="Placeholder Text"/>
    <w:basedOn w:val="Carpredefinitoparagrafo"/>
    <w:uiPriority w:val="99"/>
    <w:semiHidden/>
    <w:rsid w:val="00635BCA"/>
    <w:rPr>
      <w:color w:val="808080"/>
    </w:rPr>
  </w:style>
  <w:style w:type="paragraph" w:customStyle="1" w:styleId="para">
    <w:name w:val="para"/>
    <w:basedOn w:val="Paragrafoelenco"/>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Carpredefinitoparagrafo"/>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Testosegnaposto"/>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Testosegnaposto"/>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Testosegnapos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34145D"/>
    <w:rsid w:val="00460D28"/>
    <w:rsid w:val="004D67E0"/>
    <w:rsid w:val="004E4CF9"/>
    <w:rsid w:val="005D66AB"/>
    <w:rsid w:val="006D3543"/>
    <w:rsid w:val="00813189"/>
    <w:rsid w:val="008222A0"/>
    <w:rsid w:val="00836D47"/>
    <w:rsid w:val="00880E38"/>
    <w:rsid w:val="00982D57"/>
    <w:rsid w:val="00993537"/>
    <w:rsid w:val="009B6B9C"/>
    <w:rsid w:val="009C0B17"/>
    <w:rsid w:val="00B22006"/>
    <w:rsid w:val="00B46CAE"/>
    <w:rsid w:val="00D40353"/>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2.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5.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4789</Words>
  <Characters>24906</Characters>
  <Application>Microsoft Office Word</Application>
  <DocSecurity>8</DocSecurity>
  <Lines>529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Author</cp:lastModifiedBy>
  <cp:revision>3</cp:revision>
  <cp:lastPrinted>2023-09-09T00:53:00Z</cp:lastPrinted>
  <dcterms:created xsi:type="dcterms:W3CDTF">2025-02-13T14:42:00Z</dcterms:created>
  <dcterms:modified xsi:type="dcterms:W3CDTF">2025-02-13T14:52:00Z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ies>
</file>