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spacing w:val="0"/>
          <w:kern w:val="0"/>
          <w:sz w:val="28"/>
          <w:szCs w:val="28"/>
        </w:rPr>
        <w:id w:val="-973058580"/>
        <w:docPartObj>
          <w:docPartGallery w:val="Cover Pages"/>
          <w:docPartUnique/>
        </w:docPartObj>
      </w:sdtPr>
      <w:sdtEndPr>
        <w:rPr>
          <w:b w:val="0"/>
        </w:rPr>
      </w:sdtEndPr>
      <w:sdtContent>
        <w:p w14:paraId="5C685C6B" w14:textId="77777777" w:rsidR="00707ED8" w:rsidRDefault="00707ED8" w:rsidP="00707ED8">
          <w:pPr>
            <w:pStyle w:val="Tytu"/>
          </w:pPr>
          <w:r>
            <w:t>Reply Form</w:t>
          </w:r>
        </w:p>
        <w:p w14:paraId="2AAE54DB" w14:textId="77777777" w:rsidR="00707ED8" w:rsidRPr="00C01571" w:rsidRDefault="00707ED8" w:rsidP="00707ED8">
          <w:pPr>
            <w:pStyle w:val="Podtytu"/>
            <w:rPr>
              <w:rFonts w:cs="Arial"/>
              <w:sz w:val="36"/>
              <w:szCs w:val="36"/>
            </w:rPr>
          </w:pPr>
          <w:r w:rsidRPr="00C01571">
            <w:rPr>
              <w:noProof/>
              <w:sz w:val="36"/>
              <w:szCs w:val="36"/>
            </w:rPr>
            <mc:AlternateContent>
              <mc:Choice Requires="wps">
                <w:drawing>
                  <wp:anchor distT="0" distB="0" distL="114300" distR="114300" simplePos="0" relativeHeight="251659264" behindDoc="1" locked="1" layoutInCell="1" allowOverlap="0" wp14:anchorId="1482ED26" wp14:editId="7DD076B6">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7"/>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FAEDB0" id="Freeform: Shape 1" o:spid="_x0000_s1026" style="position:absolute;margin-left:1.35pt;margin-top:42.6pt;width:596.1pt;height:769.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8"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Pr="00C01571">
            <w:rPr>
              <w:rFonts w:cs="Arial"/>
              <w:b/>
              <w:bCs/>
              <w:sz w:val="36"/>
              <w:szCs w:val="36"/>
            </w:rPr>
            <w:t>to</w:t>
          </w:r>
          <w:r w:rsidRPr="00C01571">
            <w:rPr>
              <w:rFonts w:cs="Arial"/>
              <w:b/>
              <w:sz w:val="36"/>
              <w:szCs w:val="36"/>
            </w:rPr>
            <w:t xml:space="preserve"> the Consultation Paper on </w:t>
          </w:r>
          <w:r w:rsidRPr="004F7198">
            <w:rPr>
              <w:rFonts w:cs="Arial"/>
              <w:b/>
              <w:sz w:val="36"/>
              <w:szCs w:val="36"/>
            </w:rPr>
            <w:t>Draft technical advice concerning MAR and MiFID II SME GM</w:t>
          </w:r>
        </w:p>
        <w:p w14:paraId="7CFA232E" w14:textId="77777777" w:rsidR="00707ED8" w:rsidRDefault="00707ED8" w:rsidP="00707ED8"/>
        <w:p w14:paraId="2324A2CF" w14:textId="77777777" w:rsidR="00707ED8" w:rsidRPr="00D77369" w:rsidRDefault="00707ED8" w:rsidP="00707ED8">
          <w:pPr>
            <w:sectPr w:rsidR="00707ED8" w:rsidRPr="00D77369" w:rsidSect="00707ED8">
              <w:headerReference w:type="first" r:id="rId9"/>
              <w:pgSz w:w="11906" w:h="16838"/>
              <w:pgMar w:top="1417" w:right="1417" w:bottom="1417" w:left="1417" w:header="862" w:footer="708" w:gutter="0"/>
              <w:pgNumType w:start="0"/>
              <w:cols w:space="708"/>
              <w:titlePg/>
              <w:docGrid w:linePitch="360"/>
            </w:sectPr>
          </w:pPr>
        </w:p>
        <w:p w14:paraId="4F86A5DB" w14:textId="77777777" w:rsidR="00707ED8" w:rsidRPr="005B6B12" w:rsidRDefault="00707ED8" w:rsidP="00707ED8">
          <w:pPr>
            <w:pStyle w:val="Podtytu"/>
          </w:pPr>
          <w:r w:rsidRPr="005B6B12">
            <w:t xml:space="preserve">Responding to this </w:t>
          </w:r>
          <w:r>
            <w:t>Consultation P</w:t>
          </w:r>
          <w:r w:rsidRPr="005B6B12">
            <w:t xml:space="preserve">aper </w:t>
          </w:r>
        </w:p>
        <w:p w14:paraId="7B95A769" w14:textId="77777777" w:rsidR="00707ED8" w:rsidRPr="005B6B12" w:rsidRDefault="00707ED8" w:rsidP="00707ED8">
          <w:r w:rsidRPr="005B6B12">
            <w:t xml:space="preserve">ESMA invites comments on all matters in this </w:t>
          </w:r>
          <w:r>
            <w:t>Consultation P</w:t>
          </w:r>
          <w:r w:rsidRPr="005B6B12">
            <w:t xml:space="preserve">aper and in particular </w:t>
          </w:r>
          <w:r>
            <w:t>on the specific questions summa</w:t>
          </w:r>
          <w:r w:rsidRPr="005B6B12">
            <w:t>rised in Annex 1. Comments are most helpful if they:</w:t>
          </w:r>
        </w:p>
        <w:p w14:paraId="374453B7" w14:textId="77777777" w:rsidR="00707ED8" w:rsidRPr="00DB2FD6" w:rsidRDefault="00707ED8" w:rsidP="00707ED8">
          <w:pPr>
            <w:pStyle w:val="Akapitzlist"/>
            <w:ind w:left="1070" w:hanging="360"/>
            <w:contextualSpacing w:val="0"/>
          </w:pPr>
          <w:r w:rsidRPr="00DB2FD6">
            <w:t>respond to the question stated;</w:t>
          </w:r>
        </w:p>
        <w:p w14:paraId="534C74F6" w14:textId="77777777" w:rsidR="00707ED8" w:rsidRPr="00DB2FD6" w:rsidRDefault="00707ED8" w:rsidP="00707ED8">
          <w:pPr>
            <w:pStyle w:val="Akapitzlist"/>
            <w:ind w:left="1070" w:hanging="360"/>
            <w:contextualSpacing w:val="0"/>
          </w:pPr>
          <w:r w:rsidRPr="00DB2FD6">
            <w:t>indicate the specific question to which the comment relates;</w:t>
          </w:r>
        </w:p>
        <w:p w14:paraId="372FE745" w14:textId="77777777" w:rsidR="00707ED8" w:rsidRPr="00E13D25" w:rsidRDefault="00707ED8" w:rsidP="00707ED8">
          <w:pPr>
            <w:pStyle w:val="Akapitzlist"/>
            <w:ind w:left="1070" w:hanging="360"/>
            <w:contextualSpacing w:val="0"/>
          </w:pPr>
          <w:r w:rsidRPr="00E13D25">
            <w:t>contain a clear rationale; and</w:t>
          </w:r>
        </w:p>
        <w:p w14:paraId="43C81D1B" w14:textId="77777777" w:rsidR="00707ED8" w:rsidRPr="00DB2FD6" w:rsidRDefault="00707ED8" w:rsidP="00707ED8">
          <w:pPr>
            <w:pStyle w:val="Akapitzlist"/>
            <w:ind w:left="1070" w:hanging="360"/>
            <w:contextualSpacing w:val="0"/>
          </w:pPr>
          <w:r w:rsidRPr="00DB2FD6">
            <w:t>describe any alternatives ESMA should consider.</w:t>
          </w:r>
        </w:p>
        <w:p w14:paraId="6F1162E2" w14:textId="77777777" w:rsidR="00707ED8" w:rsidRPr="005B6B12" w:rsidRDefault="00707ED8" w:rsidP="00707ED8">
          <w:r w:rsidRPr="005B6B12">
            <w:t xml:space="preserve">ESMA will consider all comments received by </w:t>
          </w:r>
          <w:r>
            <w:rPr>
              <w:b/>
              <w:bCs/>
              <w:color w:val="auto"/>
            </w:rPr>
            <w:t>13</w:t>
          </w:r>
          <w:r w:rsidRPr="1768F097">
            <w:rPr>
              <w:b/>
              <w:bCs/>
              <w:color w:val="auto"/>
            </w:rPr>
            <w:t xml:space="preserve"> </w:t>
          </w:r>
          <w:r>
            <w:rPr>
              <w:b/>
              <w:bCs/>
              <w:color w:val="auto"/>
            </w:rPr>
            <w:t>February</w:t>
          </w:r>
          <w:r w:rsidRPr="1768F097">
            <w:rPr>
              <w:b/>
              <w:color w:val="auto"/>
            </w:rPr>
            <w:t xml:space="preserve"> 2024.</w:t>
          </w:r>
          <w:r w:rsidRPr="005B6B12">
            <w:rPr>
              <w:b/>
            </w:rPr>
            <w:t xml:space="preserve"> </w:t>
          </w:r>
        </w:p>
        <w:p w14:paraId="090B5C49" w14:textId="77777777" w:rsidR="00707ED8" w:rsidRDefault="00707ED8" w:rsidP="00707ED8">
          <w:r w:rsidRPr="005B6B12">
            <w:t xml:space="preserve">All contributions should be submitted online at </w:t>
          </w:r>
          <w:hyperlink r:id="rId10" w:history="1">
            <w:r w:rsidRPr="005B6B12">
              <w:rPr>
                <w:rStyle w:val="Hipercze"/>
              </w:rPr>
              <w:t>www.esma.europa.eu</w:t>
            </w:r>
          </w:hyperlink>
          <w:r w:rsidRPr="005B6B12">
            <w:t xml:space="preserve"> under the heading ‘Your input - Consultations’. </w:t>
          </w:r>
        </w:p>
        <w:p w14:paraId="13E00A74" w14:textId="77777777" w:rsidR="00707ED8" w:rsidRPr="0026459D" w:rsidRDefault="00707ED8" w:rsidP="00707ED8">
          <w:pPr>
            <w:pStyle w:val="Podtytu"/>
            <w:rPr>
              <w:b/>
              <w:sz w:val="24"/>
              <w:szCs w:val="22"/>
            </w:rPr>
          </w:pPr>
          <w:r w:rsidRPr="00013CA1">
            <w:t>Instructions</w:t>
          </w:r>
        </w:p>
        <w:p w14:paraId="14FDC4E2" w14:textId="77777777" w:rsidR="00707ED8" w:rsidRPr="0026459D" w:rsidRDefault="00707ED8" w:rsidP="00707ED8">
          <w:pPr>
            <w:rPr>
              <w:bCs/>
            </w:rPr>
          </w:pPr>
          <w:r w:rsidRPr="0026459D">
            <w:rPr>
              <w:bCs/>
            </w:rPr>
            <w:t>In order to facilitate analysis of responses to the Consultation Paper, respondents are requested to follow the below steps when preparing and submitting their response:</w:t>
          </w:r>
        </w:p>
        <w:p w14:paraId="6676C32D" w14:textId="77777777" w:rsidR="00707ED8" w:rsidRPr="0026459D" w:rsidRDefault="00707ED8" w:rsidP="00707ED8">
          <w:pPr>
            <w:ind w:left="142"/>
            <w:rPr>
              <w:bCs/>
            </w:rPr>
          </w:pPr>
          <w:r w:rsidRPr="0026459D">
            <w:rPr>
              <w:bCs/>
            </w:rPr>
            <w:t>•</w:t>
          </w:r>
          <w:r w:rsidRPr="0026459D">
            <w:rPr>
              <w:bCs/>
            </w:rPr>
            <w:tab/>
            <w:t xml:space="preserve">Insert your responses to the questions in the Consultation Paper in this reply form. </w:t>
          </w:r>
        </w:p>
        <w:p w14:paraId="752A9493" w14:textId="77777777" w:rsidR="00707ED8" w:rsidRPr="00C5469A" w:rsidRDefault="00707ED8" w:rsidP="00707ED8">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Pr>
              <w:bCs/>
            </w:rPr>
            <w:t>_LATA_</w:t>
          </w:r>
          <w:r w:rsidRPr="00C5469A">
            <w:rPr>
              <w:bCs/>
            </w:rPr>
            <w:t xml:space="preserve">0&gt;. Your response </w:t>
          </w:r>
          <w:r w:rsidRPr="00C5469A">
            <w:rPr>
              <w:bCs/>
            </w:rPr>
            <w:tab/>
            <w:t>to each question has to be framed by the two tags corresponding to the question.</w:t>
          </w:r>
        </w:p>
        <w:p w14:paraId="7D92B593" w14:textId="77777777" w:rsidR="00707ED8" w:rsidRPr="00C5469A" w:rsidRDefault="00707ED8" w:rsidP="00707ED8">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004CB115" w14:textId="77777777" w:rsidR="00707ED8" w:rsidRPr="00C5469A" w:rsidRDefault="00707ED8" w:rsidP="00707ED8">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ESMA_CP1_</w:t>
          </w:r>
          <w:r w:rsidRPr="00DB2FD6">
            <w:rPr>
              <w:bCs/>
            </w:rPr>
            <w:t xml:space="preserve"> </w:t>
          </w:r>
          <w:proofErr w:type="spellStart"/>
          <w:r>
            <w:rPr>
              <w:bCs/>
            </w:rPr>
            <w:t>LATA</w:t>
          </w:r>
          <w:r w:rsidRPr="00C5469A">
            <w:rPr>
              <w:bCs/>
            </w:rPr>
            <w:t>_nameofrespondent</w:t>
          </w:r>
          <w:proofErr w:type="spellEnd"/>
          <w:r w:rsidRPr="00C5469A">
            <w:rPr>
              <w:bCs/>
            </w:rPr>
            <w:t xml:space="preserve">. </w:t>
          </w:r>
        </w:p>
        <w:p w14:paraId="19321CAB" w14:textId="77777777" w:rsidR="00707ED8" w:rsidRPr="0026459D" w:rsidRDefault="00707ED8" w:rsidP="00707ED8">
          <w:pPr>
            <w:ind w:left="142"/>
            <w:rPr>
              <w:bCs/>
            </w:rPr>
          </w:pPr>
          <w:r w:rsidRPr="00C5469A">
            <w:rPr>
              <w:bCs/>
            </w:rPr>
            <w:tab/>
            <w:t xml:space="preserve">For example, for a respondent named ABCD, the reply form would be saved with the </w:t>
          </w:r>
          <w:r w:rsidRPr="00C5469A">
            <w:rPr>
              <w:bCs/>
            </w:rPr>
            <w:tab/>
            <w:t>following name: ESMA_CP1_</w:t>
          </w:r>
          <w:r w:rsidRPr="00DB2FD6">
            <w:rPr>
              <w:bCs/>
            </w:rPr>
            <w:t xml:space="preserve"> </w:t>
          </w:r>
          <w:r>
            <w:rPr>
              <w:bCs/>
            </w:rPr>
            <w:t>LATA</w:t>
          </w:r>
          <w:r w:rsidRPr="00C5469A">
            <w:rPr>
              <w:bCs/>
            </w:rPr>
            <w:t>_ABCD.</w:t>
          </w:r>
        </w:p>
        <w:p w14:paraId="32827BC7" w14:textId="77777777" w:rsidR="00707ED8" w:rsidRDefault="00707ED8" w:rsidP="00707ED8">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2D35737" w14:textId="77777777" w:rsidR="00707ED8" w:rsidRPr="004035C7" w:rsidRDefault="00707ED8" w:rsidP="00707ED8">
          <w:pPr>
            <w:ind w:left="142"/>
            <w:rPr>
              <w:bCs/>
              <w:i/>
              <w:iCs/>
            </w:rPr>
          </w:pPr>
        </w:p>
        <w:p w14:paraId="10C5C7CD" w14:textId="77777777" w:rsidR="00707ED8" w:rsidRPr="005B6B12" w:rsidRDefault="00707ED8" w:rsidP="00707ED8">
          <w:pPr>
            <w:rPr>
              <w:b/>
            </w:rPr>
          </w:pPr>
          <w:r w:rsidRPr="005B6B12">
            <w:rPr>
              <w:b/>
            </w:rPr>
            <w:t>Publication of responses</w:t>
          </w:r>
        </w:p>
        <w:p w14:paraId="0E8ECFC1" w14:textId="77777777" w:rsidR="00707ED8" w:rsidRPr="005B6B12" w:rsidRDefault="00707ED8" w:rsidP="00707ED8">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7C4CF25" w14:textId="77777777" w:rsidR="00707ED8" w:rsidRPr="005B6B12" w:rsidRDefault="00707ED8" w:rsidP="00707ED8">
          <w:pPr>
            <w:rPr>
              <w:b/>
            </w:rPr>
          </w:pPr>
          <w:r w:rsidRPr="005B6B12">
            <w:rPr>
              <w:b/>
            </w:rPr>
            <w:t>Data protection</w:t>
          </w:r>
        </w:p>
        <w:p w14:paraId="744B8279" w14:textId="77777777" w:rsidR="00707ED8" w:rsidRPr="005B6B12" w:rsidRDefault="00707ED8" w:rsidP="00707ED8">
          <w:r w:rsidRPr="005B6B12">
            <w:t xml:space="preserve">Information on data protection can be found at </w:t>
          </w:r>
          <w:hyperlink r:id="rId11" w:history="1">
            <w:r w:rsidRPr="005B6B12">
              <w:rPr>
                <w:rStyle w:val="Hipercze"/>
              </w:rPr>
              <w:t>www.esma.europa.eu</w:t>
            </w:r>
          </w:hyperlink>
          <w:r w:rsidRPr="005B6B12">
            <w:t xml:space="preserve"> under the heading </w:t>
          </w:r>
          <w:r w:rsidRPr="00025A7F">
            <w:rPr>
              <w:rStyle w:val="Hipercze"/>
            </w:rPr>
            <w:t>‘</w:t>
          </w:r>
          <w:hyperlink r:id="rId12" w:history="1">
            <w:r>
              <w:rPr>
                <w:rStyle w:val="Hipercze"/>
              </w:rPr>
              <w:t>Data protection</w:t>
            </w:r>
          </w:hyperlink>
          <w:r>
            <w:rPr>
              <w:rStyle w:val="Hipercze"/>
            </w:rPr>
            <w:t>’</w:t>
          </w:r>
          <w:r w:rsidRPr="005B6B12">
            <w:t>.</w:t>
          </w:r>
        </w:p>
        <w:p w14:paraId="0FD95977" w14:textId="77777777" w:rsidR="00707ED8" w:rsidRPr="005B6B12" w:rsidRDefault="00707ED8" w:rsidP="00707ED8">
          <w:pPr>
            <w:rPr>
              <w:b/>
            </w:rPr>
          </w:pPr>
          <w:r w:rsidRPr="005B6B12">
            <w:rPr>
              <w:b/>
            </w:rPr>
            <w:t>Who should read this paper?</w:t>
          </w:r>
        </w:p>
      </w:sdtContent>
    </w:sdt>
    <w:p w14:paraId="2049E74D" w14:textId="77777777" w:rsidR="00707ED8" w:rsidRDefault="00707ED8" w:rsidP="00707ED8">
      <w:r w:rsidRPr="00D72513">
        <w:t>All interested stakeholders are invited to respond to this consultation paper. This consultation paper is of primary interest to issuers, including SMEs, and trading venues, but responses are also sought from any other market participant including trade associations and industry bodies, institutional and retail investors, consultants and academics</w:t>
      </w:r>
      <w:r>
        <w:t>.</w:t>
      </w:r>
    </w:p>
    <w:p w14:paraId="4E3B29DF" w14:textId="77777777" w:rsidR="00707ED8" w:rsidRDefault="00707ED8" w:rsidP="00707ED8">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4EC232FE" w14:textId="77777777" w:rsidR="00707ED8" w:rsidRPr="00557BD2" w:rsidRDefault="00707ED8" w:rsidP="00707ED8">
      <w:pPr>
        <w:pStyle w:val="Nagwek1"/>
        <w:spacing w:before="320" w:after="250"/>
        <w:ind w:left="431" w:hanging="431"/>
        <w:rPr>
          <w:lang w:val="fr-BE"/>
        </w:rPr>
      </w:pPr>
      <w:r>
        <w:rPr>
          <w:lang w:val="fr-BE"/>
        </w:rPr>
        <w:t xml:space="preserve">General information about </w:t>
      </w:r>
      <w:r w:rsidRPr="00501EF4">
        <w:t>respondent</w:t>
      </w:r>
    </w:p>
    <w:tbl>
      <w:tblPr>
        <w:tblStyle w:val="Tabela-Siatka"/>
        <w:tblW w:w="0" w:type="auto"/>
        <w:tblLook w:val="04A0" w:firstRow="1" w:lastRow="0" w:firstColumn="1" w:lastColumn="0" w:noHBand="0" w:noVBand="1"/>
      </w:tblPr>
      <w:tblGrid>
        <w:gridCol w:w="4531"/>
        <w:gridCol w:w="4531"/>
      </w:tblGrid>
      <w:tr w:rsidR="00707ED8" w:rsidRPr="00557BD2" w14:paraId="59B69598" w14:textId="77777777" w:rsidTr="00552704">
        <w:tc>
          <w:tcPr>
            <w:tcW w:w="4531" w:type="dxa"/>
          </w:tcPr>
          <w:p w14:paraId="0B2B1218" w14:textId="77777777" w:rsidR="00707ED8" w:rsidRPr="00557BD2" w:rsidRDefault="00707ED8" w:rsidP="00552704">
            <w:pPr>
              <w:rPr>
                <w:color w:val="000000" w:themeColor="text1"/>
                <w:sz w:val="24"/>
                <w:szCs w:val="22"/>
              </w:rPr>
            </w:pPr>
            <w:r w:rsidRPr="00557BD2">
              <w:rPr>
                <w:color w:val="000000" w:themeColor="text1"/>
                <w:sz w:val="24"/>
                <w:szCs w:val="22"/>
              </w:rPr>
              <w:t>Name of the company / organisation</w:t>
            </w:r>
          </w:p>
        </w:tc>
        <w:sdt>
          <w:sdtPr>
            <w:id w:val="-803776227"/>
            <w:placeholder>
              <w:docPart w:val="E04E56081EAF4E7B8B5685E411A8782B"/>
            </w:placeholder>
          </w:sdtPr>
          <w:sdtEndPr/>
          <w:sdtContent>
            <w:sdt>
              <w:sdtPr>
                <w:id w:val="-1802828714"/>
                <w:placeholder>
                  <w:docPart w:val="6C401DC6062D466C9B57320121670AF5"/>
                </w:placeholder>
              </w:sdtPr>
              <w:sdtEndPr/>
              <w:sdtContent>
                <w:tc>
                  <w:tcPr>
                    <w:tcW w:w="4531" w:type="dxa"/>
                  </w:tcPr>
                  <w:p w14:paraId="0E61D1B4" w14:textId="26A1CFFF" w:rsidR="00707ED8" w:rsidRPr="00557BD2" w:rsidRDefault="000C07D1" w:rsidP="00552704">
                    <w:r>
                      <w:t>SEG – Polish Association of Listed Companies</w:t>
                    </w:r>
                  </w:p>
                </w:tc>
              </w:sdtContent>
            </w:sdt>
          </w:sdtContent>
        </w:sdt>
      </w:tr>
      <w:tr w:rsidR="00707ED8" w:rsidRPr="00557BD2" w14:paraId="3CEFD161" w14:textId="77777777" w:rsidTr="00552704">
        <w:tc>
          <w:tcPr>
            <w:tcW w:w="4531" w:type="dxa"/>
          </w:tcPr>
          <w:p w14:paraId="4C95D2B1" w14:textId="77777777" w:rsidR="00707ED8" w:rsidRDefault="00707ED8" w:rsidP="00552704">
            <w:pPr>
              <w:rPr>
                <w:color w:val="000000" w:themeColor="text1"/>
                <w:sz w:val="24"/>
                <w:szCs w:val="22"/>
              </w:rPr>
            </w:pPr>
            <w:r>
              <w:rPr>
                <w:color w:val="000000" w:themeColor="text1"/>
                <w:sz w:val="24"/>
                <w:szCs w:val="22"/>
              </w:rPr>
              <w:t>Activity</w:t>
            </w:r>
          </w:p>
        </w:tc>
        <w:sdt>
          <w:sdtPr>
            <w:alias w:val="Select an activity"/>
            <w:tag w:val="Select an activity"/>
            <w:id w:val="1608545486"/>
            <w:placeholder>
              <w:docPart w:val="C924EA3CD6B64FC6A4F793C1F28093DF"/>
            </w:placeholder>
            <w:comboBox>
              <w:listItem w:value="Choose an item."/>
              <w:listItem w:displayText="Investment firm" w:value="Investment firm"/>
              <w:listItem w:displayText="Credit institution" w:value="Credit institution"/>
              <w:listItem w:displayText="Asset management company" w:value="Asset management company"/>
              <w:listItem w:displayText="Trading Venue" w:value="Trading Venue"/>
              <w:listItem w:displayText="Issuer (SME)" w:value="Issuer (SME)"/>
              <w:listItem w:displayText="Issuer (Other than SME)" w:value="Issuer (Other than SME)"/>
              <w:listItem w:displayText="Retail investor" w:value="Retail investor"/>
              <w:listItem w:displayText="Institutional investor" w:value="Institutional investor"/>
              <w:listItem w:displayText="Trade Association" w:value="Trade Association"/>
              <w:listItem w:displayText="Public authority" w:value="Public authority"/>
              <w:listItem w:displayText="Consultant" w:value="Consultant"/>
              <w:listItem w:displayText="Academic" w:value="Academic"/>
              <w:listItem w:displayText="Other" w:value="Other"/>
            </w:comboBox>
          </w:sdtPr>
          <w:sdtEndPr/>
          <w:sdtContent>
            <w:tc>
              <w:tcPr>
                <w:tcW w:w="4531" w:type="dxa"/>
              </w:tcPr>
              <w:p w14:paraId="2AC0AE6A" w14:textId="245A3B83" w:rsidR="00707ED8" w:rsidRDefault="000C07D1" w:rsidP="00552704">
                <w:r>
                  <w:t>Issuer (SME)</w:t>
                </w:r>
              </w:p>
            </w:tc>
          </w:sdtContent>
        </w:sdt>
      </w:tr>
      <w:tr w:rsidR="00707ED8" w:rsidRPr="00557BD2" w14:paraId="3C63A61F" w14:textId="77777777" w:rsidTr="00552704">
        <w:tc>
          <w:tcPr>
            <w:tcW w:w="4531" w:type="dxa"/>
          </w:tcPr>
          <w:p w14:paraId="57404AE8" w14:textId="77777777" w:rsidR="00707ED8" w:rsidRPr="00557BD2" w:rsidRDefault="00707ED8" w:rsidP="00552704">
            <w:pPr>
              <w:rPr>
                <w:color w:val="000000" w:themeColor="text1"/>
                <w:sz w:val="24"/>
                <w:szCs w:val="22"/>
              </w:rPr>
            </w:pPr>
            <w:r>
              <w:rPr>
                <w:color w:val="000000" w:themeColor="text1"/>
                <w:sz w:val="24"/>
                <w:szCs w:val="22"/>
              </w:rPr>
              <w:t>Are you representing an association?</w:t>
            </w:r>
          </w:p>
        </w:tc>
        <w:sdt>
          <w:sdtPr>
            <w:id w:val="225122840"/>
            <w14:checkbox>
              <w14:checked w14:val="1"/>
              <w14:checkedState w14:val="2612" w14:font="MS Gothic"/>
              <w14:uncheckedState w14:val="2610" w14:font="MS Gothic"/>
            </w14:checkbox>
          </w:sdtPr>
          <w:sdtEndPr/>
          <w:sdtContent>
            <w:tc>
              <w:tcPr>
                <w:tcW w:w="4531" w:type="dxa"/>
              </w:tcPr>
              <w:p w14:paraId="588689DC" w14:textId="77777777" w:rsidR="00707ED8" w:rsidRDefault="00707ED8" w:rsidP="00552704">
                <w:r>
                  <w:rPr>
                    <w:rFonts w:ascii="MS Gothic" w:eastAsia="MS Gothic" w:hAnsi="MS Gothic" w:hint="eastAsia"/>
                  </w:rPr>
                  <w:t>☒</w:t>
                </w:r>
              </w:p>
            </w:tc>
          </w:sdtContent>
        </w:sdt>
      </w:tr>
      <w:tr w:rsidR="00707ED8" w:rsidRPr="00557BD2" w14:paraId="5CBCBEF9" w14:textId="77777777" w:rsidTr="00552704">
        <w:tc>
          <w:tcPr>
            <w:tcW w:w="4531" w:type="dxa"/>
          </w:tcPr>
          <w:p w14:paraId="55E8CE00" w14:textId="77777777" w:rsidR="00707ED8" w:rsidRPr="00557BD2" w:rsidRDefault="00707ED8" w:rsidP="00552704">
            <w:pPr>
              <w:rPr>
                <w:color w:val="000000" w:themeColor="text1"/>
                <w:sz w:val="24"/>
                <w:szCs w:val="22"/>
              </w:rPr>
            </w:pPr>
            <w:r w:rsidRPr="00557BD2">
              <w:rPr>
                <w:color w:val="000000" w:themeColor="text1"/>
                <w:sz w:val="24"/>
                <w:szCs w:val="22"/>
              </w:rPr>
              <w:t>Country / Region</w:t>
            </w:r>
          </w:p>
        </w:tc>
        <w:sdt>
          <w:sdtPr>
            <w:alias w:val="Select a country/region"/>
            <w:tag w:val="Select a country/region"/>
            <w:id w:val="32541635"/>
            <w:placeholder>
              <w:docPart w:val="6C31375043D84F94BF00F6F2A4AADFE2"/>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4531" w:type="dxa"/>
              </w:tcPr>
              <w:p w14:paraId="5F33AE90" w14:textId="70D64635" w:rsidR="00707ED8" w:rsidRPr="00557BD2" w:rsidRDefault="000C07D1" w:rsidP="00552704">
                <w:r>
                  <w:t>Poland</w:t>
                </w:r>
              </w:p>
            </w:tc>
          </w:sdtContent>
        </w:sdt>
      </w:tr>
    </w:tbl>
    <w:p w14:paraId="4FF74F8A" w14:textId="77777777" w:rsidR="00707ED8" w:rsidRPr="00053B66" w:rsidRDefault="00707ED8" w:rsidP="00707ED8"/>
    <w:p w14:paraId="5DB34F5A" w14:textId="77777777" w:rsidR="00707ED8" w:rsidRDefault="00707ED8" w:rsidP="00707ED8">
      <w:pPr>
        <w:pStyle w:val="Nagwek1"/>
        <w:spacing w:before="320" w:after="250"/>
        <w:ind w:left="431" w:hanging="431"/>
        <w:rPr>
          <w:lang w:val="fr-BE"/>
        </w:rPr>
      </w:pPr>
      <w:r w:rsidRPr="00557BD2">
        <w:rPr>
          <w:lang w:val="fr-BE"/>
        </w:rPr>
        <w:t>Questions</w:t>
      </w:r>
    </w:p>
    <w:p w14:paraId="42F810F4" w14:textId="77777777" w:rsidR="00707ED8" w:rsidRDefault="00707ED8" w:rsidP="00707ED8">
      <w:pPr>
        <w:pStyle w:val="Questionstyle"/>
        <w:numPr>
          <w:ilvl w:val="0"/>
          <w:numId w:val="1"/>
        </w:numPr>
        <w:tabs>
          <w:tab w:val="clear" w:pos="567"/>
        </w:tabs>
        <w:spacing w:after="240" w:line="259" w:lineRule="auto"/>
        <w:ind w:left="851" w:hanging="851"/>
        <w:contextualSpacing w:val="0"/>
      </w:pPr>
      <w:r w:rsidRPr="008605FA">
        <w:t xml:space="preserve">Do you agree with the definition of protracted processes provided? </w:t>
      </w:r>
    </w:p>
    <w:p w14:paraId="41AF31A3" w14:textId="77777777" w:rsidR="00707ED8" w:rsidRDefault="00707ED8" w:rsidP="00707ED8">
      <w:r>
        <w:t>&lt;ESMA_QUESTION_LATA_1&gt;</w:t>
      </w:r>
    </w:p>
    <w:p w14:paraId="7910219D" w14:textId="5C3577E6" w:rsidR="00707ED8" w:rsidRDefault="000C07D1" w:rsidP="00707ED8">
      <w:r>
        <w:t>Yes, w</w:t>
      </w:r>
      <w:r w:rsidR="00707ED8">
        <w:t>e agree with the ESMA’ s statement according to which a protracted process means a series of several actions or steps spread in time which need to be performed in order to achieve a pre-defined objective or result.</w:t>
      </w:r>
    </w:p>
    <w:p w14:paraId="7AE67759" w14:textId="77777777" w:rsidR="00707ED8" w:rsidRDefault="00707ED8" w:rsidP="00707ED8">
      <w:r>
        <w:t>&lt;ESMA_QUESTION_LATA_1&gt;</w:t>
      </w:r>
    </w:p>
    <w:p w14:paraId="767D8026" w14:textId="77777777" w:rsidR="00707ED8" w:rsidRDefault="00707ED8" w:rsidP="00707ED8"/>
    <w:p w14:paraId="47AA2485" w14:textId="77777777" w:rsidR="00707ED8" w:rsidRDefault="00707ED8" w:rsidP="00707ED8">
      <w:pPr>
        <w:pStyle w:val="Questionstyle"/>
        <w:numPr>
          <w:ilvl w:val="0"/>
          <w:numId w:val="1"/>
        </w:numPr>
        <w:tabs>
          <w:tab w:val="clear" w:pos="567"/>
        </w:tabs>
        <w:spacing w:after="240" w:line="259" w:lineRule="auto"/>
        <w:ind w:left="851" w:hanging="851"/>
        <w:contextualSpacing w:val="0"/>
      </w:pPr>
      <w:r w:rsidRPr="008605FA">
        <w:t>Do you agree with the identified categories of processes and general principles?</w:t>
      </w:r>
    </w:p>
    <w:p w14:paraId="6547DFC0" w14:textId="77777777" w:rsidR="00707ED8" w:rsidRDefault="00707ED8" w:rsidP="00707ED8">
      <w:r>
        <w:t>&lt;ESMA_QUESTION_LATA_2&gt;</w:t>
      </w:r>
    </w:p>
    <w:p w14:paraId="115FB600" w14:textId="3C3B393C" w:rsidR="00707ED8" w:rsidRDefault="000C07D1" w:rsidP="00707ED8">
      <w:r>
        <w:t xml:space="preserve">Yes, </w:t>
      </w:r>
      <w:r w:rsidR="00707ED8">
        <w:t xml:space="preserve">we agree with the main proposed categories: i) protracted processes that are entirely internal to the issuer; ii) processes that involve the issuer and external counterparties; iii) protracted processes that involve the issuer and public authorities. </w:t>
      </w:r>
      <w:r>
        <w:t xml:space="preserve">However, we are of the opinion, that process involving courts should be distinguished as a separate category, since it involves not only public authority, but also external counterparty, which could have implications relating to confidentiality of information. </w:t>
      </w:r>
    </w:p>
    <w:p w14:paraId="1FD5CB09" w14:textId="77777777" w:rsidR="00707ED8" w:rsidRDefault="00707ED8" w:rsidP="00707ED8"/>
    <w:p w14:paraId="67DAD21D" w14:textId="77777777" w:rsidR="00707ED8" w:rsidRDefault="00707ED8" w:rsidP="00707ED8">
      <w:r>
        <w:t>&lt;ESMA_QUESTION_LATA_2&gt;</w:t>
      </w:r>
    </w:p>
    <w:p w14:paraId="50BB8511" w14:textId="77777777" w:rsidR="00707ED8" w:rsidRDefault="00707ED8" w:rsidP="00707ED8"/>
    <w:p w14:paraId="44ECB18C" w14:textId="77777777" w:rsidR="00707ED8" w:rsidRDefault="00707ED8" w:rsidP="00707ED8">
      <w:pPr>
        <w:pStyle w:val="Questionstyle"/>
        <w:numPr>
          <w:ilvl w:val="0"/>
          <w:numId w:val="1"/>
        </w:numPr>
        <w:tabs>
          <w:tab w:val="clear" w:pos="567"/>
        </w:tabs>
        <w:spacing w:after="240" w:line="259" w:lineRule="auto"/>
        <w:ind w:left="851" w:hanging="851"/>
        <w:contextualSpacing w:val="0"/>
      </w:pPr>
      <w:r w:rsidRPr="008605FA">
        <w:t>Do you agree that for protracted processes that are entirely internal to the issuer the moment of disclosure should be the moment when the corporate body having the decision power has taken the decision to commit to the outcome of the process?</w:t>
      </w:r>
    </w:p>
    <w:p w14:paraId="47640F91" w14:textId="77777777" w:rsidR="00707ED8" w:rsidRDefault="00707ED8" w:rsidP="00707ED8">
      <w:r>
        <w:t>&lt;ESMA_QUESTION_LATA_3&gt;</w:t>
      </w:r>
    </w:p>
    <w:p w14:paraId="64B600FE" w14:textId="77777777" w:rsidR="00707ED8" w:rsidRDefault="00707ED8" w:rsidP="00707ED8">
      <w:r>
        <w:t>We agree; we think that when processes are entirely internal to issuer, the moment of disclosure should be the moment when the corporate body having the decision power  has taken the decision to commit to the outcome of the process.</w:t>
      </w:r>
    </w:p>
    <w:p w14:paraId="35510FE1" w14:textId="77777777" w:rsidR="00707ED8" w:rsidRPr="00EE7D9F" w:rsidRDefault="00707ED8" w:rsidP="00707ED8">
      <w:r w:rsidRPr="00EE7D9F">
        <w:t>Our</w:t>
      </w:r>
      <w:r w:rsidRPr="00E8724C">
        <w:t xml:space="preserve"> specific</w:t>
      </w:r>
      <w:r w:rsidRPr="00EE7D9F">
        <w:t xml:space="preserve"> r</w:t>
      </w:r>
      <w:r w:rsidRPr="00E8724C">
        <w:t>emarks concerning the two-tier system are provided</w:t>
      </w:r>
      <w:r>
        <w:t xml:space="preserve"> in the answer Q4 below.</w:t>
      </w:r>
      <w:r w:rsidRPr="00E8724C">
        <w:t xml:space="preserve"> </w:t>
      </w:r>
    </w:p>
    <w:p w14:paraId="01DAEB08" w14:textId="77777777" w:rsidR="00707ED8" w:rsidRDefault="00707ED8" w:rsidP="00707ED8">
      <w:r>
        <w:t>&lt;ESMA_QUESTION_LATA_3&gt;</w:t>
      </w:r>
    </w:p>
    <w:p w14:paraId="46773F8A" w14:textId="77777777" w:rsidR="00707ED8" w:rsidRDefault="00707ED8" w:rsidP="00707ED8"/>
    <w:p w14:paraId="67CD5C5C" w14:textId="77777777" w:rsidR="00707ED8" w:rsidRPr="009B2F87" w:rsidRDefault="00707ED8" w:rsidP="00707ED8">
      <w:pPr>
        <w:pStyle w:val="Questionstyle"/>
        <w:numPr>
          <w:ilvl w:val="0"/>
          <w:numId w:val="1"/>
        </w:numPr>
        <w:tabs>
          <w:tab w:val="clear" w:pos="567"/>
        </w:tabs>
        <w:spacing w:after="240" w:line="259" w:lineRule="auto"/>
        <w:ind w:left="851" w:hanging="851"/>
        <w:contextualSpacing w:val="0"/>
      </w:pPr>
      <w:r w:rsidRPr="008605FA">
        <w:t>Do you agree that in presence of a governance structure that foresees the approval of another body further to the management body’s decision, the disclosure obligation should take place as soon as possible after the decision of the first body?</w:t>
      </w:r>
    </w:p>
    <w:p w14:paraId="4C5D345A" w14:textId="77777777" w:rsidR="00707ED8" w:rsidRDefault="00707ED8" w:rsidP="00707ED8">
      <w:r>
        <w:t>&lt;ESMA_QUESTION_LATA_4&gt;</w:t>
      </w:r>
    </w:p>
    <w:p w14:paraId="07AD0747" w14:textId="1D209FFA" w:rsidR="001371AD" w:rsidRDefault="00C5297C" w:rsidP="00707ED8">
      <w:pPr>
        <w:rPr>
          <w:lang w:val="en-US"/>
        </w:rPr>
      </w:pPr>
      <w:r>
        <w:rPr>
          <w:lang w:val="en-US"/>
        </w:rPr>
        <w:t>W</w:t>
      </w:r>
      <w:r w:rsidRPr="00C5297C">
        <w:rPr>
          <w:lang w:val="en-US"/>
        </w:rPr>
        <w:t>e</w:t>
      </w:r>
      <w:r w:rsidR="001371AD">
        <w:rPr>
          <w:lang w:val="en-US"/>
        </w:rPr>
        <w:t xml:space="preserve"> are of the opinion, that in case of 2-tier system when a decision of management board requires approval of supervisory board, the protracted process is completed only after approval of supervisory board.</w:t>
      </w:r>
    </w:p>
    <w:p w14:paraId="47008897" w14:textId="24DB0352" w:rsidR="00707ED8" w:rsidRDefault="00707ED8" w:rsidP="00707ED8">
      <w:r>
        <w:t>&lt;ESMA_QUESTION_LATA_4&gt;</w:t>
      </w:r>
    </w:p>
    <w:p w14:paraId="7A84EC22" w14:textId="77777777" w:rsidR="00707ED8" w:rsidRDefault="00707ED8" w:rsidP="00707ED8"/>
    <w:p w14:paraId="5863C80A" w14:textId="77777777" w:rsidR="00707ED8" w:rsidRDefault="00707ED8" w:rsidP="00707ED8">
      <w:pPr>
        <w:pStyle w:val="Questionstyle"/>
        <w:numPr>
          <w:ilvl w:val="0"/>
          <w:numId w:val="1"/>
        </w:numPr>
        <w:tabs>
          <w:tab w:val="clear" w:pos="567"/>
        </w:tabs>
        <w:spacing w:after="240" w:line="259" w:lineRule="auto"/>
        <w:ind w:left="851" w:hanging="851"/>
        <w:contextualSpacing w:val="0"/>
      </w:pPr>
      <w:r w:rsidRPr="008605FA">
        <w:t>Do you agree that for protracted processes involving the issuer and another party different from a public authority, the moment of disclosure should be when the competent bodies/persons of all parties involved, having the decision power under national law or bylaws, have taken the decision to sign off to the agreement?</w:t>
      </w:r>
    </w:p>
    <w:p w14:paraId="06FE12DC" w14:textId="77777777" w:rsidR="00707ED8" w:rsidRDefault="00707ED8" w:rsidP="00707ED8">
      <w:r>
        <w:t>&lt;ESMA_QUESTION_LATA_5&gt;</w:t>
      </w:r>
    </w:p>
    <w:p w14:paraId="04293322" w14:textId="7F342540" w:rsidR="00707ED8" w:rsidRPr="00383207" w:rsidRDefault="00212E21" w:rsidP="00707ED8">
      <w:r>
        <w:t xml:space="preserve">No, in our opinion in case of </w:t>
      </w:r>
      <w:r w:rsidRPr="008605FA">
        <w:t>protracted processes involving the issuer and another party different from a public authority</w:t>
      </w:r>
      <w:r>
        <w:t>, the moment of disclosure should be once the agreement is signed, not once the decision to sign was made. In practice it would be complicated to identify the moment of “taking decision to sign”. Moreover, in case the other party finally doesn’t sign the agreement, such a premature statement would mislead the public.</w:t>
      </w:r>
    </w:p>
    <w:p w14:paraId="3B9B49C3" w14:textId="77777777" w:rsidR="00707ED8" w:rsidRDefault="00707ED8" w:rsidP="00707ED8">
      <w:r>
        <w:t>&lt;ESMA_QUESTION_LATA_5&gt;</w:t>
      </w:r>
    </w:p>
    <w:p w14:paraId="4F699056" w14:textId="77777777" w:rsidR="00707ED8" w:rsidRDefault="00707ED8" w:rsidP="00707ED8"/>
    <w:p w14:paraId="1FD30C8F" w14:textId="77777777" w:rsidR="00707ED8" w:rsidRDefault="00707ED8" w:rsidP="00707ED8">
      <w:pPr>
        <w:pStyle w:val="Questionstyle"/>
        <w:numPr>
          <w:ilvl w:val="0"/>
          <w:numId w:val="1"/>
        </w:numPr>
        <w:tabs>
          <w:tab w:val="clear" w:pos="567"/>
        </w:tabs>
        <w:spacing w:after="240" w:line="259" w:lineRule="auto"/>
        <w:ind w:left="851" w:hanging="851"/>
        <w:contextualSpacing w:val="0"/>
      </w:pPr>
      <w:r w:rsidRPr="008605FA">
        <w:t>Do you agree that for protracted processes that are driven by a public authority with the involvement of the issuer, the moment of disclosure should be when the issuer has received the final decision from the public authority, even where the issuer and the public authority previously exchanged preliminary information that may on its own amount to inside information?</w:t>
      </w:r>
    </w:p>
    <w:p w14:paraId="7E959134" w14:textId="77777777" w:rsidR="00707ED8" w:rsidRDefault="00707ED8" w:rsidP="00707ED8">
      <w:r>
        <w:t>&lt;ESMA_QUESTION_LATA_6&gt;</w:t>
      </w:r>
    </w:p>
    <w:p w14:paraId="4AF06E21" w14:textId="1DC24D93" w:rsidR="00707ED8" w:rsidRDefault="00707ED8" w:rsidP="00707ED8">
      <w:r>
        <w:t>Yes, we agree</w:t>
      </w:r>
      <w:r w:rsidRPr="002B3D17">
        <w:t xml:space="preserve"> </w:t>
      </w:r>
      <w:r>
        <w:t xml:space="preserve">that </w:t>
      </w:r>
      <w:r w:rsidRPr="00E227A8">
        <w:t>the moment of disclosure should be when the issuer has received the final decision from the public authority</w:t>
      </w:r>
      <w:r>
        <w:t xml:space="preserve">. </w:t>
      </w:r>
    </w:p>
    <w:p w14:paraId="04BDB3BF" w14:textId="77777777" w:rsidR="00707ED8" w:rsidRDefault="00707ED8" w:rsidP="00707ED8">
      <w:r>
        <w:t>&lt;ESMA_QUESTION_LATA_6&gt;</w:t>
      </w:r>
    </w:p>
    <w:p w14:paraId="7CA54BFF" w14:textId="77777777" w:rsidR="00707ED8" w:rsidRDefault="00707ED8" w:rsidP="00707ED8"/>
    <w:p w14:paraId="6C617CE1" w14:textId="77777777" w:rsidR="00707ED8" w:rsidRPr="009B2F87" w:rsidRDefault="00707ED8" w:rsidP="00707ED8">
      <w:pPr>
        <w:pStyle w:val="Questionstyle"/>
        <w:numPr>
          <w:ilvl w:val="0"/>
          <w:numId w:val="1"/>
        </w:numPr>
        <w:tabs>
          <w:tab w:val="clear" w:pos="567"/>
        </w:tabs>
        <w:spacing w:after="240" w:line="259" w:lineRule="auto"/>
        <w:ind w:left="851" w:hanging="851"/>
        <w:contextualSpacing w:val="0"/>
      </w:pPr>
      <w:r w:rsidRPr="008605FA">
        <w:t>Do you agree that for protracted processes that are triggered by the issuer and whose final outcome is decided by a public authority, two separate processes should be identified, and the moment of disclosure should occur upon completion of each of them as above outlined?</w:t>
      </w:r>
    </w:p>
    <w:p w14:paraId="7300BEB1" w14:textId="77777777" w:rsidR="00707ED8" w:rsidRDefault="00707ED8" w:rsidP="00707ED8">
      <w:r>
        <w:t>&lt;ESMA_QUESTION_LATA_7&gt;</w:t>
      </w:r>
    </w:p>
    <w:p w14:paraId="0CD3F5DC" w14:textId="3364CADB" w:rsidR="004C73F7" w:rsidRDefault="007741C8" w:rsidP="004C73F7">
      <w:pPr>
        <w:rPr>
          <w:color w:val="auto"/>
        </w:rPr>
      </w:pPr>
      <w:r>
        <w:rPr>
          <w:color w:val="auto"/>
          <w:lang w:val="en-US"/>
        </w:rPr>
        <w:t>No</w:t>
      </w:r>
      <w:r w:rsidR="00212E21">
        <w:rPr>
          <w:color w:val="auto"/>
          <w:lang w:val="en-US"/>
        </w:rPr>
        <w:t>, in case of a protracted process involving public authority</w:t>
      </w:r>
      <w:r>
        <w:rPr>
          <w:color w:val="auto"/>
          <w:lang w:val="en-US"/>
        </w:rPr>
        <w:t xml:space="preserve">, the final event should be only the </w:t>
      </w:r>
      <w:r w:rsidR="001F31A3">
        <w:rPr>
          <w:color w:val="auto"/>
          <w:lang w:val="en-US"/>
        </w:rPr>
        <w:t xml:space="preserve">formal </w:t>
      </w:r>
      <w:r w:rsidR="00D064C1">
        <w:rPr>
          <w:color w:val="auto"/>
          <w:lang w:val="en-US"/>
        </w:rPr>
        <w:t xml:space="preserve">notification of the </w:t>
      </w:r>
      <w:r w:rsidR="001F31A3">
        <w:rPr>
          <w:color w:val="auto"/>
          <w:lang w:val="en-US"/>
        </w:rPr>
        <w:t xml:space="preserve">authorization </w:t>
      </w:r>
      <w:r w:rsidR="00D064C1">
        <w:rPr>
          <w:color w:val="auto"/>
          <w:lang w:val="en-US"/>
        </w:rPr>
        <w:t xml:space="preserve">by the </w:t>
      </w:r>
      <w:r w:rsidR="00212E21">
        <w:rPr>
          <w:color w:val="auto"/>
          <w:lang w:val="en-US"/>
        </w:rPr>
        <w:t>public authority</w:t>
      </w:r>
      <w:r w:rsidR="00D064C1">
        <w:rPr>
          <w:color w:val="auto"/>
          <w:lang w:val="en-US"/>
        </w:rPr>
        <w:t xml:space="preserve"> </w:t>
      </w:r>
      <w:r>
        <w:rPr>
          <w:color w:val="auto"/>
          <w:lang w:val="en-US"/>
        </w:rPr>
        <w:t>to the issuer</w:t>
      </w:r>
      <w:r w:rsidR="00212E21">
        <w:rPr>
          <w:color w:val="auto"/>
          <w:lang w:val="en-US"/>
        </w:rPr>
        <w:t xml:space="preserve">, similarly as in case of </w:t>
      </w:r>
      <w:r w:rsidR="0035164B">
        <w:rPr>
          <w:color w:val="auto"/>
          <w:lang w:val="en-US"/>
        </w:rPr>
        <w:t xml:space="preserve">other actions taken defined as “Legal Proceedings and Sanctions” – in items 32-35 of ANNEX  I to Annex IV there is only notification on </w:t>
      </w:r>
      <w:r w:rsidR="00383207">
        <w:rPr>
          <w:color w:val="auto"/>
          <w:lang w:val="en-US"/>
        </w:rPr>
        <w:t>final decision of public authority, not on starting administrative or judicial proceeding.</w:t>
      </w:r>
      <w:r w:rsidR="004C73F7">
        <w:rPr>
          <w:color w:val="auto"/>
          <w:lang w:val="en-US"/>
        </w:rPr>
        <w:t xml:space="preserve"> As a consequence, items: 17, 19, 21 and 23 of A</w:t>
      </w:r>
      <w:r w:rsidR="00735406">
        <w:rPr>
          <w:color w:val="auto"/>
          <w:lang w:val="en-US"/>
        </w:rPr>
        <w:t xml:space="preserve">NNEX </w:t>
      </w:r>
      <w:r w:rsidR="004C73F7">
        <w:rPr>
          <w:color w:val="auto"/>
          <w:lang w:val="en-US"/>
        </w:rPr>
        <w:t xml:space="preserve"> </w:t>
      </w:r>
      <w:r w:rsidR="00735406">
        <w:rPr>
          <w:color w:val="auto"/>
          <w:lang w:val="en-US"/>
        </w:rPr>
        <w:t xml:space="preserve">I </w:t>
      </w:r>
      <w:r w:rsidR="0035164B">
        <w:rPr>
          <w:color w:val="auto"/>
          <w:lang w:val="en-US"/>
        </w:rPr>
        <w:t>to</w:t>
      </w:r>
      <w:r w:rsidR="00735406">
        <w:rPr>
          <w:color w:val="auto"/>
          <w:lang w:val="en-US"/>
        </w:rPr>
        <w:t xml:space="preserve"> Annex IV</w:t>
      </w:r>
      <w:r w:rsidR="004C73F7">
        <w:rPr>
          <w:color w:val="auto"/>
          <w:lang w:val="en-US"/>
        </w:rPr>
        <w:t xml:space="preserve"> should be deleted.</w:t>
      </w:r>
    </w:p>
    <w:p w14:paraId="70047D00" w14:textId="77777777" w:rsidR="00707ED8" w:rsidRDefault="00707ED8" w:rsidP="00707ED8">
      <w:r>
        <w:t>&lt;ESMA_QUESTION_LATA_7&gt;</w:t>
      </w:r>
    </w:p>
    <w:p w14:paraId="773C4FD5" w14:textId="77777777" w:rsidR="00707ED8" w:rsidRDefault="00707ED8" w:rsidP="00707ED8"/>
    <w:p w14:paraId="5FCFA65F" w14:textId="77777777" w:rsidR="00707ED8" w:rsidRPr="009B2F87" w:rsidRDefault="00707ED8" w:rsidP="00707ED8">
      <w:pPr>
        <w:pStyle w:val="Questionstyle"/>
        <w:numPr>
          <w:ilvl w:val="0"/>
          <w:numId w:val="1"/>
        </w:numPr>
        <w:tabs>
          <w:tab w:val="clear" w:pos="567"/>
        </w:tabs>
        <w:spacing w:after="240" w:line="259" w:lineRule="auto"/>
        <w:ind w:left="851" w:hanging="851"/>
        <w:contextualSpacing w:val="0"/>
      </w:pPr>
      <w:r w:rsidRPr="008605FA">
        <w:t>Do you agree that a hostile takeover can be considered a one-off event? Do you agree with the moment for disclosure identified for takeover processes?</w:t>
      </w:r>
      <w:r w:rsidRPr="009B2F87">
        <w:t xml:space="preserve"> </w:t>
      </w:r>
    </w:p>
    <w:p w14:paraId="3C2E7E6D" w14:textId="77777777" w:rsidR="00707ED8" w:rsidRDefault="00707ED8" w:rsidP="00707ED8">
      <w:r>
        <w:t>&lt;ESMA_QUESTION_LATA_8&gt;</w:t>
      </w:r>
    </w:p>
    <w:p w14:paraId="202FE7C5" w14:textId="798BB70D" w:rsidR="00707ED8" w:rsidRPr="00E91A94" w:rsidRDefault="00E91A94" w:rsidP="00E91A94">
      <w:pPr>
        <w:pStyle w:val="xmsonormal"/>
        <w:spacing w:before="0" w:beforeAutospacing="0" w:after="0" w:afterAutospacing="0"/>
        <w:jc w:val="both"/>
        <w:rPr>
          <w:sz w:val="22"/>
          <w:szCs w:val="22"/>
          <w:lang w:val="en-GB"/>
        </w:rPr>
      </w:pPr>
      <w:r w:rsidRPr="00E91A94">
        <w:rPr>
          <w:sz w:val="22"/>
          <w:szCs w:val="22"/>
          <w:lang w:val="en-GB"/>
        </w:rPr>
        <w:t xml:space="preserve">Yes, we agree, that hostile </w:t>
      </w:r>
      <w:r>
        <w:rPr>
          <w:sz w:val="22"/>
          <w:szCs w:val="22"/>
          <w:lang w:val="en-GB"/>
        </w:rPr>
        <w:t>takeover is a one-off event from the perspective of target company. However, we should add, that in case of friendly takeover this is a protracted process and should be communicated once the bid is publicly declared.</w:t>
      </w:r>
    </w:p>
    <w:p w14:paraId="7882BA10" w14:textId="77777777" w:rsidR="00707ED8" w:rsidRDefault="00707ED8" w:rsidP="00707ED8">
      <w:r>
        <w:t>&lt;ESMA_QUESTION_LATA_8&gt;</w:t>
      </w:r>
    </w:p>
    <w:p w14:paraId="4A28DFE3" w14:textId="77777777" w:rsidR="00707ED8" w:rsidRDefault="00707ED8" w:rsidP="00707ED8"/>
    <w:p w14:paraId="1D21ECD8" w14:textId="77777777" w:rsidR="00707ED8" w:rsidRPr="009B2F87" w:rsidRDefault="00707ED8" w:rsidP="00707ED8">
      <w:pPr>
        <w:pStyle w:val="Questionstyle"/>
        <w:numPr>
          <w:ilvl w:val="0"/>
          <w:numId w:val="1"/>
        </w:numPr>
        <w:tabs>
          <w:tab w:val="clear" w:pos="567"/>
        </w:tabs>
        <w:spacing w:after="240" w:line="259" w:lineRule="auto"/>
        <w:ind w:left="851" w:hanging="851"/>
        <w:contextualSpacing w:val="0"/>
      </w:pPr>
      <w:r w:rsidRPr="008605FA">
        <w:t xml:space="preserve">Do you agree with the proposed approach in relation to financial reports, profit warnings, earning surprises and forecasts? In particular, do you agree that profit warnings and </w:t>
      </w:r>
      <w:proofErr w:type="spellStart"/>
      <w:r w:rsidRPr="008605FA">
        <w:t>earning</w:t>
      </w:r>
      <w:proofErr w:type="spellEnd"/>
      <w:r w:rsidRPr="008605FA">
        <w:t xml:space="preserve"> surprises are to be considered as one-off events and as such should not be included in the list of protracted processes?</w:t>
      </w:r>
    </w:p>
    <w:p w14:paraId="3987EB18" w14:textId="77777777" w:rsidR="00707ED8" w:rsidRDefault="00707ED8" w:rsidP="00707ED8">
      <w:r>
        <w:t>&lt;ESMA_QUESTION_LATA_9&gt;</w:t>
      </w:r>
    </w:p>
    <w:p w14:paraId="24BF7598" w14:textId="0831BE72" w:rsidR="00B93124" w:rsidRDefault="00B93124" w:rsidP="00707ED8">
      <w:r>
        <w:t xml:space="preserve">No, in our opinion work on financial reports is a typical protracted process. Profit warnings or </w:t>
      </w:r>
      <w:proofErr w:type="spellStart"/>
      <w:r>
        <w:t>earning</w:t>
      </w:r>
      <w:proofErr w:type="spellEnd"/>
      <w:r>
        <w:t xml:space="preserve"> surprises are not one-off events. They are also protracted processes and there should be established a moment </w:t>
      </w:r>
      <w:r w:rsidR="00383207">
        <w:t>of disclosure of such processes.</w:t>
      </w:r>
    </w:p>
    <w:p w14:paraId="7EACC0F5" w14:textId="77777777" w:rsidR="00707ED8" w:rsidRDefault="00707ED8" w:rsidP="00707ED8">
      <w:r>
        <w:t>&lt;ESMA_QUESTION_LATA_9&gt;</w:t>
      </w:r>
    </w:p>
    <w:p w14:paraId="44738358" w14:textId="77777777" w:rsidR="00707ED8" w:rsidRDefault="00707ED8" w:rsidP="00707ED8"/>
    <w:p w14:paraId="1E82A90D" w14:textId="77777777" w:rsidR="00707ED8" w:rsidRDefault="00707ED8" w:rsidP="00707ED8">
      <w:pPr>
        <w:pStyle w:val="Questionstyle"/>
        <w:numPr>
          <w:ilvl w:val="0"/>
          <w:numId w:val="1"/>
        </w:numPr>
        <w:tabs>
          <w:tab w:val="clear" w:pos="567"/>
        </w:tabs>
        <w:spacing w:after="240" w:line="259" w:lineRule="auto"/>
        <w:ind w:left="851" w:hanging="851"/>
        <w:contextualSpacing w:val="0"/>
      </w:pPr>
      <w:r w:rsidRPr="008605FA">
        <w:t xml:space="preserve">Do you </w:t>
      </w:r>
      <w:bookmarkStart w:id="0" w:name="_Hlk190264792"/>
      <w:r w:rsidRPr="008605FA">
        <w:t>agree with the proposed approach in relation to recovery and resolution protracted process</w:t>
      </w:r>
      <w:bookmarkEnd w:id="0"/>
      <w:r w:rsidRPr="008605FA">
        <w:t>?</w:t>
      </w:r>
    </w:p>
    <w:p w14:paraId="159C28A6" w14:textId="77777777" w:rsidR="00707ED8" w:rsidRDefault="00707ED8" w:rsidP="00707ED8">
      <w:r>
        <w:t>&lt;ESMA_QUESTION_LATA_10&gt;</w:t>
      </w:r>
    </w:p>
    <w:p w14:paraId="25C38DF3" w14:textId="0A424410" w:rsidR="00707ED8" w:rsidRDefault="00B93124" w:rsidP="00707ED8">
      <w:r>
        <w:t>Yes, we</w:t>
      </w:r>
      <w:r w:rsidRPr="00B93124">
        <w:t xml:space="preserve"> agree with the proposed approach in relation to recovery and resolution protracted process</w:t>
      </w:r>
      <w:r w:rsidR="00B45EDC">
        <w:t>.</w:t>
      </w:r>
    </w:p>
    <w:p w14:paraId="5A296B48" w14:textId="77777777" w:rsidR="00707ED8" w:rsidRDefault="00707ED8" w:rsidP="00707ED8">
      <w:r>
        <w:t>&lt;ESMA_QUESTION_LATA_10&gt;</w:t>
      </w:r>
    </w:p>
    <w:p w14:paraId="0205985B" w14:textId="77777777" w:rsidR="00707ED8" w:rsidRDefault="00707ED8" w:rsidP="00707ED8"/>
    <w:p w14:paraId="2BB27D74" w14:textId="77777777" w:rsidR="00707ED8" w:rsidRPr="009B2F87" w:rsidRDefault="00707ED8" w:rsidP="00707ED8">
      <w:pPr>
        <w:pStyle w:val="Questionstyle"/>
        <w:numPr>
          <w:ilvl w:val="0"/>
          <w:numId w:val="1"/>
        </w:numPr>
        <w:tabs>
          <w:tab w:val="clear" w:pos="567"/>
        </w:tabs>
        <w:spacing w:after="240" w:line="259" w:lineRule="auto"/>
        <w:ind w:left="851" w:hanging="851"/>
        <w:contextualSpacing w:val="0"/>
      </w:pPr>
      <w:r w:rsidRPr="008605FA">
        <w:t>Do you consider the list of protracted processes sufficiently comprehensive? Do you agree with the proposed moment of disclosure? Would you add or remove any process?</w:t>
      </w:r>
    </w:p>
    <w:p w14:paraId="79838CED" w14:textId="77777777" w:rsidR="00707ED8" w:rsidRDefault="00707ED8" w:rsidP="00707ED8">
      <w:r>
        <w:t>&lt;ESMA_QUESTION_LATA_11&gt;</w:t>
      </w:r>
    </w:p>
    <w:p w14:paraId="15E51D6C" w14:textId="68D0B5E6" w:rsidR="00707ED8" w:rsidRPr="00817D9A" w:rsidRDefault="00817D9A" w:rsidP="00707ED8">
      <w:pPr>
        <w:rPr>
          <w:rFonts w:asciiTheme="majorHAnsi" w:hAnsiTheme="majorHAnsi" w:cstheme="majorHAnsi"/>
          <w:szCs w:val="22"/>
          <w14:ligatures w14:val="standardContextual"/>
        </w:rPr>
      </w:pPr>
      <w:r w:rsidRPr="00817D9A">
        <w:rPr>
          <w:rFonts w:asciiTheme="majorHAnsi" w:hAnsiTheme="majorHAnsi" w:cstheme="majorHAnsi"/>
          <w:szCs w:val="22"/>
          <w14:ligatures w14:val="standardContextual"/>
        </w:rPr>
        <w:t>The list of protracted processes is t</w:t>
      </w:r>
      <w:r>
        <w:rPr>
          <w:rFonts w:asciiTheme="majorHAnsi" w:hAnsiTheme="majorHAnsi" w:cstheme="majorHAnsi"/>
          <w:szCs w:val="22"/>
          <w14:ligatures w14:val="standardContextual"/>
        </w:rPr>
        <w:t>o</w:t>
      </w:r>
      <w:r w:rsidRPr="00817D9A">
        <w:rPr>
          <w:rFonts w:asciiTheme="majorHAnsi" w:hAnsiTheme="majorHAnsi" w:cstheme="majorHAnsi"/>
          <w:szCs w:val="22"/>
          <w14:ligatures w14:val="standardContextual"/>
        </w:rPr>
        <w:t xml:space="preserve">o </w:t>
      </w:r>
      <w:r>
        <w:rPr>
          <w:rFonts w:asciiTheme="majorHAnsi" w:hAnsiTheme="majorHAnsi" w:cstheme="majorHAnsi"/>
          <w:szCs w:val="22"/>
          <w14:ligatures w14:val="standardContextual"/>
        </w:rPr>
        <w:t>comprehensive</w:t>
      </w:r>
      <w:r w:rsidRPr="00817D9A">
        <w:rPr>
          <w:rFonts w:asciiTheme="majorHAnsi" w:hAnsiTheme="majorHAnsi" w:cstheme="majorHAnsi"/>
          <w:szCs w:val="22"/>
          <w14:ligatures w14:val="standardContextual"/>
        </w:rPr>
        <w:t xml:space="preserve">. There should be deleted items </w:t>
      </w:r>
      <w:r>
        <w:rPr>
          <w:color w:val="auto"/>
          <w:lang w:val="en-US"/>
        </w:rPr>
        <w:t>17, 19, 21 and 23 of ANNEX  I to Annex IV (see justification in answer to Q7).</w:t>
      </w:r>
    </w:p>
    <w:p w14:paraId="37BE5F74" w14:textId="77777777" w:rsidR="00707ED8" w:rsidRPr="00817D9A" w:rsidRDefault="00707ED8" w:rsidP="00707ED8">
      <w:r w:rsidRPr="00817D9A">
        <w:t>&lt;ESMA_QUESTION_LATA_11&gt;</w:t>
      </w:r>
    </w:p>
    <w:p w14:paraId="1D60C61A" w14:textId="77777777" w:rsidR="00707ED8" w:rsidRPr="00817D9A" w:rsidRDefault="00707ED8" w:rsidP="00707ED8"/>
    <w:p w14:paraId="249C8892" w14:textId="77777777" w:rsidR="00707ED8" w:rsidRPr="009B2F87" w:rsidRDefault="00707ED8" w:rsidP="00707ED8">
      <w:pPr>
        <w:pStyle w:val="Questionstyle"/>
        <w:numPr>
          <w:ilvl w:val="0"/>
          <w:numId w:val="1"/>
        </w:numPr>
        <w:tabs>
          <w:tab w:val="clear" w:pos="567"/>
        </w:tabs>
        <w:spacing w:after="240" w:line="259" w:lineRule="auto"/>
        <w:ind w:left="851" w:hanging="851"/>
        <w:contextualSpacing w:val="0"/>
      </w:pPr>
      <w:r w:rsidRPr="008605FA">
        <w:t>Do you agree that the inside information to be delayed may in some cases be assessed against more than one announcement, whenever a clear conclusion about the issuer’s position on the subject matter cannot be drawn exclusively on the basis of the very latest communication?</w:t>
      </w:r>
    </w:p>
    <w:p w14:paraId="24301A90" w14:textId="77777777" w:rsidR="00707ED8" w:rsidRDefault="00707ED8" w:rsidP="00707ED8">
      <w:r>
        <w:t>&lt;ESMA_QUESTION_LATA_12&gt;</w:t>
      </w:r>
    </w:p>
    <w:p w14:paraId="52CD6001" w14:textId="2BE8F02A" w:rsidR="00B45EDC" w:rsidRDefault="00B45EDC" w:rsidP="00707ED8">
      <w:pPr>
        <w:rPr>
          <w:szCs w:val="22"/>
        </w:rPr>
      </w:pPr>
      <w:r>
        <w:rPr>
          <w:szCs w:val="22"/>
        </w:rPr>
        <w:t xml:space="preserve">Yes, we agree that </w:t>
      </w:r>
      <w:r w:rsidRPr="00B45EDC">
        <w:rPr>
          <w:szCs w:val="22"/>
        </w:rPr>
        <w:t>the inside information to be delayed may in some cases be assessed against more than one announcement</w:t>
      </w:r>
      <w:r>
        <w:rPr>
          <w:szCs w:val="22"/>
        </w:rPr>
        <w:t>.</w:t>
      </w:r>
    </w:p>
    <w:p w14:paraId="63B722AB" w14:textId="52BDB4C9" w:rsidR="00707ED8" w:rsidRDefault="00707ED8" w:rsidP="00707ED8">
      <w:r w:rsidRPr="00E8724C">
        <w:rPr>
          <w:rFonts w:cstheme="minorHAnsi"/>
          <w:color w:val="000000"/>
          <w:szCs w:val="22"/>
        </w:rPr>
        <w:t xml:space="preserve"> </w:t>
      </w:r>
      <w:r>
        <w:t>&lt;ESMA_QUESTION_LATA_12&gt;</w:t>
      </w:r>
    </w:p>
    <w:p w14:paraId="03B9EB7E" w14:textId="77777777" w:rsidR="00707ED8" w:rsidRDefault="00707ED8" w:rsidP="00707ED8"/>
    <w:p w14:paraId="0E8BED6F" w14:textId="77777777" w:rsidR="00707ED8" w:rsidRPr="009B2F87" w:rsidRDefault="00707ED8" w:rsidP="00707ED8">
      <w:pPr>
        <w:pStyle w:val="Questionstyle"/>
        <w:numPr>
          <w:ilvl w:val="0"/>
          <w:numId w:val="1"/>
        </w:numPr>
        <w:tabs>
          <w:tab w:val="clear" w:pos="567"/>
        </w:tabs>
        <w:spacing w:after="240" w:line="259" w:lineRule="auto"/>
        <w:ind w:left="851" w:hanging="851"/>
        <w:contextualSpacing w:val="0"/>
      </w:pPr>
      <w:r w:rsidRPr="008605FA">
        <w:t>Do you agree with the list of communications presented in Article 4 of the draft delegated act? Do you consider it sufficiently comprehensive, or do you deem that any other cases should be added?</w:t>
      </w:r>
    </w:p>
    <w:p w14:paraId="292078B1" w14:textId="77777777" w:rsidR="00707ED8" w:rsidRDefault="00707ED8" w:rsidP="00707ED8">
      <w:r>
        <w:t>&lt;ESMA_QUESTION_LATA_13&gt;</w:t>
      </w:r>
    </w:p>
    <w:p w14:paraId="1A5A7E67" w14:textId="6130EFC5" w:rsidR="00707ED8" w:rsidRDefault="00707ED8" w:rsidP="00707ED8">
      <w:r>
        <w:t xml:space="preserve">Yes, we agree with the list of communications presented in art. 4 of the draft delegated act with the exception of c), d) and h) “persons </w:t>
      </w:r>
      <w:r w:rsidRPr="005F1EB4">
        <w:rPr>
          <w:u w:val="single"/>
        </w:rPr>
        <w:t>perceived</w:t>
      </w:r>
      <w:r>
        <w:t xml:space="preserve"> as representing issuer”. Therefore, c)</w:t>
      </w:r>
      <w:r w:rsidR="00C5297C">
        <w:t xml:space="preserve">, </w:t>
      </w:r>
      <w:r>
        <w:t xml:space="preserve">d) and h) should read: “persons representing issuers”. </w:t>
      </w:r>
      <w:r w:rsidR="00735406">
        <w:t xml:space="preserve">Moreover, </w:t>
      </w:r>
      <w:r w:rsidR="00172687">
        <w:t xml:space="preserve">the wording </w:t>
      </w:r>
      <w:r w:rsidR="00C5297C">
        <w:t>“</w:t>
      </w:r>
      <w:r>
        <w:t xml:space="preserve">communication </w:t>
      </w:r>
      <w:r w:rsidRPr="008216DF">
        <w:rPr>
          <w:u w:val="single"/>
        </w:rPr>
        <w:t>capable</w:t>
      </w:r>
      <w:r>
        <w:t xml:space="preserve"> of reaching the public” in h) is not clear and must refer to “communication reaching the public”.</w:t>
      </w:r>
    </w:p>
    <w:p w14:paraId="76A97EE6" w14:textId="79DF4F28" w:rsidR="00735406" w:rsidRDefault="00735406" w:rsidP="00707ED8">
      <w:r>
        <w:t>Furthermore, there should be established a kind of “expiry date” of such previous communication. Reasonable investor shouldn’t relay on e.g. 5-year old statements. We should refer to communication which is not older than e.g. 2 years.</w:t>
      </w:r>
    </w:p>
    <w:p w14:paraId="72D19470" w14:textId="5B8E2189" w:rsidR="00707ED8" w:rsidRDefault="00707ED8" w:rsidP="00707ED8">
      <w:r>
        <w:t>&lt;ESMA_QUESTION_LATA_13&gt;</w:t>
      </w:r>
    </w:p>
    <w:p w14:paraId="6D387EA7" w14:textId="77777777" w:rsidR="00707ED8" w:rsidRDefault="00707ED8" w:rsidP="00707ED8"/>
    <w:p w14:paraId="2B5FB126" w14:textId="77777777" w:rsidR="00707ED8" w:rsidRPr="008605FA" w:rsidRDefault="00707ED8" w:rsidP="00707ED8">
      <w:pPr>
        <w:pStyle w:val="Questionstyle"/>
        <w:numPr>
          <w:ilvl w:val="0"/>
          <w:numId w:val="1"/>
        </w:numPr>
        <w:tabs>
          <w:tab w:val="clear" w:pos="567"/>
        </w:tabs>
        <w:spacing w:after="240" w:line="259" w:lineRule="auto"/>
        <w:ind w:left="851" w:hanging="851"/>
        <w:contextualSpacing w:val="0"/>
      </w:pPr>
      <w:r w:rsidRPr="008605FA">
        <w:t>Do you agree with the list of situations where there is a contrast between the inside information to be delayed and the latest announcement or communication as presented by ESMA in [Annex II] of the proposed Delegated Act (Annex IV of this CP)? Do you consider it sufficiently comprehensive, or do you deem that any other situations should be added?</w:t>
      </w:r>
    </w:p>
    <w:p w14:paraId="111BC89D" w14:textId="77777777" w:rsidR="00707ED8" w:rsidRDefault="00707ED8" w:rsidP="00707ED8">
      <w:r>
        <w:t>&lt;ESMA_QUESTION_LATA_14&gt;</w:t>
      </w:r>
    </w:p>
    <w:p w14:paraId="72E19C3F" w14:textId="1DF31DFE" w:rsidR="00B45EDC" w:rsidRDefault="00B45EDC" w:rsidP="00707ED8">
      <w:r>
        <w:t xml:space="preserve">Yes, we </w:t>
      </w:r>
      <w:r w:rsidRPr="00B45EDC">
        <w:t>agree with the list of situations where there is a contrast between the inside information to be delayed and the latest announcement or communication</w:t>
      </w:r>
      <w:r>
        <w:t>.</w:t>
      </w:r>
    </w:p>
    <w:p w14:paraId="352D3936" w14:textId="77777777" w:rsidR="00707ED8" w:rsidRDefault="00707ED8" w:rsidP="00707ED8">
      <w:r w:rsidRPr="00DF0B3C">
        <w:t>.</w:t>
      </w:r>
      <w:r>
        <w:t>&lt;ESMA_QUESTION_LATA_14&gt;</w:t>
      </w:r>
    </w:p>
    <w:p w14:paraId="22F89B98" w14:textId="77777777" w:rsidR="00707ED8" w:rsidRDefault="00707ED8" w:rsidP="00707ED8"/>
    <w:p w14:paraId="3675DAEE" w14:textId="77777777" w:rsidR="00707ED8" w:rsidRPr="009B2F87" w:rsidRDefault="00707ED8" w:rsidP="00707ED8">
      <w:pPr>
        <w:pStyle w:val="Questionstyle"/>
        <w:numPr>
          <w:ilvl w:val="0"/>
          <w:numId w:val="1"/>
        </w:numPr>
        <w:tabs>
          <w:tab w:val="clear" w:pos="567"/>
        </w:tabs>
        <w:spacing w:after="240" w:line="259" w:lineRule="auto"/>
        <w:ind w:left="851" w:hanging="851"/>
        <w:contextualSpacing w:val="0"/>
      </w:pPr>
      <w:r w:rsidRPr="008605FA">
        <w:t>Do you have any views on the methodology used to conduct the analysis?</w:t>
      </w:r>
    </w:p>
    <w:p w14:paraId="625CA597" w14:textId="77777777" w:rsidR="00707ED8" w:rsidRDefault="00707ED8" w:rsidP="00707ED8">
      <w:r>
        <w:t>&lt;ESMA_QUESTION_LATA_15&gt;</w:t>
      </w:r>
    </w:p>
    <w:p w14:paraId="1749767D" w14:textId="77777777" w:rsidR="00707ED8" w:rsidRDefault="00707ED8" w:rsidP="00707ED8">
      <w:r>
        <w:t>TYPE YOUR TEXT HERE</w:t>
      </w:r>
    </w:p>
    <w:p w14:paraId="78534AB6" w14:textId="77777777" w:rsidR="00707ED8" w:rsidRDefault="00707ED8" w:rsidP="00707ED8">
      <w:r>
        <w:t>&lt;ESMA_QUESTION_LATA_15&gt;</w:t>
      </w:r>
    </w:p>
    <w:p w14:paraId="2E6615E3" w14:textId="77777777" w:rsidR="00707ED8" w:rsidRDefault="00707ED8" w:rsidP="00707ED8"/>
    <w:p w14:paraId="1D62835A" w14:textId="77777777" w:rsidR="00707ED8" w:rsidRPr="009B2F87" w:rsidRDefault="00707ED8" w:rsidP="00707ED8">
      <w:pPr>
        <w:pStyle w:val="Questionstyle"/>
        <w:numPr>
          <w:ilvl w:val="0"/>
          <w:numId w:val="1"/>
        </w:numPr>
        <w:tabs>
          <w:tab w:val="clear" w:pos="567"/>
        </w:tabs>
        <w:spacing w:after="240" w:line="259" w:lineRule="auto"/>
        <w:ind w:left="851" w:hanging="851"/>
        <w:contextualSpacing w:val="0"/>
      </w:pPr>
      <w:r w:rsidRPr="008605FA">
        <w:t>Do you agree that the methodology of calculation in Article 78(1) of CDR 2017/565 to assess if the SME GM meets the 50% criterion is suitable? Please explain.</w:t>
      </w:r>
    </w:p>
    <w:p w14:paraId="6755DE06" w14:textId="77777777" w:rsidR="00707ED8" w:rsidRDefault="00707ED8" w:rsidP="00707ED8">
      <w:r>
        <w:t>&lt;ESMA_QUESTION_LATA_16&gt;</w:t>
      </w:r>
    </w:p>
    <w:p w14:paraId="64336D36" w14:textId="77777777" w:rsidR="00707ED8" w:rsidRDefault="00707ED8" w:rsidP="00707ED8">
      <w:r>
        <w:t>TYPE YOUR TEXT HERE</w:t>
      </w:r>
    </w:p>
    <w:p w14:paraId="23F19313" w14:textId="77777777" w:rsidR="00707ED8" w:rsidRDefault="00707ED8" w:rsidP="00707ED8">
      <w:r>
        <w:t>&lt;ESMA_QUESTION_LATA_16&gt;</w:t>
      </w:r>
    </w:p>
    <w:p w14:paraId="05A40D4F" w14:textId="77777777" w:rsidR="00707ED8" w:rsidRDefault="00707ED8" w:rsidP="00707ED8"/>
    <w:p w14:paraId="019F352B" w14:textId="77777777" w:rsidR="00707ED8" w:rsidRPr="009B2F87" w:rsidRDefault="00707ED8" w:rsidP="00707ED8">
      <w:pPr>
        <w:pStyle w:val="Questionstyle"/>
        <w:numPr>
          <w:ilvl w:val="0"/>
          <w:numId w:val="1"/>
        </w:numPr>
        <w:tabs>
          <w:tab w:val="clear" w:pos="567"/>
        </w:tabs>
        <w:spacing w:after="240" w:line="259" w:lineRule="auto"/>
        <w:ind w:left="851" w:hanging="851"/>
        <w:contextualSpacing w:val="0"/>
      </w:pPr>
      <w:r w:rsidRPr="008605FA">
        <w:t>Do you agree that the requirements in Article 78(1) of CDR 2017/565 ensure that the refusal to be registered as an SME GM does not simply occur as a result of a temporary failure to comply with the requirements specified in Article 33(3) of MiFID II? Please explain.</w:t>
      </w:r>
    </w:p>
    <w:p w14:paraId="53C75F34" w14:textId="77777777" w:rsidR="00707ED8" w:rsidRDefault="00707ED8" w:rsidP="00707ED8">
      <w:r>
        <w:t>&lt;ESMA_QUESTION_LATA_17&gt;</w:t>
      </w:r>
    </w:p>
    <w:p w14:paraId="229C2AA8" w14:textId="77777777" w:rsidR="00707ED8" w:rsidRDefault="00707ED8" w:rsidP="00707ED8">
      <w:r>
        <w:t>TYPE YOUR TEXT HERE</w:t>
      </w:r>
    </w:p>
    <w:p w14:paraId="5C1D2906" w14:textId="77777777" w:rsidR="00707ED8" w:rsidRDefault="00707ED8" w:rsidP="00707ED8">
      <w:r>
        <w:t>&lt;ESMA_QUESTION_LATA_17&gt;</w:t>
      </w:r>
    </w:p>
    <w:p w14:paraId="65BBBBA5" w14:textId="77777777" w:rsidR="00707ED8" w:rsidRDefault="00707ED8" w:rsidP="00707ED8"/>
    <w:p w14:paraId="6E1A9B6E" w14:textId="77777777" w:rsidR="00707ED8" w:rsidRDefault="00707ED8" w:rsidP="00707ED8">
      <w:pPr>
        <w:pStyle w:val="Questionstyle"/>
        <w:numPr>
          <w:ilvl w:val="0"/>
          <w:numId w:val="1"/>
        </w:numPr>
        <w:tabs>
          <w:tab w:val="clear" w:pos="567"/>
        </w:tabs>
        <w:spacing w:after="240" w:line="259" w:lineRule="auto"/>
        <w:ind w:left="851" w:hanging="851"/>
        <w:contextualSpacing w:val="0"/>
      </w:pPr>
      <w:r w:rsidRPr="008605FA">
        <w:t>Do you agree with the proposal not to specify further the requirements in Articles 78(2)(a) and 78(2)(b) of CDR 2017/565? Please elaborate.</w:t>
      </w:r>
    </w:p>
    <w:p w14:paraId="0DC9B9C9" w14:textId="77777777" w:rsidR="00707ED8" w:rsidRDefault="00707ED8" w:rsidP="00707ED8">
      <w:r>
        <w:t>&lt;ESMA_QUESTION_LATA_18&gt;</w:t>
      </w:r>
    </w:p>
    <w:p w14:paraId="0EE8FA03" w14:textId="77777777" w:rsidR="00707ED8" w:rsidRDefault="00707ED8" w:rsidP="00707ED8">
      <w:r>
        <w:t>TYPE YOUR TEXT HERE</w:t>
      </w:r>
    </w:p>
    <w:p w14:paraId="1ACBFC17" w14:textId="77777777" w:rsidR="00707ED8" w:rsidRDefault="00707ED8" w:rsidP="00707ED8">
      <w:r>
        <w:t>&lt;ESMA_QUESTION_LATA_18&gt;</w:t>
      </w:r>
    </w:p>
    <w:p w14:paraId="1E92BE46" w14:textId="77777777" w:rsidR="00707ED8" w:rsidRDefault="00707ED8" w:rsidP="00707ED8"/>
    <w:p w14:paraId="7E9A3494" w14:textId="77777777" w:rsidR="00707ED8" w:rsidRDefault="00707ED8" w:rsidP="00707ED8">
      <w:pPr>
        <w:pStyle w:val="Questionstyle"/>
        <w:numPr>
          <w:ilvl w:val="0"/>
          <w:numId w:val="1"/>
        </w:numPr>
        <w:tabs>
          <w:tab w:val="clear" w:pos="567"/>
        </w:tabs>
        <w:spacing w:after="240" w:line="259" w:lineRule="auto"/>
        <w:ind w:left="851" w:hanging="851"/>
        <w:contextualSpacing w:val="0"/>
      </w:pPr>
      <w:r w:rsidRPr="008605FA">
        <w:t>Do you agree with the proposal not to modify the requirements currently included in Articles 78(2)(c), (d) and (f) of CDR 2017/565? Please elaborate.</w:t>
      </w:r>
    </w:p>
    <w:p w14:paraId="7CE017F5" w14:textId="77777777" w:rsidR="00707ED8" w:rsidRDefault="00707ED8" w:rsidP="00707ED8">
      <w:r>
        <w:t>&lt;ESMA_QUESTION_LATA_19&gt;</w:t>
      </w:r>
    </w:p>
    <w:p w14:paraId="3C041E7F" w14:textId="77777777" w:rsidR="00707ED8" w:rsidRDefault="00707ED8" w:rsidP="00707ED8">
      <w:r>
        <w:t>TYPE YOUR TEXT HERE</w:t>
      </w:r>
    </w:p>
    <w:p w14:paraId="0512B7CC" w14:textId="77777777" w:rsidR="00707ED8" w:rsidRDefault="00707ED8" w:rsidP="00707ED8">
      <w:r>
        <w:t>&lt;ESMA_QUESTION_LATA_19&gt;</w:t>
      </w:r>
    </w:p>
    <w:p w14:paraId="3A21AF6D" w14:textId="77777777" w:rsidR="00707ED8" w:rsidRDefault="00707ED8" w:rsidP="00707ED8"/>
    <w:p w14:paraId="3953C9C8" w14:textId="77777777" w:rsidR="00707ED8" w:rsidRPr="009B2F87" w:rsidRDefault="00707ED8" w:rsidP="00707ED8">
      <w:pPr>
        <w:pStyle w:val="Questionstyle"/>
        <w:numPr>
          <w:ilvl w:val="0"/>
          <w:numId w:val="1"/>
        </w:numPr>
        <w:tabs>
          <w:tab w:val="clear" w:pos="567"/>
        </w:tabs>
        <w:spacing w:after="240" w:line="259" w:lineRule="auto"/>
        <w:ind w:left="851" w:hanging="851"/>
        <w:contextualSpacing w:val="0"/>
      </w:pPr>
      <w:r w:rsidRPr="008605FA">
        <w:t>Do you agree with the proposal to align the requirement in Article 78(2)(e) of CDR 2017/565 with those of the Growth Issuance Prospectus by requiring a statement on the working capital only for share issuances? Please elaborate.</w:t>
      </w:r>
      <w:r w:rsidRPr="009B2F87">
        <w:t xml:space="preserve"> </w:t>
      </w:r>
    </w:p>
    <w:p w14:paraId="5E70C7AF" w14:textId="77777777" w:rsidR="00707ED8" w:rsidRDefault="00707ED8" w:rsidP="00707ED8">
      <w:r>
        <w:t>&lt;ESMA_QUESTION_LATA_20&gt;</w:t>
      </w:r>
    </w:p>
    <w:p w14:paraId="27A97019" w14:textId="77777777" w:rsidR="00707ED8" w:rsidRDefault="00707ED8" w:rsidP="00707ED8">
      <w:r>
        <w:t>TYPE YOUR TEXT HERE</w:t>
      </w:r>
    </w:p>
    <w:p w14:paraId="2A3E3BA9" w14:textId="77777777" w:rsidR="00707ED8" w:rsidRDefault="00707ED8" w:rsidP="00707ED8">
      <w:r>
        <w:t>&lt;ESMA_QUESTION_LATA_20&gt;</w:t>
      </w:r>
    </w:p>
    <w:p w14:paraId="30838E4C" w14:textId="77777777" w:rsidR="00707ED8" w:rsidRDefault="00707ED8" w:rsidP="00707ED8"/>
    <w:p w14:paraId="41F6D386" w14:textId="77777777" w:rsidR="00707ED8" w:rsidRPr="009B2F87" w:rsidRDefault="00707ED8" w:rsidP="00707ED8">
      <w:pPr>
        <w:pStyle w:val="Questionstyle"/>
        <w:numPr>
          <w:ilvl w:val="0"/>
          <w:numId w:val="1"/>
        </w:numPr>
        <w:tabs>
          <w:tab w:val="clear" w:pos="567"/>
        </w:tabs>
        <w:spacing w:after="240" w:line="259" w:lineRule="auto"/>
        <w:ind w:left="851" w:hanging="851"/>
        <w:contextualSpacing w:val="0"/>
      </w:pPr>
      <w:r w:rsidRPr="008605FA">
        <w:t>Do you agree with the proposal to include in Article 78(2)(g) of CDR 2017/565 the requirement that the financial reports published by SME GM issuers should be subject to audits?</w:t>
      </w:r>
    </w:p>
    <w:p w14:paraId="351D9452" w14:textId="77777777" w:rsidR="00707ED8" w:rsidRDefault="00707ED8" w:rsidP="00707ED8">
      <w:r>
        <w:t>&lt;ESMA_QUESTION_LATA_21&gt;</w:t>
      </w:r>
    </w:p>
    <w:p w14:paraId="4ACFE30F" w14:textId="77777777" w:rsidR="00707ED8" w:rsidRDefault="00707ED8" w:rsidP="00707ED8">
      <w:r>
        <w:t>TYPE YOUR TEXT HERE</w:t>
      </w:r>
    </w:p>
    <w:p w14:paraId="2446850D" w14:textId="77777777" w:rsidR="00707ED8" w:rsidRDefault="00707ED8" w:rsidP="00707ED8">
      <w:r>
        <w:t>&lt;ESMA_QUESTION_LATA_21&gt;</w:t>
      </w:r>
    </w:p>
    <w:p w14:paraId="406B0BF4" w14:textId="77777777" w:rsidR="00707ED8" w:rsidRDefault="00707ED8" w:rsidP="00707ED8"/>
    <w:p w14:paraId="65B66D60" w14:textId="77777777" w:rsidR="00707ED8" w:rsidRPr="009B2F87" w:rsidRDefault="00707ED8" w:rsidP="00707ED8">
      <w:pPr>
        <w:pStyle w:val="Questionstyle"/>
        <w:numPr>
          <w:ilvl w:val="0"/>
          <w:numId w:val="1"/>
        </w:numPr>
        <w:tabs>
          <w:tab w:val="clear" w:pos="567"/>
        </w:tabs>
        <w:spacing w:after="240" w:line="259" w:lineRule="auto"/>
        <w:ind w:left="851" w:hanging="851"/>
        <w:contextualSpacing w:val="0"/>
      </w:pPr>
      <w:r w:rsidRPr="008605FA">
        <w:t>Do you agree with the proposal not to modify Articles 78(2)(h) and (i) of CDR 2017/565? Please elaborate.</w:t>
      </w:r>
    </w:p>
    <w:p w14:paraId="228EDEA2" w14:textId="77777777" w:rsidR="00707ED8" w:rsidRDefault="00707ED8" w:rsidP="00707ED8">
      <w:r>
        <w:t>&lt;ESMA_QUESTION_LATA_22&gt;</w:t>
      </w:r>
    </w:p>
    <w:p w14:paraId="5DFFAFC3" w14:textId="77777777" w:rsidR="00707ED8" w:rsidRDefault="00707ED8" w:rsidP="00707ED8">
      <w:r>
        <w:t>TYPE YOUR TEXT HERE</w:t>
      </w:r>
    </w:p>
    <w:p w14:paraId="3506AD8C" w14:textId="77777777" w:rsidR="00707ED8" w:rsidRDefault="00707ED8" w:rsidP="00707ED8">
      <w:r>
        <w:t>&lt;ESMA_QUESTION_LATA_22&gt;</w:t>
      </w:r>
    </w:p>
    <w:p w14:paraId="5C3CA84D" w14:textId="77777777" w:rsidR="00707ED8" w:rsidRDefault="00707ED8" w:rsidP="00707ED8"/>
    <w:p w14:paraId="1E118703" w14:textId="77777777" w:rsidR="00707ED8" w:rsidRPr="009B2F87" w:rsidRDefault="00707ED8" w:rsidP="00707ED8">
      <w:pPr>
        <w:pStyle w:val="Questionstyle"/>
        <w:numPr>
          <w:ilvl w:val="0"/>
          <w:numId w:val="1"/>
        </w:numPr>
        <w:tabs>
          <w:tab w:val="clear" w:pos="567"/>
        </w:tabs>
        <w:spacing w:after="240" w:line="259" w:lineRule="auto"/>
        <w:ind w:left="851" w:hanging="851"/>
        <w:contextualSpacing w:val="0"/>
      </w:pPr>
      <w:r w:rsidRPr="008605FA">
        <w:t>Do you agree with the proposals to meet the first and the second requirements under Article 33(3a) (a) and (b)? Please explain.</w:t>
      </w:r>
    </w:p>
    <w:p w14:paraId="21754D4B" w14:textId="77777777" w:rsidR="00707ED8" w:rsidRDefault="00707ED8" w:rsidP="00707ED8">
      <w:r>
        <w:t>&lt;ESMA_QUESTION_LATA_23&gt;</w:t>
      </w:r>
    </w:p>
    <w:p w14:paraId="2C22E980" w14:textId="77777777" w:rsidR="00707ED8" w:rsidRDefault="00707ED8" w:rsidP="00707ED8">
      <w:r>
        <w:t>TYPE YOUR TEXT HERE</w:t>
      </w:r>
    </w:p>
    <w:p w14:paraId="52649044" w14:textId="77777777" w:rsidR="00707ED8" w:rsidRDefault="00707ED8" w:rsidP="00707ED8">
      <w:r>
        <w:t>&lt;ESMA_QUESTION_LATA_23&gt;</w:t>
      </w:r>
    </w:p>
    <w:p w14:paraId="76FF6674" w14:textId="77777777" w:rsidR="00707ED8" w:rsidRDefault="00707ED8" w:rsidP="00707ED8"/>
    <w:p w14:paraId="3F0A639B" w14:textId="77777777" w:rsidR="00707ED8" w:rsidRPr="009B2F87" w:rsidRDefault="00707ED8" w:rsidP="00707ED8">
      <w:pPr>
        <w:pStyle w:val="Questionstyle"/>
        <w:numPr>
          <w:ilvl w:val="0"/>
          <w:numId w:val="1"/>
        </w:numPr>
        <w:tabs>
          <w:tab w:val="clear" w:pos="567"/>
        </w:tabs>
        <w:spacing w:after="240" w:line="259" w:lineRule="auto"/>
        <w:ind w:left="851" w:hanging="851"/>
        <w:contextualSpacing w:val="0"/>
      </w:pPr>
      <w:r w:rsidRPr="008605FA">
        <w:t>Do you agree with the proposals to meet the third requirement under Article 33(3a) (c)? Please explain.</w:t>
      </w:r>
    </w:p>
    <w:p w14:paraId="0C9C07B4" w14:textId="77777777" w:rsidR="00707ED8" w:rsidRDefault="00707ED8" w:rsidP="00707ED8">
      <w:r>
        <w:t>&lt;ESMA_QUESTION_LATA_24&gt;</w:t>
      </w:r>
    </w:p>
    <w:p w14:paraId="58E0486D" w14:textId="77777777" w:rsidR="00707ED8" w:rsidRDefault="00707ED8" w:rsidP="00707ED8">
      <w:r>
        <w:t>TYPE YOUR TEXT HERE</w:t>
      </w:r>
    </w:p>
    <w:p w14:paraId="2F4754BE" w14:textId="77777777" w:rsidR="00707ED8" w:rsidRDefault="00707ED8" w:rsidP="00707ED8">
      <w:r>
        <w:t>&lt;ESMA_QUESTION_LATA_24&gt;</w:t>
      </w:r>
    </w:p>
    <w:p w14:paraId="5E8ABA03" w14:textId="77777777" w:rsidR="00707ED8" w:rsidRDefault="00707ED8" w:rsidP="00707ED8"/>
    <w:p w14:paraId="0B0EFFC0" w14:textId="77777777" w:rsidR="00707ED8" w:rsidRPr="009B2F87" w:rsidRDefault="00707ED8" w:rsidP="00707ED8">
      <w:pPr>
        <w:pStyle w:val="Questionstyle"/>
        <w:numPr>
          <w:ilvl w:val="0"/>
          <w:numId w:val="1"/>
        </w:numPr>
        <w:tabs>
          <w:tab w:val="clear" w:pos="567"/>
        </w:tabs>
        <w:spacing w:after="240" w:line="259" w:lineRule="auto"/>
        <w:ind w:left="851" w:hanging="851"/>
        <w:contextualSpacing w:val="0"/>
      </w:pPr>
      <w:r w:rsidRPr="008605FA">
        <w:t>Do you agree that no specific amendments are required for Article 79? Please explain.</w:t>
      </w:r>
    </w:p>
    <w:p w14:paraId="5976297D" w14:textId="77777777" w:rsidR="00707ED8" w:rsidRDefault="00707ED8" w:rsidP="00707ED8">
      <w:r>
        <w:t>&lt;ESMA_QUESTION_LATA_25&gt;</w:t>
      </w:r>
    </w:p>
    <w:p w14:paraId="252277DA" w14:textId="77777777" w:rsidR="00707ED8" w:rsidRDefault="00707ED8" w:rsidP="00707ED8">
      <w:r>
        <w:t>TYPE YOUR TEXT HERE</w:t>
      </w:r>
    </w:p>
    <w:p w14:paraId="365CBF10" w14:textId="77777777" w:rsidR="00707ED8" w:rsidRDefault="00707ED8" w:rsidP="00707ED8">
      <w:r>
        <w:t>&lt;ESMA_QUESTION_LATA_25&gt;</w:t>
      </w:r>
    </w:p>
    <w:p w14:paraId="1F1A8CA0" w14:textId="77777777" w:rsidR="00707ED8" w:rsidRDefault="00707ED8" w:rsidP="00707ED8"/>
    <w:p w14:paraId="5891985C" w14:textId="77777777" w:rsidR="00707ED8" w:rsidRPr="009B2F87" w:rsidRDefault="00707ED8" w:rsidP="00707ED8">
      <w:pPr>
        <w:pStyle w:val="Questionstyle"/>
        <w:numPr>
          <w:ilvl w:val="0"/>
          <w:numId w:val="1"/>
        </w:numPr>
        <w:tabs>
          <w:tab w:val="clear" w:pos="567"/>
        </w:tabs>
        <w:spacing w:after="240" w:line="259" w:lineRule="auto"/>
        <w:ind w:left="851" w:hanging="851"/>
        <w:contextualSpacing w:val="0"/>
      </w:pPr>
      <w:r w:rsidRPr="008605FA">
        <w:t>Do you agree that the requirements in Article 79 of CDR 2017/565 ensure that an SME GM is not deregistered due to a temporary failure to comply with the criteria an Article 33 of MiFID II?</w:t>
      </w:r>
    </w:p>
    <w:p w14:paraId="648EF123" w14:textId="77777777" w:rsidR="00707ED8" w:rsidRDefault="00707ED8" w:rsidP="00707ED8">
      <w:r>
        <w:t>&lt;ESMA_QUESTION_LATA_26&gt;</w:t>
      </w:r>
    </w:p>
    <w:p w14:paraId="5AC5C53F" w14:textId="77777777" w:rsidR="00707ED8" w:rsidRDefault="00707ED8" w:rsidP="00707ED8">
      <w:r>
        <w:t>TYPE YOUR TEXT HERE</w:t>
      </w:r>
    </w:p>
    <w:p w14:paraId="702CF38D" w14:textId="77777777" w:rsidR="00707ED8" w:rsidRDefault="00707ED8" w:rsidP="00707ED8">
      <w:r>
        <w:t>&lt;ESMA_QUESTION_LATA_26&gt;</w:t>
      </w:r>
    </w:p>
    <w:p w14:paraId="0788571F" w14:textId="77777777" w:rsidR="00707ED8" w:rsidRDefault="00707ED8" w:rsidP="00707ED8">
      <w:pPr>
        <w:pStyle w:val="Questionstyle"/>
        <w:tabs>
          <w:tab w:val="clear" w:pos="567"/>
        </w:tabs>
        <w:spacing w:after="240" w:line="256" w:lineRule="auto"/>
        <w:ind w:left="851" w:firstLine="0"/>
      </w:pPr>
    </w:p>
    <w:p w14:paraId="66461517" w14:textId="77777777" w:rsidR="00B57964" w:rsidRDefault="00B57964"/>
    <w:sectPr w:rsidR="00B57964" w:rsidSect="00707ED8">
      <w:headerReference w:type="default" r:id="rId13"/>
      <w:footerReference w:type="default" r:id="rId14"/>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BB95F" w14:textId="77777777" w:rsidR="0050044B" w:rsidRDefault="0050044B" w:rsidP="00707ED8">
      <w:pPr>
        <w:spacing w:after="0" w:line="240" w:lineRule="auto"/>
      </w:pPr>
      <w:r>
        <w:separator/>
      </w:r>
    </w:p>
  </w:endnote>
  <w:endnote w:type="continuationSeparator" w:id="0">
    <w:p w14:paraId="608BDF28" w14:textId="77777777" w:rsidR="0050044B" w:rsidRDefault="0050044B" w:rsidP="00707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720176AC" w14:textId="77777777" w:rsidR="00104CE4" w:rsidRDefault="00F469C7" w:rsidP="00B73281">
        <w:pPr>
          <w:pStyle w:val="Stopka"/>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A8B34" w14:textId="77777777" w:rsidR="0050044B" w:rsidRDefault="0050044B" w:rsidP="00707ED8">
      <w:pPr>
        <w:spacing w:after="0" w:line="240" w:lineRule="auto"/>
      </w:pPr>
      <w:r>
        <w:separator/>
      </w:r>
    </w:p>
  </w:footnote>
  <w:footnote w:type="continuationSeparator" w:id="0">
    <w:p w14:paraId="736E03CC" w14:textId="77777777" w:rsidR="0050044B" w:rsidRDefault="0050044B" w:rsidP="00707E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93DE4" w14:textId="77777777" w:rsidR="00707ED8" w:rsidRPr="00DB2FD6" w:rsidRDefault="00707ED8" w:rsidP="008858FE">
    <w:pPr>
      <w:pStyle w:val="Nagwek"/>
      <w:rPr>
        <w:bCs/>
        <w:caps/>
        <w:color w:val="4EA72E" w:themeColor="accent6"/>
        <w:sz w:val="22"/>
        <w:highlight w:val="yellow"/>
      </w:rPr>
    </w:pPr>
    <w:r w:rsidRPr="00306F0E">
      <w:rPr>
        <w:rStyle w:val="ESMAConfidentialRestricted"/>
        <w:noProof/>
      </w:rPr>
      <w:drawing>
        <wp:anchor distT="0" distB="0" distL="114300" distR="114300" simplePos="0" relativeHeight="251657216" behindDoc="0" locked="0" layoutInCell="1" allowOverlap="1" wp14:anchorId="11D389C5" wp14:editId="7B58F69F">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t>12 December</w:t>
    </w:r>
    <w:r w:rsidRPr="002E135A">
      <w:t xml:space="preserve"> 2024</w:t>
    </w:r>
  </w:p>
  <w:p w14:paraId="50782E57" w14:textId="77777777" w:rsidR="00707ED8" w:rsidRDefault="00707ED8" w:rsidP="00C47686">
    <w:pPr>
      <w:jc w:val="right"/>
    </w:pPr>
    <w:r w:rsidRPr="00FE1EEE">
      <w:rPr>
        <w:color w:val="000000" w:themeColor="text1" w:themeShade="80"/>
        <w:sz w:val="16"/>
      </w:rPr>
      <w:t>ESMA74-1103241886-1094</w:t>
    </w:r>
  </w:p>
  <w:p w14:paraId="2D96A9A1" w14:textId="77777777" w:rsidR="00707ED8" w:rsidRDefault="00707ED8" w:rsidP="004E5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A2A79" w14:textId="77777777" w:rsidR="00104CE4" w:rsidRDefault="00104CE4" w:rsidP="00AD0B10">
    <w:pPr>
      <w:pStyle w:val="Nagwek"/>
    </w:pPr>
  </w:p>
  <w:p w14:paraId="7E3C2F68" w14:textId="77777777" w:rsidR="00104CE4" w:rsidRDefault="00104CE4" w:rsidP="00AD0B10">
    <w:pPr>
      <w:pStyle w:val="Nagwek"/>
    </w:pPr>
  </w:p>
  <w:p w14:paraId="65F3A59C" w14:textId="77777777" w:rsidR="00104CE4" w:rsidRPr="0043139E" w:rsidRDefault="00104CE4" w:rsidP="00AD0B10">
    <w:pPr>
      <w:pStyle w:val="Nagwek"/>
    </w:pPr>
  </w:p>
  <w:p w14:paraId="4F254330" w14:textId="77777777" w:rsidR="00104CE4" w:rsidRPr="0043139E" w:rsidRDefault="00104CE4" w:rsidP="00AD0B10">
    <w:pPr>
      <w:pStyle w:val="Nagwek"/>
    </w:pPr>
  </w:p>
  <w:p w14:paraId="638F6965" w14:textId="77777777" w:rsidR="00104CE4" w:rsidRPr="0043139E" w:rsidRDefault="00F469C7" w:rsidP="00AD0B10">
    <w:pPr>
      <w:pStyle w:val="Nagwek"/>
      <w:rPr>
        <w:rStyle w:val="ESMARegularuse"/>
        <w:bCs w:val="0"/>
        <w:caps w:val="0"/>
      </w:rPr>
    </w:pPr>
    <w:r w:rsidRPr="0043139E">
      <w:rPr>
        <w:rStyle w:val="ESMARegularuse"/>
        <w:bCs w:val="0"/>
        <w:caps w:val="0"/>
        <w:noProof/>
      </w:rPr>
      <w:drawing>
        <wp:anchor distT="0" distB="0" distL="114300" distR="114300" simplePos="0" relativeHeight="251658240" behindDoc="0" locked="0" layoutInCell="1" allowOverlap="1" wp14:anchorId="5B354210" wp14:editId="25343FDF">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FCB232F" w14:textId="77777777" w:rsidR="00104CE4" w:rsidRPr="0043139E" w:rsidRDefault="00104CE4" w:rsidP="00AD0B10">
    <w:pPr>
      <w:pStyle w:val="Nagwek"/>
    </w:pPr>
  </w:p>
  <w:p w14:paraId="7F116D3B" w14:textId="77777777" w:rsidR="00104CE4" w:rsidRPr="0043139E" w:rsidRDefault="00104CE4" w:rsidP="00AD0B10">
    <w:pPr>
      <w:pStyle w:val="Nagwek"/>
    </w:pPr>
  </w:p>
  <w:p w14:paraId="5A986240" w14:textId="77777777" w:rsidR="00104CE4" w:rsidRPr="0043139E" w:rsidRDefault="00104CE4" w:rsidP="00AD0B10">
    <w:pPr>
      <w:pStyle w:val="Nagwek"/>
    </w:pPr>
  </w:p>
  <w:p w14:paraId="22FE07CB" w14:textId="77777777" w:rsidR="00104CE4" w:rsidRPr="0043139E" w:rsidRDefault="00104CE4" w:rsidP="00AD0B10">
    <w:pPr>
      <w:pStyle w:val="Nagwek"/>
    </w:pPr>
  </w:p>
  <w:p w14:paraId="067DC8B9" w14:textId="77777777" w:rsidR="00104CE4" w:rsidRPr="0043139E" w:rsidRDefault="00104CE4" w:rsidP="00AD0B10">
    <w:pPr>
      <w:pStyle w:val="Nagwek"/>
    </w:pPr>
  </w:p>
  <w:p w14:paraId="228A09BF" w14:textId="77777777" w:rsidR="00104CE4" w:rsidRPr="0043139E" w:rsidRDefault="00104CE4" w:rsidP="00AD0B10">
    <w:pPr>
      <w:pStyle w:val="Nagwek"/>
    </w:pPr>
  </w:p>
  <w:p w14:paraId="24A4A221" w14:textId="77777777" w:rsidR="00104CE4" w:rsidRDefault="00104CE4" w:rsidP="00AD0B10">
    <w:pPr>
      <w:pStyle w:val="Nagwek"/>
    </w:pPr>
  </w:p>
  <w:p w14:paraId="5AEC993D" w14:textId="77777777" w:rsidR="00104CE4" w:rsidRPr="0043139E" w:rsidRDefault="00104CE4" w:rsidP="00AD0B10">
    <w:pPr>
      <w:pStyle w:val="Nagwek"/>
    </w:pPr>
  </w:p>
  <w:p w14:paraId="41BF9D6A" w14:textId="77777777" w:rsidR="00104CE4" w:rsidRPr="00AD0B10" w:rsidRDefault="00104CE4" w:rsidP="00AD0B1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2385E"/>
    <w:multiLevelType w:val="hybridMultilevel"/>
    <w:tmpl w:val="66622E78"/>
    <w:lvl w:ilvl="0" w:tplc="B79EAEB8">
      <w:numFmt w:val="bullet"/>
      <w:lvlText w:val="-"/>
      <w:lvlJc w:val="left"/>
      <w:pPr>
        <w:ind w:left="720" w:hanging="360"/>
      </w:pPr>
      <w:rPr>
        <w:rFonts w:ascii="Arial" w:eastAsiaTheme="minorEastAsia" w:hAnsi="Arial" w:cs="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A52232B"/>
    <w:multiLevelType w:val="hybridMultilevel"/>
    <w:tmpl w:val="E474F29A"/>
    <w:lvl w:ilvl="0" w:tplc="91A4A3F4">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40A41FB5"/>
    <w:multiLevelType w:val="hybridMultilevel"/>
    <w:tmpl w:val="114CEABE"/>
    <w:lvl w:ilvl="0" w:tplc="3C4EE77C">
      <w:start w:val="1"/>
      <w:numFmt w:val="bullet"/>
      <w:lvlText w:val=""/>
      <w:lvlJc w:val="left"/>
      <w:pPr>
        <w:ind w:left="1080" w:hanging="360"/>
      </w:pPr>
      <w:rPr>
        <w:rFonts w:ascii="Symbol" w:hAnsi="Symbol"/>
      </w:rPr>
    </w:lvl>
    <w:lvl w:ilvl="1" w:tplc="FE24531C">
      <w:start w:val="1"/>
      <w:numFmt w:val="bullet"/>
      <w:lvlText w:val=""/>
      <w:lvlJc w:val="left"/>
      <w:pPr>
        <w:ind w:left="1080" w:hanging="360"/>
      </w:pPr>
      <w:rPr>
        <w:rFonts w:ascii="Symbol" w:hAnsi="Symbol"/>
      </w:rPr>
    </w:lvl>
    <w:lvl w:ilvl="2" w:tplc="BF8007EE">
      <w:start w:val="1"/>
      <w:numFmt w:val="bullet"/>
      <w:lvlText w:val=""/>
      <w:lvlJc w:val="left"/>
      <w:pPr>
        <w:ind w:left="1080" w:hanging="360"/>
      </w:pPr>
      <w:rPr>
        <w:rFonts w:ascii="Symbol" w:hAnsi="Symbol"/>
      </w:rPr>
    </w:lvl>
    <w:lvl w:ilvl="3" w:tplc="9954CA2A">
      <w:start w:val="1"/>
      <w:numFmt w:val="bullet"/>
      <w:lvlText w:val=""/>
      <w:lvlJc w:val="left"/>
      <w:pPr>
        <w:ind w:left="1080" w:hanging="360"/>
      </w:pPr>
      <w:rPr>
        <w:rFonts w:ascii="Symbol" w:hAnsi="Symbol"/>
      </w:rPr>
    </w:lvl>
    <w:lvl w:ilvl="4" w:tplc="3A148242">
      <w:start w:val="1"/>
      <w:numFmt w:val="bullet"/>
      <w:lvlText w:val=""/>
      <w:lvlJc w:val="left"/>
      <w:pPr>
        <w:ind w:left="1080" w:hanging="360"/>
      </w:pPr>
      <w:rPr>
        <w:rFonts w:ascii="Symbol" w:hAnsi="Symbol"/>
      </w:rPr>
    </w:lvl>
    <w:lvl w:ilvl="5" w:tplc="B334582C">
      <w:start w:val="1"/>
      <w:numFmt w:val="bullet"/>
      <w:lvlText w:val=""/>
      <w:lvlJc w:val="left"/>
      <w:pPr>
        <w:ind w:left="1080" w:hanging="360"/>
      </w:pPr>
      <w:rPr>
        <w:rFonts w:ascii="Symbol" w:hAnsi="Symbol"/>
      </w:rPr>
    </w:lvl>
    <w:lvl w:ilvl="6" w:tplc="2CE6BF86">
      <w:start w:val="1"/>
      <w:numFmt w:val="bullet"/>
      <w:lvlText w:val=""/>
      <w:lvlJc w:val="left"/>
      <w:pPr>
        <w:ind w:left="1080" w:hanging="360"/>
      </w:pPr>
      <w:rPr>
        <w:rFonts w:ascii="Symbol" w:hAnsi="Symbol"/>
      </w:rPr>
    </w:lvl>
    <w:lvl w:ilvl="7" w:tplc="FC3892CC">
      <w:start w:val="1"/>
      <w:numFmt w:val="bullet"/>
      <w:lvlText w:val=""/>
      <w:lvlJc w:val="left"/>
      <w:pPr>
        <w:ind w:left="1080" w:hanging="360"/>
      </w:pPr>
      <w:rPr>
        <w:rFonts w:ascii="Symbol" w:hAnsi="Symbol"/>
      </w:rPr>
    </w:lvl>
    <w:lvl w:ilvl="8" w:tplc="19BEEE4A">
      <w:start w:val="1"/>
      <w:numFmt w:val="bullet"/>
      <w:lvlText w:val=""/>
      <w:lvlJc w:val="left"/>
      <w:pPr>
        <w:ind w:left="1080" w:hanging="360"/>
      </w:pPr>
      <w:rPr>
        <w:rFonts w:ascii="Symbol" w:hAnsi="Symbol"/>
      </w:rPr>
    </w:lvl>
  </w:abstractNum>
  <w:num w:numId="1" w16cid:durableId="666791932">
    <w:abstractNumId w:val="1"/>
  </w:num>
  <w:num w:numId="2" w16cid:durableId="707491633">
    <w:abstractNumId w:val="0"/>
  </w:num>
  <w:num w:numId="3" w16cid:durableId="1002714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ED8"/>
    <w:rsid w:val="00031DEE"/>
    <w:rsid w:val="000341FF"/>
    <w:rsid w:val="000C07D1"/>
    <w:rsid w:val="0010098F"/>
    <w:rsid w:val="00104CE4"/>
    <w:rsid w:val="001371AD"/>
    <w:rsid w:val="00141A82"/>
    <w:rsid w:val="00150ACE"/>
    <w:rsid w:val="00157EC9"/>
    <w:rsid w:val="00172687"/>
    <w:rsid w:val="001A2036"/>
    <w:rsid w:val="001D756A"/>
    <w:rsid w:val="001F31A3"/>
    <w:rsid w:val="00212E21"/>
    <w:rsid w:val="00230B62"/>
    <w:rsid w:val="00266C16"/>
    <w:rsid w:val="00305317"/>
    <w:rsid w:val="0035164B"/>
    <w:rsid w:val="00383207"/>
    <w:rsid w:val="00383CDD"/>
    <w:rsid w:val="00447F1E"/>
    <w:rsid w:val="004C73F7"/>
    <w:rsid w:val="005000E4"/>
    <w:rsid w:val="0050044B"/>
    <w:rsid w:val="005510C2"/>
    <w:rsid w:val="00552126"/>
    <w:rsid w:val="00575853"/>
    <w:rsid w:val="006000EC"/>
    <w:rsid w:val="00601ED9"/>
    <w:rsid w:val="00707ED8"/>
    <w:rsid w:val="00735406"/>
    <w:rsid w:val="00751C8A"/>
    <w:rsid w:val="007675AC"/>
    <w:rsid w:val="007741C8"/>
    <w:rsid w:val="007B1838"/>
    <w:rsid w:val="00817D9A"/>
    <w:rsid w:val="00837AF4"/>
    <w:rsid w:val="00841331"/>
    <w:rsid w:val="008909C0"/>
    <w:rsid w:val="00AD7063"/>
    <w:rsid w:val="00AF6D24"/>
    <w:rsid w:val="00B45EDC"/>
    <w:rsid w:val="00B57964"/>
    <w:rsid w:val="00B93124"/>
    <w:rsid w:val="00BA37E8"/>
    <w:rsid w:val="00C5297C"/>
    <w:rsid w:val="00CF171D"/>
    <w:rsid w:val="00D064C1"/>
    <w:rsid w:val="00D3670E"/>
    <w:rsid w:val="00D8014A"/>
    <w:rsid w:val="00D8550D"/>
    <w:rsid w:val="00D972D2"/>
    <w:rsid w:val="00DC5473"/>
    <w:rsid w:val="00E10D56"/>
    <w:rsid w:val="00E8724C"/>
    <w:rsid w:val="00E91A94"/>
    <w:rsid w:val="00F469C7"/>
    <w:rsid w:val="00FA30B4"/>
    <w:rsid w:val="00FA7544"/>
  </w:rsids>
  <m:mathPr>
    <m:mathFont m:val="Cambria Math"/>
    <m:brkBin m:val="before"/>
    <m:brkBinSub m:val="--"/>
    <m:smallFrac m:val="0"/>
    <m:dispDef/>
    <m:lMargin m:val="0"/>
    <m:rMargin m:val="0"/>
    <m:defJc m:val="centerGroup"/>
    <m:wrapIndent m:val="1440"/>
    <m:intLim m:val="subSup"/>
    <m:naryLim m:val="undOvr"/>
  </m:mathPr>
  <w:themeFontLang w:val="it-IT"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10F08"/>
  <w15:chartTrackingRefBased/>
  <w15:docId w15:val="{681037BC-42FC-4178-B6CE-19D5C0245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07ED8"/>
    <w:pPr>
      <w:spacing w:after="250" w:line="276" w:lineRule="auto"/>
      <w:jc w:val="both"/>
    </w:pPr>
    <w:rPr>
      <w:rFonts w:eastAsiaTheme="minorEastAsia"/>
      <w:color w:val="1A1A1A" w:themeColor="background1" w:themeShade="1A"/>
      <w:kern w:val="0"/>
      <w:szCs w:val="20"/>
      <w:lang w:val="en-GB"/>
      <w14:ligatures w14:val="none"/>
    </w:rPr>
  </w:style>
  <w:style w:type="paragraph" w:styleId="Nagwek1">
    <w:name w:val="heading 1"/>
    <w:basedOn w:val="Normalny"/>
    <w:next w:val="Normalny"/>
    <w:link w:val="Nagwek1Znak"/>
    <w:uiPriority w:val="9"/>
    <w:qFormat/>
    <w:rsid w:val="00707E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707E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rsid w:val="00707ED8"/>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unhideWhenUsed/>
    <w:qFormat/>
    <w:rsid w:val="00707ED8"/>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07ED8"/>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07ED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07ED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07ED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07ED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07ED8"/>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707ED8"/>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707ED8"/>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707ED8"/>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07ED8"/>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07ED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07ED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07ED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07ED8"/>
    <w:rPr>
      <w:rFonts w:eastAsiaTheme="majorEastAsia" w:cstheme="majorBidi"/>
      <w:color w:val="272727" w:themeColor="text1" w:themeTint="D8"/>
    </w:rPr>
  </w:style>
  <w:style w:type="paragraph" w:styleId="Tytu">
    <w:name w:val="Title"/>
    <w:basedOn w:val="Normalny"/>
    <w:next w:val="Normalny"/>
    <w:link w:val="TytuZnak"/>
    <w:uiPriority w:val="10"/>
    <w:qFormat/>
    <w:rsid w:val="00707E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07ED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07ED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07ED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07ED8"/>
    <w:pPr>
      <w:spacing w:before="160"/>
      <w:jc w:val="center"/>
    </w:pPr>
    <w:rPr>
      <w:i/>
      <w:iCs/>
      <w:color w:val="404040" w:themeColor="text1" w:themeTint="BF"/>
    </w:rPr>
  </w:style>
  <w:style w:type="character" w:customStyle="1" w:styleId="CytatZnak">
    <w:name w:val="Cytat Znak"/>
    <w:basedOn w:val="Domylnaczcionkaakapitu"/>
    <w:link w:val="Cytat"/>
    <w:uiPriority w:val="29"/>
    <w:rsid w:val="00707ED8"/>
    <w:rPr>
      <w:i/>
      <w:iCs/>
      <w:color w:val="404040" w:themeColor="text1" w:themeTint="BF"/>
    </w:rPr>
  </w:style>
  <w:style w:type="paragraph" w:styleId="Akapitzlist">
    <w:name w:val="List Paragraph"/>
    <w:aliases w:val="Paragraphe EI,Paragraphe de liste1,EC"/>
    <w:basedOn w:val="Normalny"/>
    <w:link w:val="AkapitzlistZnak"/>
    <w:uiPriority w:val="34"/>
    <w:qFormat/>
    <w:rsid w:val="00707ED8"/>
    <w:pPr>
      <w:ind w:left="720"/>
      <w:contextualSpacing/>
    </w:pPr>
  </w:style>
  <w:style w:type="character" w:styleId="Wyrnienieintensywne">
    <w:name w:val="Intense Emphasis"/>
    <w:basedOn w:val="Domylnaczcionkaakapitu"/>
    <w:uiPriority w:val="21"/>
    <w:qFormat/>
    <w:rsid w:val="00707ED8"/>
    <w:rPr>
      <w:i/>
      <w:iCs/>
      <w:color w:val="0F4761" w:themeColor="accent1" w:themeShade="BF"/>
    </w:rPr>
  </w:style>
  <w:style w:type="paragraph" w:styleId="Cytatintensywny">
    <w:name w:val="Intense Quote"/>
    <w:basedOn w:val="Normalny"/>
    <w:next w:val="Normalny"/>
    <w:link w:val="CytatintensywnyZnak"/>
    <w:uiPriority w:val="30"/>
    <w:qFormat/>
    <w:rsid w:val="00707E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07ED8"/>
    <w:rPr>
      <w:i/>
      <w:iCs/>
      <w:color w:val="0F4761" w:themeColor="accent1" w:themeShade="BF"/>
    </w:rPr>
  </w:style>
  <w:style w:type="character" w:styleId="Odwoanieintensywne">
    <w:name w:val="Intense Reference"/>
    <w:basedOn w:val="Domylnaczcionkaakapitu"/>
    <w:uiPriority w:val="32"/>
    <w:qFormat/>
    <w:rsid w:val="00707ED8"/>
    <w:rPr>
      <w:b/>
      <w:bCs/>
      <w:smallCaps/>
      <w:color w:val="0F4761" w:themeColor="accent1" w:themeShade="BF"/>
      <w:spacing w:val="5"/>
    </w:rPr>
  </w:style>
  <w:style w:type="paragraph" w:styleId="Nagwek">
    <w:name w:val="header"/>
    <w:basedOn w:val="Normalny"/>
    <w:link w:val="NagwekZnak"/>
    <w:unhideWhenUsed/>
    <w:qFormat/>
    <w:rsid w:val="00707ED8"/>
    <w:pPr>
      <w:tabs>
        <w:tab w:val="center" w:pos="4513"/>
        <w:tab w:val="right" w:pos="9026"/>
      </w:tabs>
      <w:spacing w:after="0" w:line="240" w:lineRule="auto"/>
      <w:jc w:val="right"/>
    </w:pPr>
    <w:rPr>
      <w:color w:val="000000" w:themeColor="text1" w:themeShade="80"/>
      <w:sz w:val="16"/>
    </w:rPr>
  </w:style>
  <w:style w:type="character" w:customStyle="1" w:styleId="NagwekZnak">
    <w:name w:val="Nagłówek Znak"/>
    <w:basedOn w:val="Domylnaczcionkaakapitu"/>
    <w:link w:val="Nagwek"/>
    <w:rsid w:val="00707ED8"/>
    <w:rPr>
      <w:rFonts w:eastAsiaTheme="minorEastAsia"/>
      <w:color w:val="000000" w:themeColor="text1" w:themeShade="80"/>
      <w:kern w:val="0"/>
      <w:sz w:val="16"/>
      <w:szCs w:val="20"/>
      <w:lang w:val="en-GB"/>
      <w14:ligatures w14:val="none"/>
    </w:rPr>
  </w:style>
  <w:style w:type="paragraph" w:styleId="Stopka">
    <w:name w:val="footer"/>
    <w:basedOn w:val="Normalny"/>
    <w:link w:val="StopkaZnak"/>
    <w:uiPriority w:val="99"/>
    <w:unhideWhenUsed/>
    <w:qFormat/>
    <w:rsid w:val="00707ED8"/>
    <w:pPr>
      <w:tabs>
        <w:tab w:val="center" w:pos="4536"/>
        <w:tab w:val="right" w:pos="9072"/>
      </w:tabs>
      <w:spacing w:line="240" w:lineRule="auto"/>
      <w:jc w:val="left"/>
    </w:pPr>
    <w:rPr>
      <w:color w:val="000000" w:themeColor="text1" w:themeShade="80"/>
      <w:sz w:val="16"/>
    </w:rPr>
  </w:style>
  <w:style w:type="character" w:customStyle="1" w:styleId="StopkaZnak">
    <w:name w:val="Stopka Znak"/>
    <w:basedOn w:val="Domylnaczcionkaakapitu"/>
    <w:link w:val="Stopka"/>
    <w:uiPriority w:val="99"/>
    <w:rsid w:val="00707ED8"/>
    <w:rPr>
      <w:rFonts w:eastAsiaTheme="minorEastAsia"/>
      <w:color w:val="000000" w:themeColor="text1" w:themeShade="80"/>
      <w:kern w:val="0"/>
      <w:sz w:val="16"/>
      <w:szCs w:val="20"/>
      <w:lang w:val="en-GB"/>
      <w14:ligatures w14:val="none"/>
    </w:rPr>
  </w:style>
  <w:style w:type="character" w:styleId="Hipercze">
    <w:name w:val="Hyperlink"/>
    <w:basedOn w:val="Domylnaczcionkaakapitu"/>
    <w:uiPriority w:val="99"/>
    <w:unhideWhenUsed/>
    <w:qFormat/>
    <w:rsid w:val="00707ED8"/>
    <w:rPr>
      <w:color w:val="0A1D30" w:themeColor="text2" w:themeShade="BF"/>
      <w:u w:val="single"/>
    </w:rPr>
  </w:style>
  <w:style w:type="paragraph" w:customStyle="1" w:styleId="Questionstyle">
    <w:name w:val="Question style"/>
    <w:basedOn w:val="Normalny"/>
    <w:next w:val="Normalny"/>
    <w:link w:val="QuestionstyleChar"/>
    <w:autoRedefine/>
    <w:qFormat/>
    <w:rsid w:val="00707ED8"/>
    <w:pPr>
      <w:tabs>
        <w:tab w:val="left" w:pos="567"/>
      </w:tabs>
      <w:ind w:hanging="360"/>
      <w:contextualSpacing/>
    </w:pPr>
    <w:rPr>
      <w:b/>
    </w:rPr>
  </w:style>
  <w:style w:type="character" w:customStyle="1" w:styleId="QuestionstyleChar">
    <w:name w:val="Question style Char"/>
    <w:basedOn w:val="Domylnaczcionkaakapitu"/>
    <w:link w:val="Questionstyle"/>
    <w:rsid w:val="00707ED8"/>
    <w:rPr>
      <w:rFonts w:eastAsiaTheme="minorEastAsia"/>
      <w:b/>
      <w:color w:val="1A1A1A" w:themeColor="background1" w:themeShade="1A"/>
      <w:kern w:val="0"/>
      <w:szCs w:val="20"/>
      <w:lang w:val="en-GB"/>
      <w14:ligatures w14:val="none"/>
    </w:rPr>
  </w:style>
  <w:style w:type="table" w:styleId="Tabela-Siatka">
    <w:name w:val="Table Grid"/>
    <w:basedOn w:val="Standardowy"/>
    <w:uiPriority w:val="39"/>
    <w:rsid w:val="00707ED8"/>
    <w:pPr>
      <w:spacing w:after="0" w:line="240" w:lineRule="auto"/>
    </w:pPr>
    <w:rPr>
      <w:rFonts w:eastAsiaTheme="minorEastAsia"/>
      <w:kern w:val="0"/>
      <w:sz w:val="20"/>
      <w:szCs w:val="20"/>
      <w:lang w:val="nl-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przypisudolnego">
    <w:name w:val="footnote reference"/>
    <w:basedOn w:val="Domylnaczcionkaakapitu"/>
    <w:uiPriority w:val="99"/>
    <w:semiHidden/>
    <w:unhideWhenUsed/>
    <w:qFormat/>
    <w:rsid w:val="00707ED8"/>
    <w:rPr>
      <w:rFonts w:asciiTheme="majorHAnsi" w:hAnsiTheme="majorHAnsi"/>
      <w:sz w:val="16"/>
      <w:vertAlign w:val="superscript"/>
    </w:rPr>
  </w:style>
  <w:style w:type="character" w:styleId="Odwoaniedokomentarza">
    <w:name w:val="annotation reference"/>
    <w:basedOn w:val="Domylnaczcionkaakapitu"/>
    <w:uiPriority w:val="99"/>
    <w:semiHidden/>
    <w:unhideWhenUsed/>
    <w:rsid w:val="00707ED8"/>
    <w:rPr>
      <w:sz w:val="16"/>
      <w:szCs w:val="16"/>
    </w:rPr>
  </w:style>
  <w:style w:type="paragraph" w:styleId="Tekstkomentarza">
    <w:name w:val="annotation text"/>
    <w:basedOn w:val="Normalny"/>
    <w:link w:val="TekstkomentarzaZnak"/>
    <w:uiPriority w:val="99"/>
    <w:unhideWhenUsed/>
    <w:rsid w:val="00707ED8"/>
    <w:pPr>
      <w:spacing w:line="240" w:lineRule="auto"/>
    </w:pPr>
    <w:rPr>
      <w:sz w:val="20"/>
    </w:rPr>
  </w:style>
  <w:style w:type="character" w:customStyle="1" w:styleId="TekstkomentarzaZnak">
    <w:name w:val="Tekst komentarza Znak"/>
    <w:basedOn w:val="Domylnaczcionkaakapitu"/>
    <w:link w:val="Tekstkomentarza"/>
    <w:uiPriority w:val="99"/>
    <w:rsid w:val="00707ED8"/>
    <w:rPr>
      <w:rFonts w:eastAsiaTheme="minorEastAsia"/>
      <w:color w:val="1A1A1A" w:themeColor="background1" w:themeShade="1A"/>
      <w:kern w:val="0"/>
      <w:sz w:val="20"/>
      <w:szCs w:val="20"/>
      <w:lang w:val="en-GB"/>
      <w14:ligatures w14:val="none"/>
    </w:rPr>
  </w:style>
  <w:style w:type="character" w:customStyle="1" w:styleId="ESMAConfidentialRestricted">
    <w:name w:val="ESMA Confidential/Restricted"/>
    <w:basedOn w:val="Pogrubienie"/>
    <w:uiPriority w:val="1"/>
    <w:qFormat/>
    <w:rsid w:val="00707ED8"/>
    <w:rPr>
      <w:b w:val="0"/>
      <w:bCs/>
      <w:caps/>
      <w:smallCaps w:val="0"/>
      <w:color w:val="4EA72E" w:themeColor="accent6"/>
      <w:sz w:val="22"/>
    </w:rPr>
  </w:style>
  <w:style w:type="character" w:customStyle="1" w:styleId="ESMARegularuse">
    <w:name w:val="ESMA Regular use"/>
    <w:basedOn w:val="ESMAConfidentialRestricted"/>
    <w:uiPriority w:val="1"/>
    <w:qFormat/>
    <w:rsid w:val="00707ED8"/>
    <w:rPr>
      <w:b w:val="0"/>
      <w:bCs/>
      <w:caps/>
      <w:smallCaps w:val="0"/>
      <w:color w:val="0E2841" w:themeColor="text2"/>
      <w:sz w:val="22"/>
    </w:rPr>
  </w:style>
  <w:style w:type="character" w:customStyle="1" w:styleId="AkapitzlistZnak">
    <w:name w:val="Akapit z listą Znak"/>
    <w:aliases w:val="Paragraphe EI Znak,Paragraphe de liste1 Znak,EC Znak"/>
    <w:link w:val="Akapitzlist"/>
    <w:uiPriority w:val="34"/>
    <w:locked/>
    <w:rsid w:val="00707ED8"/>
  </w:style>
  <w:style w:type="paragraph" w:customStyle="1" w:styleId="Default">
    <w:name w:val="Default"/>
    <w:rsid w:val="00707ED8"/>
    <w:pPr>
      <w:autoSpaceDE w:val="0"/>
      <w:autoSpaceDN w:val="0"/>
      <w:adjustRightInd w:val="0"/>
      <w:spacing w:after="0" w:line="240" w:lineRule="auto"/>
    </w:pPr>
    <w:rPr>
      <w:rFonts w:ascii="Arial" w:eastAsiaTheme="minorEastAsia" w:hAnsi="Arial" w:cs="Arial"/>
      <w:color w:val="000000"/>
      <w:kern w:val="0"/>
      <w:sz w:val="24"/>
      <w:szCs w:val="24"/>
      <w14:ligatures w14:val="none"/>
    </w:rPr>
  </w:style>
  <w:style w:type="paragraph" w:styleId="NormalnyWeb">
    <w:name w:val="Normal (Web)"/>
    <w:basedOn w:val="Normalny"/>
    <w:uiPriority w:val="99"/>
    <w:semiHidden/>
    <w:unhideWhenUsed/>
    <w:rsid w:val="00707ED8"/>
    <w:pPr>
      <w:spacing w:before="100" w:beforeAutospacing="1" w:after="100" w:afterAutospacing="1" w:line="240" w:lineRule="auto"/>
      <w:jc w:val="left"/>
    </w:pPr>
    <w:rPr>
      <w:rFonts w:ascii="Times New Roman" w:eastAsia="Times New Roman" w:hAnsi="Times New Roman" w:cs="Times New Roman"/>
      <w:color w:val="auto"/>
      <w:sz w:val="24"/>
      <w:szCs w:val="24"/>
      <w:lang w:val="it-IT" w:eastAsia="it-IT"/>
    </w:rPr>
  </w:style>
  <w:style w:type="paragraph" w:customStyle="1" w:styleId="xmsonormal">
    <w:name w:val="x_msonormal"/>
    <w:basedOn w:val="Normalny"/>
    <w:rsid w:val="00707ED8"/>
    <w:pPr>
      <w:spacing w:before="100" w:beforeAutospacing="1" w:after="100" w:afterAutospacing="1" w:line="240" w:lineRule="auto"/>
      <w:jc w:val="left"/>
    </w:pPr>
    <w:rPr>
      <w:rFonts w:ascii="Aptos" w:eastAsiaTheme="minorHAnsi" w:hAnsi="Aptos" w:cs="Aptos"/>
      <w:color w:val="auto"/>
      <w:sz w:val="24"/>
      <w:szCs w:val="24"/>
      <w:lang w:val="it-IT" w:eastAsia="it-IT"/>
    </w:rPr>
  </w:style>
  <w:style w:type="paragraph" w:customStyle="1" w:styleId="xmsolistparagraph">
    <w:name w:val="x_msolistparagraph"/>
    <w:basedOn w:val="Normalny"/>
    <w:rsid w:val="00707ED8"/>
    <w:pPr>
      <w:spacing w:before="100" w:beforeAutospacing="1" w:after="100" w:afterAutospacing="1" w:line="240" w:lineRule="auto"/>
      <w:jc w:val="left"/>
    </w:pPr>
    <w:rPr>
      <w:rFonts w:ascii="Aptos" w:eastAsiaTheme="minorHAnsi" w:hAnsi="Aptos" w:cs="Aptos"/>
      <w:color w:val="auto"/>
      <w:sz w:val="24"/>
      <w:szCs w:val="24"/>
      <w:lang w:val="it-IT" w:eastAsia="it-IT"/>
    </w:rPr>
  </w:style>
  <w:style w:type="character" w:customStyle="1" w:styleId="xcf01">
    <w:name w:val="x_cf01"/>
    <w:basedOn w:val="Domylnaczcionkaakapitu"/>
    <w:rsid w:val="00707ED8"/>
  </w:style>
  <w:style w:type="character" w:styleId="Pogrubienie">
    <w:name w:val="Strong"/>
    <w:basedOn w:val="Domylnaczcionkaakapitu"/>
    <w:uiPriority w:val="22"/>
    <w:qFormat/>
    <w:rsid w:val="00707ED8"/>
    <w:rPr>
      <w:b/>
      <w:bCs/>
    </w:rPr>
  </w:style>
  <w:style w:type="paragraph" w:styleId="Poprawka">
    <w:name w:val="Revision"/>
    <w:hidden/>
    <w:uiPriority w:val="99"/>
    <w:semiHidden/>
    <w:rsid w:val="00383CDD"/>
    <w:pPr>
      <w:spacing w:after="0" w:line="240" w:lineRule="auto"/>
    </w:pPr>
    <w:rPr>
      <w:rFonts w:eastAsiaTheme="minorEastAsia"/>
      <w:color w:val="1A1A1A" w:themeColor="background1" w:themeShade="1A"/>
      <w:kern w:val="0"/>
      <w:szCs w:val="20"/>
      <w:lang w:val="en-GB"/>
      <w14:ligatures w14:val="none"/>
    </w:rPr>
  </w:style>
  <w:style w:type="paragraph" w:styleId="Tematkomentarza">
    <w:name w:val="annotation subject"/>
    <w:basedOn w:val="Tekstkomentarza"/>
    <w:next w:val="Tekstkomentarza"/>
    <w:link w:val="TematkomentarzaZnak"/>
    <w:uiPriority w:val="99"/>
    <w:semiHidden/>
    <w:unhideWhenUsed/>
    <w:rsid w:val="004C73F7"/>
    <w:rPr>
      <w:b/>
      <w:bCs/>
    </w:rPr>
  </w:style>
  <w:style w:type="character" w:customStyle="1" w:styleId="TematkomentarzaZnak">
    <w:name w:val="Temat komentarza Znak"/>
    <w:basedOn w:val="TekstkomentarzaZnak"/>
    <w:link w:val="Tematkomentarza"/>
    <w:uiPriority w:val="99"/>
    <w:semiHidden/>
    <w:rsid w:val="004C73F7"/>
    <w:rPr>
      <w:rFonts w:eastAsiaTheme="minorEastAsia"/>
      <w:b/>
      <w:bCs/>
      <w:color w:val="1A1A1A" w:themeColor="background1" w:themeShade="1A"/>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www.esma.europa.eu/about-esma/data-protection"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sma.europa.e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esma.europa.eu"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04E56081EAF4E7B8B5685E411A8782B"/>
        <w:category>
          <w:name w:val="Generale"/>
          <w:gallery w:val="placeholder"/>
        </w:category>
        <w:types>
          <w:type w:val="bbPlcHdr"/>
        </w:types>
        <w:behaviors>
          <w:behavior w:val="content"/>
        </w:behaviors>
        <w:guid w:val="{DD045B0B-D1FE-446E-BA06-D8BF559BDDB7}"/>
      </w:docPartPr>
      <w:docPartBody>
        <w:p w:rsidR="007C3DFE" w:rsidRDefault="00970EB5" w:rsidP="00970EB5">
          <w:pPr>
            <w:pStyle w:val="E04E56081EAF4E7B8B5685E411A8782B"/>
          </w:pPr>
          <w:r w:rsidRPr="00DA1A90">
            <w:rPr>
              <w:rStyle w:val="Tekstzastpczy"/>
            </w:rPr>
            <w:t>Click or tap here to enter text.</w:t>
          </w:r>
        </w:p>
      </w:docPartBody>
    </w:docPart>
    <w:docPart>
      <w:docPartPr>
        <w:name w:val="6C401DC6062D466C9B57320121670AF5"/>
        <w:category>
          <w:name w:val="Generale"/>
          <w:gallery w:val="placeholder"/>
        </w:category>
        <w:types>
          <w:type w:val="bbPlcHdr"/>
        </w:types>
        <w:behaviors>
          <w:behavior w:val="content"/>
        </w:behaviors>
        <w:guid w:val="{892A9A4C-0083-4312-9F0B-44AEAD46BD29}"/>
      </w:docPartPr>
      <w:docPartBody>
        <w:p w:rsidR="007C3DFE" w:rsidRDefault="00970EB5" w:rsidP="00970EB5">
          <w:pPr>
            <w:pStyle w:val="6C401DC6062D466C9B57320121670AF5"/>
          </w:pPr>
          <w:r w:rsidRPr="00DA1A90">
            <w:rPr>
              <w:rStyle w:val="Tekstzastpczy"/>
            </w:rPr>
            <w:t>Click or tap here to enter text.</w:t>
          </w:r>
        </w:p>
      </w:docPartBody>
    </w:docPart>
    <w:docPart>
      <w:docPartPr>
        <w:name w:val="C924EA3CD6B64FC6A4F793C1F28093DF"/>
        <w:category>
          <w:name w:val="Generale"/>
          <w:gallery w:val="placeholder"/>
        </w:category>
        <w:types>
          <w:type w:val="bbPlcHdr"/>
        </w:types>
        <w:behaviors>
          <w:behavior w:val="content"/>
        </w:behaviors>
        <w:guid w:val="{6DB1CD50-A1FD-4B5E-A596-6F57C02DEFF1}"/>
      </w:docPartPr>
      <w:docPartBody>
        <w:p w:rsidR="007C3DFE" w:rsidRDefault="00970EB5" w:rsidP="00970EB5">
          <w:pPr>
            <w:pStyle w:val="C924EA3CD6B64FC6A4F793C1F28093DF"/>
          </w:pPr>
          <w:r w:rsidRPr="00DA1A90">
            <w:rPr>
              <w:rStyle w:val="Tekstzastpczy"/>
            </w:rPr>
            <w:t>Choose an item.</w:t>
          </w:r>
        </w:p>
      </w:docPartBody>
    </w:docPart>
    <w:docPart>
      <w:docPartPr>
        <w:name w:val="6C31375043D84F94BF00F6F2A4AADFE2"/>
        <w:category>
          <w:name w:val="Generale"/>
          <w:gallery w:val="placeholder"/>
        </w:category>
        <w:types>
          <w:type w:val="bbPlcHdr"/>
        </w:types>
        <w:behaviors>
          <w:behavior w:val="content"/>
        </w:behaviors>
        <w:guid w:val="{1CA57A73-4F1B-465D-9619-D018F4345B1D}"/>
      </w:docPartPr>
      <w:docPartBody>
        <w:p w:rsidR="007C3DFE" w:rsidRDefault="00970EB5" w:rsidP="00970EB5">
          <w:pPr>
            <w:pStyle w:val="6C31375043D84F94BF00F6F2A4AADFE2"/>
          </w:pPr>
          <w:r w:rsidRPr="00DA1A90">
            <w:rPr>
              <w:rStyle w:val="Tekstzastpczy"/>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EB5"/>
    <w:rsid w:val="0010098F"/>
    <w:rsid w:val="00157EC9"/>
    <w:rsid w:val="00375CE2"/>
    <w:rsid w:val="005000E4"/>
    <w:rsid w:val="00552126"/>
    <w:rsid w:val="00601ED9"/>
    <w:rsid w:val="00757FE1"/>
    <w:rsid w:val="007B1838"/>
    <w:rsid w:val="007C3DFE"/>
    <w:rsid w:val="008909C0"/>
    <w:rsid w:val="008F3686"/>
    <w:rsid w:val="00970EB5"/>
    <w:rsid w:val="00D3670E"/>
    <w:rsid w:val="00E450A8"/>
    <w:rsid w:val="00E967C9"/>
    <w:rsid w:val="00F07698"/>
    <w:rsid w:val="00F716CD"/>
    <w:rsid w:val="00FA7544"/>
  </w:rsids>
  <m:mathPr>
    <m:mathFont m:val="Cambria Math"/>
    <m:brkBin m:val="before"/>
    <m:brkBinSub m:val="--"/>
    <m:smallFrac m:val="0"/>
    <m:dispDef/>
    <m:lMargin m:val="0"/>
    <m:rMargin m:val="0"/>
    <m:defJc m:val="centerGroup"/>
    <m:wrapIndent m:val="1440"/>
    <m:intLim m:val="subSup"/>
    <m:naryLim m:val="undOvr"/>
  </m:mathPr>
  <w:themeFontLang w:val="it-IT"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970EB5"/>
    <w:rPr>
      <w:color w:val="808080"/>
    </w:rPr>
  </w:style>
  <w:style w:type="paragraph" w:customStyle="1" w:styleId="E04E56081EAF4E7B8B5685E411A8782B">
    <w:name w:val="E04E56081EAF4E7B8B5685E411A8782B"/>
    <w:rsid w:val="00970EB5"/>
  </w:style>
  <w:style w:type="paragraph" w:customStyle="1" w:styleId="6C401DC6062D466C9B57320121670AF5">
    <w:name w:val="6C401DC6062D466C9B57320121670AF5"/>
    <w:rsid w:val="00970EB5"/>
  </w:style>
  <w:style w:type="paragraph" w:customStyle="1" w:styleId="C924EA3CD6B64FC6A4F793C1F28093DF">
    <w:name w:val="C924EA3CD6B64FC6A4F793C1F28093DF"/>
    <w:rsid w:val="00970EB5"/>
  </w:style>
  <w:style w:type="paragraph" w:customStyle="1" w:styleId="6C31375043D84F94BF00F6F2A4AADFE2">
    <w:name w:val="6C31375043D84F94BF00F6F2A4AADFE2"/>
    <w:rsid w:val="00970E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1</Pages>
  <Words>1959</Words>
  <Characters>11760</Characters>
  <Application>Microsoft Office Word</Application>
  <DocSecurity>0</DocSecurity>
  <Lines>98</Lines>
  <Paragraphs>27</Paragraphs>
  <ScaleCrop>false</ScaleCrop>
  <HeadingPairs>
    <vt:vector size="6" baseType="variant">
      <vt:variant>
        <vt:lpstr>Tytuł</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Spatola</dc:creator>
  <cp:keywords/>
  <dc:description/>
  <cp:lastModifiedBy>Mirosław Kachniewski</cp:lastModifiedBy>
  <cp:revision>5</cp:revision>
  <cp:lastPrinted>2025-02-05T11:19:00Z</cp:lastPrinted>
  <dcterms:created xsi:type="dcterms:W3CDTF">2025-02-12T12:39:00Z</dcterms:created>
  <dcterms:modified xsi:type="dcterms:W3CDTF">2025-02-13T07:59:00Z</dcterms:modified>
</cp:coreProperties>
</file>