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01438AE1" w14:textId="2ED61AF3" w:rsidR="00563C1F" w:rsidRDefault="00EC6066" w:rsidP="00F72D28">
          <w:pPr>
            <w:pStyle w:val="Titel"/>
          </w:pPr>
          <w:r>
            <w:t xml:space="preserve">Reply </w:t>
          </w:r>
          <w:r w:rsidR="00DD03DC">
            <w:t>F</w:t>
          </w:r>
          <w:r>
            <w:t>orm</w:t>
          </w:r>
        </w:p>
        <w:p w14:paraId="031F2108" w14:textId="0BCCFFED" w:rsidR="007E7997" w:rsidRPr="00C01571" w:rsidRDefault="00D77369" w:rsidP="00D77369">
          <w:pPr>
            <w:pStyle w:val="Untertitel"/>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70CF0"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Draft technical advice concerning MAR and MiFID II SME GM</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4"/>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Untertitel"/>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enabsatz"/>
            <w:rPr>
              <w:lang w:val="en-GB"/>
            </w:rPr>
          </w:pPr>
          <w:r w:rsidRPr="00DB2FD6">
            <w:rPr>
              <w:lang w:val="en-GB"/>
            </w:rPr>
            <w:t>respond to the question stated;</w:t>
          </w:r>
        </w:p>
        <w:p w14:paraId="72FD40F6" w14:textId="77777777" w:rsidR="002533FC" w:rsidRPr="00DB2FD6" w:rsidRDefault="002533FC" w:rsidP="00EC6066">
          <w:pPr>
            <w:pStyle w:val="Listenabsatz"/>
            <w:rPr>
              <w:lang w:val="en-GB"/>
            </w:rPr>
          </w:pPr>
          <w:r w:rsidRPr="00DB2FD6">
            <w:rPr>
              <w:lang w:val="en-GB"/>
            </w:rPr>
            <w:t>indicate the specific question to which the comment relates;</w:t>
          </w:r>
        </w:p>
        <w:p w14:paraId="78B206B7" w14:textId="77777777" w:rsidR="002533FC" w:rsidRPr="00E13D25" w:rsidRDefault="002533FC" w:rsidP="00EC6066">
          <w:pPr>
            <w:pStyle w:val="Listenabsatz"/>
          </w:pPr>
          <w:r w:rsidRPr="00E13D25">
            <w:t>contain a clear rationale; and</w:t>
          </w:r>
        </w:p>
        <w:p w14:paraId="60B8834E" w14:textId="77777777" w:rsidR="002533FC" w:rsidRPr="00DB2FD6" w:rsidRDefault="002533FC" w:rsidP="00EC6066">
          <w:pPr>
            <w:pStyle w:val="Listenabsatz"/>
            <w:rPr>
              <w:lang w:val="en-GB"/>
            </w:rPr>
          </w:pPr>
          <w:r w:rsidRPr="00DB2FD6">
            <w:rPr>
              <w:lang w:val="en-GB"/>
            </w:rPr>
            <w:t>describe any alternatives ESMA should consider.</w:t>
          </w:r>
        </w:p>
        <w:p w14:paraId="219225AC" w14:textId="1C34C5A8" w:rsidR="002533FC" w:rsidRPr="005B6B12" w:rsidRDefault="002533FC" w:rsidP="002533FC">
          <w:r w:rsidRPr="005B6B12">
            <w:t xml:space="preserve">ESMA will consider all comments received by </w:t>
          </w:r>
          <w:r w:rsidR="009B1E21">
            <w:rPr>
              <w:b/>
              <w:bCs/>
              <w:color w:val="auto"/>
            </w:rPr>
            <w:t>13</w:t>
          </w:r>
          <w:r w:rsidR="4A420E9D" w:rsidRPr="1768F097">
            <w:rPr>
              <w:b/>
              <w:bCs/>
              <w:color w:val="auto"/>
            </w:rPr>
            <w:t xml:space="preserve"> </w:t>
          </w:r>
          <w:r w:rsidR="009B1E21">
            <w:rPr>
              <w:b/>
              <w:bCs/>
              <w:color w:val="auto"/>
            </w:rPr>
            <w:t>February</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5"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Untertitel"/>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603DCDF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9B1E21">
            <w:rPr>
              <w:bCs/>
            </w:rPr>
            <w:t>LATA</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65CBA027"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9B1E21">
            <w:rPr>
              <w:bCs/>
            </w:rPr>
            <w:t>LATA</w:t>
          </w:r>
          <w:r w:rsidRPr="00C5469A">
            <w:rPr>
              <w:bCs/>
            </w:rPr>
            <w:t xml:space="preserve">_nameofrespondent. </w:t>
          </w:r>
        </w:p>
        <w:p w14:paraId="210BE93A" w14:textId="32733E7C"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9B1E21">
            <w:rPr>
              <w:bCs/>
            </w:rPr>
            <w:t>LATA</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6" w:history="1">
            <w:r w:rsidRPr="005B6B12">
              <w:rPr>
                <w:rStyle w:val="Hyperlink"/>
              </w:rPr>
              <w:t>www.esma.europa.eu</w:t>
            </w:r>
          </w:hyperlink>
          <w:r w:rsidRPr="005B6B12">
            <w:t xml:space="preserve"> under the heading </w:t>
          </w:r>
          <w:r w:rsidRPr="00025A7F">
            <w:rPr>
              <w:rStyle w:val="Hyperlink"/>
            </w:rPr>
            <w:t>‘</w:t>
          </w:r>
          <w:hyperlink r:id="rId17"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berschrift1"/>
        <w:rPr>
          <w:lang w:val="fr-BE"/>
        </w:rPr>
      </w:pPr>
      <w:r>
        <w:rPr>
          <w:lang w:val="fr-BE"/>
        </w:rPr>
        <w:lastRenderedPageBreak/>
        <w:t xml:space="preserve">General information about </w:t>
      </w:r>
      <w:r w:rsidRPr="00501EF4">
        <w:t>respondent</w:t>
      </w:r>
    </w:p>
    <w:tbl>
      <w:tblPr>
        <w:tblStyle w:val="Tabellenraster"/>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541128AD" w:rsidR="00635BCA" w:rsidRPr="00557BD2" w:rsidRDefault="003712A4" w:rsidP="00D21C35">
                <w:r>
                  <w:t>Austrian Federal Economic Chamber, Division Bank and Insurance</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4F12BDD7" w:rsidR="00B17279" w:rsidRDefault="003712A4" w:rsidP="00B17279">
                <w:r>
                  <w:t>Industry Association/Federation</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1"/>
              <w14:checkedState w14:val="2612" w14:font="MS Gothic"/>
              <w14:uncheckedState w14:val="2610" w14:font="MS Gothic"/>
            </w14:checkbox>
          </w:sdtPr>
          <w:sdtContent>
            <w:permStart w:id="605104681" w:edGrp="everyone" w:displacedByCustomXml="prev"/>
            <w:tc>
              <w:tcPr>
                <w:tcW w:w="4531" w:type="dxa"/>
              </w:tcPr>
              <w:p w14:paraId="10359AFE" w14:textId="1BDF4A5C" w:rsidR="00B17279" w:rsidRDefault="003712A4" w:rsidP="00B17279">
                <w:r>
                  <w:rPr>
                    <w:rFonts w:ascii="MS Gothic" w:eastAsia="MS Gothic" w:hAnsi="MS Gothic" w:hint="eastAsia"/>
                  </w:rPr>
                  <w:t>☒</w:t>
                </w:r>
              </w:p>
            </w:tc>
            <w:permEnd w:id="605104681" w:displacedByCustomXml="next"/>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6ACED048" w:rsidR="00B17279" w:rsidRPr="00557BD2" w:rsidRDefault="003712A4" w:rsidP="00B17279">
                <w:r>
                  <w:t>Austria</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berschrift1"/>
        <w:rPr>
          <w:lang w:val="fr-BE"/>
        </w:rPr>
      </w:pPr>
      <w:r w:rsidRPr="00557BD2">
        <w:rPr>
          <w:lang w:val="fr-BE"/>
        </w:rPr>
        <w:t>Questions</w:t>
      </w:r>
    </w:p>
    <w:p w14:paraId="6C4AF3A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definition of protracted processes provided? </w:t>
      </w:r>
    </w:p>
    <w:p w14:paraId="1271C14F" w14:textId="77777777" w:rsidR="009B1E21" w:rsidRDefault="009B1E21" w:rsidP="009B1E21">
      <w:r>
        <w:t>&lt;ESMA_QUESTION_LATA_1&gt;</w:t>
      </w:r>
    </w:p>
    <w:p w14:paraId="20FC9EAF" w14:textId="513E37BC" w:rsidR="003712A4" w:rsidRDefault="003712A4" w:rsidP="009B1E21">
      <w:permStart w:id="627510576" w:edGrp="everyone"/>
      <w:r w:rsidRPr="008741D4">
        <w:t>The definition and the identified categories are clear</w:t>
      </w:r>
      <w:r w:rsidR="003C5681">
        <w:t>. N</w:t>
      </w:r>
      <w:r w:rsidRPr="008741D4">
        <w:t xml:space="preserve">onetheless partially overshooting the target [p. 18/48. Regarding the identification of the moment of disclosure for the protracted process, the Commission requested ESMA to “take into consideration the examples already included in recital (67) [of the Amending Regulation] with the view to applying the same approach also to other protracted processes”]. </w:t>
      </w:r>
      <w:proofErr w:type="gramStart"/>
      <w:r w:rsidRPr="008741D4">
        <w:t>In reality, some</w:t>
      </w:r>
      <w:proofErr w:type="gramEnd"/>
      <w:r w:rsidRPr="008741D4">
        <w:t xml:space="preserve"> of these examples may hardly qualify as relevant interim steps in the meaning of the MAR, as it is part of ordinary business responsibility to discuss for instance financial results, forecasts or even changes of management.</w:t>
      </w:r>
    </w:p>
    <w:permEnd w:id="627510576"/>
    <w:p w14:paraId="0D7538F4" w14:textId="3E1AB0C7" w:rsidR="009B1E21" w:rsidRDefault="009B1E21" w:rsidP="009B1E21">
      <w:r>
        <w:t>&lt;ESMA_QUESTION_LATA_1&gt;</w:t>
      </w:r>
    </w:p>
    <w:p w14:paraId="6516A674" w14:textId="77777777" w:rsidR="009B1E21" w:rsidRDefault="009B1E21" w:rsidP="009B1E21"/>
    <w:p w14:paraId="30FCAAB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identified categories of processes and general principles?</w:t>
      </w:r>
    </w:p>
    <w:p w14:paraId="682E5B57" w14:textId="77777777" w:rsidR="009B1E21" w:rsidRDefault="009B1E21" w:rsidP="009B1E21">
      <w:r>
        <w:t>&lt;ESMA_QUESTION_LATA_2&gt;</w:t>
      </w:r>
    </w:p>
    <w:p w14:paraId="5572F42B" w14:textId="2D392AE6" w:rsidR="009B1E21" w:rsidRDefault="003712A4" w:rsidP="009B1E21">
      <w:permStart w:id="55053902" w:edGrp="everyone"/>
      <w:r w:rsidRPr="008741D4">
        <w:t>The definition and the identified categories are clear</w:t>
      </w:r>
      <w:r w:rsidR="003C5681">
        <w:t>. N</w:t>
      </w:r>
      <w:r w:rsidRPr="008741D4">
        <w:t xml:space="preserve">onetheless partially overshooting the target [p. 18/48. Regarding the identification of the moment of disclosure for the protracted process, the Commission requested ESMA to “take into consideration the examples already included in recital (67) [of the Amending Regulation] with the view to applying the same </w:t>
      </w:r>
      <w:r w:rsidRPr="008741D4">
        <w:lastRenderedPageBreak/>
        <w:t xml:space="preserve">approach also to other protracted processes”]. </w:t>
      </w:r>
      <w:proofErr w:type="gramStart"/>
      <w:r w:rsidRPr="008741D4">
        <w:t>In reality, some</w:t>
      </w:r>
      <w:proofErr w:type="gramEnd"/>
      <w:r w:rsidRPr="008741D4">
        <w:t xml:space="preserve"> of these examples may hardly qualify as relevant interim steps in the meaning of the MAR, as it is part of ordinary business responsibility to discuss for instance financial results, forecasts or even changes of management.</w:t>
      </w:r>
    </w:p>
    <w:permEnd w:id="55053902"/>
    <w:p w14:paraId="360DEE1D" w14:textId="77777777" w:rsidR="009B1E21" w:rsidRDefault="009B1E21" w:rsidP="009B1E21">
      <w:r>
        <w:t>&lt;ESMA_QUESTION_LATA_2&gt;</w:t>
      </w:r>
    </w:p>
    <w:p w14:paraId="4F7495DE" w14:textId="77777777" w:rsidR="009B1E21" w:rsidRDefault="009B1E21" w:rsidP="009B1E21"/>
    <w:p w14:paraId="46A63C7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entirely internal to the issuer the moment of disclosure should be the moment when the corporate body having the decision power has taken the decision to commit to the outcome of the process?</w:t>
      </w:r>
    </w:p>
    <w:p w14:paraId="726B7541" w14:textId="77777777" w:rsidR="009B1E21" w:rsidRDefault="009B1E21" w:rsidP="009B1E21">
      <w:r>
        <w:t>&lt;ESMA_QUESTION_LATA_3&gt;</w:t>
      </w:r>
    </w:p>
    <w:p w14:paraId="3162A63F" w14:textId="3528BB70" w:rsidR="003712A4" w:rsidRDefault="003C5681" w:rsidP="003712A4">
      <w:pPr>
        <w:rPr>
          <w:lang w:val="en-US"/>
        </w:rPr>
      </w:pPr>
      <w:permStart w:id="783093244" w:edGrp="everyone"/>
      <w:r w:rsidRPr="003C5681">
        <w:t>Yes, we agree, provided that the resolution/approval of the supervisory board is defined as the final event.</w:t>
      </w:r>
      <w:r>
        <w:t xml:space="preserve"> </w:t>
      </w:r>
      <w:r w:rsidR="003712A4">
        <w:t>Any other event would</w:t>
      </w:r>
      <w:r w:rsidR="003712A4">
        <w:t xml:space="preserve"> (</w:t>
      </w:r>
      <w:proofErr w:type="spellStart"/>
      <w:r w:rsidR="003712A4">
        <w:t>i</w:t>
      </w:r>
      <w:proofErr w:type="spellEnd"/>
      <w:r w:rsidR="003712A4">
        <w:t xml:space="preserve">) </w:t>
      </w:r>
      <w:r w:rsidR="003712A4" w:rsidRPr="00AB1694">
        <w:rPr>
          <w:lang w:val="en-US"/>
        </w:rPr>
        <w:t xml:space="preserve">reduce the approval requirement </w:t>
      </w:r>
      <w:r w:rsidR="003712A4">
        <w:rPr>
          <w:lang w:val="en-US"/>
        </w:rPr>
        <w:t xml:space="preserve">of the supervisory board </w:t>
      </w:r>
      <w:r w:rsidR="003712A4" w:rsidRPr="00AB1694">
        <w:rPr>
          <w:lang w:val="en-US"/>
        </w:rPr>
        <w:t>to absurdity, and</w:t>
      </w:r>
      <w:r w:rsidR="003712A4">
        <w:rPr>
          <w:lang w:val="en-US"/>
        </w:rPr>
        <w:t xml:space="preserve"> </w:t>
      </w:r>
      <w:r w:rsidR="003712A4">
        <w:rPr>
          <w:lang w:val="en-US"/>
        </w:rPr>
        <w:t>(ii)</w:t>
      </w:r>
      <w:r w:rsidR="003712A4" w:rsidRPr="00AB1694">
        <w:rPr>
          <w:lang w:val="en-US"/>
        </w:rPr>
        <w:t xml:space="preserve"> it could also be misleading. </w:t>
      </w:r>
    </w:p>
    <w:p w14:paraId="1F7E2365" w14:textId="573DEC17" w:rsidR="009B1E21" w:rsidRPr="003712A4" w:rsidRDefault="003712A4" w:rsidP="009B1E21">
      <w:pPr>
        <w:rPr>
          <w:lang w:val="en-US"/>
        </w:rPr>
      </w:pPr>
      <w:r w:rsidRPr="00AB1694">
        <w:rPr>
          <w:lang w:val="en-US"/>
        </w:rPr>
        <w:t>Regarding AGM</w:t>
      </w:r>
      <w:r>
        <w:rPr>
          <w:lang w:val="en-US"/>
        </w:rPr>
        <w:t>:</w:t>
      </w:r>
      <w:r w:rsidRPr="00AB1694">
        <w:rPr>
          <w:lang w:val="en-US"/>
        </w:rPr>
        <w:t xml:space="preserve"> </w:t>
      </w:r>
      <w:r>
        <w:rPr>
          <w:lang w:val="en-US"/>
        </w:rPr>
        <w:t>W</w:t>
      </w:r>
      <w:r w:rsidRPr="00AB1694">
        <w:rPr>
          <w:lang w:val="en-US"/>
        </w:rPr>
        <w:t>hat is ESMA</w:t>
      </w:r>
      <w:r>
        <w:rPr>
          <w:lang w:val="en-US"/>
        </w:rPr>
        <w:t>’</w:t>
      </w:r>
      <w:r w:rsidRPr="00AB1694">
        <w:rPr>
          <w:lang w:val="en-US"/>
        </w:rPr>
        <w:t xml:space="preserve">s opinion </w:t>
      </w:r>
      <w:r>
        <w:rPr>
          <w:lang w:val="en-US"/>
        </w:rPr>
        <w:t>on how to make</w:t>
      </w:r>
      <w:r w:rsidRPr="00AB1694">
        <w:rPr>
          <w:lang w:val="en-US"/>
        </w:rPr>
        <w:t xml:space="preserve"> the AGM</w:t>
      </w:r>
      <w:r>
        <w:rPr>
          <w:lang w:val="en-US"/>
        </w:rPr>
        <w:t>’s</w:t>
      </w:r>
      <w:r w:rsidRPr="00AB1694">
        <w:rPr>
          <w:lang w:val="en-US"/>
        </w:rPr>
        <w:t xml:space="preserve"> </w:t>
      </w:r>
      <w:r>
        <w:rPr>
          <w:lang w:val="en-US"/>
        </w:rPr>
        <w:t>voting results publicly available?</w:t>
      </w:r>
      <w:r w:rsidRPr="00AB1694">
        <w:rPr>
          <w:lang w:val="en-US"/>
        </w:rPr>
        <w:t xml:space="preserve"> </w:t>
      </w:r>
      <w:r>
        <w:rPr>
          <w:lang w:val="en-US"/>
        </w:rPr>
        <w:t>Do voting results</w:t>
      </w:r>
      <w:r w:rsidRPr="00AB1694">
        <w:rPr>
          <w:lang w:val="en-US"/>
        </w:rPr>
        <w:t xml:space="preserve"> (approval or rejection) require a </w:t>
      </w:r>
      <w:r>
        <w:rPr>
          <w:lang w:val="en-US"/>
        </w:rPr>
        <w:t xml:space="preserve">separate </w:t>
      </w:r>
      <w:proofErr w:type="gramStart"/>
      <w:r w:rsidRPr="00AB1694">
        <w:rPr>
          <w:lang w:val="en-US"/>
        </w:rPr>
        <w:t>publication ?</w:t>
      </w:r>
      <w:proofErr w:type="gramEnd"/>
    </w:p>
    <w:permEnd w:id="783093244"/>
    <w:p w14:paraId="45209901" w14:textId="77777777" w:rsidR="009B1E21" w:rsidRDefault="009B1E21" w:rsidP="009B1E21">
      <w:r>
        <w:t>&lt;ESMA_QUESTION_LATA_3&gt;</w:t>
      </w:r>
    </w:p>
    <w:p w14:paraId="0E9AA7DD" w14:textId="77777777" w:rsidR="009B1E21" w:rsidRDefault="009B1E21" w:rsidP="009B1E21"/>
    <w:p w14:paraId="5E267D5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in presence of a governance structure that foresees the approval of another body further to the management body’s decision, the disclosure obligation should take place as soon as possible after the decision of the first body?</w:t>
      </w:r>
    </w:p>
    <w:p w14:paraId="05A4157B" w14:textId="77777777" w:rsidR="009B1E21" w:rsidRDefault="009B1E21" w:rsidP="009B1E21">
      <w:r>
        <w:t>&lt;ESMA_QUESTION_LATA_4&gt;</w:t>
      </w:r>
    </w:p>
    <w:p w14:paraId="1F6D3D79" w14:textId="77777777" w:rsidR="003712A4" w:rsidRDefault="003712A4" w:rsidP="003712A4">
      <w:permStart w:id="1801277174" w:edGrp="everyone"/>
      <w:r>
        <w:t xml:space="preserve">See Q3. </w:t>
      </w:r>
    </w:p>
    <w:p w14:paraId="3CDC0ACC" w14:textId="77777777" w:rsidR="003712A4" w:rsidRDefault="003712A4" w:rsidP="003712A4">
      <w:r w:rsidRPr="008741D4">
        <w:t>In a 2-tier system the supervisory board may take a decision that overrules the decision of the first body (the management board)</w:t>
      </w:r>
      <w:r>
        <w:t xml:space="preserve">. The binding legal event is the resolution/approval of the supervisory board. </w:t>
      </w:r>
    </w:p>
    <w:p w14:paraId="609704A8" w14:textId="4165C635" w:rsidR="003712A4" w:rsidRPr="008741D4" w:rsidRDefault="003712A4" w:rsidP="003712A4">
      <w:r>
        <w:t xml:space="preserve">In case of information made public after the decision of the first body, any adverse decision of the second body would </w:t>
      </w:r>
      <w:r w:rsidR="003C5681">
        <w:t>(</w:t>
      </w:r>
      <w:proofErr w:type="spellStart"/>
      <w:r w:rsidR="003C5681">
        <w:t>i</w:t>
      </w:r>
      <w:proofErr w:type="spellEnd"/>
      <w:r w:rsidR="003C5681">
        <w:t>)</w:t>
      </w:r>
      <w:r>
        <w:t xml:space="preserve"> (</w:t>
      </w:r>
      <w:r w:rsidRPr="008741D4">
        <w:t>potentially</w:t>
      </w:r>
      <w:r>
        <w:t>)</w:t>
      </w:r>
      <w:r w:rsidRPr="008741D4">
        <w:t xml:space="preserve"> harm the trust in the first body, </w:t>
      </w:r>
      <w:r>
        <w:t xml:space="preserve">and </w:t>
      </w:r>
      <w:r w:rsidR="003C5681">
        <w:t>(ii)</w:t>
      </w:r>
      <w:r>
        <w:t xml:space="preserve"> (</w:t>
      </w:r>
      <w:r w:rsidRPr="008741D4">
        <w:t>consequently</w:t>
      </w:r>
      <w:r>
        <w:t>)</w:t>
      </w:r>
      <w:r w:rsidRPr="008741D4">
        <w:t xml:space="preserve"> adversely impact prices of securities of the issuer. </w:t>
      </w:r>
    </w:p>
    <w:p w14:paraId="02D8C81C" w14:textId="53BDDA28" w:rsidR="009B1E21" w:rsidRDefault="003712A4" w:rsidP="009B1E21">
      <w:r>
        <w:lastRenderedPageBreak/>
        <w:t xml:space="preserve">In addition, any such publication after the decision of the first body (the management board) may be regarded as nullifying the responsibilities of the supervisory board. And, </w:t>
      </w:r>
      <w:proofErr w:type="gramStart"/>
      <w:r>
        <w:t>last but not least</w:t>
      </w:r>
      <w:proofErr w:type="gramEnd"/>
      <w:r>
        <w:t>, a publication prior to the resolution/approval of the supervisory board could influence the actual decision of the supervisory board).</w:t>
      </w:r>
    </w:p>
    <w:permEnd w:id="1801277174"/>
    <w:p w14:paraId="51818508" w14:textId="77777777" w:rsidR="009B1E21" w:rsidRDefault="009B1E21" w:rsidP="009B1E21">
      <w:r>
        <w:t>&lt;ESMA_QUESTION_LATA_4&gt;</w:t>
      </w:r>
    </w:p>
    <w:p w14:paraId="70D959D9" w14:textId="77777777" w:rsidR="009B1E21" w:rsidRDefault="009B1E21" w:rsidP="009B1E21"/>
    <w:p w14:paraId="5D58D7C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involving the issuer and another party different from a public authority, the moment of disclosure should be when the competent bodies/persons of all parties involved, having the decision power under national law or bylaws, have taken the decision to sign off to the agreement?</w:t>
      </w:r>
    </w:p>
    <w:p w14:paraId="345B20E6" w14:textId="77777777" w:rsidR="009B1E21" w:rsidRDefault="009B1E21" w:rsidP="009B1E21">
      <w:r>
        <w:t>&lt;ESMA_QUESTION_LATA_5&gt;</w:t>
      </w:r>
    </w:p>
    <w:p w14:paraId="2A500038" w14:textId="71FCA052" w:rsidR="003712A4" w:rsidRDefault="003712A4" w:rsidP="003712A4">
      <w:permStart w:id="613818377" w:edGrp="everyone"/>
      <w:r>
        <w:t>No</w:t>
      </w:r>
      <w:r w:rsidRPr="008741D4">
        <w:t xml:space="preserve">, </w:t>
      </w:r>
      <w:r w:rsidR="003C5681">
        <w:t xml:space="preserve">we </w:t>
      </w:r>
      <w:r>
        <w:t>dis</w:t>
      </w:r>
      <w:r w:rsidRPr="008741D4">
        <w:t>agree.</w:t>
      </w:r>
    </w:p>
    <w:p w14:paraId="2709DA18" w14:textId="6B479738" w:rsidR="009B1E21" w:rsidRDefault="003712A4" w:rsidP="009B1E21">
      <w:r>
        <w:t>The legally binding event is the actual agreement signed by the parties involved. It is correct that the resolution to sign such an agreement does usually lead to such a signing – but there is no guarantee that it’s going to happen.</w:t>
      </w:r>
    </w:p>
    <w:permEnd w:id="613818377"/>
    <w:p w14:paraId="40008995" w14:textId="77777777" w:rsidR="009B1E21" w:rsidRDefault="009B1E21" w:rsidP="009B1E21">
      <w:r>
        <w:t>&lt;ESMA_QUESTION_LATA_5&gt;</w:t>
      </w:r>
    </w:p>
    <w:p w14:paraId="6FAB022D" w14:textId="77777777" w:rsidR="009B1E21" w:rsidRDefault="009B1E21" w:rsidP="009B1E21"/>
    <w:p w14:paraId="0E7F6B84"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for protracted processes that are driven by a public authority with the involvement of the issuer, the moment of disclosure should be when the issuer has received the final decision from the public authority, even where the issuer and the public authority previously exchanged preliminary information that may on its own amount to inside information?</w:t>
      </w:r>
    </w:p>
    <w:p w14:paraId="494C6179" w14:textId="77777777" w:rsidR="009B1E21" w:rsidRDefault="009B1E21" w:rsidP="009B1E21">
      <w:r>
        <w:t>&lt;ESMA_QUESTION_LATA_6&gt;</w:t>
      </w:r>
    </w:p>
    <w:p w14:paraId="1244337B" w14:textId="69DFD0BD" w:rsidR="009B1E21" w:rsidRDefault="003712A4" w:rsidP="009B1E21">
      <w:permStart w:id="126633024" w:edGrp="everyone"/>
      <w:r w:rsidRPr="008741D4">
        <w:t xml:space="preserve">Yes, </w:t>
      </w:r>
      <w:r w:rsidR="003C5681">
        <w:t xml:space="preserve">we </w:t>
      </w:r>
      <w:r w:rsidRPr="008741D4">
        <w:t>agree.</w:t>
      </w:r>
    </w:p>
    <w:permEnd w:id="126633024"/>
    <w:p w14:paraId="5D77A4F6" w14:textId="77777777" w:rsidR="009B1E21" w:rsidRDefault="009B1E21" w:rsidP="009B1E21">
      <w:r>
        <w:t>&lt;ESMA_QUESTION_LATA_6&gt;</w:t>
      </w:r>
    </w:p>
    <w:p w14:paraId="520062CF" w14:textId="77777777" w:rsidR="009B1E21" w:rsidRDefault="009B1E21" w:rsidP="009B1E21"/>
    <w:p w14:paraId="73DB792F"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that for protracted processes that are triggered by the issuer and whose final outcome is decided by a public authority, two separate processes </w:t>
      </w:r>
      <w:r w:rsidRPr="008605FA">
        <w:lastRenderedPageBreak/>
        <w:t>should be identified, and the moment of disclosure should occur upon completion of each of them as above outlined?</w:t>
      </w:r>
    </w:p>
    <w:p w14:paraId="45C5060C" w14:textId="77777777" w:rsidR="009B1E21" w:rsidRDefault="009B1E21" w:rsidP="009B1E21">
      <w:r>
        <w:t>&lt;ESMA_QUESTION_LATA_7&gt;</w:t>
      </w:r>
    </w:p>
    <w:p w14:paraId="55BE9CBD" w14:textId="72B7BF5D" w:rsidR="003712A4" w:rsidRPr="008741D4" w:rsidRDefault="003712A4" w:rsidP="003712A4">
      <w:permStart w:id="1778661475" w:edGrp="everyone"/>
      <w:r w:rsidRPr="008741D4">
        <w:t xml:space="preserve">Yes, </w:t>
      </w:r>
      <w:r w:rsidR="003C5681">
        <w:t xml:space="preserve">we </w:t>
      </w:r>
      <w:r w:rsidRPr="008741D4">
        <w:t>agree.</w:t>
      </w:r>
    </w:p>
    <w:p w14:paraId="0C8FD61B" w14:textId="77777777" w:rsidR="003712A4" w:rsidRDefault="003712A4" w:rsidP="003712A4">
      <w:r w:rsidRPr="008741D4">
        <w:t xml:space="preserve">While a decision by the public authority that does not correspond to the announcement of the issuer is (probably) of significant nature and therefore </w:t>
      </w:r>
      <w:proofErr w:type="gramStart"/>
      <w:r w:rsidRPr="008741D4">
        <w:t>has to</w:t>
      </w:r>
      <w:proofErr w:type="gramEnd"/>
      <w:r w:rsidRPr="008741D4">
        <w:t xml:space="preserve"> be made publicly available as soon as possible, it may be argued that a decision of the public authority that is in line with the issuer’s announcement may not be considered inside information (</w:t>
      </w:r>
      <w:proofErr w:type="spellStart"/>
      <w:r w:rsidRPr="008741D4">
        <w:t>eg.</w:t>
      </w:r>
      <w:proofErr w:type="spellEnd"/>
      <w:r w:rsidRPr="008741D4">
        <w:t xml:space="preserve"> approval of patent registration).</w:t>
      </w:r>
    </w:p>
    <w:p w14:paraId="3285CB82" w14:textId="3DA67F51" w:rsidR="009B1E21" w:rsidRPr="003712A4" w:rsidRDefault="003712A4" w:rsidP="009B1E21">
      <w:pPr>
        <w:rPr>
          <w:lang w:val="en-US"/>
        </w:rPr>
      </w:pPr>
      <w:r>
        <w:rPr>
          <w:lang w:val="en-US"/>
        </w:rPr>
        <w:t>In addition,</w:t>
      </w:r>
      <w:r w:rsidRPr="00AB1694">
        <w:rPr>
          <w:lang w:val="en-US"/>
        </w:rPr>
        <w:t xml:space="preserve"> there is a different process described regarding credit institutions</w:t>
      </w:r>
      <w:r>
        <w:rPr>
          <w:lang w:val="en-US"/>
        </w:rPr>
        <w:t>,</w:t>
      </w:r>
      <w:r w:rsidRPr="00AB1694">
        <w:rPr>
          <w:lang w:val="en-US"/>
        </w:rPr>
        <w:t xml:space="preserve"> </w:t>
      </w:r>
      <w:proofErr w:type="spellStart"/>
      <w:r w:rsidRPr="00AB1694">
        <w:rPr>
          <w:lang w:val="en-US"/>
        </w:rPr>
        <w:t>e.g</w:t>
      </w:r>
      <w:proofErr w:type="spellEnd"/>
      <w:r w:rsidRPr="00AB1694">
        <w:rPr>
          <w:lang w:val="en-US"/>
        </w:rPr>
        <w:t xml:space="preserve"> when it comes to redemption, reduction, SREP</w:t>
      </w:r>
    </w:p>
    <w:permEnd w:id="1778661475"/>
    <w:p w14:paraId="51DD0933" w14:textId="77777777" w:rsidR="009B1E21" w:rsidRDefault="009B1E21" w:rsidP="009B1E21">
      <w:r>
        <w:t>&lt;ESMA_QUESTION_LATA_7&gt;</w:t>
      </w:r>
    </w:p>
    <w:p w14:paraId="27B6D49A" w14:textId="77777777" w:rsidR="009B1E21" w:rsidRDefault="009B1E21" w:rsidP="009B1E21"/>
    <w:p w14:paraId="2C06E11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a hostile takeover can be considered a one-off event? Do you agree with the moment for disclosure identified for takeover processes?</w:t>
      </w:r>
      <w:r w:rsidRPr="009B2F87">
        <w:t xml:space="preserve"> </w:t>
      </w:r>
    </w:p>
    <w:p w14:paraId="1EF57A89" w14:textId="77777777" w:rsidR="009B1E21" w:rsidRDefault="009B1E21" w:rsidP="009B1E21">
      <w:r>
        <w:t>&lt;ESMA_QUESTION_LATA_8&gt;</w:t>
      </w:r>
    </w:p>
    <w:p w14:paraId="0EBDE861" w14:textId="77777777" w:rsidR="003712A4" w:rsidRPr="008741D4" w:rsidRDefault="003712A4" w:rsidP="003712A4">
      <w:permStart w:id="265124465" w:edGrp="everyone"/>
      <w:r w:rsidRPr="008741D4">
        <w:t>Yes, hostile takeover shall be regarded as a one-off event (irrespective of the issuer being the bidder or the target).</w:t>
      </w:r>
    </w:p>
    <w:p w14:paraId="2BC6A7CD" w14:textId="77777777" w:rsidR="003C5681" w:rsidRDefault="003712A4" w:rsidP="009B1E21">
      <w:r w:rsidRPr="008741D4">
        <w:t xml:space="preserve">Moment for disclosure: friendly takeover, see above (relevant bodies of the parties involved agree). </w:t>
      </w:r>
    </w:p>
    <w:p w14:paraId="4A6A8B12" w14:textId="63957BF7" w:rsidR="009B1E21" w:rsidRDefault="003712A4" w:rsidP="009B1E21">
      <w:r w:rsidRPr="008741D4">
        <w:t xml:space="preserve">Hostile takeover: </w:t>
      </w:r>
      <w:r w:rsidR="003C5681">
        <w:t>(</w:t>
      </w:r>
      <w:proofErr w:type="spellStart"/>
      <w:r w:rsidR="003C5681">
        <w:t>i</w:t>
      </w:r>
      <w:proofErr w:type="spellEnd"/>
      <w:r w:rsidR="003C5681">
        <w:t>)</w:t>
      </w:r>
      <w:r w:rsidRPr="008741D4">
        <w:t xml:space="preserve">. issuer as bidder: announcement as soon as possible as the hostile take-over bid was sent to the target, </w:t>
      </w:r>
      <w:r w:rsidR="003C5681">
        <w:t>(</w:t>
      </w:r>
      <w:proofErr w:type="spellStart"/>
      <w:r w:rsidR="003C5681">
        <w:t>i</w:t>
      </w:r>
      <w:proofErr w:type="spellEnd"/>
      <w:r w:rsidR="003C5681">
        <w:t>)</w:t>
      </w:r>
      <w:r w:rsidRPr="008741D4">
        <w:t xml:space="preserve"> issuer as target: as soon as possible after receipt of the bid, confirming the bid and informing about the decision to recommend/not recommend accepting the bid. (Potential delay for decision on recommending/not recommending the bid?)</w:t>
      </w:r>
    </w:p>
    <w:permEnd w:id="265124465"/>
    <w:p w14:paraId="74661F4E" w14:textId="77777777" w:rsidR="009B1E21" w:rsidRDefault="009B1E21" w:rsidP="009B1E21">
      <w:r>
        <w:t>&lt;ESMA_QUESTION_LATA_8&gt;</w:t>
      </w:r>
    </w:p>
    <w:p w14:paraId="0CCBF783" w14:textId="77777777" w:rsidR="009B1E21" w:rsidRDefault="009B1E21" w:rsidP="009B1E21"/>
    <w:p w14:paraId="07E31FF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with the proposed approach in relation to financial reports, profit warnings, earning surprises and forecasts? In particular, do you agree that </w:t>
      </w:r>
      <w:r w:rsidRPr="008605FA">
        <w:lastRenderedPageBreak/>
        <w:t>profit warnings and earning surprises are to be considered as one-off events and as such should not be included in the list of protracted processes?</w:t>
      </w:r>
    </w:p>
    <w:p w14:paraId="2F4D926F" w14:textId="77777777" w:rsidR="009B1E21" w:rsidRDefault="009B1E21" w:rsidP="009B1E21">
      <w:r>
        <w:t>&lt;ESMA_QUESTION_LATA_9&gt;</w:t>
      </w:r>
    </w:p>
    <w:p w14:paraId="70C2DDE2" w14:textId="77777777" w:rsidR="003712A4" w:rsidRPr="008741D4" w:rsidRDefault="003712A4" w:rsidP="003712A4">
      <w:permStart w:id="941577706" w:edGrp="everyone"/>
      <w:r w:rsidRPr="008741D4">
        <w:t>See Q2. Producing financial reports (to some extent forecasts) are a special case of a protracted process and the identification of specific steps or moments that qualify for a final event may differ between jurisdictions, as explained in the ESMA guidelines. Deviations from expected/guided results and actual results may occur outside a reporting season.</w:t>
      </w:r>
    </w:p>
    <w:p w14:paraId="7EC70F06" w14:textId="77777777" w:rsidR="003712A4" w:rsidRPr="008741D4" w:rsidRDefault="003712A4" w:rsidP="003712A4">
      <w:r w:rsidRPr="008741D4">
        <w:t xml:space="preserve">Profit warnings or earnings surprises (including forecasts significantly deviating from what is known or expected) should rather be considered one-off events and not protracted processes. </w:t>
      </w:r>
    </w:p>
    <w:p w14:paraId="4DF7680B" w14:textId="747137EA" w:rsidR="009B1E21" w:rsidRDefault="003712A4" w:rsidP="009B1E21">
      <w:r w:rsidRPr="008741D4">
        <w:t>Consequently, these events should rather not be considered protracted processes.</w:t>
      </w:r>
    </w:p>
    <w:permEnd w:id="941577706"/>
    <w:p w14:paraId="275F3EEC" w14:textId="77777777" w:rsidR="009B1E21" w:rsidRDefault="009B1E21" w:rsidP="009B1E21">
      <w:r>
        <w:t>&lt;ESMA_QUESTION_LATA_9&gt;</w:t>
      </w:r>
    </w:p>
    <w:p w14:paraId="0BFD9DCF" w14:textId="77777777" w:rsidR="009B1E21" w:rsidRDefault="009B1E21" w:rsidP="009B1E21"/>
    <w:p w14:paraId="1B9BB8E9"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proposed approach in relation to recovery and resolution protracted process?</w:t>
      </w:r>
    </w:p>
    <w:p w14:paraId="40118AA7" w14:textId="77777777" w:rsidR="009B1E21" w:rsidRDefault="009B1E21" w:rsidP="009B1E21">
      <w:r>
        <w:t>&lt;ESMA_QUESTION_LATA_10&gt;</w:t>
      </w:r>
    </w:p>
    <w:p w14:paraId="5ED4230B" w14:textId="465926D0" w:rsidR="003712A4" w:rsidRPr="008741D4" w:rsidRDefault="003712A4" w:rsidP="003712A4">
      <w:permStart w:id="1460612003" w:edGrp="everyone"/>
      <w:r w:rsidRPr="008741D4">
        <w:t>No</w:t>
      </w:r>
      <w:r w:rsidR="003C5681">
        <w:t>, we disagree</w:t>
      </w:r>
      <w:r w:rsidRPr="008741D4">
        <w:t xml:space="preserve">. </w:t>
      </w:r>
    </w:p>
    <w:p w14:paraId="7C00F17F" w14:textId="148DCC90" w:rsidR="009B1E21" w:rsidRDefault="003712A4" w:rsidP="009B1E21">
      <w:r w:rsidRPr="008741D4">
        <w:t>It is unlikely that confidentiality of the notification of the resolution authority (Art. 83(2) BRRD) can be ensured. Insofar, even though within the resolution authority there is a protracted process, for issuers this may rather be defined as a one-off event, followed by another one-off event, the publication of the decision by the resolution authority (Art. 83(4) BRRD).</w:t>
      </w:r>
    </w:p>
    <w:permEnd w:id="1460612003"/>
    <w:p w14:paraId="4B3D8441" w14:textId="77777777" w:rsidR="009B1E21" w:rsidRDefault="009B1E21" w:rsidP="009B1E21">
      <w:r>
        <w:t>&lt;ESMA_QUESTION_LATA_10&gt;</w:t>
      </w:r>
    </w:p>
    <w:p w14:paraId="120799D7" w14:textId="77777777" w:rsidR="009B1E21" w:rsidRDefault="009B1E21" w:rsidP="009B1E21"/>
    <w:p w14:paraId="48A599F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consider the list of protracted processes sufficiently comprehensive? Do you agree with the proposed moment of disclosure? Would you add or remove any process?</w:t>
      </w:r>
    </w:p>
    <w:p w14:paraId="141119F6" w14:textId="77777777" w:rsidR="009B1E21" w:rsidRDefault="009B1E21" w:rsidP="009B1E21">
      <w:r>
        <w:t>&lt;ESMA_QUESTION_LATA_11&gt;</w:t>
      </w:r>
    </w:p>
    <w:p w14:paraId="1E3132EF" w14:textId="3F891E13" w:rsidR="003712A4" w:rsidRPr="00577D97" w:rsidRDefault="003C5681" w:rsidP="003712A4">
      <w:permStart w:id="159128183" w:edGrp="everyone"/>
      <w:r>
        <w:t xml:space="preserve">We do not </w:t>
      </w:r>
      <w:r w:rsidR="003712A4" w:rsidRPr="00577D97">
        <w:t>fully</w:t>
      </w:r>
      <w:r>
        <w:t xml:space="preserve"> agree</w:t>
      </w:r>
      <w:r w:rsidR="003712A4" w:rsidRPr="00577D97">
        <w:t>.</w:t>
      </w:r>
    </w:p>
    <w:p w14:paraId="607BCFB7" w14:textId="77777777" w:rsidR="003712A4" w:rsidRDefault="003712A4" w:rsidP="003712A4">
      <w:r w:rsidRPr="00577D97">
        <w:lastRenderedPageBreak/>
        <w:t xml:space="preserve">Considering the time of a formal decision process of the Prudential Competent Authority to reduce own funds (section F no. 29), it must be reviewed, even with the approval of the authority, whether market conditions are met at the time of the official approval and the legal prerequisites are given. </w:t>
      </w:r>
      <w:proofErr w:type="gramStart"/>
      <w:r w:rsidRPr="00577D97">
        <w:t>So</w:t>
      </w:r>
      <w:proofErr w:type="gramEnd"/>
      <w:r w:rsidRPr="00577D97">
        <w:t xml:space="preserve"> we see the final event in the final decision of the credit institution (board approval - tender economics), after receiving the approval </w:t>
      </w:r>
      <w:r>
        <w:t>to resolve the bank.</w:t>
      </w:r>
    </w:p>
    <w:p w14:paraId="5D2E8589" w14:textId="6F6AAFB1" w:rsidR="003712A4" w:rsidRDefault="003712A4" w:rsidP="003712A4">
      <w:proofErr w:type="gramStart"/>
      <w:r>
        <w:t>In light of</w:t>
      </w:r>
      <w:proofErr w:type="gramEnd"/>
      <w:r>
        <w:t xml:space="preserve"> the explanations provided (para 93 et seqq.) there still is uncertainty about the time of making the information publicly available. To avoid misunderstandings in the communication process, the Resolution Authority should order the issuer whether the public announcement of the information </w:t>
      </w:r>
      <w:proofErr w:type="gramStart"/>
      <w:r>
        <w:t>has to</w:t>
      </w:r>
      <w:proofErr w:type="gramEnd"/>
      <w:r>
        <w:t xml:space="preserve"> be delayed or whether it has to be made publicly available as soon as possible. </w:t>
      </w:r>
    </w:p>
    <w:p w14:paraId="6F1DBBCB" w14:textId="6AE303FF" w:rsidR="009B1E21" w:rsidRDefault="003712A4" w:rsidP="009B1E21">
      <w:r>
        <w:t xml:space="preserve">In </w:t>
      </w:r>
      <w:proofErr w:type="gramStart"/>
      <w:r>
        <w:t>addition</w:t>
      </w:r>
      <w:proofErr w:type="gramEnd"/>
      <w:r>
        <w:t xml:space="preserve"> under subchapter 4.2.1 paragraph 109, it is stated that the issuer can apply for delay of disclosure even after the final event, it is unclear how the issuer would be able to do that if it is to be published pursuant to Article 83 of the BRRD.</w:t>
      </w:r>
    </w:p>
    <w:permEnd w:id="159128183"/>
    <w:p w14:paraId="62BA5B3F" w14:textId="77777777" w:rsidR="009B1E21" w:rsidRDefault="009B1E21" w:rsidP="009B1E21">
      <w:r>
        <w:t>&lt;ESMA_QUESTION_LATA_11&gt;</w:t>
      </w:r>
    </w:p>
    <w:p w14:paraId="224B6D82" w14:textId="77777777" w:rsidR="009B1E21" w:rsidRDefault="009B1E21" w:rsidP="009B1E21"/>
    <w:p w14:paraId="42B4E41A"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inside information to be delayed may in some cases be assessed against more than one announcement, whenever a clear conclusion about the issuer’s position on the subject matter cannot be drawn exclusively on the basis of the very latest communication?</w:t>
      </w:r>
    </w:p>
    <w:p w14:paraId="309F850D" w14:textId="77777777" w:rsidR="009B1E21" w:rsidRDefault="009B1E21" w:rsidP="009B1E21">
      <w:r>
        <w:t>&lt;ESMA_QUESTION_LATA_12&gt;</w:t>
      </w:r>
    </w:p>
    <w:p w14:paraId="72C001C3" w14:textId="2CF6B91D" w:rsidR="009B1E21" w:rsidRDefault="003712A4" w:rsidP="009B1E21">
      <w:permStart w:id="421398651" w:edGrp="everyone"/>
      <w:r w:rsidRPr="008741D4">
        <w:t xml:space="preserve">Yes, </w:t>
      </w:r>
      <w:r w:rsidR="003C5681">
        <w:t xml:space="preserve">we </w:t>
      </w:r>
      <w:r w:rsidRPr="008741D4">
        <w:t>agree</w:t>
      </w:r>
      <w:r w:rsidR="003C5681">
        <w:t xml:space="preserve">, provided </w:t>
      </w:r>
      <w:r w:rsidRPr="008741D4">
        <w:t>that the latest communication is not sufficient to draw any clear position.</w:t>
      </w:r>
    </w:p>
    <w:permEnd w:id="421398651"/>
    <w:p w14:paraId="4B107EF7" w14:textId="77777777" w:rsidR="009B1E21" w:rsidRDefault="009B1E21" w:rsidP="009B1E21">
      <w:r>
        <w:t>&lt;ESMA_QUESTION_LATA_12&gt;</w:t>
      </w:r>
    </w:p>
    <w:p w14:paraId="52E39D93" w14:textId="77777777" w:rsidR="009B1E21" w:rsidRDefault="009B1E21" w:rsidP="009B1E21"/>
    <w:p w14:paraId="0120F410"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communications presented in Article 4 of the draft delegated act? Do you consider it sufficiently comprehensive, or do you deem that any other cases should be added?</w:t>
      </w:r>
    </w:p>
    <w:p w14:paraId="683FAD40" w14:textId="77777777" w:rsidR="009B1E21" w:rsidRDefault="009B1E21" w:rsidP="009B1E21">
      <w:r>
        <w:t>&lt;ESMA_QUESTION_LATA_13&gt;</w:t>
      </w:r>
    </w:p>
    <w:p w14:paraId="6DE66D3B" w14:textId="6B566A88" w:rsidR="009B1E21" w:rsidRDefault="003712A4" w:rsidP="009B1E21">
      <w:permStart w:id="2070238072" w:edGrp="everyone"/>
      <w:r w:rsidRPr="00C55461">
        <w:t>There is no Annex IV. (PDF contains Annexes I, II, V).</w:t>
      </w:r>
    </w:p>
    <w:permEnd w:id="2070238072"/>
    <w:p w14:paraId="3BF954D7" w14:textId="77777777" w:rsidR="009B1E21" w:rsidRDefault="009B1E21" w:rsidP="009B1E21">
      <w:r>
        <w:t>&lt;ESMA_QUESTION_LATA_13&gt;</w:t>
      </w:r>
    </w:p>
    <w:p w14:paraId="67387EDD" w14:textId="77777777" w:rsidR="009B1E21" w:rsidRDefault="009B1E21" w:rsidP="009B1E21"/>
    <w:p w14:paraId="7D67DE6A" w14:textId="77777777" w:rsidR="009B1E21" w:rsidRPr="008605FA"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list of situations where there is a contrast between the inside information to be delayed and the latest announcement or communication as presented by ESMA in [Annex II] of the proposed Delegated Act (Annex IV of this CP)? Do you consider it sufficiently comprehensive, or do you deem that any other situations should be added?</w:t>
      </w:r>
    </w:p>
    <w:p w14:paraId="14CC8B8F" w14:textId="77777777" w:rsidR="009B1E21" w:rsidRDefault="009B1E21" w:rsidP="009B1E21">
      <w:r>
        <w:t>&lt;ESMA_QUESTION_LATA_14&gt;</w:t>
      </w:r>
    </w:p>
    <w:p w14:paraId="54150213" w14:textId="4D85C464" w:rsidR="003712A4" w:rsidRDefault="003712A4" w:rsidP="003712A4">
      <w:permStart w:id="131739657" w:edGrp="everyone"/>
      <w:r>
        <w:t xml:space="preserve">The examples provided in Annex II are sufficient to draw conclusions and to assess whether there is a deviation between (potential) inside information and latest public announcements or other types of communication. </w:t>
      </w:r>
    </w:p>
    <w:p w14:paraId="0612BAF4" w14:textId="71A1B403" w:rsidR="009B1E21" w:rsidRDefault="003712A4" w:rsidP="009B1E21">
      <w:r>
        <w:t>What is the time frame for “previously announced by the issuer”? (1 month, 1 quarter, 1 year?)</w:t>
      </w:r>
    </w:p>
    <w:permEnd w:id="131739657"/>
    <w:p w14:paraId="179AD97E" w14:textId="77777777" w:rsidR="009B1E21" w:rsidRDefault="009B1E21" w:rsidP="009B1E21">
      <w:r>
        <w:t>&lt;ESMA_QUESTION_LATA_14&gt;</w:t>
      </w:r>
    </w:p>
    <w:p w14:paraId="2A9668C1" w14:textId="77777777" w:rsidR="009B1E21" w:rsidRDefault="009B1E21" w:rsidP="009B1E21"/>
    <w:p w14:paraId="673D6D82"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have any views on the methodology used to conduct the analysis?</w:t>
      </w:r>
    </w:p>
    <w:p w14:paraId="3A9EF350" w14:textId="77777777" w:rsidR="009B1E21" w:rsidRDefault="009B1E21" w:rsidP="009B1E21">
      <w:r>
        <w:t>&lt;ESMA_QUESTION_LATA_15&gt;</w:t>
      </w:r>
    </w:p>
    <w:p w14:paraId="7EE90ACB" w14:textId="77777777" w:rsidR="009B1E21" w:rsidRDefault="009B1E21" w:rsidP="009B1E21">
      <w:permStart w:id="224746622" w:edGrp="everyone"/>
      <w:r>
        <w:t>TYPE YOUR TEXT HERE</w:t>
      </w:r>
    </w:p>
    <w:permEnd w:id="224746622"/>
    <w:p w14:paraId="4D4FF991" w14:textId="77777777" w:rsidR="009B1E21" w:rsidRDefault="009B1E21" w:rsidP="009B1E21">
      <w:r>
        <w:t>&lt;ESMA_QUESTION_LATA_15&gt;</w:t>
      </w:r>
    </w:p>
    <w:p w14:paraId="10261834" w14:textId="77777777" w:rsidR="009B1E21" w:rsidRDefault="009B1E21" w:rsidP="009B1E21"/>
    <w:p w14:paraId="207B4548"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methodology of calculation in Article 78(1) of CDR 2017/565 to assess if the SME GM meets the 50% criterion is suitable? Please explain.</w:t>
      </w:r>
    </w:p>
    <w:p w14:paraId="341D8C16" w14:textId="77777777" w:rsidR="009B1E21" w:rsidRDefault="009B1E21" w:rsidP="009B1E21">
      <w:r>
        <w:t>&lt;ESMA_QUESTION_LATA_16&gt;</w:t>
      </w:r>
    </w:p>
    <w:p w14:paraId="6C93F2EB" w14:textId="77777777" w:rsidR="009B1E21" w:rsidRDefault="009B1E21" w:rsidP="009B1E21">
      <w:permStart w:id="1599806274" w:edGrp="everyone"/>
      <w:r>
        <w:t>TYPE YOUR TEXT HERE</w:t>
      </w:r>
    </w:p>
    <w:permEnd w:id="1599806274"/>
    <w:p w14:paraId="02DB13CA" w14:textId="77777777" w:rsidR="009B1E21" w:rsidRDefault="009B1E21" w:rsidP="009B1E21">
      <w:r>
        <w:t>&lt;ESMA_QUESTION_LATA_16&gt;</w:t>
      </w:r>
    </w:p>
    <w:p w14:paraId="2992EDF2" w14:textId="77777777" w:rsidR="009B1E21" w:rsidRDefault="009B1E21" w:rsidP="009B1E21"/>
    <w:p w14:paraId="04BF344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 xml:space="preserve">Do you agree that the requirements in Article 78(1) of CDR 2017/565 ensure that the refusal to be registered as an SME GM does not simply occur as a result of </w:t>
      </w:r>
      <w:r w:rsidRPr="008605FA">
        <w:lastRenderedPageBreak/>
        <w:t>a temporary failure to comply with the requirements specified in Article 33(3) of MiFID II? Please explain.</w:t>
      </w:r>
    </w:p>
    <w:p w14:paraId="3645970F" w14:textId="77777777" w:rsidR="009B1E21" w:rsidRDefault="009B1E21" w:rsidP="009B1E21">
      <w:r>
        <w:t>&lt;ESMA_QUESTION_LATA_17&gt;</w:t>
      </w:r>
    </w:p>
    <w:p w14:paraId="26C0D951" w14:textId="77777777" w:rsidR="009B1E21" w:rsidRDefault="009B1E21" w:rsidP="009B1E21">
      <w:permStart w:id="166685556" w:edGrp="everyone"/>
      <w:r>
        <w:t>TYPE YOUR TEXT HERE</w:t>
      </w:r>
    </w:p>
    <w:permEnd w:id="166685556"/>
    <w:p w14:paraId="4F5DBB1D" w14:textId="77777777" w:rsidR="009B1E21" w:rsidRDefault="009B1E21" w:rsidP="009B1E21">
      <w:r>
        <w:t>&lt;ESMA_QUESTION_LATA_17&gt;</w:t>
      </w:r>
    </w:p>
    <w:p w14:paraId="59E01456" w14:textId="77777777" w:rsidR="009B1E21" w:rsidRDefault="009B1E21" w:rsidP="009B1E21"/>
    <w:p w14:paraId="0479080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specify further the requirements in Articles 78(2)(a) and 78(2)(b) of CDR 2017/565? Please elaborate.</w:t>
      </w:r>
    </w:p>
    <w:p w14:paraId="3236A846" w14:textId="77777777" w:rsidR="009B1E21" w:rsidRDefault="009B1E21" w:rsidP="009B1E21">
      <w:r>
        <w:t>&lt;ESMA_QUESTION_LATA_18&gt;</w:t>
      </w:r>
    </w:p>
    <w:p w14:paraId="75E25F31" w14:textId="77777777" w:rsidR="009B1E21" w:rsidRDefault="009B1E21" w:rsidP="009B1E21">
      <w:permStart w:id="14434267" w:edGrp="everyone"/>
      <w:r>
        <w:t>TYPE YOUR TEXT HERE</w:t>
      </w:r>
    </w:p>
    <w:permEnd w:id="14434267"/>
    <w:p w14:paraId="086ACBDF" w14:textId="77777777" w:rsidR="009B1E21" w:rsidRDefault="009B1E21" w:rsidP="009B1E21">
      <w:r>
        <w:t>&lt;ESMA_QUESTION_LATA_18&gt;</w:t>
      </w:r>
    </w:p>
    <w:p w14:paraId="041BE13D" w14:textId="77777777" w:rsidR="009B1E21" w:rsidRDefault="009B1E21" w:rsidP="009B1E21"/>
    <w:p w14:paraId="3C9C8F9E" w14:textId="77777777" w:rsidR="009B1E21"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the requirements currently included in Articles 78(2)(c), (d) and (f) of CDR 2017/565? Please elaborate.</w:t>
      </w:r>
    </w:p>
    <w:p w14:paraId="5D3E6B8D" w14:textId="77777777" w:rsidR="009B1E21" w:rsidRDefault="009B1E21" w:rsidP="009B1E21">
      <w:r>
        <w:t>&lt;ESMA_QUESTION_LATA_19&gt;</w:t>
      </w:r>
    </w:p>
    <w:p w14:paraId="3EB0E12E" w14:textId="77777777" w:rsidR="009B1E21" w:rsidRDefault="009B1E21" w:rsidP="009B1E21">
      <w:permStart w:id="305603693" w:edGrp="everyone"/>
      <w:r>
        <w:t>TYPE YOUR TEXT HERE</w:t>
      </w:r>
    </w:p>
    <w:permEnd w:id="305603693"/>
    <w:p w14:paraId="22BB7D33" w14:textId="77777777" w:rsidR="009B1E21" w:rsidRDefault="009B1E21" w:rsidP="009B1E21">
      <w:r>
        <w:t>&lt;ESMA_QUESTION_LATA_19&gt;</w:t>
      </w:r>
    </w:p>
    <w:p w14:paraId="0DBEDF0D" w14:textId="77777777" w:rsidR="009B1E21" w:rsidRDefault="009B1E21" w:rsidP="009B1E21"/>
    <w:p w14:paraId="6E7FC12C"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to align the requirement in Article 78(2)(e) of CDR 2017/565 with those of the Growth Issuance Prospectus by requiring a statement on the working capital only for share issuances? Please elaborate.</w:t>
      </w:r>
      <w:r w:rsidRPr="009B2F87">
        <w:t xml:space="preserve"> </w:t>
      </w:r>
    </w:p>
    <w:p w14:paraId="3622B1D1" w14:textId="77777777" w:rsidR="009B1E21" w:rsidRDefault="009B1E21" w:rsidP="009B1E21">
      <w:r>
        <w:t>&lt;ESMA_QUESTION_LATA_20&gt;</w:t>
      </w:r>
    </w:p>
    <w:p w14:paraId="6C0C6A14" w14:textId="77777777" w:rsidR="009B1E21" w:rsidRDefault="009B1E21" w:rsidP="009B1E21">
      <w:permStart w:id="767061203" w:edGrp="everyone"/>
      <w:r>
        <w:t>TYPE YOUR TEXT HERE</w:t>
      </w:r>
    </w:p>
    <w:permEnd w:id="767061203"/>
    <w:p w14:paraId="334E6239" w14:textId="77777777" w:rsidR="009B1E21" w:rsidRDefault="009B1E21" w:rsidP="009B1E21">
      <w:r>
        <w:t>&lt;ESMA_QUESTION_LATA_20&gt;</w:t>
      </w:r>
    </w:p>
    <w:p w14:paraId="611B0058" w14:textId="77777777" w:rsidR="009B1E21" w:rsidRDefault="009B1E21" w:rsidP="009B1E21"/>
    <w:p w14:paraId="63E90F6D"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with the proposal to include in Article 78(2)(g) of CDR 2017/565 the requirement that the financial reports published by SME GM issuers should be subject to audits?</w:t>
      </w:r>
    </w:p>
    <w:p w14:paraId="7F01B22B" w14:textId="77777777" w:rsidR="009B1E21" w:rsidRDefault="009B1E21" w:rsidP="009B1E21">
      <w:r>
        <w:t>&lt;ESMA_QUESTION_LATA_21&gt;</w:t>
      </w:r>
    </w:p>
    <w:p w14:paraId="7F1D1933" w14:textId="77777777" w:rsidR="009B1E21" w:rsidRDefault="009B1E21" w:rsidP="009B1E21">
      <w:permStart w:id="366227586" w:edGrp="everyone"/>
      <w:r>
        <w:t>TYPE YOUR TEXT HERE</w:t>
      </w:r>
    </w:p>
    <w:permEnd w:id="366227586"/>
    <w:p w14:paraId="1A5CA3DA" w14:textId="77777777" w:rsidR="009B1E21" w:rsidRDefault="009B1E21" w:rsidP="009B1E21">
      <w:r>
        <w:t>&lt;ESMA_QUESTION_LATA_21&gt;</w:t>
      </w:r>
    </w:p>
    <w:p w14:paraId="6F06B271" w14:textId="77777777" w:rsidR="009B1E21" w:rsidRDefault="009B1E21" w:rsidP="009B1E21"/>
    <w:p w14:paraId="6EF8877E"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 not to modify Articles 78(2)(h) and (i) of CDR 2017/565? Please elaborate.</w:t>
      </w:r>
    </w:p>
    <w:p w14:paraId="4F72E316" w14:textId="77777777" w:rsidR="009B1E21" w:rsidRDefault="009B1E21" w:rsidP="009B1E21">
      <w:r>
        <w:t>&lt;ESMA_QUESTION_LATA_22&gt;</w:t>
      </w:r>
    </w:p>
    <w:p w14:paraId="057E95A4" w14:textId="77777777" w:rsidR="009B1E21" w:rsidRDefault="009B1E21" w:rsidP="009B1E21">
      <w:permStart w:id="548149613" w:edGrp="everyone"/>
      <w:r>
        <w:t>TYPE YOUR TEXT HERE</w:t>
      </w:r>
    </w:p>
    <w:permEnd w:id="548149613"/>
    <w:p w14:paraId="643F7577" w14:textId="77777777" w:rsidR="009B1E21" w:rsidRDefault="009B1E21" w:rsidP="009B1E21">
      <w:r>
        <w:t>&lt;ESMA_QUESTION_LATA_22&gt;</w:t>
      </w:r>
    </w:p>
    <w:p w14:paraId="718A3B9B" w14:textId="77777777" w:rsidR="009B1E21" w:rsidRDefault="009B1E21" w:rsidP="009B1E21"/>
    <w:p w14:paraId="5F1DA04B"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first and the second requirements under Article 33(3a) (a) and (b)? Please explain.</w:t>
      </w:r>
    </w:p>
    <w:p w14:paraId="0E9B482C" w14:textId="77777777" w:rsidR="009B1E21" w:rsidRDefault="009B1E21" w:rsidP="009B1E21">
      <w:r>
        <w:t>&lt;ESMA_QUESTION_LATA_23&gt;</w:t>
      </w:r>
    </w:p>
    <w:p w14:paraId="762C7B2D" w14:textId="77777777" w:rsidR="009B1E21" w:rsidRDefault="009B1E21" w:rsidP="009B1E21">
      <w:permStart w:id="474421293" w:edGrp="everyone"/>
      <w:r>
        <w:t>TYPE YOUR TEXT HERE</w:t>
      </w:r>
    </w:p>
    <w:permEnd w:id="474421293"/>
    <w:p w14:paraId="237E5A38" w14:textId="77777777" w:rsidR="009B1E21" w:rsidRDefault="009B1E21" w:rsidP="009B1E21">
      <w:r>
        <w:t>&lt;ESMA_QUESTION_LATA_23&gt;</w:t>
      </w:r>
    </w:p>
    <w:p w14:paraId="4157ED56" w14:textId="77777777" w:rsidR="009B1E21" w:rsidRDefault="009B1E21" w:rsidP="009B1E21"/>
    <w:p w14:paraId="6538D1A9"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with the proposals to meet the third requirement under Article 33(3a) (c)? Please explain.</w:t>
      </w:r>
    </w:p>
    <w:p w14:paraId="4FD01CEE" w14:textId="77777777" w:rsidR="009B1E21" w:rsidRDefault="009B1E21" w:rsidP="009B1E21">
      <w:r>
        <w:t>&lt;ESMA_QUESTION_LATA_24&gt;</w:t>
      </w:r>
    </w:p>
    <w:p w14:paraId="7DF2BCCF" w14:textId="77777777" w:rsidR="009B1E21" w:rsidRDefault="009B1E21" w:rsidP="009B1E21">
      <w:permStart w:id="2060877361" w:edGrp="everyone"/>
      <w:r>
        <w:t>TYPE YOUR TEXT HERE</w:t>
      </w:r>
    </w:p>
    <w:permEnd w:id="2060877361"/>
    <w:p w14:paraId="6442560C" w14:textId="77777777" w:rsidR="009B1E21" w:rsidRDefault="009B1E21" w:rsidP="009B1E21">
      <w:r>
        <w:t>&lt;ESMA_QUESTION_LATA_24&gt;</w:t>
      </w:r>
    </w:p>
    <w:p w14:paraId="5FEBE625" w14:textId="77777777" w:rsidR="009B1E21" w:rsidRDefault="009B1E21" w:rsidP="009B1E21"/>
    <w:p w14:paraId="77E906D5"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lastRenderedPageBreak/>
        <w:t>Do you agree that no specific amendments are required for Article 79? Please explain.</w:t>
      </w:r>
    </w:p>
    <w:p w14:paraId="41B82113" w14:textId="77777777" w:rsidR="009B1E21" w:rsidRDefault="009B1E21" w:rsidP="009B1E21">
      <w:r>
        <w:t>&lt;ESMA_QUESTION_LATA_25&gt;</w:t>
      </w:r>
    </w:p>
    <w:p w14:paraId="4FD9ADF1" w14:textId="77777777" w:rsidR="009B1E21" w:rsidRDefault="009B1E21" w:rsidP="009B1E21">
      <w:permStart w:id="1612399469" w:edGrp="everyone"/>
      <w:r>
        <w:t>TYPE YOUR TEXT HERE</w:t>
      </w:r>
    </w:p>
    <w:permEnd w:id="1612399469"/>
    <w:p w14:paraId="6CF2E0CC" w14:textId="77777777" w:rsidR="009B1E21" w:rsidRDefault="009B1E21" w:rsidP="009B1E21">
      <w:r>
        <w:t>&lt;ESMA_QUESTION_LATA_25&gt;</w:t>
      </w:r>
    </w:p>
    <w:p w14:paraId="3CA6E1AE" w14:textId="77777777" w:rsidR="009B1E21" w:rsidRDefault="009B1E21" w:rsidP="009B1E21"/>
    <w:p w14:paraId="692C9584" w14:textId="77777777" w:rsidR="009B1E21" w:rsidRPr="009B2F87" w:rsidRDefault="009B1E21" w:rsidP="009B1E21">
      <w:pPr>
        <w:pStyle w:val="Questionstyle"/>
        <w:numPr>
          <w:ilvl w:val="0"/>
          <w:numId w:val="16"/>
        </w:numPr>
        <w:tabs>
          <w:tab w:val="clear" w:pos="567"/>
        </w:tabs>
        <w:spacing w:after="240" w:line="259" w:lineRule="auto"/>
        <w:ind w:left="851" w:hanging="851"/>
        <w:contextualSpacing w:val="0"/>
      </w:pPr>
      <w:r w:rsidRPr="008605FA">
        <w:t>Do you agree that the requirements in Article 79 of CDR 2017/565 ensure that an SME GM is not deregistered due to a temporary failure to comply with the criteria an Article 33 of MiFID II?</w:t>
      </w:r>
    </w:p>
    <w:p w14:paraId="6E70E9D4" w14:textId="77777777" w:rsidR="009B1E21" w:rsidRDefault="009B1E21" w:rsidP="009B1E21">
      <w:r>
        <w:t>&lt;ESMA_QUESTION_LATA_26&gt;</w:t>
      </w:r>
    </w:p>
    <w:p w14:paraId="7CC75409" w14:textId="77777777" w:rsidR="009B1E21" w:rsidRDefault="009B1E21" w:rsidP="009B1E21">
      <w:permStart w:id="434780100" w:edGrp="everyone"/>
      <w:r>
        <w:t>TYPE YOUR TEXT HERE</w:t>
      </w:r>
    </w:p>
    <w:permEnd w:id="434780100"/>
    <w:p w14:paraId="05EFDE60" w14:textId="77777777" w:rsidR="009B1E21" w:rsidRDefault="009B1E21" w:rsidP="009B1E21">
      <w:r>
        <w:t>&lt;ESMA_QUESTION_LATA_26&gt;</w:t>
      </w:r>
    </w:p>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8"/>
      <w:footerReference w:type="default" r:id="rId19"/>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7AEB8" w14:textId="77777777" w:rsidR="005832B8" w:rsidRDefault="005832B8" w:rsidP="007E7997">
      <w:pPr>
        <w:spacing w:line="240" w:lineRule="auto"/>
      </w:pPr>
      <w:r>
        <w:separator/>
      </w:r>
    </w:p>
  </w:endnote>
  <w:endnote w:type="continuationSeparator" w:id="0">
    <w:p w14:paraId="52D93709" w14:textId="77777777" w:rsidR="005832B8" w:rsidRDefault="005832B8" w:rsidP="007E7997">
      <w:pPr>
        <w:spacing w:line="240" w:lineRule="auto"/>
      </w:pPr>
      <w:r>
        <w:continuationSeparator/>
      </w:r>
    </w:p>
  </w:endnote>
  <w:endnote w:type="continuationNotice" w:id="1">
    <w:p w14:paraId="7FEF82F3" w14:textId="77777777" w:rsidR="005832B8" w:rsidRDefault="005832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uzeile"/>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23A7C" w14:textId="77777777" w:rsidR="005832B8" w:rsidRDefault="005832B8" w:rsidP="007E7997">
      <w:pPr>
        <w:spacing w:line="240" w:lineRule="auto"/>
      </w:pPr>
      <w:r>
        <w:separator/>
      </w:r>
    </w:p>
  </w:footnote>
  <w:footnote w:type="continuationSeparator" w:id="0">
    <w:p w14:paraId="3EB0AA3E" w14:textId="77777777" w:rsidR="005832B8" w:rsidRDefault="005832B8" w:rsidP="007E7997">
      <w:pPr>
        <w:spacing w:line="240" w:lineRule="auto"/>
      </w:pPr>
      <w:r>
        <w:continuationSeparator/>
      </w:r>
    </w:p>
  </w:footnote>
  <w:footnote w:type="continuationNotice" w:id="1">
    <w:p w14:paraId="35AD06DE" w14:textId="77777777" w:rsidR="005832B8" w:rsidRDefault="005832B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42034" w14:textId="26B760F4" w:rsidR="00D77369" w:rsidRPr="00DB2FD6" w:rsidRDefault="00D77369" w:rsidP="008858FE">
    <w:pPr>
      <w:pStyle w:val="Kopfzeile"/>
      <w:rPr>
        <w:bCs/>
        <w:caps/>
        <w:color w:val="FF0000" w:themeColor="accent6"/>
        <w:sz w:val="22"/>
        <w:highlight w:val="yellow"/>
      </w:rPr>
    </w:pPr>
    <w:r w:rsidRPr="00306F0E">
      <w:rPr>
        <w:rStyle w:val="ESMAConfidentialRestricted"/>
        <w:noProof/>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9B1E21">
      <w:t>12</w:t>
    </w:r>
    <w:r w:rsidR="00306F0E">
      <w:t xml:space="preserve"> </w:t>
    </w:r>
    <w:r w:rsidR="009B1E21">
      <w:t>December</w:t>
    </w:r>
    <w:r w:rsidR="00EB238F" w:rsidRPr="002E135A">
      <w:t xml:space="preserve"> </w:t>
    </w:r>
    <w:r w:rsidR="002E135A" w:rsidRPr="002E135A">
      <w:t>2024</w:t>
    </w:r>
  </w:p>
  <w:p w14:paraId="48F2413B" w14:textId="61098375" w:rsidR="004E5FF8" w:rsidRDefault="00FE1EEE" w:rsidP="00C47686">
    <w:pPr>
      <w:jc w:val="right"/>
    </w:pPr>
    <w:r w:rsidRPr="00FE1EEE">
      <w:rPr>
        <w:color w:val="001B4F" w:themeColor="text1" w:themeShade="80"/>
        <w:sz w:val="16"/>
      </w:rPr>
      <w:t>ESMA74-1103241886-1094</w:t>
    </w:r>
  </w:p>
  <w:p w14:paraId="10BD5565" w14:textId="77777777" w:rsidR="008858FE" w:rsidRDefault="008858FE" w:rsidP="004E5F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4B74" w14:textId="7D6DC2CF" w:rsidR="00AD0B10" w:rsidRDefault="00AD0B10" w:rsidP="00AD0B10">
    <w:pPr>
      <w:pStyle w:val="Kopfzeile"/>
    </w:pPr>
  </w:p>
  <w:p w14:paraId="76D78551" w14:textId="45227A06" w:rsidR="00AD0B10" w:rsidRDefault="00AD0B10" w:rsidP="00AD0B10">
    <w:pPr>
      <w:pStyle w:val="Kopfzeile"/>
    </w:pPr>
  </w:p>
  <w:p w14:paraId="56B00CEC" w14:textId="77777777" w:rsidR="00AD0B10" w:rsidRPr="0043139E" w:rsidRDefault="00AD0B10" w:rsidP="00AD0B10">
    <w:pPr>
      <w:pStyle w:val="Kopfzeile"/>
    </w:pPr>
  </w:p>
  <w:p w14:paraId="68227DE6" w14:textId="77777777" w:rsidR="00AD0B10" w:rsidRPr="0043139E" w:rsidRDefault="00AD0B10" w:rsidP="00AD0B10">
    <w:pPr>
      <w:pStyle w:val="Kopfzeile"/>
    </w:pPr>
  </w:p>
  <w:p w14:paraId="0E44DBD1" w14:textId="77777777" w:rsidR="00AD0B10" w:rsidRPr="0043139E" w:rsidRDefault="00AD0B10" w:rsidP="00AD0B10">
    <w:pPr>
      <w:pStyle w:val="Kopfzeile"/>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Kopfzeile"/>
    </w:pPr>
  </w:p>
  <w:p w14:paraId="706EF268" w14:textId="77777777" w:rsidR="00AD0B10" w:rsidRPr="0043139E" w:rsidRDefault="00AD0B10" w:rsidP="00AD0B10">
    <w:pPr>
      <w:pStyle w:val="Kopfzeile"/>
    </w:pPr>
  </w:p>
  <w:p w14:paraId="6B568202" w14:textId="77777777" w:rsidR="00AD0B10" w:rsidRPr="0043139E" w:rsidRDefault="00AD0B10" w:rsidP="00AD0B10">
    <w:pPr>
      <w:pStyle w:val="Kopfzeile"/>
    </w:pPr>
  </w:p>
  <w:p w14:paraId="70C66BCD" w14:textId="77777777" w:rsidR="00AD0B10" w:rsidRPr="0043139E" w:rsidRDefault="00AD0B10" w:rsidP="00AD0B10">
    <w:pPr>
      <w:pStyle w:val="Kopfzeile"/>
    </w:pPr>
  </w:p>
  <w:p w14:paraId="07229907" w14:textId="77777777" w:rsidR="00AD0B10" w:rsidRPr="0043139E" w:rsidRDefault="00AD0B10" w:rsidP="00AD0B10">
    <w:pPr>
      <w:pStyle w:val="Kopfzeile"/>
    </w:pPr>
  </w:p>
  <w:p w14:paraId="55555744" w14:textId="77777777" w:rsidR="00AD0B10" w:rsidRPr="0043139E" w:rsidRDefault="00AD0B10" w:rsidP="00AD0B10">
    <w:pPr>
      <w:pStyle w:val="Kopfzeile"/>
    </w:pPr>
  </w:p>
  <w:p w14:paraId="4601AE9C" w14:textId="77777777" w:rsidR="00AD0B10" w:rsidRDefault="00AD0B10" w:rsidP="00AD0B10">
    <w:pPr>
      <w:pStyle w:val="Kopfzeile"/>
    </w:pPr>
  </w:p>
  <w:p w14:paraId="49946785" w14:textId="77777777" w:rsidR="00AD0B10" w:rsidRPr="0043139E" w:rsidRDefault="00AD0B10" w:rsidP="00AD0B10">
    <w:pPr>
      <w:pStyle w:val="Kopfzeile"/>
    </w:pPr>
  </w:p>
  <w:p w14:paraId="72BAD19F" w14:textId="77777777" w:rsidR="008858FE" w:rsidRPr="00AD0B10" w:rsidRDefault="008858FE" w:rsidP="00AD0B10">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enabsatz"/>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BAD1101"/>
    <w:multiLevelType w:val="multilevel"/>
    <w:tmpl w:val="647663A2"/>
    <w:lvl w:ilvl="0">
      <w:start w:val="1"/>
      <w:numFmt w:val="decimal"/>
      <w:pStyle w:val="berschrift1"/>
      <w:lvlText w:val="%1"/>
      <w:lvlJc w:val="left"/>
      <w:pPr>
        <w:ind w:left="4686" w:hanging="432"/>
      </w:pPr>
    </w:lvl>
    <w:lvl w:ilvl="1">
      <w:start w:val="1"/>
      <w:numFmt w:val="decimal"/>
      <w:pStyle w:val="berschrift2"/>
      <w:lvlText w:val="%1.%2"/>
      <w:lvlJc w:val="left"/>
      <w:pPr>
        <w:ind w:left="8230"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2"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71421525">
    <w:abstractNumId w:val="11"/>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2"/>
  </w:num>
  <w:num w:numId="8" w16cid:durableId="806780153">
    <w:abstractNumId w:val="2"/>
  </w:num>
  <w:num w:numId="9" w16cid:durableId="1677002603">
    <w:abstractNumId w:val="10"/>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S+cRfWmmhDFzZuQSr+F1yYKtrrkDYH3frg/nAtH85GTKPjdPLC0mMUB5a2n3icLyTTH+B7RvNrSe0i8imRgOAw==" w:salt="eVOWG2ihBKrp8KVEFnbzkg=="/>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1C0"/>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1E7"/>
    <w:rsid w:val="003665C3"/>
    <w:rsid w:val="0036689B"/>
    <w:rsid w:val="00366D42"/>
    <w:rsid w:val="00367160"/>
    <w:rsid w:val="0036753F"/>
    <w:rsid w:val="003700CA"/>
    <w:rsid w:val="0037015B"/>
    <w:rsid w:val="0037020E"/>
    <w:rsid w:val="00370671"/>
    <w:rsid w:val="00370DC9"/>
    <w:rsid w:val="003712A4"/>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3001"/>
    <w:rsid w:val="003C35E6"/>
    <w:rsid w:val="003C397B"/>
    <w:rsid w:val="003C43CD"/>
    <w:rsid w:val="003C484E"/>
    <w:rsid w:val="003C4EB5"/>
    <w:rsid w:val="003C5050"/>
    <w:rsid w:val="003C50CE"/>
    <w:rsid w:val="003C522D"/>
    <w:rsid w:val="003C5288"/>
    <w:rsid w:val="003C537A"/>
    <w:rsid w:val="003C5681"/>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32B8"/>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F2C"/>
    <w:rsid w:val="00734F43"/>
    <w:rsid w:val="00735382"/>
    <w:rsid w:val="00735451"/>
    <w:rsid w:val="007354B6"/>
    <w:rsid w:val="00735657"/>
    <w:rsid w:val="00735C87"/>
    <w:rsid w:val="00740229"/>
    <w:rsid w:val="00740996"/>
    <w:rsid w:val="00740CE4"/>
    <w:rsid w:val="00740FDB"/>
    <w:rsid w:val="00741324"/>
    <w:rsid w:val="00741677"/>
    <w:rsid w:val="0074205D"/>
    <w:rsid w:val="00742608"/>
    <w:rsid w:val="00742962"/>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ACD"/>
    <w:rsid w:val="00772BA7"/>
    <w:rsid w:val="00772EDB"/>
    <w:rsid w:val="00773003"/>
    <w:rsid w:val="00773718"/>
    <w:rsid w:val="007739B5"/>
    <w:rsid w:val="00773B45"/>
    <w:rsid w:val="00773BAA"/>
    <w:rsid w:val="00773D9D"/>
    <w:rsid w:val="0077428B"/>
    <w:rsid w:val="007746D7"/>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3FA"/>
    <w:rsid w:val="00867707"/>
    <w:rsid w:val="00867794"/>
    <w:rsid w:val="00867919"/>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0982"/>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5A09"/>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65F"/>
    <w:rsid w:val="00F96973"/>
    <w:rsid w:val="00F96A6B"/>
    <w:rsid w:val="00F96ACC"/>
    <w:rsid w:val="00F96D9D"/>
    <w:rsid w:val="00F97465"/>
    <w:rsid w:val="00F974E5"/>
    <w:rsid w:val="00F97A98"/>
    <w:rsid w:val="00FA00DB"/>
    <w:rsid w:val="00FA02FB"/>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778"/>
    <w:rsid w:val="00FC3993"/>
    <w:rsid w:val="00FC4ACE"/>
    <w:rsid w:val="00FC505B"/>
    <w:rsid w:val="00FC52E5"/>
    <w:rsid w:val="00FC574B"/>
    <w:rsid w:val="00FC5986"/>
    <w:rsid w:val="00FC5A30"/>
    <w:rsid w:val="00FC5E51"/>
    <w:rsid w:val="00FC6043"/>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EE9D8DD-E2CB-41C5-AEBE-4F75CD0B8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B2FD6"/>
    <w:pPr>
      <w:spacing w:after="250" w:line="276" w:lineRule="auto"/>
      <w:jc w:val="both"/>
    </w:pPr>
    <w:rPr>
      <w:color w:val="181818" w:themeColor="background1" w:themeShade="1A"/>
      <w:sz w:val="22"/>
      <w:lang w:val="en-GB"/>
    </w:rPr>
  </w:style>
  <w:style w:type="paragraph" w:styleId="berschrift1">
    <w:name w:val="heading 1"/>
    <w:basedOn w:val="Standard"/>
    <w:next w:val="Standard"/>
    <w:link w:val="berschrift1Zchn"/>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berschrift2">
    <w:name w:val="heading 2"/>
    <w:basedOn w:val="Standard"/>
    <w:next w:val="Standard"/>
    <w:link w:val="berschrift2Zchn"/>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berschrift3">
    <w:name w:val="heading 3"/>
    <w:basedOn w:val="Standard"/>
    <w:next w:val="Standard"/>
    <w:link w:val="berschrift3Zchn"/>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berschrift4">
    <w:name w:val="heading 4"/>
    <w:basedOn w:val="Standard"/>
    <w:next w:val="Standard"/>
    <w:link w:val="berschrift4Zchn"/>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berschrift7">
    <w:name w:val="heading 7"/>
    <w:basedOn w:val="Standard"/>
    <w:next w:val="Standard"/>
    <w:link w:val="berschrift7Zchn"/>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berschrift8">
    <w:name w:val="heading 8"/>
    <w:basedOn w:val="Standard"/>
    <w:next w:val="Standard"/>
    <w:link w:val="berschrift8Zchn"/>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berschrift9">
    <w:name w:val="heading 9"/>
    <w:basedOn w:val="Standard"/>
    <w:next w:val="Standard"/>
    <w:link w:val="berschrift9Zchn"/>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berschrift3Zchn">
    <w:name w:val="Überschrift 3 Zchn"/>
    <w:basedOn w:val="Absatz-Standardschriftart"/>
    <w:link w:val="berschrift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berschrift1Zchn">
    <w:name w:val="Überschrift 1 Zchn"/>
    <w:basedOn w:val="Absatz-Standardschriftart"/>
    <w:link w:val="berschrift1"/>
    <w:uiPriority w:val="9"/>
    <w:rsid w:val="0082744A"/>
    <w:rPr>
      <w:rFonts w:asciiTheme="majorHAnsi" w:eastAsiaTheme="majorEastAsia" w:hAnsiTheme="majorHAnsi" w:cstheme="majorBidi"/>
      <w:b/>
      <w:color w:val="00379F" w:themeColor="text1"/>
      <w:sz w:val="32"/>
      <w:szCs w:val="32"/>
      <w:lang w:val="en-GB"/>
    </w:rPr>
  </w:style>
  <w:style w:type="character" w:customStyle="1" w:styleId="berschrift2Zchn">
    <w:name w:val="Überschrift 2 Zchn"/>
    <w:basedOn w:val="Absatz-Standardschriftart"/>
    <w:link w:val="berschrift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qFormat/>
    <w:rsid w:val="00F205B9"/>
    <w:pPr>
      <w:numPr>
        <w:numId w:val="0"/>
      </w:numPr>
      <w:ind w:left="792" w:hanging="432"/>
    </w:pPr>
    <w:rPr>
      <w:b/>
      <w:color w:val="00379F" w:themeColor="text1"/>
      <w:sz w:val="28"/>
    </w:rPr>
  </w:style>
  <w:style w:type="character" w:customStyle="1" w:styleId="Title1Char">
    <w:name w:val="Title 1 Char"/>
    <w:basedOn w:val="Absatz-Standardschriftart"/>
    <w:link w:val="Title1"/>
    <w:rsid w:val="00F205B9"/>
    <w:rPr>
      <w:rFonts w:asciiTheme="majorHAnsi" w:hAnsiTheme="majorHAnsi" w:cstheme="majorHAnsi"/>
      <w:b/>
      <w:color w:val="00379F" w:themeColor="text1"/>
      <w:sz w:val="28"/>
      <w:szCs w:val="22"/>
      <w:lang w:val="pt-PT"/>
    </w:rPr>
  </w:style>
  <w:style w:type="paragraph" w:styleId="Listenabsatz">
    <w:name w:val="List Paragraph"/>
    <w:aliases w:val="Paragraphe EI,Paragraphe de liste1,EC"/>
    <w:basedOn w:val="Standard"/>
    <w:link w:val="ListenabsatzZchn"/>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enabsatz"/>
    <w:link w:val="Title3Char"/>
    <w:autoRedefine/>
    <w:rsid w:val="00F205B9"/>
    <w:pPr>
      <w:numPr>
        <w:ilvl w:val="3"/>
        <w:numId w:val="4"/>
      </w:numPr>
    </w:pPr>
  </w:style>
  <w:style w:type="character" w:customStyle="1" w:styleId="Title3Char">
    <w:name w:val="Title 3 Char"/>
    <w:basedOn w:val="Absatz-Standardschriftar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Standard"/>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Absatz-Standardschriftart"/>
    <w:link w:val="DocumentTitle"/>
    <w:rsid w:val="00563C1F"/>
    <w:rPr>
      <w:rFonts w:asciiTheme="majorHAnsi" w:hAnsiTheme="majorHAnsi"/>
      <w:b/>
      <w:color w:val="2D4190"/>
      <w:sz w:val="48"/>
      <w:lang w:val="en-GB"/>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color w:val="181818" w:themeColor="background1" w:themeShade="1A"/>
      <w:sz w:val="22"/>
      <w:szCs w:val="22"/>
      <w:lang w:val="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spacing w:after="0"/>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el">
    <w:name w:val="Title"/>
    <w:basedOn w:val="Standard"/>
    <w:next w:val="Standard"/>
    <w:link w:val="TitelZchn"/>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elZchn">
    <w:name w:val="Titel Zchn"/>
    <w:basedOn w:val="Absatz-Standardschriftart"/>
    <w:link w:val="Titel"/>
    <w:uiPriority w:val="10"/>
    <w:rsid w:val="00516CBA"/>
    <w:rPr>
      <w:rFonts w:asciiTheme="majorHAnsi" w:eastAsiaTheme="majorEastAsia" w:hAnsiTheme="majorHAnsi" w:cstheme="majorBidi"/>
      <w:b/>
      <w:color w:val="00379F" w:themeColor="text1"/>
      <w:spacing w:val="-10"/>
      <w:sz w:val="56"/>
      <w:szCs w:val="56"/>
      <w:lang w:val="en-GB"/>
    </w:rPr>
  </w:style>
  <w:style w:type="paragraph" w:styleId="Untertitel">
    <w:name w:val="Subtitle"/>
    <w:basedOn w:val="Standard"/>
    <w:next w:val="Standard"/>
    <w:link w:val="UntertitelZchn"/>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UntertitelZchn">
    <w:name w:val="Untertitel Zchn"/>
    <w:basedOn w:val="Absatz-Standardschriftart"/>
    <w:link w:val="Untertitel"/>
    <w:uiPriority w:val="11"/>
    <w:rsid w:val="0082744A"/>
    <w:rPr>
      <w:rFonts w:asciiTheme="majorHAnsi" w:eastAsiaTheme="majorEastAsia" w:hAnsiTheme="majorHAnsi" w:cstheme="majorBidi"/>
      <w:sz w:val="28"/>
      <w:szCs w:val="24"/>
      <w:lang w:val="en-GB"/>
    </w:rPr>
  </w:style>
  <w:style w:type="character" w:customStyle="1" w:styleId="berschrift7Zchn">
    <w:name w:val="Überschrift 7 Zchn"/>
    <w:basedOn w:val="Absatz-Standardschriftart"/>
    <w:link w:val="berschrift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berschrift8Zchn">
    <w:name w:val="Überschrift 8 Zchn"/>
    <w:basedOn w:val="Absatz-Standardschriftart"/>
    <w:link w:val="berschrift8"/>
    <w:uiPriority w:val="9"/>
    <w:semiHidden/>
    <w:rsid w:val="00AA054E"/>
    <w:rPr>
      <w:rFonts w:asciiTheme="majorHAnsi" w:eastAsiaTheme="majorEastAsia" w:hAnsiTheme="majorHAnsi" w:cstheme="majorBidi"/>
      <w:b/>
      <w:bCs/>
      <w:color w:val="007EFF" w:themeColor="text2"/>
      <w:sz w:val="22"/>
      <w:lang w:val="en-GB"/>
    </w:rPr>
  </w:style>
  <w:style w:type="character" w:customStyle="1" w:styleId="berschrift9Zchn">
    <w:name w:val="Überschrift 9 Zchn"/>
    <w:basedOn w:val="Absatz-Standardschriftart"/>
    <w:link w:val="berschrift9"/>
    <w:uiPriority w:val="9"/>
    <w:semiHidden/>
    <w:rsid w:val="00AA054E"/>
    <w:rPr>
      <w:rFonts w:asciiTheme="majorHAnsi" w:eastAsiaTheme="majorEastAsia" w:hAnsiTheme="majorHAnsi" w:cstheme="majorBidi"/>
      <w:b/>
      <w:bCs/>
      <w:i/>
      <w:iCs/>
      <w:color w:val="007EFF" w:themeColor="text2"/>
      <w:sz w:val="22"/>
      <w:lang w:val="en-GB"/>
    </w:rPr>
  </w:style>
  <w:style w:type="paragraph" w:styleId="Beschriftung">
    <w:name w:val="caption"/>
    <w:basedOn w:val="Standard"/>
    <w:next w:val="Standard"/>
    <w:uiPriority w:val="35"/>
    <w:semiHidden/>
    <w:unhideWhenUsed/>
    <w:qFormat/>
    <w:rsid w:val="00AA054E"/>
    <w:pPr>
      <w:spacing w:line="240" w:lineRule="auto"/>
    </w:pPr>
    <w:rPr>
      <w:b/>
      <w:bCs/>
      <w:smallCaps/>
      <w:color w:val="1A69FF"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0055F7" w:themeColor="text1" w:themeTint="BF"/>
    </w:rPr>
  </w:style>
  <w:style w:type="character" w:customStyle="1" w:styleId="ZitatZchn">
    <w:name w:val="Zitat Zchn"/>
    <w:basedOn w:val="Absatz-Standardschriftart"/>
    <w:link w:val="Zitat"/>
    <w:uiPriority w:val="29"/>
    <w:rsid w:val="00AA054E"/>
    <w:rPr>
      <w:i/>
      <w:iCs/>
      <w:color w:val="0055F7"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34009F" w:themeColor="accent1"/>
      <w:sz w:val="28"/>
      <w:szCs w:val="28"/>
    </w:rPr>
  </w:style>
  <w:style w:type="character" w:styleId="SchwacheHervorhebung">
    <w:name w:val="Subtle Emphasis"/>
    <w:basedOn w:val="Absatz-Standardschriftart"/>
    <w:uiPriority w:val="19"/>
    <w:qFormat/>
    <w:rsid w:val="00AA054E"/>
    <w:rPr>
      <w:i/>
      <w:iCs/>
      <w:color w:val="0055F7" w:themeColor="text1" w:themeTint="BF"/>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0055F7" w:themeColor="text1" w:themeTint="BF"/>
      <w:u w:val="single" w:color="4E8BF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F205B9"/>
    <w:pPr>
      <w:numPr>
        <w:numId w:val="0"/>
      </w:num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KopfzeileZchn">
    <w:name w:val="Kopfzeile Zchn"/>
    <w:basedOn w:val="Absatz-Standardschriftart"/>
    <w:link w:val="Kopfzeile"/>
    <w:rsid w:val="00AF6B1E"/>
    <w:rPr>
      <w:color w:val="001B4F" w:themeColor="text1" w:themeShade="80"/>
      <w:sz w:val="16"/>
      <w:lang w:val="en-GB"/>
    </w:rPr>
  </w:style>
  <w:style w:type="paragraph" w:styleId="Fuzeile">
    <w:name w:val="footer"/>
    <w:basedOn w:val="Standard"/>
    <w:link w:val="FuzeileZchn"/>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uzeileZchn">
    <w:name w:val="Fußzeile Zchn"/>
    <w:basedOn w:val="Absatz-Standardschriftart"/>
    <w:link w:val="Fuzeile"/>
    <w:uiPriority w:val="99"/>
    <w:rsid w:val="004E5FF8"/>
    <w:rPr>
      <w:color w:val="001B4F" w:themeColor="text1" w:themeShade="80"/>
      <w:sz w:val="16"/>
      <w:lang w:val="en-GB"/>
    </w:rPr>
  </w:style>
  <w:style w:type="paragraph" w:customStyle="1" w:styleId="00aPagenumber">
    <w:name w:val="00a_Page number"/>
    <w:basedOn w:val="Standard"/>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Standard"/>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Verzeichnis1">
    <w:name w:val="toc 1"/>
    <w:basedOn w:val="Standard"/>
    <w:next w:val="Standard"/>
    <w:uiPriority w:val="39"/>
    <w:unhideWhenUsed/>
    <w:qFormat/>
    <w:rsid w:val="00F205B9"/>
    <w:pPr>
      <w:framePr w:hSpace="180" w:wrap="around" w:vAnchor="text" w:hAnchor="margin" w:y="115"/>
      <w:tabs>
        <w:tab w:val="left" w:pos="440"/>
        <w:tab w:val="right" w:leader="dot" w:pos="9062"/>
      </w:tabs>
      <w:spacing w:after="100"/>
    </w:pPr>
  </w:style>
  <w:style w:type="paragraph" w:styleId="Verzeichnis2">
    <w:name w:val="toc 2"/>
    <w:basedOn w:val="Verzeichnis1"/>
    <w:next w:val="Standard"/>
    <w:uiPriority w:val="39"/>
    <w:unhideWhenUsed/>
    <w:qFormat/>
    <w:rsid w:val="00F205B9"/>
    <w:pPr>
      <w:framePr w:wrap="around"/>
      <w:tabs>
        <w:tab w:val="right" w:leader="dot" w:pos="440"/>
      </w:tabs>
      <w:ind w:left="220"/>
    </w:pPr>
  </w:style>
  <w:style w:type="paragraph" w:styleId="Verzeichnis3">
    <w:name w:val="toc 3"/>
    <w:basedOn w:val="Verzeichnis1"/>
    <w:next w:val="Standard"/>
    <w:uiPriority w:val="39"/>
    <w:unhideWhenUsed/>
    <w:qFormat/>
    <w:rsid w:val="00AD0B10"/>
    <w:pPr>
      <w:framePr w:wrap="around"/>
      <w:ind w:left="442"/>
    </w:pPr>
  </w:style>
  <w:style w:type="character" w:styleId="Hyperlink">
    <w:name w:val="Hyperlink"/>
    <w:basedOn w:val="Absatz-Standardschriftart"/>
    <w:uiPriority w:val="99"/>
    <w:unhideWhenUsed/>
    <w:qFormat/>
    <w:rsid w:val="000C1E78"/>
    <w:rPr>
      <w:color w:val="005EBF" w:themeColor="text2" w:themeShade="BF"/>
      <w:u w:val="single"/>
    </w:rPr>
  </w:style>
  <w:style w:type="paragraph" w:customStyle="1" w:styleId="Questionstyle">
    <w:name w:val="Question style"/>
    <w:basedOn w:val="Standard"/>
    <w:next w:val="Standard"/>
    <w:link w:val="QuestionstyleChar"/>
    <w:autoRedefine/>
    <w:qFormat/>
    <w:rsid w:val="00C5469A"/>
    <w:pPr>
      <w:tabs>
        <w:tab w:val="left" w:pos="567"/>
      </w:tabs>
      <w:ind w:hanging="360"/>
      <w:contextualSpacing/>
    </w:pPr>
    <w:rPr>
      <w:b/>
    </w:rPr>
  </w:style>
  <w:style w:type="character" w:customStyle="1" w:styleId="QuestionstyleChar">
    <w:name w:val="Question style Char"/>
    <w:basedOn w:val="Absatz-Standardschriftart"/>
    <w:link w:val="Questionstyle"/>
    <w:rsid w:val="00C5469A"/>
    <w:rPr>
      <w:b/>
      <w:color w:val="181818" w:themeColor="background1" w:themeShade="1A"/>
      <w:sz w:val="22"/>
      <w:lang w:val="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pPr>
      <w:spacing w:after="0" w:line="240" w:lineRule="auto"/>
    </w:pPr>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unhideWhenUsed/>
    <w:qFormat/>
    <w:rsid w:val="007A1A9D"/>
    <w:pPr>
      <w:spacing w:after="0" w:line="240" w:lineRule="auto"/>
    </w:pPr>
    <w:rPr>
      <w:sz w:val="16"/>
    </w:rPr>
  </w:style>
  <w:style w:type="character" w:customStyle="1" w:styleId="FunotentextZchn">
    <w:name w:val="Fußnotentext Zchn"/>
    <w:basedOn w:val="Absatz-Standardschriftart"/>
    <w:link w:val="Funotentext"/>
    <w:uiPriority w:val="99"/>
    <w:rsid w:val="007A1A9D"/>
    <w:rPr>
      <w:color w:val="181818" w:themeColor="background1" w:themeShade="1A"/>
      <w:sz w:val="16"/>
      <w:lang w:val="en-GB"/>
    </w:rPr>
  </w:style>
  <w:style w:type="character" w:styleId="Funotenzeichen">
    <w:name w:val="footnote reference"/>
    <w:basedOn w:val="Absatz-Standardschriftart"/>
    <w:uiPriority w:val="99"/>
    <w:semiHidden/>
    <w:unhideWhenUsed/>
    <w:qFormat/>
    <w:rsid w:val="00A91D91"/>
    <w:rPr>
      <w:rFonts w:asciiTheme="majorHAnsi" w:hAnsiTheme="majorHAnsi"/>
      <w:sz w:val="16"/>
      <w:vertAlign w:val="superscript"/>
    </w:rPr>
  </w:style>
  <w:style w:type="paragraph" w:customStyle="1" w:styleId="Footnote">
    <w:name w:val="Footnote"/>
    <w:basedOn w:val="Funotentext"/>
    <w:link w:val="FootnoteChar"/>
    <w:qFormat/>
    <w:rsid w:val="00672C04"/>
    <w:pPr>
      <w:ind w:left="454" w:hanging="454"/>
    </w:pPr>
    <w:rPr>
      <w:lang w:val="nl-BE"/>
    </w:rPr>
  </w:style>
  <w:style w:type="character" w:customStyle="1" w:styleId="FootnoteChar">
    <w:name w:val="Footnote Char"/>
    <w:basedOn w:val="FunotentextZchn"/>
    <w:link w:val="Footnote"/>
    <w:rsid w:val="00672C04"/>
    <w:rPr>
      <w:color w:val="181818" w:themeColor="background1" w:themeShade="1A"/>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Sprechblasentext">
    <w:name w:val="Balloon Text"/>
    <w:basedOn w:val="Standard"/>
    <w:link w:val="SprechblasentextZchn"/>
    <w:uiPriority w:val="99"/>
    <w:semiHidden/>
    <w:unhideWhenUsed/>
    <w:rsid w:val="007151B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151BF"/>
    <w:rPr>
      <w:rFonts w:ascii="Tahoma" w:hAnsi="Tahoma" w:cs="Tahoma"/>
      <w:sz w:val="16"/>
      <w:szCs w:val="16"/>
      <w:lang w:val="en-GB"/>
    </w:rPr>
  </w:style>
  <w:style w:type="paragraph" w:styleId="Verzeichnis4">
    <w:name w:val="toc 4"/>
    <w:basedOn w:val="Verzeichnis1"/>
    <w:next w:val="Standard"/>
    <w:uiPriority w:val="39"/>
    <w:unhideWhenUsed/>
    <w:qFormat/>
    <w:rsid w:val="00F205B9"/>
    <w:pPr>
      <w:framePr w:wrap="around"/>
      <w:ind w:left="660"/>
    </w:pPr>
  </w:style>
  <w:style w:type="character" w:styleId="Kommentarzeichen">
    <w:name w:val="annotation reference"/>
    <w:basedOn w:val="Absatz-Standardschriftart"/>
    <w:uiPriority w:val="99"/>
    <w:semiHidden/>
    <w:unhideWhenUsed/>
    <w:rsid w:val="00D33C31"/>
    <w:rPr>
      <w:sz w:val="16"/>
      <w:szCs w:val="16"/>
    </w:rPr>
  </w:style>
  <w:style w:type="paragraph" w:styleId="Kommentartext">
    <w:name w:val="annotation text"/>
    <w:basedOn w:val="Standard"/>
    <w:link w:val="KommentartextZchn"/>
    <w:uiPriority w:val="99"/>
    <w:unhideWhenUsed/>
    <w:rsid w:val="00D33C31"/>
    <w:pPr>
      <w:spacing w:line="240" w:lineRule="auto"/>
    </w:pPr>
    <w:rPr>
      <w:sz w:val="20"/>
    </w:rPr>
  </w:style>
  <w:style w:type="character" w:customStyle="1" w:styleId="KommentartextZchn">
    <w:name w:val="Kommentartext Zchn"/>
    <w:basedOn w:val="Absatz-Standardschriftart"/>
    <w:link w:val="Kommentartext"/>
    <w:uiPriority w:val="99"/>
    <w:rsid w:val="00D33C31"/>
    <w:rPr>
      <w:lang w:val="en-GB"/>
    </w:rPr>
  </w:style>
  <w:style w:type="paragraph" w:styleId="Kommentarthema">
    <w:name w:val="annotation subject"/>
    <w:basedOn w:val="Kommentartext"/>
    <w:next w:val="Kommentartext"/>
    <w:link w:val="KommentarthemaZchn"/>
    <w:uiPriority w:val="99"/>
    <w:semiHidden/>
    <w:unhideWhenUsed/>
    <w:rsid w:val="00D33C31"/>
    <w:rPr>
      <w:b/>
      <w:bCs/>
    </w:rPr>
  </w:style>
  <w:style w:type="character" w:customStyle="1" w:styleId="KommentarthemaZchn">
    <w:name w:val="Kommentarthema Zchn"/>
    <w:basedOn w:val="KommentartextZchn"/>
    <w:link w:val="Kommentarthema"/>
    <w:uiPriority w:val="99"/>
    <w:semiHidden/>
    <w:rsid w:val="00D33C31"/>
    <w:rPr>
      <w:b/>
      <w:bCs/>
      <w:lang w:val="en-GB"/>
    </w:rPr>
  </w:style>
  <w:style w:type="character" w:styleId="NichtaufgelsteErwhnung">
    <w:name w:val="Unresolved Mention"/>
    <w:basedOn w:val="Absatz-Standardschriftar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Fett"/>
    <w:uiPriority w:val="1"/>
    <w:qFormat/>
    <w:rsid w:val="008858FE"/>
    <w:rPr>
      <w:b w:val="0"/>
      <w:bCs/>
      <w:caps/>
      <w:smallCaps w:val="0"/>
      <w:color w:val="FF0000" w:themeColor="accent6"/>
      <w:sz w:val="22"/>
    </w:rPr>
  </w:style>
  <w:style w:type="paragraph" w:customStyle="1" w:styleId="Disclaimer">
    <w:name w:val="Disclaimer"/>
    <w:basedOn w:val="Standard"/>
    <w:qFormat/>
    <w:rsid w:val="00906D18"/>
    <w:rPr>
      <w:i/>
      <w:iCs/>
      <w:sz w:val="18"/>
      <w:szCs w:val="18"/>
    </w:rPr>
  </w:style>
  <w:style w:type="paragraph" w:customStyle="1" w:styleId="ESMAHeader">
    <w:name w:val="ESMA Header"/>
    <w:basedOn w:val="Kopfzeile"/>
    <w:qFormat/>
    <w:rsid w:val="00AF6B1E"/>
  </w:style>
  <w:style w:type="paragraph" w:customStyle="1" w:styleId="Pageheader">
    <w:name w:val="Page header"/>
    <w:basedOn w:val="Kopfzeile"/>
    <w:next w:val="Kopfzeile"/>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Standard"/>
    <w:qFormat/>
    <w:rsid w:val="00F205B9"/>
    <w:rPr>
      <w:rFonts w:ascii="Arial" w:eastAsia="Times New Roman" w:hAnsi="Arial" w:cs="Arial"/>
      <w:sz w:val="18"/>
      <w:szCs w:val="18"/>
      <w:lang w:eastAsia="de-DE"/>
    </w:rPr>
  </w:style>
  <w:style w:type="paragraph" w:styleId="Verzeichnis5">
    <w:name w:val="toc 5"/>
    <w:basedOn w:val="Standard"/>
    <w:next w:val="Standard"/>
    <w:uiPriority w:val="39"/>
    <w:semiHidden/>
    <w:unhideWhenUsed/>
    <w:qFormat/>
    <w:rsid w:val="00F205B9"/>
    <w:pPr>
      <w:spacing w:after="100"/>
      <w:ind w:left="880"/>
    </w:pPr>
  </w:style>
  <w:style w:type="paragraph" w:styleId="Verzeichnis6">
    <w:name w:val="toc 6"/>
    <w:basedOn w:val="Standard"/>
    <w:next w:val="Standard"/>
    <w:uiPriority w:val="39"/>
    <w:semiHidden/>
    <w:unhideWhenUsed/>
    <w:qFormat/>
    <w:rsid w:val="00F205B9"/>
    <w:pPr>
      <w:spacing w:after="100"/>
      <w:ind w:left="1100"/>
    </w:pPr>
  </w:style>
  <w:style w:type="paragraph" w:styleId="Verzeichnis7">
    <w:name w:val="toc 7"/>
    <w:basedOn w:val="Standard"/>
    <w:next w:val="Standard"/>
    <w:uiPriority w:val="39"/>
    <w:semiHidden/>
    <w:unhideWhenUsed/>
    <w:qFormat/>
    <w:rsid w:val="00F205B9"/>
    <w:pPr>
      <w:spacing w:after="100"/>
      <w:ind w:left="1320"/>
    </w:pPr>
  </w:style>
  <w:style w:type="paragraph" w:styleId="Verzeichnis8">
    <w:name w:val="toc 8"/>
    <w:basedOn w:val="Standard"/>
    <w:next w:val="Standard"/>
    <w:uiPriority w:val="39"/>
    <w:semiHidden/>
    <w:unhideWhenUsed/>
    <w:qFormat/>
    <w:rsid w:val="00F205B9"/>
    <w:pPr>
      <w:spacing w:after="100"/>
      <w:ind w:left="1540"/>
    </w:pPr>
  </w:style>
  <w:style w:type="paragraph" w:styleId="Verzeichnis9">
    <w:name w:val="toc 9"/>
    <w:basedOn w:val="Standard"/>
    <w:next w:val="Standard"/>
    <w:uiPriority w:val="39"/>
    <w:semiHidden/>
    <w:unhideWhenUsed/>
    <w:qFormat/>
    <w:rsid w:val="00F205B9"/>
    <w:pPr>
      <w:spacing w:after="100"/>
      <w:ind w:left="1760"/>
    </w:pPr>
  </w:style>
  <w:style w:type="character" w:styleId="BesuchterLink">
    <w:name w:val="FollowedHyperlink"/>
    <w:basedOn w:val="Absatz-Standardschriftart"/>
    <w:uiPriority w:val="99"/>
    <w:semiHidden/>
    <w:unhideWhenUsed/>
    <w:rsid w:val="0043139E"/>
    <w:rPr>
      <w:color w:val="0174AF" w:themeColor="followedHyperlink"/>
      <w:u w:val="single"/>
    </w:rPr>
  </w:style>
  <w:style w:type="character" w:customStyle="1" w:styleId="ListenabsatzZchn">
    <w:name w:val="Listenabsatz Zchn"/>
    <w:aliases w:val="Paragraphe EI Zchn,Paragraphe de liste1 Zchn,EC Zchn"/>
    <w:link w:val="Listenabsatz"/>
    <w:uiPriority w:val="34"/>
    <w:locked/>
    <w:rsid w:val="00EC6066"/>
    <w:rPr>
      <w:rFonts w:asciiTheme="majorHAnsi" w:hAnsiTheme="majorHAnsi" w:cstheme="majorHAnsi"/>
      <w:color w:val="181818" w:themeColor="background1" w:themeShade="1A"/>
      <w:sz w:val="22"/>
      <w:szCs w:val="22"/>
      <w:lang w:val="pt-PT"/>
    </w:rPr>
  </w:style>
  <w:style w:type="paragraph" w:styleId="berarbeitung">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Standard"/>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Absatz-Standardschriftart"/>
    <w:rsid w:val="00061F32"/>
    <w:rPr>
      <w:rFonts w:ascii="Segoe UI" w:hAnsi="Segoe UI" w:cs="Segoe UI" w:hint="default"/>
      <w:sz w:val="18"/>
      <w:szCs w:val="18"/>
    </w:rPr>
  </w:style>
  <w:style w:type="character" w:customStyle="1" w:styleId="cf11">
    <w:name w:val="cf11"/>
    <w:basedOn w:val="Absatz-Standardschriftart"/>
    <w:rsid w:val="00061F32"/>
    <w:rPr>
      <w:rFonts w:ascii="Segoe UI" w:hAnsi="Segoe UI" w:cs="Segoe UI" w:hint="default"/>
      <w:color w:val="333333"/>
      <w:sz w:val="18"/>
      <w:szCs w:val="18"/>
      <w:shd w:val="clear" w:color="auto" w:fill="FFFFFF"/>
    </w:rPr>
  </w:style>
  <w:style w:type="character" w:styleId="Erwhnung">
    <w:name w:val="Mention"/>
    <w:basedOn w:val="Absatz-Standardschriftart"/>
    <w:uiPriority w:val="99"/>
    <w:unhideWhenUsed/>
    <w:rsid w:val="00251F26"/>
    <w:rPr>
      <w:color w:val="2B579A"/>
      <w:shd w:val="clear" w:color="auto" w:fill="E1DFDD"/>
    </w:rPr>
  </w:style>
  <w:style w:type="character" w:styleId="Platzhaltertext">
    <w:name w:val="Placeholder Text"/>
    <w:basedOn w:val="Absatz-Standardschriftart"/>
    <w:uiPriority w:val="99"/>
    <w:semiHidden/>
    <w:rsid w:val="00635BCA"/>
    <w:rPr>
      <w:color w:val="808080"/>
    </w:rPr>
  </w:style>
  <w:style w:type="paragraph" w:customStyle="1" w:styleId="para">
    <w:name w:val="para"/>
    <w:basedOn w:val="Listenabsatz"/>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Absatz-Standardschriftart"/>
    <w:link w:val="para"/>
    <w:rsid w:val="00641F03"/>
    <w:rPr>
      <w:bCs/>
      <w:iCs/>
      <w:color w:val="181818" w:themeColor="background1" w:themeShade="1A"/>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s://www.esma.europa.eu/about-esma/data-protection"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esma.europa.eu"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tzhalt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tzhalt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tzhalt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B5175"/>
    <w:rsid w:val="0015768C"/>
    <w:rsid w:val="001D0361"/>
    <w:rsid w:val="0034145D"/>
    <w:rsid w:val="003661E7"/>
    <w:rsid w:val="004D67E0"/>
    <w:rsid w:val="004E4CF9"/>
    <w:rsid w:val="005D66AB"/>
    <w:rsid w:val="006D3543"/>
    <w:rsid w:val="00813189"/>
    <w:rsid w:val="008222A0"/>
    <w:rsid w:val="00836D47"/>
    <w:rsid w:val="00982D57"/>
    <w:rsid w:val="00993537"/>
    <w:rsid w:val="009B6B9C"/>
    <w:rsid w:val="009C0B17"/>
    <w:rsid w:val="00B22006"/>
    <w:rsid w:val="00B31BF6"/>
    <w:rsid w:val="00B46CAE"/>
    <w:rsid w:val="00D40353"/>
    <w:rsid w:val="00DC3796"/>
    <w:rsid w:val="00DC4211"/>
    <w:rsid w:val="00F814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0fb0f98-34f9-4d57-9559-eb8efd17aa5e">
      <Value>6</Value>
      <Value>267</Value>
      <Value>282</Value>
      <Value>1042</Value>
      <Value>50</Value>
    </TaxCatchAll>
    <_dlc_DocId xmlns="d0fb0f98-34f9-4d57-9559-eb8efd17aa5e">ESMA74-1103241886-1094</_dlc_DocId>
    <_dlc_DocIdUrl xmlns="d0fb0f98-34f9-4d57-9559-eb8efd17aa5e">
      <Url>https://securitiesandmarketsauth.sharepoint.com/sites/sherpa-trdu/_layouts/15/DocIdRedir.aspx?ID=ESMA74-1103241886-1094</Url>
      <Description>ESMA74-1103241886-1094</Description>
    </_dlc_DocIdUrl>
    <_dlc_DocIdPersistId xmlns="d0fb0f98-34f9-4d57-9559-eb8efd17aa5e" xsi:nil="true"/>
    <eed0a0b2ea6941718a34434e243f3d8f xmlns="d0fb0f98-34f9-4d57-9559-eb8efd17aa5e">
      <Terms xmlns="http://schemas.microsoft.com/office/infopath/2007/PartnerControls">
        <TermInfo xmlns="http://schemas.microsoft.com/office/infopath/2007/PartnerControls">
          <TermName xmlns="http://schemas.microsoft.com/office/infopath/2007/PartnerControls">Call for Evidence</TermName>
          <TermId xmlns="http://schemas.microsoft.com/office/infopath/2007/PartnerControls">4dd13041-d074-4513-b0c9-9d450ea451f0</TermId>
        </TermInfo>
      </Terms>
    </eed0a0b2ea6941718a34434e243f3d8f>
    <n644e5dfaa29486bad4a4fc019c6d2df xmlns="d0fb0f98-34f9-4d57-9559-eb8efd17aa5e">
      <Terms xmlns="http://schemas.microsoft.com/office/infopath/2007/PartnerControls">
        <TermInfo xmlns="http://schemas.microsoft.com/office/infopath/2007/PartnerControls">
          <TermName xmlns="http://schemas.microsoft.com/office/infopath/2007/PartnerControls">Listing Act - Technical Advice</TermName>
          <TermId xmlns="http://schemas.microsoft.com/office/infopath/2007/PartnerControls">c84c1b51-5e45-4443-98ed-256626262106</TermId>
        </TermInfo>
      </Terms>
    </n644e5dfaa29486bad4a4fc019c6d2df>
    <j69a081f486747f6ac8a5aeed63facfd xmlns="d0fb0f98-34f9-4d57-9559-eb8efd17aa5e">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MeetingDate xmlns="d0fb0f98-34f9-4d57-9559-eb8efd17aa5e" xsi:nil="true"/>
    <Year xmlns="d0fb0f98-34f9-4d57-9559-eb8efd17aa5e">2024</Year>
    <a9b3b1dad23b4ba58c3f3e36a96e1d9c xmlns="d0fb0f98-34f9-4d57-9559-eb8efd17aa5e">
      <Terms xmlns="http://schemas.microsoft.com/office/infopath/2007/PartnerControls"/>
    </a9b3b1dad23b4ba58c3f3e36a96e1d9c>
    <bce29119141747ccb9ac7d87218ed4af xmlns="d0fb0f98-34f9-4d57-9559-eb8efd17aa5e">
      <Terms xmlns="http://schemas.microsoft.com/office/infopath/2007/PartnerControls">
        <TermInfo xmlns="http://schemas.microsoft.com/office/infopath/2007/PartnerControls">
          <TermName xmlns="http://schemas.microsoft.com/office/infopath/2007/PartnerControls">Markets Integrity</TermName>
          <TermId xmlns="http://schemas.microsoft.com/office/infopath/2007/PartnerControls">7754a890-9027-48dc-9ca6-8f2d192660b4</TermId>
        </TermInfo>
      </Terms>
    </bce29119141747ccb9ac7d87218ed4af>
    <caa5aeb1a6644849b60fbe2335e12657 xmlns="d0fb0f98-34f9-4d57-9559-eb8efd17aa5e">
      <Terms xmlns="http://schemas.microsoft.com/office/infopath/2007/PartnerControls">
        <TermInfo xmlns="http://schemas.microsoft.com/office/infopath/2007/PartnerControls">
          <TermName xmlns="http://schemas.microsoft.com/office/infopath/2007/PartnerControls">MAR - Listing Act</TermName>
          <TermId xmlns="http://schemas.microsoft.com/office/infopath/2007/PartnerControls">89e9d275-a97d-4b10-855d-8abac2d32127</TermId>
        </TermInfo>
      </Terms>
    </caa5aeb1a6644849b60fbe2335e12657>
    <SharedWithUsers xmlns="d0fb0f98-34f9-4d57-9559-eb8efd17aa5e">
      <UserInfo>
        <DisplayName>Kian Navid</DisplayName>
        <AccountId>329</AccountId>
        <AccountType/>
      </UserInfo>
      <UserInfo>
        <DisplayName>Christian Winkler</DisplayName>
        <AccountId>215</AccountId>
        <AccountType/>
      </UserInfo>
      <UserInfo>
        <DisplayName>Iris Hude</DisplayName>
        <AccountId>186</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MAR Policy Document" ma:contentTypeID="0x0101008D9E5D2C101BA04B85C7EB08C6516E400600B2E39D2582128A48B571D0EA19AF2162" ma:contentTypeVersion="25" ma:contentTypeDescription="" ma:contentTypeScope="" ma:versionID="fcac9e44e85299b0237e481aeb71eb81">
  <xsd:schema xmlns:xsd="http://www.w3.org/2001/XMLSchema" xmlns:xs="http://www.w3.org/2001/XMLSchema" xmlns:p="http://schemas.microsoft.com/office/2006/metadata/properties" xmlns:ns2="d0fb0f98-34f9-4d57-9559-eb8efd17aa5e" xmlns:ns3="31cd2e30-85b0-4a67-ba52-2e1ab097a1d0" targetNamespace="http://schemas.microsoft.com/office/2006/metadata/properties" ma:root="true" ma:fieldsID="6ff363f4b973be23fe759f1090d88343" ns2:_="" ns3:_="">
    <xsd:import namespace="d0fb0f98-34f9-4d57-9559-eb8efd17aa5e"/>
    <xsd:import namespace="31cd2e30-85b0-4a67-ba52-2e1ab097a1d0"/>
    <xsd:element name="properties">
      <xsd:complexType>
        <xsd:sequence>
          <xsd:element name="documentManagement">
            <xsd:complexType>
              <xsd:all>
                <xsd:element ref="ns2:Year"/>
                <xsd:element ref="ns2:MeetingDate" minOccurs="0"/>
                <xsd:element ref="ns2:TaxCatchAll" minOccurs="0"/>
                <xsd:element ref="ns2:TaxCatchAllLabel" minOccurs="0"/>
                <xsd:element ref="ns2:eed0a0b2ea6941718a34434e243f3d8f" minOccurs="0"/>
                <xsd:element ref="ns2:j69a081f486747f6ac8a5aeed63facfd" minOccurs="0"/>
                <xsd:element ref="ns2:a9b3b1dad23b4ba58c3f3e36a96e1d9c" minOccurs="0"/>
                <xsd:element ref="ns2:bce29119141747ccb9ac7d87218ed4af" minOccurs="0"/>
                <xsd:element ref="ns2:caa5aeb1a6644849b60fbe2335e12657" minOccurs="0"/>
                <xsd:element ref="ns2:n644e5dfaa29486bad4a4fc019c6d2df" minOccurs="0"/>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fb0f98-34f9-4d57-9559-eb8efd17aa5e" elementFormDefault="qualified">
    <xsd:import namespace="http://schemas.microsoft.com/office/2006/documentManagement/types"/>
    <xsd:import namespace="http://schemas.microsoft.com/office/infopath/2007/PartnerControls"/>
    <xsd:element name="Year" ma:index="6" ma:displayName="Year" ma:default="" ma:internalName="Year" ma:readOnly="false">
      <xsd:simpleType>
        <xsd:restriction base="dms:Text">
          <xsd:maxLength value="4"/>
        </xsd:restriction>
      </xsd:simpleType>
    </xsd:element>
    <xsd:element name="MeetingDate" ma:index="8" nillable="true" ma:displayName="Meeting Date" ma:format="DateOnly" ma:internalName="MeetingDate" ma:readOnly="false">
      <xsd:simpleType>
        <xsd:restriction base="dms:DateTime"/>
      </xsd:simpleType>
    </xsd:element>
    <xsd:element name="TaxCatchAll" ma:index="9" nillable="true" ma:displayName="Taxonomy Catch All Column" ma:hidden="true" ma:list="{e4837b19-d3a4-4d5a-9115-5960f619fc9d}" ma:internalName="TaxCatchAll" ma:readOnly="false" ma:showField="CatchAllData"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TaxCatchAllLabel" ma:index="17" nillable="true" ma:displayName="Taxonomy Catch All Column1" ma:hidden="true" ma:list="{e4837b19-d3a4-4d5a-9115-5960f619fc9d}" ma:internalName="TaxCatchAllLabel" ma:readOnly="true" ma:showField="CatchAllDataLabel" ma:web="d0fb0f98-34f9-4d57-9559-eb8efd17aa5e">
      <xsd:complexType>
        <xsd:complexContent>
          <xsd:extension base="dms:MultiChoiceLookup">
            <xsd:sequence>
              <xsd:element name="Value" type="dms:Lookup" maxOccurs="unbounded" minOccurs="0" nillable="true"/>
            </xsd:sequence>
          </xsd:extension>
        </xsd:complexContent>
      </xsd:complexType>
    </xsd:element>
    <xsd:element name="eed0a0b2ea6941718a34434e243f3d8f" ma:index="18" nillable="true" ma:taxonomy="true" ma:internalName="eed0a0b2ea6941718a34434e243f3d8f" ma:taxonomyFieldName="DocumentType" ma:displayName="Document Type" ma:readOnly="false" ma:default="5;#Note|b9e1c92e-303a-4555-86f0-5c711c65937e" ma:fieldId="{eed0a0b2-ea69-4171-8a34-434e243f3d8f}" ma:sspId="d4b01e31-ead0-4f68-a8e9-2aaca35f2e62"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19" ma:taxonomy="true" ma:internalName="j69a081f486747f6ac8a5aeed63facfd" ma:taxonomyFieldName="ConfidentialityLevel" ma:displayName="Confidentiality Level" ma:readOnly="false" ma:default="6;#Regular|07f1e362-856b-423d-bea6-a14079762141" ma:fieldId="{369a081f-4867-47f6-ac8a-5aeed63facfd}" ma:sspId="d4b01e31-ead0-4f68-a8e9-2aaca35f2e62" ma:termSetId="63da149f-0364-4b58-9838-6f5855a402c0" ma:anchorId="00000000-0000-0000-0000-000000000000" ma:open="false" ma:isKeyword="false">
      <xsd:complexType>
        <xsd:sequence>
          <xsd:element ref="pc:Terms" minOccurs="0" maxOccurs="1"/>
        </xsd:sequence>
      </xsd:complexType>
    </xsd:element>
    <xsd:element name="a9b3b1dad23b4ba58c3f3e36a96e1d9c" ma:index="20" nillable="true" ma:taxonomy="true" ma:internalName="a9b3b1dad23b4ba58c3f3e36a96e1d9c" ma:taxonomyFieldName="EsmaAudience" ma:displayName="Audience" ma:readOnly="false" ma:fieldId="{a9b3b1da-d23b-4ba5-8c3f-3e36a96e1d9c}" ma:sspId="d4b01e31-ead0-4f68-a8e9-2aaca35f2e62" ma:termSetId="76343289-0524-4d6c-b317-76d8c2e49caa" ma:anchorId="00000000-0000-0000-0000-000000000000" ma:open="false" ma:isKeyword="false">
      <xsd:complexType>
        <xsd:sequence>
          <xsd:element ref="pc:Terms" minOccurs="0" maxOccurs="1"/>
        </xsd:sequence>
      </xsd:complexType>
    </xsd:element>
    <xsd:element name="bce29119141747ccb9ac7d87218ed4af" ma:index="21" nillable="true" ma:taxonomy="true" ma:internalName="bce29119141747ccb9ac7d87218ed4af" ma:taxonomyFieldName="TeamName" ma:displayName="Team Name" ma:readOnly="false" ma:fieldId="{bce29119-1417-47cc-b9ac-7d87218ed4af}" ma:sspId="d4b01e31-ead0-4f68-a8e9-2aaca35f2e62" ma:termSetId="9ab8a8dd-aa7f-4e9e-9345-c8f50d6bfad1" ma:anchorId="00000000-0000-0000-0000-000000000000" ma:open="false" ma:isKeyword="false">
      <xsd:complexType>
        <xsd:sequence>
          <xsd:element ref="pc:Terms" minOccurs="0" maxOccurs="1"/>
        </xsd:sequence>
      </xsd:complexType>
    </xsd:element>
    <xsd:element name="caa5aeb1a6644849b60fbe2335e12657" ma:index="22" nillable="true" ma:taxonomy="true" ma:internalName="caa5aeb1a6644849b60fbe2335e12657" ma:taxonomyFieldName="Topic" ma:displayName="Topic" ma:readOnly="false" ma:fieldId="{caa5aeb1-a664-4849-b60f-be2335e12657}" ma:sspId="d4b01e31-ead0-4f68-a8e9-2aaca35f2e62" ma:termSetId="e60b3b2e-3a16-4331-bc26-d3e41291ae90" ma:anchorId="00000000-0000-0000-0000-000000000000" ma:open="true" ma:isKeyword="false">
      <xsd:complexType>
        <xsd:sequence>
          <xsd:element ref="pc:Terms" minOccurs="0" maxOccurs="1"/>
        </xsd:sequence>
      </xsd:complexType>
    </xsd:element>
    <xsd:element name="n644e5dfaa29486bad4a4fc019c6d2df" ma:index="23" nillable="true" ma:taxonomy="true" ma:internalName="n644e5dfaa29486bad4a4fc019c6d2df" ma:taxonomyFieldName="SubTopic" ma:displayName="Sub Topic" ma:readOnly="false" ma:fieldId="{7644e5df-aa29-486b-ad4a-4fc019c6d2df}" ma:sspId="d4b01e31-ead0-4f68-a8e9-2aaca35f2e62" ma:termSetId="4f99a58c-742f-4a20-98c8-851f22b5d16e" ma:anchorId="00000000-0000-0000-0000-000000000000" ma:open="false" ma:isKeyword="false">
      <xsd:complexType>
        <xsd:sequence>
          <xsd:element ref="pc:Terms" minOccurs="0" maxOccurs="1"/>
        </xsd:sequence>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cd2e30-85b0-4a67-ba52-2e1ab097a1d0"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CE82A-6C3D-41FC-996B-4F7F2BD193E6}">
  <ds:schemaRefs>
    <ds:schemaRef ds:uri="http://schemas.microsoft.com/sharepoint/events"/>
  </ds:schemaRefs>
</ds:datastoreItem>
</file>

<file path=customXml/itemProps2.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3.xml><?xml version="1.0" encoding="utf-8"?>
<ds:datastoreItem xmlns:ds="http://schemas.openxmlformats.org/officeDocument/2006/customXml" ds:itemID="{4AE7858C-3128-45EF-AE36-4A7D702B3BF5}">
  <ds:schemaRefs>
    <ds:schemaRef ds:uri="http://schemas.microsoft.com/office/2006/metadata/properties"/>
    <ds:schemaRef ds:uri="http://schemas.microsoft.com/office/infopath/2007/PartnerControls"/>
    <ds:schemaRef ds:uri="d0fb0f98-34f9-4d57-9559-eb8efd17aa5e"/>
  </ds:schemaRefs>
</ds:datastoreItem>
</file>

<file path=customXml/itemProps4.xml><?xml version="1.0" encoding="utf-8"?>
<ds:datastoreItem xmlns:ds="http://schemas.openxmlformats.org/officeDocument/2006/customXml" ds:itemID="{CC1D51A4-B8B5-4036-AADB-524FBF408A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fb0f98-34f9-4d57-9559-eb8efd17aa5e"/>
    <ds:schemaRef ds:uri="31cd2e30-85b0-4a67-ba52-2e1ab097a1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2228</Words>
  <Characters>14037</Characters>
  <Application>Microsoft Office Word</Application>
  <DocSecurity>8</DocSecurity>
  <Lines>116</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Aslan Tugce | WKOE</cp:lastModifiedBy>
  <cp:revision>4</cp:revision>
  <cp:lastPrinted>2023-09-09T00:53:00Z</cp:lastPrinted>
  <dcterms:created xsi:type="dcterms:W3CDTF">2025-02-05T10:32:00Z</dcterms:created>
  <dcterms:modified xsi:type="dcterms:W3CDTF">2025-02-05T12:19:00Z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0x0101008D9E5D2C101BA04B85C7EB08C6516E400600B2E39D2582128A48B571D0EA19AF2162</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9acc7b14-f522-4eb9-ad77-9f478f5094c1</vt:lpwstr>
  </property>
  <property fmtid="{D5CDD505-2E9C-101B-9397-08002B2CF9AE}" pid="8" name="Topic">
    <vt:lpwstr>267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vt:lpwstr>
  </property>
  <property fmtid="{D5CDD505-2E9C-101B-9397-08002B2CF9AE}" pid="14" name="SubTopic">
    <vt:lpwstr>1042</vt:lpwstr>
  </property>
</Properties>
</file>