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F5987" w14:textId="233169DB" w:rsidR="00625F94" w:rsidRPr="006B2608" w:rsidRDefault="00625F94" w:rsidP="000A6A2D">
      <w:pPr>
        <w:rPr>
          <w:color w:val="FF0000"/>
          <w:lang w:val="en-GB"/>
        </w:rPr>
      </w:pPr>
      <w:r w:rsidRPr="00FF5853">
        <w:rPr>
          <w:b/>
          <w:bCs/>
          <w:lang w:val="en-GB"/>
        </w:rPr>
        <w:t>ANNEX</w:t>
      </w:r>
      <w:r>
        <w:rPr>
          <w:lang w:val="en-GB"/>
        </w:rPr>
        <w:t xml:space="preserve"> to </w:t>
      </w:r>
      <w:r w:rsidR="00D43A10">
        <w:rPr>
          <w:lang w:val="en-GB"/>
        </w:rPr>
        <w:t xml:space="preserve">the </w:t>
      </w:r>
      <w:r w:rsidR="001477F1" w:rsidRPr="00562B2E">
        <w:rPr>
          <w:b/>
          <w:bCs/>
          <w:lang w:val="en-GB"/>
        </w:rPr>
        <w:t>Storied Data</w:t>
      </w:r>
      <w:r w:rsidR="001477F1" w:rsidRPr="00562B2E">
        <w:rPr>
          <w:lang w:val="en-GB"/>
        </w:rPr>
        <w:t> </w:t>
      </w:r>
      <w:r>
        <w:rPr>
          <w:lang w:val="en-GB"/>
        </w:rPr>
        <w:t xml:space="preserve">response to the ESMA Consultation </w:t>
      </w:r>
      <w:r w:rsidR="000B0639">
        <w:rPr>
          <w:lang w:val="en-GB"/>
        </w:rPr>
        <w:t>Paper on the revision of the disclosure framework for private securitisation under Article 7 of the Securitisation Regulation</w:t>
      </w:r>
    </w:p>
    <w:p w14:paraId="52194CEC" w14:textId="77777777" w:rsidR="00625F94" w:rsidRDefault="00625F94" w:rsidP="000A6A2D">
      <w:pPr>
        <w:rPr>
          <w:lang w:val="en-GB"/>
        </w:rPr>
      </w:pPr>
    </w:p>
    <w:p w14:paraId="4C095D36" w14:textId="4FFE7B4C" w:rsidR="000A6A2D" w:rsidRPr="00FF5853" w:rsidRDefault="000A6A2D" w:rsidP="000A6A2D">
      <w:pPr>
        <w:rPr>
          <w:b/>
          <w:bCs/>
          <w:u w:val="single"/>
          <w:lang w:val="en-GB"/>
        </w:rPr>
      </w:pPr>
      <w:r w:rsidRPr="00FF5853">
        <w:rPr>
          <w:b/>
          <w:bCs/>
          <w:u w:val="single"/>
          <w:lang w:val="en-GB"/>
        </w:rPr>
        <w:t xml:space="preserve">I. </w:t>
      </w:r>
      <w:r w:rsidR="00625F94" w:rsidRPr="00FF5853">
        <w:rPr>
          <w:b/>
          <w:bCs/>
          <w:u w:val="single"/>
          <w:lang w:val="en-GB"/>
        </w:rPr>
        <w:t>Brief Company Presentation</w:t>
      </w:r>
    </w:p>
    <w:p w14:paraId="5382D756" w14:textId="074036BF" w:rsidR="0017414C" w:rsidRPr="0017414C" w:rsidRDefault="001477F1" w:rsidP="0017414C">
      <w:pPr>
        <w:rPr>
          <w:lang w:val="en-GB"/>
        </w:rPr>
      </w:pPr>
      <w:r w:rsidRPr="00562B2E">
        <w:rPr>
          <w:b/>
          <w:bCs/>
          <w:lang w:val="en-GB"/>
        </w:rPr>
        <w:t>Storied Data</w:t>
      </w:r>
      <w:r>
        <w:rPr>
          <w:b/>
          <w:bCs/>
          <w:lang w:val="en-GB"/>
        </w:rPr>
        <w:t xml:space="preserve"> </w:t>
      </w:r>
      <w:r w:rsidR="0017414C" w:rsidRPr="0017414C">
        <w:rPr>
          <w:lang w:val="en-GB"/>
        </w:rPr>
        <w:t xml:space="preserve">was founded by a team of IT industry veterans, each boasting over 20 years of experience in various domains such as data and system integration, data quality, data governance, master data management, business intelligence, and AI. The single file format developed by our team is the culmination of over 10 years of research and is currently utilized by more than 12,000 companies worldwide. We are committed to relentless innovation and work closely with seasoned professionals in </w:t>
      </w:r>
      <w:r w:rsidR="00783606">
        <w:rPr>
          <w:lang w:val="en-GB"/>
        </w:rPr>
        <w:t>securitisation</w:t>
      </w:r>
      <w:r w:rsidR="0017414C" w:rsidRPr="0017414C">
        <w:rPr>
          <w:lang w:val="en-GB"/>
        </w:rPr>
        <w:t xml:space="preserve"> and capital markets.</w:t>
      </w:r>
    </w:p>
    <w:p w14:paraId="692587AE" w14:textId="6B20331D" w:rsidR="008B0A65" w:rsidRDefault="0017414C" w:rsidP="0017414C">
      <w:pPr>
        <w:rPr>
          <w:lang w:val="en-GB"/>
        </w:rPr>
      </w:pPr>
      <w:r w:rsidRPr="0017414C">
        <w:rPr>
          <w:lang w:val="en-GB"/>
        </w:rPr>
        <w:t xml:space="preserve">Our mission at </w:t>
      </w:r>
      <w:r w:rsidR="00D43A10" w:rsidRPr="00562B2E">
        <w:rPr>
          <w:b/>
          <w:bCs/>
          <w:lang w:val="en-GB"/>
        </w:rPr>
        <w:t>Storied Data</w:t>
      </w:r>
      <w:r w:rsidR="00D43A10">
        <w:rPr>
          <w:b/>
          <w:bCs/>
          <w:lang w:val="en-GB"/>
        </w:rPr>
        <w:t xml:space="preserve"> </w:t>
      </w:r>
      <w:r w:rsidRPr="0017414C">
        <w:rPr>
          <w:lang w:val="en-GB"/>
        </w:rPr>
        <w:t xml:space="preserve">is to empower business users to </w:t>
      </w:r>
      <w:r w:rsidR="00FE3031" w:rsidRPr="0017414C">
        <w:rPr>
          <w:lang w:val="en-GB"/>
        </w:rPr>
        <w:t>analyse</w:t>
      </w:r>
      <w:r w:rsidRPr="0017414C">
        <w:rPr>
          <w:lang w:val="en-GB"/>
        </w:rPr>
        <w:t xml:space="preserve">, publish smart dynamic data-centric documents, and distribute bespoke content at scale, </w:t>
      </w:r>
      <w:r w:rsidR="002D1DE7">
        <w:rPr>
          <w:lang w:val="en-GB"/>
        </w:rPr>
        <w:t>in</w:t>
      </w:r>
      <w:r w:rsidRPr="0017414C">
        <w:rPr>
          <w:lang w:val="en-GB"/>
        </w:rPr>
        <w:t xml:space="preserve"> full autonomy. We strive to provide intuitive tools and solutions that enable organizations to harness the power of data effectively and make informed decisions with confidence.</w:t>
      </w:r>
    </w:p>
    <w:p w14:paraId="3DE09184" w14:textId="77777777" w:rsidR="0017414C" w:rsidRPr="000A6A2D" w:rsidRDefault="0017414C" w:rsidP="0017414C">
      <w:pPr>
        <w:rPr>
          <w:lang w:val="en-GB"/>
        </w:rPr>
      </w:pPr>
    </w:p>
    <w:p w14:paraId="5BBD2F8D" w14:textId="00A5F9AB" w:rsidR="006A46FB" w:rsidRPr="00FF5853" w:rsidRDefault="000A6A2D" w:rsidP="000A6A2D">
      <w:pPr>
        <w:rPr>
          <w:b/>
          <w:bCs/>
          <w:u w:val="single"/>
          <w:lang w:val="en-GB"/>
        </w:rPr>
      </w:pPr>
      <w:r w:rsidRPr="00FF5853">
        <w:rPr>
          <w:b/>
          <w:bCs/>
          <w:u w:val="single"/>
          <w:lang w:val="en-GB"/>
        </w:rPr>
        <w:t xml:space="preserve">II. </w:t>
      </w:r>
      <w:r w:rsidR="00BF3CB8" w:rsidRPr="00FF5853">
        <w:rPr>
          <w:b/>
          <w:bCs/>
          <w:u w:val="single"/>
          <w:lang w:val="en-GB"/>
        </w:rPr>
        <w:t xml:space="preserve">Securitisation multiple reporting framework and data format create </w:t>
      </w:r>
      <w:r w:rsidR="00D43A10">
        <w:rPr>
          <w:b/>
          <w:bCs/>
          <w:u w:val="single"/>
          <w:lang w:val="en-GB"/>
        </w:rPr>
        <w:t xml:space="preserve">unnecessary </w:t>
      </w:r>
      <w:r w:rsidR="00BF3CB8" w:rsidRPr="00FF5853">
        <w:rPr>
          <w:b/>
          <w:bCs/>
          <w:u w:val="single"/>
          <w:lang w:val="en-GB"/>
        </w:rPr>
        <w:t>burdening reporting costs</w:t>
      </w:r>
      <w:r w:rsidR="00D43A10">
        <w:rPr>
          <w:b/>
          <w:bCs/>
          <w:u w:val="single"/>
          <w:lang w:val="en-GB"/>
        </w:rPr>
        <w:t xml:space="preserve"> and delays</w:t>
      </w:r>
      <w:r w:rsidR="00BF3CB8" w:rsidRPr="00FF5853">
        <w:rPr>
          <w:b/>
          <w:bCs/>
          <w:u w:val="single"/>
          <w:lang w:val="en-GB"/>
        </w:rPr>
        <w:t xml:space="preserve">  </w:t>
      </w:r>
      <w:r w:rsidR="00EF34BF" w:rsidRPr="00FF5853">
        <w:rPr>
          <w:b/>
          <w:bCs/>
          <w:u w:val="single"/>
          <w:lang w:val="en-GB"/>
        </w:rPr>
        <w:t xml:space="preserve"> </w:t>
      </w:r>
    </w:p>
    <w:p w14:paraId="1687E0C9" w14:textId="4BBE345E" w:rsidR="007F05B4" w:rsidRPr="007F05B4" w:rsidRDefault="007F05B4" w:rsidP="007F05B4">
      <w:pPr>
        <w:rPr>
          <w:lang w:val="en-GB"/>
        </w:rPr>
      </w:pPr>
      <w:r w:rsidRPr="007F05B4">
        <w:rPr>
          <w:lang w:val="en-GB"/>
        </w:rPr>
        <w:t>The proliferation of overlapping and duplicated reporting requirements, alongside various file formats, imposes significant costs, reporting delays, and risks of data errors or missing information. Many reporting entities grapple with data sourced from disparate systems, necessitating integration and subsequent data interchange to meet formatting requirements.</w:t>
      </w:r>
    </w:p>
    <w:p w14:paraId="2A6E4B18" w14:textId="57EB0D70" w:rsidR="00CD5BB2" w:rsidRDefault="007F05B4" w:rsidP="007F05B4">
      <w:pPr>
        <w:rPr>
          <w:lang w:val="en-GB"/>
        </w:rPr>
      </w:pPr>
      <w:r w:rsidRPr="007F05B4">
        <w:rPr>
          <w:lang w:val="en-GB"/>
        </w:rPr>
        <w:t>To achieve this, each reporting entity must leverage Extract, Transform, Load (ETL) processes, data quality measures, business intelligence tools, and other technologies to prepare and submit data. Additionally, each "data consumer"</w:t>
      </w:r>
      <w:r w:rsidR="004A0337">
        <w:rPr>
          <w:lang w:val="en-GB"/>
        </w:rPr>
        <w:t xml:space="preserve"> (</w:t>
      </w:r>
      <w:proofErr w:type="spellStart"/>
      <w:r w:rsidR="004A0337">
        <w:rPr>
          <w:lang w:val="en-GB"/>
        </w:rPr>
        <w:t>infosumer</w:t>
      </w:r>
      <w:proofErr w:type="spellEnd"/>
      <w:r w:rsidR="004A0337">
        <w:rPr>
          <w:lang w:val="en-GB"/>
        </w:rPr>
        <w:t>)</w:t>
      </w:r>
      <w:r w:rsidRPr="007F05B4">
        <w:rPr>
          <w:lang w:val="en-GB"/>
        </w:rPr>
        <w:t xml:space="preserve"> may be required to allocate resources for implementing APIs to retrieve data and then utilize reporting technology to convert data into decision-making reports. This lengthy and cumbersome chain of processes is time-consuming, error-prone, and financially burdensome.</w:t>
      </w:r>
    </w:p>
    <w:p w14:paraId="1FBE0B4A" w14:textId="77777777" w:rsidR="007F05B4" w:rsidRDefault="007F05B4" w:rsidP="00CD5BB2">
      <w:pPr>
        <w:rPr>
          <w:lang w:val="en-GB"/>
        </w:rPr>
      </w:pPr>
    </w:p>
    <w:p w14:paraId="650324AF" w14:textId="4580FB94" w:rsidR="00EF7F8D" w:rsidRDefault="00BF3CB8" w:rsidP="00EF7F8D">
      <w:pPr>
        <w:rPr>
          <w:lang w:val="en-GB"/>
        </w:rPr>
      </w:pPr>
      <w:r w:rsidRPr="00FF5853">
        <w:rPr>
          <w:b/>
          <w:bCs/>
          <w:u w:val="single"/>
          <w:lang w:val="en-GB"/>
        </w:rPr>
        <w:t>III</w:t>
      </w:r>
      <w:r w:rsidR="001477F1">
        <w:rPr>
          <w:b/>
          <w:bCs/>
          <w:u w:val="single"/>
          <w:lang w:val="en-GB"/>
        </w:rPr>
        <w:t>.</w:t>
      </w:r>
      <w:r w:rsidRPr="00FF5853">
        <w:rPr>
          <w:b/>
          <w:bCs/>
          <w:u w:val="single"/>
          <w:lang w:val="en-GB"/>
        </w:rPr>
        <w:t xml:space="preserve">  SURF : a single multi-sectoral interactive analytical reporting and information tool </w:t>
      </w:r>
    </w:p>
    <w:p w14:paraId="2382AF81" w14:textId="10376C43" w:rsidR="00EF7F8D" w:rsidRPr="007F2CAF" w:rsidRDefault="00EF7F8D" w:rsidP="007F2CAF">
      <w:pPr>
        <w:pStyle w:val="Paragraphedeliste"/>
        <w:numPr>
          <w:ilvl w:val="0"/>
          <w:numId w:val="14"/>
        </w:numPr>
        <w:rPr>
          <w:lang w:val="en-GB"/>
        </w:rPr>
      </w:pPr>
      <w:r w:rsidRPr="007F2CAF">
        <w:rPr>
          <w:u w:val="single"/>
          <w:lang w:val="en-GB"/>
        </w:rPr>
        <w:t>Description:</w:t>
      </w:r>
      <w:r w:rsidR="007F2CAF">
        <w:rPr>
          <w:u w:val="single"/>
          <w:lang w:val="en-GB"/>
        </w:rPr>
        <w:t xml:space="preserve"> </w:t>
      </w:r>
      <w:r w:rsidRPr="007F2CAF">
        <w:rPr>
          <w:lang w:val="en-GB"/>
        </w:rPr>
        <w:t xml:space="preserve">SURF introduces a groundbreaking </w:t>
      </w:r>
      <w:proofErr w:type="spellStart"/>
      <w:r w:rsidRPr="007F2CAF">
        <w:rPr>
          <w:lang w:val="en-GB"/>
        </w:rPr>
        <w:t>dHTML</w:t>
      </w:r>
      <w:proofErr w:type="spellEnd"/>
      <w:r w:rsidRPr="007F2CAF">
        <w:rPr>
          <w:lang w:val="en-GB"/>
        </w:rPr>
        <w:t xml:space="preserve"> document format that seamlessly integrates traditional document functionality with advanced application capabilities, culminating in a versatile </w:t>
      </w:r>
      <w:proofErr w:type="spellStart"/>
      <w:r w:rsidRPr="007F2CAF">
        <w:rPr>
          <w:lang w:val="en-GB"/>
        </w:rPr>
        <w:t>InfoApp</w:t>
      </w:r>
      <w:proofErr w:type="spellEnd"/>
      <w:r w:rsidRPr="007F2CAF">
        <w:rPr>
          <w:lang w:val="en-GB"/>
        </w:rPr>
        <w:t>.</w:t>
      </w:r>
    </w:p>
    <w:p w14:paraId="6793ABF9" w14:textId="77777777" w:rsidR="00EF7F8D" w:rsidRPr="00EF7F8D" w:rsidRDefault="00EF7F8D" w:rsidP="007F2CAF">
      <w:pPr>
        <w:ind w:firstLine="708"/>
        <w:rPr>
          <w:lang w:val="en-GB"/>
        </w:rPr>
      </w:pPr>
      <w:r w:rsidRPr="00EF7F8D">
        <w:rPr>
          <w:lang w:val="en-GB"/>
        </w:rPr>
        <w:t xml:space="preserve">This singular file, termed an </w:t>
      </w:r>
      <w:proofErr w:type="spellStart"/>
      <w:r w:rsidRPr="00EF7F8D">
        <w:rPr>
          <w:lang w:val="en-GB"/>
        </w:rPr>
        <w:t>InfoApp</w:t>
      </w:r>
      <w:proofErr w:type="spellEnd"/>
      <w:r w:rsidRPr="00EF7F8D">
        <w:rPr>
          <w:lang w:val="en-GB"/>
        </w:rPr>
        <w:t>, combines various essential functions:</w:t>
      </w:r>
    </w:p>
    <w:p w14:paraId="27394D92" w14:textId="269F4960" w:rsidR="00EF7F8D" w:rsidRPr="00EF7F8D" w:rsidRDefault="007F2CAF" w:rsidP="007F2CAF">
      <w:pPr>
        <w:ind w:firstLine="708"/>
        <w:rPr>
          <w:lang w:val="en-GB"/>
        </w:rPr>
      </w:pPr>
      <w:r>
        <w:rPr>
          <w:lang w:val="en-GB"/>
        </w:rPr>
        <w:t>a</w:t>
      </w:r>
      <w:r w:rsidR="00EF7F8D" w:rsidRPr="00EF7F8D">
        <w:rPr>
          <w:lang w:val="en-GB"/>
        </w:rPr>
        <w:t>- Acting as a data carrier with embedded data.</w:t>
      </w:r>
    </w:p>
    <w:p w14:paraId="5C6192E9" w14:textId="676B11BB" w:rsidR="00EF7F8D" w:rsidRPr="00EF7F8D" w:rsidRDefault="007F2CAF" w:rsidP="007F2CAF">
      <w:pPr>
        <w:ind w:firstLine="708"/>
        <w:rPr>
          <w:lang w:val="en-GB"/>
        </w:rPr>
      </w:pPr>
      <w:r>
        <w:rPr>
          <w:lang w:val="en-GB"/>
        </w:rPr>
        <w:t>b</w:t>
      </w:r>
      <w:r w:rsidR="00EF7F8D" w:rsidRPr="00EF7F8D">
        <w:rPr>
          <w:lang w:val="en-GB"/>
        </w:rPr>
        <w:t>- Offering analytical features such as visualization, aggregations, filtering, and more.</w:t>
      </w:r>
    </w:p>
    <w:p w14:paraId="264DC951" w14:textId="5B1EE11E" w:rsidR="00EF7F8D" w:rsidRPr="00EF7F8D" w:rsidRDefault="007F2CAF" w:rsidP="007F2CAF">
      <w:pPr>
        <w:ind w:firstLine="708"/>
        <w:rPr>
          <w:lang w:val="en-GB"/>
        </w:rPr>
      </w:pPr>
      <w:r>
        <w:rPr>
          <w:lang w:val="en-GB"/>
        </w:rPr>
        <w:t>c</w:t>
      </w:r>
      <w:r w:rsidR="00EF7F8D" w:rsidRPr="00EF7F8D">
        <w:rPr>
          <w:lang w:val="en-GB"/>
        </w:rPr>
        <w:t>- Conducting data validation upon loading.</w:t>
      </w:r>
    </w:p>
    <w:p w14:paraId="1130E5A5" w14:textId="072625D0" w:rsidR="00EF7F8D" w:rsidRPr="00EF7F8D" w:rsidRDefault="007F2CAF" w:rsidP="007F2CAF">
      <w:pPr>
        <w:ind w:left="708"/>
        <w:rPr>
          <w:lang w:val="en-GB"/>
        </w:rPr>
      </w:pPr>
      <w:r>
        <w:rPr>
          <w:lang w:val="en-GB"/>
        </w:rPr>
        <w:t>d</w:t>
      </w:r>
      <w:r w:rsidR="00EF7F8D" w:rsidRPr="00EF7F8D">
        <w:rPr>
          <w:lang w:val="en-GB"/>
        </w:rPr>
        <w:t>- Enabling data export in multiple formats (</w:t>
      </w:r>
      <w:r w:rsidR="00501908" w:rsidRPr="000941BE">
        <w:rPr>
          <w:lang w:val="en-GB"/>
        </w:rPr>
        <w:t xml:space="preserve"> </w:t>
      </w:r>
      <w:r w:rsidR="00501908">
        <w:rPr>
          <w:lang w:val="en-GB"/>
        </w:rPr>
        <w:t>xml</w:t>
      </w:r>
      <w:r w:rsidR="00501908" w:rsidRPr="000941BE">
        <w:rPr>
          <w:lang w:val="en-GB"/>
        </w:rPr>
        <w:t>,</w:t>
      </w:r>
      <w:r w:rsidR="00501908">
        <w:rPr>
          <w:lang w:val="en-GB"/>
        </w:rPr>
        <w:t xml:space="preserve"> </w:t>
      </w:r>
      <w:proofErr w:type="spellStart"/>
      <w:r w:rsidR="00501908">
        <w:rPr>
          <w:lang w:val="en-GB"/>
        </w:rPr>
        <w:t>json</w:t>
      </w:r>
      <w:proofErr w:type="spellEnd"/>
      <w:r w:rsidR="00501908" w:rsidRPr="000941BE">
        <w:rPr>
          <w:lang w:val="en-GB"/>
        </w:rPr>
        <w:t xml:space="preserve">, </w:t>
      </w:r>
      <w:r w:rsidR="00501908">
        <w:rPr>
          <w:lang w:val="en-GB"/>
        </w:rPr>
        <w:t>csv</w:t>
      </w:r>
      <w:r w:rsidR="00501908" w:rsidRPr="000941BE">
        <w:rPr>
          <w:lang w:val="en-GB"/>
        </w:rPr>
        <w:t>,</w:t>
      </w:r>
      <w:r w:rsidR="00501908">
        <w:rPr>
          <w:lang w:val="en-GB"/>
        </w:rPr>
        <w:t xml:space="preserve"> </w:t>
      </w:r>
      <w:proofErr w:type="spellStart"/>
      <w:r w:rsidR="00501908">
        <w:rPr>
          <w:lang w:val="en-GB"/>
        </w:rPr>
        <w:t>xhtml</w:t>
      </w:r>
      <w:proofErr w:type="spellEnd"/>
      <w:r w:rsidR="00501908">
        <w:rPr>
          <w:lang w:val="en-GB"/>
        </w:rPr>
        <w:t xml:space="preserve">, </w:t>
      </w:r>
      <w:proofErr w:type="spellStart"/>
      <w:r w:rsidR="00501908">
        <w:rPr>
          <w:lang w:val="en-GB"/>
        </w:rPr>
        <w:t>xls</w:t>
      </w:r>
      <w:proofErr w:type="spellEnd"/>
      <w:r w:rsidR="00501908">
        <w:rPr>
          <w:lang w:val="en-GB"/>
        </w:rPr>
        <w:t xml:space="preserve"> and a</w:t>
      </w:r>
      <w:r w:rsidR="00501908" w:rsidRPr="000941BE">
        <w:rPr>
          <w:lang w:val="en-GB"/>
        </w:rPr>
        <w:t>ny other embedded formatting tags e.g., XBLR</w:t>
      </w:r>
      <w:r w:rsidR="00501908">
        <w:rPr>
          <w:lang w:val="en-GB"/>
        </w:rPr>
        <w:t>)</w:t>
      </w:r>
      <w:r w:rsidR="00501908" w:rsidRPr="000941BE">
        <w:rPr>
          <w:lang w:val="en-GB"/>
        </w:rPr>
        <w:t xml:space="preserve"> </w:t>
      </w:r>
      <w:r w:rsidR="00EF7F8D" w:rsidRPr="00EF7F8D">
        <w:rPr>
          <w:lang w:val="en-GB"/>
        </w:rPr>
        <w:t>at any desired level (individual row data or aggregated subsets), among other functionalities.</w:t>
      </w:r>
    </w:p>
    <w:p w14:paraId="1BE6ADC8" w14:textId="77777777" w:rsidR="00EF7F8D" w:rsidRPr="00EF7F8D" w:rsidRDefault="00EF7F8D" w:rsidP="00EF7F8D">
      <w:pPr>
        <w:rPr>
          <w:lang w:val="en-GB"/>
        </w:rPr>
      </w:pPr>
    </w:p>
    <w:p w14:paraId="6C553865" w14:textId="1CD72078" w:rsidR="00CD5BB2" w:rsidRDefault="00EF7F8D" w:rsidP="007F2CAF">
      <w:pPr>
        <w:ind w:left="708"/>
        <w:rPr>
          <w:lang w:val="en-GB"/>
        </w:rPr>
      </w:pPr>
      <w:r w:rsidRPr="00EF7F8D">
        <w:rPr>
          <w:lang w:val="en-GB"/>
        </w:rPr>
        <w:t xml:space="preserve">The </w:t>
      </w:r>
      <w:r w:rsidR="00783606">
        <w:rPr>
          <w:lang w:val="en-GB"/>
        </w:rPr>
        <w:t>Securitisation</w:t>
      </w:r>
      <w:r w:rsidRPr="00EF7F8D">
        <w:rPr>
          <w:lang w:val="en-GB"/>
        </w:rPr>
        <w:t xml:space="preserve"> Uni</w:t>
      </w:r>
      <w:r w:rsidR="00D81F0F">
        <w:rPr>
          <w:lang w:val="en-GB"/>
        </w:rPr>
        <w:t>fied</w:t>
      </w:r>
      <w:r w:rsidRPr="00EF7F8D">
        <w:rPr>
          <w:lang w:val="en-GB"/>
        </w:rPr>
        <w:t xml:space="preserve"> Reporting File (SURF) boasts portability; it can be accessed via URL, sent via email, or easily uploaded and downloaded. With its user-friendly design, end users can effortlessly open SURF using any web browser, eliminating the need for specialized hardware, software, or IT skills. Moreover, the data within the file can be extracted or processed by machines, enhancing its accessibility and usability.</w:t>
      </w:r>
    </w:p>
    <w:p w14:paraId="6019B80E" w14:textId="77777777" w:rsidR="00EF7F8D" w:rsidRDefault="00EF7F8D" w:rsidP="00EF7F8D">
      <w:pPr>
        <w:rPr>
          <w:lang w:val="en-GB"/>
        </w:rPr>
      </w:pPr>
    </w:p>
    <w:p w14:paraId="07CA0E45" w14:textId="27FA603B" w:rsidR="000941BE" w:rsidRPr="000941BE" w:rsidRDefault="000941BE" w:rsidP="000941BE">
      <w:pPr>
        <w:rPr>
          <w:lang w:val="en-GB"/>
        </w:rPr>
      </w:pPr>
      <w:r w:rsidRPr="000941BE">
        <w:rPr>
          <w:lang w:val="en-GB"/>
        </w:rPr>
        <w:t xml:space="preserve">2- </w:t>
      </w:r>
      <w:r w:rsidRPr="007F2CAF">
        <w:rPr>
          <w:u w:val="single"/>
          <w:lang w:val="en-GB"/>
        </w:rPr>
        <w:t>Process Efficiencies and Savings:</w:t>
      </w:r>
    </w:p>
    <w:p w14:paraId="18003CCD" w14:textId="2929B53C" w:rsidR="000941BE" w:rsidRPr="000941BE" w:rsidRDefault="000941BE" w:rsidP="007F2CAF">
      <w:pPr>
        <w:ind w:left="708"/>
        <w:rPr>
          <w:lang w:val="en-GB"/>
        </w:rPr>
      </w:pPr>
      <w:r w:rsidRPr="000941BE">
        <w:rPr>
          <w:lang w:val="en-GB"/>
        </w:rPr>
        <w:t xml:space="preserve">a- Business users can swiftly create a </w:t>
      </w:r>
      <w:r w:rsidR="00D43A10">
        <w:rPr>
          <w:lang w:val="en-GB"/>
        </w:rPr>
        <w:t xml:space="preserve">new </w:t>
      </w:r>
      <w:r w:rsidRPr="000941BE">
        <w:rPr>
          <w:lang w:val="en-GB"/>
        </w:rPr>
        <w:t xml:space="preserve">template for the Reporting Entity within 1-2 days, accompanied </w:t>
      </w:r>
      <w:r w:rsidR="00C404EF">
        <w:rPr>
          <w:lang w:val="en-GB"/>
        </w:rPr>
        <w:t>with</w:t>
      </w:r>
      <w:r w:rsidRPr="000941BE">
        <w:rPr>
          <w:lang w:val="en-GB"/>
        </w:rPr>
        <w:t xml:space="preserve"> sample data.</w:t>
      </w:r>
    </w:p>
    <w:p w14:paraId="38DD82B4" w14:textId="57601754" w:rsidR="000941BE" w:rsidRPr="000941BE" w:rsidRDefault="000941BE" w:rsidP="00060038">
      <w:pPr>
        <w:ind w:left="708"/>
        <w:rPr>
          <w:lang w:val="en-GB"/>
        </w:rPr>
      </w:pPr>
      <w:r w:rsidRPr="000941BE">
        <w:rPr>
          <w:lang w:val="en-GB"/>
        </w:rPr>
        <w:t xml:space="preserve">b- Reporting Entities can populate templates from multiple data sources. For instance, </w:t>
      </w:r>
      <w:r w:rsidR="00D43A10">
        <w:rPr>
          <w:lang w:val="en-GB"/>
        </w:rPr>
        <w:t xml:space="preserve">client </w:t>
      </w:r>
      <w:r w:rsidRPr="000941BE">
        <w:rPr>
          <w:lang w:val="en-GB"/>
        </w:rPr>
        <w:t xml:space="preserve">Eurobank utilizes 9 data sources to populate a template, with the update process completing </w:t>
      </w:r>
      <w:r w:rsidR="00501908">
        <w:rPr>
          <w:lang w:val="en-GB"/>
        </w:rPr>
        <w:t>in a few minutes</w:t>
      </w:r>
      <w:r w:rsidRPr="000941BE">
        <w:rPr>
          <w:lang w:val="en-GB"/>
        </w:rPr>
        <w:t>. Automation of template population with data can be achieved seamlessly via APIs.</w:t>
      </w:r>
    </w:p>
    <w:p w14:paraId="0C68BD44" w14:textId="0CD21FB7" w:rsidR="000941BE" w:rsidRPr="000941BE" w:rsidRDefault="000941BE" w:rsidP="00060038">
      <w:pPr>
        <w:ind w:left="708"/>
        <w:rPr>
          <w:lang w:val="en-GB"/>
        </w:rPr>
      </w:pPr>
      <w:r w:rsidRPr="000941BE">
        <w:rPr>
          <w:lang w:val="en-GB"/>
        </w:rPr>
        <w:t>c- The data undergoes comprehensive validation by the template; mandatory fields without inputs prevent the rendering of the template. Furthermore, human</w:t>
      </w:r>
      <w:r w:rsidR="00C404EF">
        <w:rPr>
          <w:lang w:val="en-GB"/>
        </w:rPr>
        <w:t>-in-the-loop</w:t>
      </w:r>
      <w:r w:rsidRPr="000941BE">
        <w:rPr>
          <w:lang w:val="en-GB"/>
        </w:rPr>
        <w:t xml:space="preserve"> validation plays a crucial role, as experts can identify data errors in fully rendered reports that may elude Data Quality engines. Incorporating human oversight minimizes anomalous errors that are challenging for data quality systems to detect. Detecting errors in raw data is </w:t>
      </w:r>
      <w:r w:rsidR="00C404EF" w:rsidRPr="000941BE">
        <w:rPr>
          <w:lang w:val="en-GB"/>
        </w:rPr>
        <w:t>labour-intensive</w:t>
      </w:r>
      <w:r w:rsidRPr="000941BE">
        <w:rPr>
          <w:lang w:val="en-GB"/>
        </w:rPr>
        <w:t>, but experts can easily catch them in fully rendered reports, a task difficult for machines.</w:t>
      </w:r>
    </w:p>
    <w:p w14:paraId="7026CB2B" w14:textId="4D55C6DC" w:rsidR="000941BE" w:rsidRPr="000941BE" w:rsidRDefault="000941BE" w:rsidP="00060038">
      <w:pPr>
        <w:ind w:left="708"/>
        <w:rPr>
          <w:lang w:val="en-GB"/>
        </w:rPr>
      </w:pPr>
      <w:r w:rsidRPr="000941BE">
        <w:rPr>
          <w:lang w:val="en-GB"/>
        </w:rPr>
        <w:t xml:space="preserve">d- Templates can be submitted to the receiving </w:t>
      </w:r>
      <w:r w:rsidR="00501908">
        <w:rPr>
          <w:lang w:val="en-GB"/>
        </w:rPr>
        <w:t>Data Stakeholder</w:t>
      </w:r>
      <w:r w:rsidR="00501908" w:rsidRPr="000941BE">
        <w:rPr>
          <w:lang w:val="en-GB"/>
        </w:rPr>
        <w:t xml:space="preserve"> </w:t>
      </w:r>
      <w:r w:rsidRPr="000941BE">
        <w:rPr>
          <w:lang w:val="en-GB"/>
        </w:rPr>
        <w:t xml:space="preserve">via email, upload, or other standard file transmission technologies. The receiving </w:t>
      </w:r>
      <w:r w:rsidR="00D43A10">
        <w:rPr>
          <w:lang w:val="en-GB"/>
        </w:rPr>
        <w:t xml:space="preserve">Data Stakeholder </w:t>
      </w:r>
      <w:r w:rsidRPr="000941BE">
        <w:rPr>
          <w:lang w:val="en-GB"/>
        </w:rPr>
        <w:t xml:space="preserve">can extract or machine-read the data or subsets of the data in </w:t>
      </w:r>
      <w:r w:rsidR="00501908">
        <w:rPr>
          <w:lang w:val="en-GB"/>
        </w:rPr>
        <w:t>xml</w:t>
      </w:r>
      <w:r w:rsidRPr="000941BE">
        <w:rPr>
          <w:lang w:val="en-GB"/>
        </w:rPr>
        <w:t>,</w:t>
      </w:r>
      <w:r w:rsidR="00501908">
        <w:rPr>
          <w:lang w:val="en-GB"/>
        </w:rPr>
        <w:t xml:space="preserve"> </w:t>
      </w:r>
      <w:proofErr w:type="spellStart"/>
      <w:r w:rsidR="00501908">
        <w:rPr>
          <w:lang w:val="en-GB"/>
        </w:rPr>
        <w:t>json</w:t>
      </w:r>
      <w:proofErr w:type="spellEnd"/>
      <w:r w:rsidRPr="000941BE">
        <w:rPr>
          <w:lang w:val="en-GB"/>
        </w:rPr>
        <w:t xml:space="preserve">, </w:t>
      </w:r>
      <w:r w:rsidR="00501908">
        <w:rPr>
          <w:lang w:val="en-GB"/>
        </w:rPr>
        <w:t>csv</w:t>
      </w:r>
      <w:r w:rsidRPr="000941BE">
        <w:rPr>
          <w:lang w:val="en-GB"/>
        </w:rPr>
        <w:t>,</w:t>
      </w:r>
      <w:r w:rsidR="00501908">
        <w:rPr>
          <w:lang w:val="en-GB"/>
        </w:rPr>
        <w:t xml:space="preserve"> </w:t>
      </w:r>
      <w:proofErr w:type="spellStart"/>
      <w:r w:rsidR="00501908">
        <w:rPr>
          <w:lang w:val="en-GB"/>
        </w:rPr>
        <w:t>xhtml</w:t>
      </w:r>
      <w:proofErr w:type="spellEnd"/>
      <w:r w:rsidRPr="000941BE">
        <w:rPr>
          <w:lang w:val="en-GB"/>
        </w:rPr>
        <w:t xml:space="preserve"> and </w:t>
      </w:r>
      <w:proofErr w:type="spellStart"/>
      <w:r w:rsidR="00501908">
        <w:rPr>
          <w:lang w:val="en-GB"/>
        </w:rPr>
        <w:t>xls</w:t>
      </w:r>
      <w:proofErr w:type="spellEnd"/>
      <w:r w:rsidR="00501908" w:rsidRPr="000941BE">
        <w:rPr>
          <w:lang w:val="en-GB"/>
        </w:rPr>
        <w:t xml:space="preserve"> </w:t>
      </w:r>
      <w:r w:rsidRPr="000941BE">
        <w:rPr>
          <w:lang w:val="en-GB"/>
        </w:rPr>
        <w:t xml:space="preserve">formats, integrating them into other systems. Any other embedded formatting tags (e.g., </w:t>
      </w:r>
      <w:proofErr w:type="spellStart"/>
      <w:r w:rsidR="00501908">
        <w:rPr>
          <w:lang w:val="en-GB"/>
        </w:rPr>
        <w:t>xblr</w:t>
      </w:r>
      <w:proofErr w:type="spellEnd"/>
      <w:r w:rsidRPr="000941BE">
        <w:rPr>
          <w:lang w:val="en-GB"/>
        </w:rPr>
        <w:t>) are also extractable.</w:t>
      </w:r>
    </w:p>
    <w:p w14:paraId="7AD2A658" w14:textId="6EBAD257" w:rsidR="000941BE" w:rsidRPr="000941BE" w:rsidRDefault="000941BE" w:rsidP="00060038">
      <w:pPr>
        <w:ind w:left="708"/>
        <w:rPr>
          <w:lang w:val="en-GB"/>
        </w:rPr>
      </w:pPr>
      <w:r w:rsidRPr="000941BE">
        <w:rPr>
          <w:lang w:val="en-GB"/>
        </w:rPr>
        <w:t xml:space="preserve">e- The receiving </w:t>
      </w:r>
      <w:r w:rsidR="00D43A10">
        <w:rPr>
          <w:lang w:val="en-GB"/>
        </w:rPr>
        <w:t>Data Stakeholder</w:t>
      </w:r>
      <w:r w:rsidR="00D43A10" w:rsidRPr="000941BE">
        <w:rPr>
          <w:lang w:val="en-GB"/>
        </w:rPr>
        <w:t xml:space="preserve"> </w:t>
      </w:r>
      <w:r w:rsidRPr="000941BE">
        <w:rPr>
          <w:lang w:val="en-GB"/>
        </w:rPr>
        <w:t>has the flexibility to repurpose the template by populating it with additional custom data for investors and decision-makers. Automation of this process allows personalized templates to be automatically dispatched to investors.</w:t>
      </w:r>
    </w:p>
    <w:p w14:paraId="254D0849" w14:textId="66ECC8E9" w:rsidR="000941BE" w:rsidRPr="000941BE" w:rsidRDefault="000941BE" w:rsidP="00060038">
      <w:pPr>
        <w:ind w:left="708"/>
        <w:rPr>
          <w:lang w:val="en-GB"/>
        </w:rPr>
      </w:pPr>
      <w:r w:rsidRPr="000941BE">
        <w:rPr>
          <w:lang w:val="en-GB"/>
        </w:rPr>
        <w:t>f- Templates can be effortlessly versioned for each institution without compromising data interchange between systems, as they are fully tagged.</w:t>
      </w:r>
    </w:p>
    <w:p w14:paraId="6AB0F9F3" w14:textId="1743AD44" w:rsidR="008F4357" w:rsidRDefault="000941BE" w:rsidP="00060038">
      <w:pPr>
        <w:ind w:left="708"/>
        <w:rPr>
          <w:lang w:val="en-GB"/>
        </w:rPr>
      </w:pPr>
      <w:r w:rsidRPr="000941BE">
        <w:rPr>
          <w:lang w:val="en-GB"/>
        </w:rPr>
        <w:t>This streamlined process eliminates the need for complex ETL (Extract, Transform, Load), DQ (Data Quality) rules engines, DG (Data Governance), MDM (Master Data Management), APIs, report development (Business Intelligence technologies), and information and report distribution technologies.</w:t>
      </w:r>
    </w:p>
    <w:p w14:paraId="22BAC545" w14:textId="3A241BE9" w:rsidR="00A52F82" w:rsidRDefault="00A52F82">
      <w:pPr>
        <w:rPr>
          <w:lang w:val="en-GB"/>
        </w:rPr>
      </w:pPr>
      <w:r>
        <w:rPr>
          <w:lang w:val="en-GB"/>
        </w:rPr>
        <w:br w:type="page"/>
      </w:r>
    </w:p>
    <w:p w14:paraId="164F8CE5" w14:textId="77777777" w:rsidR="00C404EF" w:rsidRPr="002D164C" w:rsidRDefault="00C404EF" w:rsidP="000941BE">
      <w:pPr>
        <w:rPr>
          <w:lang w:val="en-GB"/>
        </w:rPr>
      </w:pPr>
    </w:p>
    <w:p w14:paraId="1C1B1FFC" w14:textId="4C849014" w:rsidR="00DF02FC" w:rsidRPr="00FF5853" w:rsidRDefault="00225C97" w:rsidP="008F4357">
      <w:pPr>
        <w:rPr>
          <w:u w:val="single"/>
          <w:lang w:val="en-GB"/>
        </w:rPr>
      </w:pPr>
      <w:r w:rsidRPr="00FF5853">
        <w:rPr>
          <w:b/>
          <w:bCs/>
          <w:u w:val="single"/>
          <w:lang w:val="en-GB"/>
        </w:rPr>
        <w:t>IV</w:t>
      </w:r>
      <w:r w:rsidR="001477F1">
        <w:rPr>
          <w:b/>
          <w:bCs/>
          <w:u w:val="single"/>
          <w:lang w:val="en-GB"/>
        </w:rPr>
        <w:t xml:space="preserve">. </w:t>
      </w:r>
      <w:r w:rsidRPr="00FF5853">
        <w:rPr>
          <w:b/>
          <w:bCs/>
          <w:u w:val="single"/>
          <w:lang w:val="en-GB"/>
        </w:rPr>
        <w:t xml:space="preserve"> </w:t>
      </w:r>
      <w:r w:rsidR="008F4357" w:rsidRPr="00FF5853">
        <w:rPr>
          <w:b/>
          <w:bCs/>
          <w:u w:val="single"/>
          <w:lang w:val="en-GB"/>
        </w:rPr>
        <w:t xml:space="preserve">Selected </w:t>
      </w:r>
      <w:r w:rsidR="00783606">
        <w:rPr>
          <w:b/>
          <w:bCs/>
          <w:u w:val="single"/>
          <w:lang w:val="en-GB"/>
        </w:rPr>
        <w:t xml:space="preserve">public-facing </w:t>
      </w:r>
      <w:r w:rsidR="008F4357" w:rsidRPr="00FF5853">
        <w:rPr>
          <w:b/>
          <w:bCs/>
          <w:u w:val="single"/>
          <w:lang w:val="en-GB"/>
        </w:rPr>
        <w:t xml:space="preserve">Structured Finance interactive </w:t>
      </w:r>
      <w:proofErr w:type="spellStart"/>
      <w:r w:rsidR="008F4357" w:rsidRPr="00FF5853">
        <w:rPr>
          <w:b/>
          <w:bCs/>
          <w:u w:val="single"/>
          <w:lang w:val="en-GB"/>
        </w:rPr>
        <w:t>InfoApps</w:t>
      </w:r>
      <w:proofErr w:type="spellEnd"/>
      <w:r w:rsidR="008F4357" w:rsidRPr="00FF5853">
        <w:rPr>
          <w:b/>
          <w:bCs/>
          <w:u w:val="single"/>
          <w:lang w:val="en-GB"/>
        </w:rPr>
        <w:t xml:space="preserve"> </w:t>
      </w:r>
      <w:r w:rsidR="00501908">
        <w:rPr>
          <w:b/>
          <w:bCs/>
          <w:u w:val="single"/>
          <w:lang w:val="en-GB"/>
        </w:rPr>
        <w:t xml:space="preserve">released </w:t>
      </w:r>
      <w:r w:rsidR="008F4357" w:rsidRPr="00FF5853">
        <w:rPr>
          <w:b/>
          <w:bCs/>
          <w:u w:val="single"/>
          <w:lang w:val="en-GB"/>
        </w:rPr>
        <w:t xml:space="preserve">by </w:t>
      </w:r>
      <w:r w:rsidR="00501908">
        <w:rPr>
          <w:b/>
          <w:bCs/>
          <w:u w:val="single"/>
          <w:lang w:val="en-GB"/>
        </w:rPr>
        <w:t xml:space="preserve">European </w:t>
      </w:r>
      <w:r w:rsidR="008F4357" w:rsidRPr="00FF5853">
        <w:rPr>
          <w:b/>
          <w:bCs/>
          <w:u w:val="single"/>
          <w:lang w:val="en-GB"/>
        </w:rPr>
        <w:t xml:space="preserve">Market Associations </w:t>
      </w:r>
    </w:p>
    <w:p w14:paraId="3E988141" w14:textId="4CC802DD" w:rsidR="008F4357" w:rsidRDefault="008F4357" w:rsidP="008F4357">
      <w:pPr>
        <w:rPr>
          <w:lang w:val="en-GB"/>
        </w:rPr>
      </w:pPr>
      <w:r w:rsidRPr="00FF5853">
        <w:rPr>
          <w:b/>
          <w:bCs/>
          <w:lang w:val="en-GB"/>
        </w:rPr>
        <w:t>European Mortgage Federation and  European Covered Bond</w:t>
      </w:r>
      <w:r w:rsidR="00925E01">
        <w:rPr>
          <w:b/>
          <w:bCs/>
          <w:lang w:val="en-GB"/>
        </w:rPr>
        <w:t xml:space="preserve"> </w:t>
      </w:r>
      <w:r w:rsidRPr="00FF5853">
        <w:rPr>
          <w:b/>
          <w:bCs/>
          <w:lang w:val="en-GB"/>
        </w:rPr>
        <w:t>Co</w:t>
      </w:r>
      <w:r w:rsidR="00925E01">
        <w:rPr>
          <w:b/>
          <w:bCs/>
          <w:lang w:val="en-GB"/>
        </w:rPr>
        <w:t>u</w:t>
      </w:r>
      <w:r w:rsidRPr="00FF5853">
        <w:rPr>
          <w:b/>
          <w:bCs/>
          <w:lang w:val="en-GB"/>
        </w:rPr>
        <w:t>ncil</w:t>
      </w:r>
      <w:r w:rsidR="00ED3848">
        <w:rPr>
          <w:lang w:val="en-GB"/>
        </w:rPr>
        <w:t xml:space="preserve"> :</w:t>
      </w:r>
      <w:r w:rsidR="00925E01">
        <w:rPr>
          <w:lang w:val="en-GB"/>
        </w:rPr>
        <w:t>T</w:t>
      </w:r>
      <w:r>
        <w:rPr>
          <w:lang w:val="en-GB"/>
        </w:rPr>
        <w:t xml:space="preserve">he </w:t>
      </w:r>
      <w:r w:rsidR="00925E01">
        <w:rPr>
          <w:lang w:val="en-GB"/>
        </w:rPr>
        <w:t xml:space="preserve">EMF Data Hub </w:t>
      </w:r>
      <w:r>
        <w:rPr>
          <w:lang w:val="en-GB"/>
        </w:rPr>
        <w:t xml:space="preserve">is the analytical complement to their </w:t>
      </w:r>
      <w:r w:rsidR="00625F94">
        <w:rPr>
          <w:lang w:val="en-GB"/>
        </w:rPr>
        <w:t>700-page</w:t>
      </w:r>
      <w:r>
        <w:rPr>
          <w:lang w:val="en-GB"/>
        </w:rPr>
        <w:t xml:space="preserve"> statistical book </w:t>
      </w:r>
      <w:hyperlink r:id="rId8" w:history="1">
        <w:r w:rsidRPr="005425A2">
          <w:rPr>
            <w:rStyle w:val="Lienhypertexte"/>
            <w:lang w:val="en-GB"/>
          </w:rPr>
          <w:t>https://hypo.org/emf/publications/data/</w:t>
        </w:r>
      </w:hyperlink>
    </w:p>
    <w:p w14:paraId="5A1D2025" w14:textId="77777777" w:rsidR="008F4357" w:rsidRDefault="008F4357" w:rsidP="008F4357">
      <w:pPr>
        <w:rPr>
          <w:lang w:val="en-GB"/>
        </w:rPr>
      </w:pPr>
    </w:p>
    <w:p w14:paraId="651A530D" w14:textId="5CA263FD" w:rsidR="008F4357" w:rsidRDefault="00ED3848" w:rsidP="008F4357">
      <w:pPr>
        <w:rPr>
          <w:lang w:val="en-GB"/>
        </w:rPr>
      </w:pPr>
      <w:r>
        <w:rPr>
          <w:b/>
          <w:bCs/>
          <w:lang w:val="en-GB"/>
        </w:rPr>
        <w:t xml:space="preserve">PCS - </w:t>
      </w:r>
      <w:r w:rsidR="008F4357" w:rsidRPr="00FF5853">
        <w:rPr>
          <w:b/>
          <w:bCs/>
          <w:lang w:val="en-GB"/>
        </w:rPr>
        <w:t>P</w:t>
      </w:r>
      <w:r w:rsidR="008F4357">
        <w:rPr>
          <w:b/>
          <w:bCs/>
          <w:lang w:val="en-GB"/>
        </w:rPr>
        <w:t xml:space="preserve">rime </w:t>
      </w:r>
      <w:r w:rsidR="008F4357" w:rsidRPr="00FF5853">
        <w:rPr>
          <w:b/>
          <w:bCs/>
          <w:lang w:val="en-GB"/>
        </w:rPr>
        <w:t>C</w:t>
      </w:r>
      <w:r w:rsidR="008F4357">
        <w:rPr>
          <w:b/>
          <w:bCs/>
          <w:lang w:val="en-GB"/>
        </w:rPr>
        <w:t xml:space="preserve">ollateral </w:t>
      </w:r>
      <w:r w:rsidR="008F4357" w:rsidRPr="00FF5853">
        <w:rPr>
          <w:b/>
          <w:bCs/>
          <w:lang w:val="en-GB"/>
        </w:rPr>
        <w:t>S</w:t>
      </w:r>
      <w:r w:rsidR="008F4357">
        <w:rPr>
          <w:b/>
          <w:bCs/>
          <w:lang w:val="en-GB"/>
        </w:rPr>
        <w:t>ecurities</w:t>
      </w:r>
      <w:r>
        <w:rPr>
          <w:b/>
          <w:bCs/>
          <w:lang w:val="en-GB"/>
        </w:rPr>
        <w:t xml:space="preserve"> :</w:t>
      </w:r>
      <w:r>
        <w:rPr>
          <w:lang w:val="en-GB"/>
        </w:rPr>
        <w:t xml:space="preserve"> </w:t>
      </w:r>
      <w:r w:rsidR="008F4357">
        <w:rPr>
          <w:lang w:val="en-GB"/>
        </w:rPr>
        <w:t xml:space="preserve">Website inset </w:t>
      </w:r>
      <w:r>
        <w:rPr>
          <w:lang w:val="en-GB"/>
        </w:rPr>
        <w:t xml:space="preserve">with instant interactive insights into </w:t>
      </w:r>
      <w:r w:rsidR="008F4357">
        <w:rPr>
          <w:lang w:val="en-GB"/>
        </w:rPr>
        <w:t>PCS</w:t>
      </w:r>
      <w:r>
        <w:rPr>
          <w:lang w:val="en-GB"/>
        </w:rPr>
        <w:t xml:space="preserve"> up to date certification per sector</w:t>
      </w:r>
      <w:r w:rsidR="008F4357">
        <w:rPr>
          <w:lang w:val="en-GB"/>
        </w:rPr>
        <w:t xml:space="preserve">. </w:t>
      </w:r>
    </w:p>
    <w:p w14:paraId="7BA37C64" w14:textId="7E20DF83" w:rsidR="008F4357" w:rsidRDefault="008F4357" w:rsidP="008F4357">
      <w:pPr>
        <w:rPr>
          <w:rStyle w:val="Lienhypertexte"/>
          <w:lang w:val="en-GB"/>
        </w:rPr>
      </w:pPr>
      <w:hyperlink r:id="rId9" w:history="1">
        <w:r w:rsidRPr="008F4357">
          <w:rPr>
            <w:rStyle w:val="Lienhypertexte"/>
            <w:lang w:val="en-GB"/>
          </w:rPr>
          <w:t>https://pcsmarket.org/the-great-library/sts-market-data/</w:t>
        </w:r>
      </w:hyperlink>
    </w:p>
    <w:p w14:paraId="6BE58FAD" w14:textId="77777777" w:rsidR="008F4357" w:rsidRDefault="008F4357" w:rsidP="008F4357">
      <w:pPr>
        <w:rPr>
          <w:lang w:val="en-GB"/>
        </w:rPr>
      </w:pPr>
    </w:p>
    <w:p w14:paraId="49E80A1B" w14:textId="16C10FC3" w:rsidR="008F4357" w:rsidRPr="000B0639" w:rsidRDefault="008F4357" w:rsidP="008F4357">
      <w:pPr>
        <w:rPr>
          <w:b/>
          <w:bCs/>
        </w:rPr>
      </w:pPr>
      <w:r w:rsidRPr="00FF5853">
        <w:rPr>
          <w:b/>
          <w:bCs/>
          <w:lang w:val="en-GB"/>
        </w:rPr>
        <w:t xml:space="preserve">VdP - </w:t>
      </w:r>
      <w:proofErr w:type="spellStart"/>
      <w:r w:rsidRPr="00FF5853">
        <w:rPr>
          <w:b/>
          <w:bCs/>
          <w:lang w:val="en-GB"/>
        </w:rPr>
        <w:t>Verband</w:t>
      </w:r>
      <w:proofErr w:type="spellEnd"/>
      <w:r w:rsidRPr="00FF5853">
        <w:rPr>
          <w:b/>
          <w:bCs/>
          <w:lang w:val="en-GB"/>
        </w:rPr>
        <w:t xml:space="preserve"> Deutscher </w:t>
      </w:r>
      <w:proofErr w:type="spellStart"/>
      <w:r w:rsidRPr="00FF5853">
        <w:rPr>
          <w:b/>
          <w:bCs/>
          <w:lang w:val="en-GB"/>
        </w:rPr>
        <w:t>Pfandbriefban</w:t>
      </w:r>
      <w:r w:rsidR="00ED3848">
        <w:rPr>
          <w:b/>
          <w:bCs/>
          <w:lang w:val="en-GB"/>
        </w:rPr>
        <w:t>k</w:t>
      </w:r>
      <w:r w:rsidRPr="00FF5853">
        <w:rPr>
          <w:b/>
          <w:bCs/>
          <w:lang w:val="en-GB"/>
        </w:rPr>
        <w:t>en</w:t>
      </w:r>
      <w:proofErr w:type="spellEnd"/>
      <w:r w:rsidR="00ED3848">
        <w:rPr>
          <w:b/>
          <w:bCs/>
          <w:lang w:val="en-GB"/>
        </w:rPr>
        <w:t xml:space="preserve">: </w:t>
      </w:r>
      <w:r>
        <w:rPr>
          <w:lang w:val="en-GB"/>
        </w:rPr>
        <w:t xml:space="preserve">Green </w:t>
      </w:r>
      <w:proofErr w:type="spellStart"/>
      <w:r>
        <w:rPr>
          <w:lang w:val="en-GB"/>
        </w:rPr>
        <w:t>Pfandbrief</w:t>
      </w:r>
      <w:proofErr w:type="spellEnd"/>
      <w:r>
        <w:rPr>
          <w:lang w:val="en-GB"/>
        </w:rPr>
        <w:t xml:space="preserve"> </w:t>
      </w:r>
      <w:r w:rsidR="00ED3848">
        <w:rPr>
          <w:lang w:val="en-GB"/>
        </w:rPr>
        <w:t>I</w:t>
      </w:r>
      <w:r>
        <w:rPr>
          <w:lang w:val="en-GB"/>
        </w:rPr>
        <w:t xml:space="preserve">ssuance </w:t>
      </w:r>
      <w:proofErr w:type="gramStart"/>
      <w:r w:rsidR="00ED3848">
        <w:rPr>
          <w:lang w:val="en-GB"/>
        </w:rPr>
        <w:t>online</w:t>
      </w:r>
      <w:proofErr w:type="gramEnd"/>
      <w:r w:rsidR="00ED3848">
        <w:rPr>
          <w:lang w:val="en-GB"/>
        </w:rPr>
        <w:t xml:space="preserve"> D</w:t>
      </w:r>
      <w:r>
        <w:rPr>
          <w:lang w:val="en-GB"/>
        </w:rPr>
        <w:t xml:space="preserve">ashboard </w:t>
      </w:r>
      <w:r w:rsidRPr="00F023BA">
        <w:rPr>
          <w:lang w:val="en-GB"/>
        </w:rPr>
        <w:t xml:space="preserve">developed by </w:t>
      </w:r>
      <w:r w:rsidR="00ED3848">
        <w:rPr>
          <w:lang w:val="en-GB"/>
        </w:rPr>
        <w:t>VdP</w:t>
      </w:r>
      <w:r w:rsidRPr="00F023BA">
        <w:rPr>
          <w:lang w:val="en-GB"/>
        </w:rPr>
        <w:t xml:space="preserve"> without IT support. </w:t>
      </w:r>
      <w:hyperlink r:id="rId10" w:history="1">
        <w:r w:rsidR="00D43A10" w:rsidRPr="000B0639">
          <w:rPr>
            <w:rStyle w:val="Lienhypertexte"/>
          </w:rPr>
          <w:t>https://www.pfandbrief.de/site/de/vdp/sustainable_finance/Pfandbriefe/Nachhaltige-Emissionen.html</w:t>
        </w:r>
      </w:hyperlink>
      <w:hyperlink w:history="1"/>
    </w:p>
    <w:p w14:paraId="5D64115C" w14:textId="391CF9C2" w:rsidR="00355169" w:rsidRPr="00936DA7" w:rsidRDefault="00ED3848">
      <w:r>
        <w:rPr>
          <w:b/>
          <w:bCs/>
          <w:lang w:val="en-GB"/>
        </w:rPr>
        <w:t xml:space="preserve">EDW - </w:t>
      </w:r>
      <w:r w:rsidR="008F4357" w:rsidRPr="00FF5853">
        <w:rPr>
          <w:b/>
          <w:bCs/>
          <w:lang w:val="en-GB"/>
        </w:rPr>
        <w:t xml:space="preserve">European </w:t>
      </w:r>
      <w:proofErr w:type="spellStart"/>
      <w:r w:rsidR="008F4357" w:rsidRPr="00FF5853">
        <w:rPr>
          <w:b/>
          <w:bCs/>
          <w:lang w:val="en-GB"/>
        </w:rPr>
        <w:t>DataWarehouse</w:t>
      </w:r>
      <w:proofErr w:type="spellEnd"/>
      <w:r>
        <w:rPr>
          <w:b/>
          <w:bCs/>
          <w:lang w:val="en-GB"/>
        </w:rPr>
        <w:t>:</w:t>
      </w:r>
      <w:r w:rsidR="008F4357">
        <w:rPr>
          <w:b/>
          <w:bCs/>
          <w:lang w:val="en-GB"/>
        </w:rPr>
        <w:t xml:space="preserve"> </w:t>
      </w:r>
      <w:r>
        <w:rPr>
          <w:b/>
          <w:bCs/>
          <w:lang w:val="en-GB"/>
        </w:rPr>
        <w:t>I</w:t>
      </w:r>
      <w:r>
        <w:rPr>
          <w:lang w:val="en-GB"/>
        </w:rPr>
        <w:t>nstant insights into Italian SME securitisation activity complementing row transaction data.</w:t>
      </w:r>
      <w:r w:rsidR="008F4357">
        <w:rPr>
          <w:lang w:val="en-GB"/>
        </w:rPr>
        <w:t xml:space="preserve"> </w:t>
      </w:r>
      <w:hyperlink r:id="rId11" w:history="1">
        <w:r w:rsidR="008F4357" w:rsidRPr="00936DA7">
          <w:rPr>
            <w:rStyle w:val="Lienhypertexte"/>
          </w:rPr>
          <w:t>https://storieddata.com/wp-content/uploads/Demo-Files/Euro-Data-Warehouse-Barometer-Report.html</w:t>
        </w:r>
      </w:hyperlink>
    </w:p>
    <w:sectPr w:rsidR="00355169" w:rsidRPr="00936DA7" w:rsidSect="00091B18">
      <w:headerReference w:type="even" r:id="rId12"/>
      <w:headerReference w:type="default" r:id="rId13"/>
      <w:headerReference w:type="first" r:id="rId14"/>
      <w:pgSz w:w="11906" w:h="16838"/>
      <w:pgMar w:top="156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A30EE" w14:textId="77777777" w:rsidR="008F303A" w:rsidRDefault="008F303A" w:rsidP="007C015E">
      <w:pPr>
        <w:spacing w:after="0" w:line="240" w:lineRule="auto"/>
      </w:pPr>
      <w:r>
        <w:separator/>
      </w:r>
    </w:p>
  </w:endnote>
  <w:endnote w:type="continuationSeparator" w:id="0">
    <w:p w14:paraId="09CD97E8" w14:textId="77777777" w:rsidR="008F303A" w:rsidRDefault="008F303A" w:rsidP="007C0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759A6" w14:textId="77777777" w:rsidR="008F303A" w:rsidRDefault="008F303A" w:rsidP="007C015E">
      <w:pPr>
        <w:spacing w:after="0" w:line="240" w:lineRule="auto"/>
      </w:pPr>
      <w:r>
        <w:separator/>
      </w:r>
    </w:p>
  </w:footnote>
  <w:footnote w:type="continuationSeparator" w:id="0">
    <w:p w14:paraId="1410B94C" w14:textId="77777777" w:rsidR="008F303A" w:rsidRDefault="008F303A" w:rsidP="007C01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CF305" w14:textId="035B6510" w:rsidR="007C015E" w:rsidRDefault="007C015E">
    <w:pPr>
      <w:pStyle w:val="En-tte"/>
    </w:pPr>
    <w:r>
      <w:rPr>
        <w:noProof/>
      </w:rPr>
      <mc:AlternateContent>
        <mc:Choice Requires="wps">
          <w:drawing>
            <wp:anchor distT="0" distB="0" distL="0" distR="0" simplePos="0" relativeHeight="251659264" behindDoc="0" locked="0" layoutInCell="1" allowOverlap="1" wp14:anchorId="6440D1EE" wp14:editId="64063AB8">
              <wp:simplePos x="635" y="635"/>
              <wp:positionH relativeFrom="page">
                <wp:align>left</wp:align>
              </wp:positionH>
              <wp:positionV relativeFrom="page">
                <wp:align>top</wp:align>
              </wp:positionV>
              <wp:extent cx="443865" cy="443865"/>
              <wp:effectExtent l="0" t="0" r="13970" b="4445"/>
              <wp:wrapNone/>
              <wp:docPr id="158323610" name="Text Box 2" descr="Information 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E0F3BA" w14:textId="0CF30AC1" w:rsidR="007C015E" w:rsidRPr="007C015E" w:rsidRDefault="007C015E" w:rsidP="007C015E">
                          <w:pPr>
                            <w:spacing w:after="0"/>
                            <w:rPr>
                              <w:rFonts w:ascii="Calibri" w:eastAsia="Calibri" w:hAnsi="Calibri" w:cs="Calibri"/>
                              <w:noProof/>
                              <w:color w:val="000000"/>
                              <w:sz w:val="20"/>
                              <w:szCs w:val="20"/>
                            </w:rPr>
                          </w:pPr>
                          <w:r w:rsidRPr="007C015E">
                            <w:rPr>
                              <w:rFonts w:ascii="Calibri" w:eastAsia="Calibri" w:hAnsi="Calibri" w:cs="Calibri"/>
                              <w:noProof/>
                              <w:color w:val="000000"/>
                              <w:sz w:val="20"/>
                              <w:szCs w:val="20"/>
                            </w:rPr>
                            <w:t>Information 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440D1EE" id="_x0000_t202" coordsize="21600,21600" o:spt="202" path="m,l,21600r21600,l21600,xe">
              <v:stroke joinstyle="miter"/>
              <v:path gradientshapeok="t" o:connecttype="rect"/>
            </v:shapetype>
            <v:shape id="Text Box 2" o:spid="_x0000_s1026" type="#_x0000_t202" alt="Information Classification: Internal Use"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6CE0F3BA" w14:textId="0CF30AC1" w:rsidR="007C015E" w:rsidRPr="007C015E" w:rsidRDefault="007C015E" w:rsidP="007C015E">
                    <w:pPr>
                      <w:spacing w:after="0"/>
                      <w:rPr>
                        <w:rFonts w:ascii="Calibri" w:eastAsia="Calibri" w:hAnsi="Calibri" w:cs="Calibri"/>
                        <w:noProof/>
                        <w:color w:val="000000"/>
                        <w:sz w:val="20"/>
                        <w:szCs w:val="20"/>
                      </w:rPr>
                    </w:pPr>
                    <w:r w:rsidRPr="007C015E">
                      <w:rPr>
                        <w:rFonts w:ascii="Calibri" w:eastAsia="Calibri" w:hAnsi="Calibri" w:cs="Calibri"/>
                        <w:noProof/>
                        <w:color w:val="000000"/>
                        <w:sz w:val="20"/>
                        <w:szCs w:val="20"/>
                      </w:rPr>
                      <w:t>Information Classification: Internal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C55B" w14:textId="63DB2B7B" w:rsidR="007C015E" w:rsidRDefault="007C015E">
    <w:pPr>
      <w:pStyle w:val="En-tte"/>
    </w:pPr>
    <w:r>
      <w:rPr>
        <w:noProof/>
      </w:rPr>
      <mc:AlternateContent>
        <mc:Choice Requires="wps">
          <w:drawing>
            <wp:anchor distT="0" distB="0" distL="0" distR="0" simplePos="0" relativeHeight="251660288" behindDoc="0" locked="0" layoutInCell="1" allowOverlap="1" wp14:anchorId="6A1FFF59" wp14:editId="1FD602C1">
              <wp:simplePos x="914400" y="447675"/>
              <wp:positionH relativeFrom="page">
                <wp:align>left</wp:align>
              </wp:positionH>
              <wp:positionV relativeFrom="page">
                <wp:align>top</wp:align>
              </wp:positionV>
              <wp:extent cx="443865" cy="443865"/>
              <wp:effectExtent l="0" t="0" r="13970" b="4445"/>
              <wp:wrapNone/>
              <wp:docPr id="491999255" name="Text Box 3" descr="Information 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EB11B3" w14:textId="621DAE7D" w:rsidR="007C015E" w:rsidRPr="007C015E" w:rsidRDefault="007C015E" w:rsidP="007C015E">
                          <w:pPr>
                            <w:spacing w:after="0"/>
                            <w:rPr>
                              <w:rFonts w:ascii="Calibri" w:eastAsia="Calibri" w:hAnsi="Calibri" w:cs="Calibri"/>
                              <w:noProof/>
                              <w:color w:val="000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A1FFF59" id="_x0000_t202" coordsize="21600,21600" o:spt="202" path="m,l,21600r21600,l21600,xe">
              <v:stroke joinstyle="miter"/>
              <v:path gradientshapeok="t" o:connecttype="rect"/>
            </v:shapetype>
            <v:shape id="Text Box 3" o:spid="_x0000_s1027" type="#_x0000_t202" alt="Information Classification: Internal Use"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9EB11B3" w14:textId="621DAE7D" w:rsidR="007C015E" w:rsidRPr="007C015E" w:rsidRDefault="007C015E" w:rsidP="007C015E">
                    <w:pPr>
                      <w:spacing w:after="0"/>
                      <w:rPr>
                        <w:rFonts w:ascii="Calibri" w:eastAsia="Calibri" w:hAnsi="Calibri" w:cs="Calibri"/>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3589A" w14:textId="3E17342D" w:rsidR="007C015E" w:rsidRDefault="007C015E">
    <w:pPr>
      <w:pStyle w:val="En-tte"/>
    </w:pPr>
    <w:r>
      <w:rPr>
        <w:noProof/>
      </w:rPr>
      <mc:AlternateContent>
        <mc:Choice Requires="wps">
          <w:drawing>
            <wp:anchor distT="0" distB="0" distL="0" distR="0" simplePos="0" relativeHeight="251658240" behindDoc="0" locked="0" layoutInCell="1" allowOverlap="1" wp14:anchorId="1B398A33" wp14:editId="4DBE85E9">
              <wp:simplePos x="635" y="635"/>
              <wp:positionH relativeFrom="page">
                <wp:align>left</wp:align>
              </wp:positionH>
              <wp:positionV relativeFrom="page">
                <wp:align>top</wp:align>
              </wp:positionV>
              <wp:extent cx="443865" cy="443865"/>
              <wp:effectExtent l="0" t="0" r="13970" b="4445"/>
              <wp:wrapNone/>
              <wp:docPr id="1151911303" name="Text Box 1" descr="Information Classification: 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A0BE74" w14:textId="70B753E3" w:rsidR="007C015E" w:rsidRPr="007C015E" w:rsidRDefault="007C015E" w:rsidP="007C015E">
                          <w:pPr>
                            <w:spacing w:after="0"/>
                            <w:rPr>
                              <w:rFonts w:ascii="Calibri" w:eastAsia="Calibri" w:hAnsi="Calibri" w:cs="Calibri"/>
                              <w:noProof/>
                              <w:color w:val="000000"/>
                              <w:sz w:val="20"/>
                              <w:szCs w:val="20"/>
                            </w:rPr>
                          </w:pPr>
                          <w:r w:rsidRPr="007C015E">
                            <w:rPr>
                              <w:rFonts w:ascii="Calibri" w:eastAsia="Calibri" w:hAnsi="Calibri" w:cs="Calibri"/>
                              <w:noProof/>
                              <w:color w:val="000000"/>
                              <w:sz w:val="20"/>
                              <w:szCs w:val="20"/>
                            </w:rPr>
                            <w:t>Information Classification: Internal Use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B398A33" id="_x0000_t202" coordsize="21600,21600" o:spt="202" path="m,l,21600r21600,l21600,xe">
              <v:stroke joinstyle="miter"/>
              <v:path gradientshapeok="t" o:connecttype="rect"/>
            </v:shapetype>
            <v:shape id="Text Box 1" o:spid="_x0000_s1028" type="#_x0000_t202" alt="Information Classification: Internal Use"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4BA0BE74" w14:textId="70B753E3" w:rsidR="007C015E" w:rsidRPr="007C015E" w:rsidRDefault="007C015E" w:rsidP="007C015E">
                    <w:pPr>
                      <w:spacing w:after="0"/>
                      <w:rPr>
                        <w:rFonts w:ascii="Calibri" w:eastAsia="Calibri" w:hAnsi="Calibri" w:cs="Calibri"/>
                        <w:noProof/>
                        <w:color w:val="000000"/>
                        <w:sz w:val="20"/>
                        <w:szCs w:val="20"/>
                      </w:rPr>
                    </w:pPr>
                    <w:r w:rsidRPr="007C015E">
                      <w:rPr>
                        <w:rFonts w:ascii="Calibri" w:eastAsia="Calibri" w:hAnsi="Calibri" w:cs="Calibri"/>
                        <w:noProof/>
                        <w:color w:val="000000"/>
                        <w:sz w:val="20"/>
                        <w:szCs w:val="20"/>
                      </w:rPr>
                      <w:t>Information Classification: Internal Use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14761"/>
    <w:multiLevelType w:val="hybridMultilevel"/>
    <w:tmpl w:val="F7CABFE6"/>
    <w:lvl w:ilvl="0" w:tplc="F3D27D00">
      <w:start w:val="1"/>
      <w:numFmt w:val="decimal"/>
      <w:lvlText w:val="%1-"/>
      <w:lvlJc w:val="left"/>
      <w:pPr>
        <w:ind w:left="360" w:hanging="360"/>
      </w:pPr>
      <w:rPr>
        <w:rFonts w:hint="default"/>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1" w15:restartNumberingAfterBreak="0">
    <w:nsid w:val="1133026F"/>
    <w:multiLevelType w:val="hybridMultilevel"/>
    <w:tmpl w:val="B61E15C8"/>
    <w:lvl w:ilvl="0" w:tplc="BD109388">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C7F1F"/>
    <w:multiLevelType w:val="hybridMultilevel"/>
    <w:tmpl w:val="15860EA0"/>
    <w:lvl w:ilvl="0" w:tplc="100C0001">
      <w:start w:val="1"/>
      <w:numFmt w:val="bullet"/>
      <w:lvlText w:val=""/>
      <w:lvlJc w:val="left"/>
      <w:pPr>
        <w:ind w:left="1428" w:hanging="360"/>
      </w:pPr>
      <w:rPr>
        <w:rFonts w:ascii="Symbol" w:hAnsi="Symbol" w:hint="default"/>
      </w:rPr>
    </w:lvl>
    <w:lvl w:ilvl="1" w:tplc="100C0003" w:tentative="1">
      <w:start w:val="1"/>
      <w:numFmt w:val="bullet"/>
      <w:lvlText w:val="o"/>
      <w:lvlJc w:val="left"/>
      <w:pPr>
        <w:ind w:left="2148" w:hanging="360"/>
      </w:pPr>
      <w:rPr>
        <w:rFonts w:ascii="Courier New" w:hAnsi="Courier New" w:cs="Courier New" w:hint="default"/>
      </w:rPr>
    </w:lvl>
    <w:lvl w:ilvl="2" w:tplc="100C0005" w:tentative="1">
      <w:start w:val="1"/>
      <w:numFmt w:val="bullet"/>
      <w:lvlText w:val=""/>
      <w:lvlJc w:val="left"/>
      <w:pPr>
        <w:ind w:left="2868" w:hanging="360"/>
      </w:pPr>
      <w:rPr>
        <w:rFonts w:ascii="Wingdings" w:hAnsi="Wingdings" w:hint="default"/>
      </w:rPr>
    </w:lvl>
    <w:lvl w:ilvl="3" w:tplc="100C0001" w:tentative="1">
      <w:start w:val="1"/>
      <w:numFmt w:val="bullet"/>
      <w:lvlText w:val=""/>
      <w:lvlJc w:val="left"/>
      <w:pPr>
        <w:ind w:left="3588" w:hanging="360"/>
      </w:pPr>
      <w:rPr>
        <w:rFonts w:ascii="Symbol" w:hAnsi="Symbol" w:hint="default"/>
      </w:rPr>
    </w:lvl>
    <w:lvl w:ilvl="4" w:tplc="100C0003" w:tentative="1">
      <w:start w:val="1"/>
      <w:numFmt w:val="bullet"/>
      <w:lvlText w:val="o"/>
      <w:lvlJc w:val="left"/>
      <w:pPr>
        <w:ind w:left="4308" w:hanging="360"/>
      </w:pPr>
      <w:rPr>
        <w:rFonts w:ascii="Courier New" w:hAnsi="Courier New" w:cs="Courier New" w:hint="default"/>
      </w:rPr>
    </w:lvl>
    <w:lvl w:ilvl="5" w:tplc="100C0005" w:tentative="1">
      <w:start w:val="1"/>
      <w:numFmt w:val="bullet"/>
      <w:lvlText w:val=""/>
      <w:lvlJc w:val="left"/>
      <w:pPr>
        <w:ind w:left="5028" w:hanging="360"/>
      </w:pPr>
      <w:rPr>
        <w:rFonts w:ascii="Wingdings" w:hAnsi="Wingdings" w:hint="default"/>
      </w:rPr>
    </w:lvl>
    <w:lvl w:ilvl="6" w:tplc="100C0001" w:tentative="1">
      <w:start w:val="1"/>
      <w:numFmt w:val="bullet"/>
      <w:lvlText w:val=""/>
      <w:lvlJc w:val="left"/>
      <w:pPr>
        <w:ind w:left="5748" w:hanging="360"/>
      </w:pPr>
      <w:rPr>
        <w:rFonts w:ascii="Symbol" w:hAnsi="Symbol" w:hint="default"/>
      </w:rPr>
    </w:lvl>
    <w:lvl w:ilvl="7" w:tplc="100C0003" w:tentative="1">
      <w:start w:val="1"/>
      <w:numFmt w:val="bullet"/>
      <w:lvlText w:val="o"/>
      <w:lvlJc w:val="left"/>
      <w:pPr>
        <w:ind w:left="6468" w:hanging="360"/>
      </w:pPr>
      <w:rPr>
        <w:rFonts w:ascii="Courier New" w:hAnsi="Courier New" w:cs="Courier New" w:hint="default"/>
      </w:rPr>
    </w:lvl>
    <w:lvl w:ilvl="8" w:tplc="100C0005" w:tentative="1">
      <w:start w:val="1"/>
      <w:numFmt w:val="bullet"/>
      <w:lvlText w:val=""/>
      <w:lvlJc w:val="left"/>
      <w:pPr>
        <w:ind w:left="7188" w:hanging="360"/>
      </w:pPr>
      <w:rPr>
        <w:rFonts w:ascii="Wingdings" w:hAnsi="Wingdings" w:hint="default"/>
      </w:rPr>
    </w:lvl>
  </w:abstractNum>
  <w:abstractNum w:abstractNumId="3" w15:restartNumberingAfterBreak="0">
    <w:nsid w:val="1CD96134"/>
    <w:multiLevelType w:val="hybridMultilevel"/>
    <w:tmpl w:val="C0B6A51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27690F56"/>
    <w:multiLevelType w:val="hybridMultilevel"/>
    <w:tmpl w:val="16701F2C"/>
    <w:lvl w:ilvl="0" w:tplc="100C000B">
      <w:start w:val="1"/>
      <w:numFmt w:val="bullet"/>
      <w:lvlText w:val=""/>
      <w:lvlJc w:val="left"/>
      <w:pPr>
        <w:ind w:left="1428" w:hanging="360"/>
      </w:pPr>
      <w:rPr>
        <w:rFonts w:ascii="Wingdings" w:hAnsi="Wingdings" w:hint="default"/>
      </w:rPr>
    </w:lvl>
    <w:lvl w:ilvl="1" w:tplc="100C0003" w:tentative="1">
      <w:start w:val="1"/>
      <w:numFmt w:val="bullet"/>
      <w:lvlText w:val="o"/>
      <w:lvlJc w:val="left"/>
      <w:pPr>
        <w:ind w:left="2148" w:hanging="360"/>
      </w:pPr>
      <w:rPr>
        <w:rFonts w:ascii="Courier New" w:hAnsi="Courier New" w:cs="Courier New" w:hint="default"/>
      </w:rPr>
    </w:lvl>
    <w:lvl w:ilvl="2" w:tplc="100C0005" w:tentative="1">
      <w:start w:val="1"/>
      <w:numFmt w:val="bullet"/>
      <w:lvlText w:val=""/>
      <w:lvlJc w:val="left"/>
      <w:pPr>
        <w:ind w:left="2868" w:hanging="360"/>
      </w:pPr>
      <w:rPr>
        <w:rFonts w:ascii="Wingdings" w:hAnsi="Wingdings" w:hint="default"/>
      </w:rPr>
    </w:lvl>
    <w:lvl w:ilvl="3" w:tplc="100C0001" w:tentative="1">
      <w:start w:val="1"/>
      <w:numFmt w:val="bullet"/>
      <w:lvlText w:val=""/>
      <w:lvlJc w:val="left"/>
      <w:pPr>
        <w:ind w:left="3588" w:hanging="360"/>
      </w:pPr>
      <w:rPr>
        <w:rFonts w:ascii="Symbol" w:hAnsi="Symbol" w:hint="default"/>
      </w:rPr>
    </w:lvl>
    <w:lvl w:ilvl="4" w:tplc="100C0003" w:tentative="1">
      <w:start w:val="1"/>
      <w:numFmt w:val="bullet"/>
      <w:lvlText w:val="o"/>
      <w:lvlJc w:val="left"/>
      <w:pPr>
        <w:ind w:left="4308" w:hanging="360"/>
      </w:pPr>
      <w:rPr>
        <w:rFonts w:ascii="Courier New" w:hAnsi="Courier New" w:cs="Courier New" w:hint="default"/>
      </w:rPr>
    </w:lvl>
    <w:lvl w:ilvl="5" w:tplc="100C0005" w:tentative="1">
      <w:start w:val="1"/>
      <w:numFmt w:val="bullet"/>
      <w:lvlText w:val=""/>
      <w:lvlJc w:val="left"/>
      <w:pPr>
        <w:ind w:left="5028" w:hanging="360"/>
      </w:pPr>
      <w:rPr>
        <w:rFonts w:ascii="Wingdings" w:hAnsi="Wingdings" w:hint="default"/>
      </w:rPr>
    </w:lvl>
    <w:lvl w:ilvl="6" w:tplc="100C0001" w:tentative="1">
      <w:start w:val="1"/>
      <w:numFmt w:val="bullet"/>
      <w:lvlText w:val=""/>
      <w:lvlJc w:val="left"/>
      <w:pPr>
        <w:ind w:left="5748" w:hanging="360"/>
      </w:pPr>
      <w:rPr>
        <w:rFonts w:ascii="Symbol" w:hAnsi="Symbol" w:hint="default"/>
      </w:rPr>
    </w:lvl>
    <w:lvl w:ilvl="7" w:tplc="100C0003" w:tentative="1">
      <w:start w:val="1"/>
      <w:numFmt w:val="bullet"/>
      <w:lvlText w:val="o"/>
      <w:lvlJc w:val="left"/>
      <w:pPr>
        <w:ind w:left="6468" w:hanging="360"/>
      </w:pPr>
      <w:rPr>
        <w:rFonts w:ascii="Courier New" w:hAnsi="Courier New" w:cs="Courier New" w:hint="default"/>
      </w:rPr>
    </w:lvl>
    <w:lvl w:ilvl="8" w:tplc="100C0005" w:tentative="1">
      <w:start w:val="1"/>
      <w:numFmt w:val="bullet"/>
      <w:lvlText w:val=""/>
      <w:lvlJc w:val="left"/>
      <w:pPr>
        <w:ind w:left="7188" w:hanging="360"/>
      </w:pPr>
      <w:rPr>
        <w:rFonts w:ascii="Wingdings" w:hAnsi="Wingdings" w:hint="default"/>
      </w:rPr>
    </w:lvl>
  </w:abstractNum>
  <w:abstractNum w:abstractNumId="5" w15:restartNumberingAfterBreak="0">
    <w:nsid w:val="30D33B10"/>
    <w:multiLevelType w:val="multilevel"/>
    <w:tmpl w:val="042A1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FA3080"/>
    <w:multiLevelType w:val="hybridMultilevel"/>
    <w:tmpl w:val="7DF46120"/>
    <w:lvl w:ilvl="0" w:tplc="100C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4F110A5"/>
    <w:multiLevelType w:val="hybridMultilevel"/>
    <w:tmpl w:val="21344884"/>
    <w:lvl w:ilvl="0" w:tplc="6E8EB324">
      <w:start w:val="1"/>
      <w:numFmt w:val="decimal"/>
      <w:lvlText w:val="%1-"/>
      <w:lvlJc w:val="left"/>
      <w:pPr>
        <w:ind w:left="360" w:hanging="360"/>
      </w:pPr>
      <w:rPr>
        <w:rFonts w:hint="default"/>
      </w:rPr>
    </w:lvl>
    <w:lvl w:ilvl="1" w:tplc="100C0019">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8" w15:restartNumberingAfterBreak="0">
    <w:nsid w:val="49214B21"/>
    <w:multiLevelType w:val="hybridMultilevel"/>
    <w:tmpl w:val="10AE512E"/>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5B504AF9"/>
    <w:multiLevelType w:val="hybridMultilevel"/>
    <w:tmpl w:val="F196B2D6"/>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664D6A10"/>
    <w:multiLevelType w:val="hybridMultilevel"/>
    <w:tmpl w:val="0A50EDD2"/>
    <w:lvl w:ilvl="0" w:tplc="BD109388">
      <w:start w:val="1"/>
      <w:numFmt w:val="lowerLetter"/>
      <w:lvlText w:val="%1-"/>
      <w:lvlJc w:val="left"/>
      <w:pPr>
        <w:ind w:left="360" w:hanging="360"/>
      </w:pPr>
      <w:rPr>
        <w:rFonts w:hint="default"/>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11" w15:restartNumberingAfterBreak="0">
    <w:nsid w:val="6F130C89"/>
    <w:multiLevelType w:val="hybridMultilevel"/>
    <w:tmpl w:val="0C4CFF96"/>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2" w15:restartNumberingAfterBreak="0">
    <w:nsid w:val="736D7426"/>
    <w:multiLevelType w:val="hybridMultilevel"/>
    <w:tmpl w:val="456215D0"/>
    <w:lvl w:ilvl="0" w:tplc="100C000F">
      <w:start w:val="1"/>
      <w:numFmt w:val="decimal"/>
      <w:lvlText w:val="%1."/>
      <w:lvlJc w:val="left"/>
      <w:pPr>
        <w:ind w:left="720" w:hanging="360"/>
      </w:p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7EB65E29"/>
    <w:multiLevelType w:val="multilevel"/>
    <w:tmpl w:val="FE661D3A"/>
    <w:lvl w:ilvl="0">
      <w:start w:val="1"/>
      <w:numFmt w:val="none"/>
      <w:pStyle w:val="AODocTxt"/>
      <w:suff w:val="nothing"/>
      <w:lvlText w:val="%1"/>
      <w:lvlJc w:val="left"/>
      <w:pPr>
        <w:ind w:left="0" w:firstLine="0"/>
      </w:pPr>
      <w:rPr>
        <w:rFonts w:hint="default"/>
      </w:rPr>
    </w:lvl>
    <w:lvl w:ilvl="1">
      <w:start w:val="1"/>
      <w:numFmt w:val="none"/>
      <w:pStyle w:val="AODocTxtL1"/>
      <w:suff w:val="nothing"/>
      <w:lvlText w:val="%2"/>
      <w:lvlJc w:val="left"/>
      <w:pPr>
        <w:ind w:left="720" w:firstLine="0"/>
      </w:pPr>
      <w:rPr>
        <w:rFonts w:hint="default"/>
      </w:rPr>
    </w:lvl>
    <w:lvl w:ilvl="2">
      <w:start w:val="1"/>
      <w:numFmt w:val="bullet"/>
      <w:pStyle w:val="AODocTxtL2"/>
      <w:lvlText w:val=""/>
      <w:lvlJc w:val="left"/>
      <w:pPr>
        <w:ind w:left="1800" w:hanging="360"/>
      </w:pPr>
      <w:rPr>
        <w:rFonts w:ascii="Symbol" w:hAnsi="Symbol" w:hint="default"/>
      </w:rPr>
    </w:lvl>
    <w:lvl w:ilvl="3">
      <w:start w:val="1"/>
      <w:numFmt w:val="bullet"/>
      <w:pStyle w:val="AODocTxtL3"/>
      <w:lvlText w:val=""/>
      <w:lvlJc w:val="left"/>
      <w:pPr>
        <w:ind w:left="2520" w:hanging="360"/>
      </w:pPr>
      <w:rPr>
        <w:rFonts w:ascii="Symbol" w:hAnsi="Symbol" w:hint="default"/>
      </w:rPr>
    </w:lvl>
    <w:lvl w:ilvl="4">
      <w:start w:val="1"/>
      <w:numFmt w:val="none"/>
      <w:pStyle w:val="AODocTxtL4"/>
      <w:suff w:val="nothing"/>
      <w:lvlText w:val=""/>
      <w:lvlJc w:val="left"/>
      <w:pPr>
        <w:ind w:left="2880" w:firstLine="0"/>
      </w:pPr>
      <w:rPr>
        <w:rFonts w:hint="default"/>
      </w:rPr>
    </w:lvl>
    <w:lvl w:ilvl="5">
      <w:start w:val="1"/>
      <w:numFmt w:val="none"/>
      <w:pStyle w:val="AODocTxtL5"/>
      <w:suff w:val="nothing"/>
      <w:lvlText w:val=""/>
      <w:lvlJc w:val="left"/>
      <w:pPr>
        <w:ind w:left="3600" w:firstLine="0"/>
      </w:pPr>
      <w:rPr>
        <w:rFonts w:hint="default"/>
      </w:rPr>
    </w:lvl>
    <w:lvl w:ilvl="6">
      <w:start w:val="1"/>
      <w:numFmt w:val="none"/>
      <w:pStyle w:val="AODocTxtL6"/>
      <w:suff w:val="nothing"/>
      <w:lvlText w:val=""/>
      <w:lvlJc w:val="left"/>
      <w:pPr>
        <w:ind w:left="4321" w:firstLine="0"/>
      </w:pPr>
      <w:rPr>
        <w:rFonts w:hint="default"/>
      </w:rPr>
    </w:lvl>
    <w:lvl w:ilvl="7">
      <w:start w:val="1"/>
      <w:numFmt w:val="none"/>
      <w:pStyle w:val="AODocTxtL7"/>
      <w:suff w:val="nothing"/>
      <w:lvlText w:val="%8"/>
      <w:lvlJc w:val="left"/>
      <w:pPr>
        <w:ind w:left="5041" w:firstLine="0"/>
      </w:pPr>
      <w:rPr>
        <w:rFonts w:hint="default"/>
      </w:rPr>
    </w:lvl>
    <w:lvl w:ilvl="8">
      <w:start w:val="1"/>
      <w:numFmt w:val="none"/>
      <w:pStyle w:val="AODocTxtL8"/>
      <w:suff w:val="nothing"/>
      <w:lvlText w:val=""/>
      <w:lvlJc w:val="left"/>
      <w:pPr>
        <w:ind w:left="5761" w:firstLine="0"/>
      </w:pPr>
      <w:rPr>
        <w:rFonts w:hint="default"/>
      </w:rPr>
    </w:lvl>
  </w:abstractNum>
  <w:num w:numId="1" w16cid:durableId="865825098">
    <w:abstractNumId w:val="11"/>
  </w:num>
  <w:num w:numId="2" w16cid:durableId="241449797">
    <w:abstractNumId w:val="2"/>
  </w:num>
  <w:num w:numId="3" w16cid:durableId="241182638">
    <w:abstractNumId w:val="12"/>
  </w:num>
  <w:num w:numId="4" w16cid:durableId="972949391">
    <w:abstractNumId w:val="4"/>
  </w:num>
  <w:num w:numId="5" w16cid:durableId="1370107190">
    <w:abstractNumId w:val="3"/>
  </w:num>
  <w:num w:numId="6" w16cid:durableId="413473586">
    <w:abstractNumId w:val="13"/>
  </w:num>
  <w:num w:numId="7" w16cid:durableId="585843488">
    <w:abstractNumId w:val="10"/>
  </w:num>
  <w:num w:numId="8" w16cid:durableId="1743066264">
    <w:abstractNumId w:val="6"/>
  </w:num>
  <w:num w:numId="9" w16cid:durableId="1787233226">
    <w:abstractNumId w:val="0"/>
  </w:num>
  <w:num w:numId="10" w16cid:durableId="257954078">
    <w:abstractNumId w:val="1"/>
  </w:num>
  <w:num w:numId="11" w16cid:durableId="1605991184">
    <w:abstractNumId w:val="9"/>
  </w:num>
  <w:num w:numId="12" w16cid:durableId="230118256">
    <w:abstractNumId w:val="8"/>
  </w:num>
  <w:num w:numId="13" w16cid:durableId="630063833">
    <w:abstractNumId w:val="5"/>
  </w:num>
  <w:num w:numId="14" w16cid:durableId="187019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6CB"/>
    <w:rsid w:val="00010488"/>
    <w:rsid w:val="00027E00"/>
    <w:rsid w:val="00035B28"/>
    <w:rsid w:val="00043067"/>
    <w:rsid w:val="00060038"/>
    <w:rsid w:val="00091B18"/>
    <w:rsid w:val="000941BE"/>
    <w:rsid w:val="000A6A2D"/>
    <w:rsid w:val="000B0639"/>
    <w:rsid w:val="00120712"/>
    <w:rsid w:val="00146231"/>
    <w:rsid w:val="001477F1"/>
    <w:rsid w:val="00172732"/>
    <w:rsid w:val="0017414C"/>
    <w:rsid w:val="00187EF0"/>
    <w:rsid w:val="001A4C59"/>
    <w:rsid w:val="001D4409"/>
    <w:rsid w:val="001E0309"/>
    <w:rsid w:val="001E5872"/>
    <w:rsid w:val="001E6DC3"/>
    <w:rsid w:val="002110D5"/>
    <w:rsid w:val="00225C97"/>
    <w:rsid w:val="00232582"/>
    <w:rsid w:val="00234CF9"/>
    <w:rsid w:val="00285C92"/>
    <w:rsid w:val="0028639F"/>
    <w:rsid w:val="00287C22"/>
    <w:rsid w:val="002B459D"/>
    <w:rsid w:val="002B682D"/>
    <w:rsid w:val="002C2D0F"/>
    <w:rsid w:val="002D038B"/>
    <w:rsid w:val="002D1DE7"/>
    <w:rsid w:val="002F794D"/>
    <w:rsid w:val="003003C8"/>
    <w:rsid w:val="00301900"/>
    <w:rsid w:val="003239FC"/>
    <w:rsid w:val="00355169"/>
    <w:rsid w:val="00371B50"/>
    <w:rsid w:val="00373AF4"/>
    <w:rsid w:val="003944DB"/>
    <w:rsid w:val="0039733A"/>
    <w:rsid w:val="003D09CB"/>
    <w:rsid w:val="003E0F56"/>
    <w:rsid w:val="003F2CF4"/>
    <w:rsid w:val="004066AF"/>
    <w:rsid w:val="00420634"/>
    <w:rsid w:val="0044379A"/>
    <w:rsid w:val="00471BA3"/>
    <w:rsid w:val="00474AE9"/>
    <w:rsid w:val="004A0337"/>
    <w:rsid w:val="004A1A85"/>
    <w:rsid w:val="004C1513"/>
    <w:rsid w:val="004F6F6F"/>
    <w:rsid w:val="00501908"/>
    <w:rsid w:val="0052029E"/>
    <w:rsid w:val="005436FA"/>
    <w:rsid w:val="00560CF4"/>
    <w:rsid w:val="005617FB"/>
    <w:rsid w:val="00562B2E"/>
    <w:rsid w:val="005866D2"/>
    <w:rsid w:val="0058764D"/>
    <w:rsid w:val="00595AFB"/>
    <w:rsid w:val="005B0F29"/>
    <w:rsid w:val="005C481B"/>
    <w:rsid w:val="005D3F2E"/>
    <w:rsid w:val="0061011C"/>
    <w:rsid w:val="00611E7E"/>
    <w:rsid w:val="00625F94"/>
    <w:rsid w:val="00664BE9"/>
    <w:rsid w:val="006716D1"/>
    <w:rsid w:val="00683C1B"/>
    <w:rsid w:val="006A46FB"/>
    <w:rsid w:val="006B2608"/>
    <w:rsid w:val="006C372F"/>
    <w:rsid w:val="006C56CB"/>
    <w:rsid w:val="006C7F97"/>
    <w:rsid w:val="007129CE"/>
    <w:rsid w:val="00720354"/>
    <w:rsid w:val="00736DF8"/>
    <w:rsid w:val="00750B63"/>
    <w:rsid w:val="00752F9B"/>
    <w:rsid w:val="007663B9"/>
    <w:rsid w:val="00783606"/>
    <w:rsid w:val="007C015E"/>
    <w:rsid w:val="007C25A5"/>
    <w:rsid w:val="007E1C2B"/>
    <w:rsid w:val="007E2492"/>
    <w:rsid w:val="007E4F92"/>
    <w:rsid w:val="007F05B4"/>
    <w:rsid w:val="007F2CAF"/>
    <w:rsid w:val="00803F63"/>
    <w:rsid w:val="00806F90"/>
    <w:rsid w:val="008313E5"/>
    <w:rsid w:val="008925A0"/>
    <w:rsid w:val="00896C4A"/>
    <w:rsid w:val="008A02FE"/>
    <w:rsid w:val="008B0A65"/>
    <w:rsid w:val="008D7035"/>
    <w:rsid w:val="008F303A"/>
    <w:rsid w:val="008F4357"/>
    <w:rsid w:val="009143E6"/>
    <w:rsid w:val="00925E01"/>
    <w:rsid w:val="00936DA7"/>
    <w:rsid w:val="009370EE"/>
    <w:rsid w:val="009434FA"/>
    <w:rsid w:val="00974E6D"/>
    <w:rsid w:val="009E24AA"/>
    <w:rsid w:val="00A0472A"/>
    <w:rsid w:val="00A1774C"/>
    <w:rsid w:val="00A343D4"/>
    <w:rsid w:val="00A378BE"/>
    <w:rsid w:val="00A52F82"/>
    <w:rsid w:val="00A72D20"/>
    <w:rsid w:val="00A92794"/>
    <w:rsid w:val="00A964AB"/>
    <w:rsid w:val="00AC3D86"/>
    <w:rsid w:val="00AD38C9"/>
    <w:rsid w:val="00B16B08"/>
    <w:rsid w:val="00B45EAF"/>
    <w:rsid w:val="00B51870"/>
    <w:rsid w:val="00B53E09"/>
    <w:rsid w:val="00B56AE6"/>
    <w:rsid w:val="00BA37BE"/>
    <w:rsid w:val="00BC3E6D"/>
    <w:rsid w:val="00BF0A7D"/>
    <w:rsid w:val="00BF3CB8"/>
    <w:rsid w:val="00C404EF"/>
    <w:rsid w:val="00C42AED"/>
    <w:rsid w:val="00C66C16"/>
    <w:rsid w:val="00C71E03"/>
    <w:rsid w:val="00CB3F6D"/>
    <w:rsid w:val="00CD5BB2"/>
    <w:rsid w:val="00D03C82"/>
    <w:rsid w:val="00D13AA8"/>
    <w:rsid w:val="00D323D2"/>
    <w:rsid w:val="00D40563"/>
    <w:rsid w:val="00D43A10"/>
    <w:rsid w:val="00D56DAD"/>
    <w:rsid w:val="00D71C80"/>
    <w:rsid w:val="00D73B17"/>
    <w:rsid w:val="00D81F0F"/>
    <w:rsid w:val="00DF02FC"/>
    <w:rsid w:val="00DF2606"/>
    <w:rsid w:val="00E1241F"/>
    <w:rsid w:val="00E52865"/>
    <w:rsid w:val="00E63445"/>
    <w:rsid w:val="00E750F0"/>
    <w:rsid w:val="00E85771"/>
    <w:rsid w:val="00ED1EE1"/>
    <w:rsid w:val="00ED3848"/>
    <w:rsid w:val="00EE4361"/>
    <w:rsid w:val="00EF34BF"/>
    <w:rsid w:val="00EF7F8D"/>
    <w:rsid w:val="00F04433"/>
    <w:rsid w:val="00F24CEA"/>
    <w:rsid w:val="00F66AFB"/>
    <w:rsid w:val="00F70B02"/>
    <w:rsid w:val="00F92112"/>
    <w:rsid w:val="00F92BFB"/>
    <w:rsid w:val="00FE3031"/>
    <w:rsid w:val="00FF585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E2A7B"/>
  <w15:chartTrackingRefBased/>
  <w15:docId w15:val="{8986607E-F617-48BD-9A53-22B711990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6CB"/>
  </w:style>
  <w:style w:type="paragraph" w:styleId="Titre1">
    <w:name w:val="heading 1"/>
    <w:basedOn w:val="Normal"/>
    <w:next w:val="Normal"/>
    <w:link w:val="Titre1Car"/>
    <w:uiPriority w:val="9"/>
    <w:qFormat/>
    <w:rsid w:val="006C5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C5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C56C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C56C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C56C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C56C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C56C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C56C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C56C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56C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C56C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C56C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C56C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C56C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C56C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C56C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C56C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C56CB"/>
    <w:rPr>
      <w:rFonts w:eastAsiaTheme="majorEastAsia" w:cstheme="majorBidi"/>
      <w:color w:val="272727" w:themeColor="text1" w:themeTint="D8"/>
    </w:rPr>
  </w:style>
  <w:style w:type="paragraph" w:styleId="Titre">
    <w:name w:val="Title"/>
    <w:basedOn w:val="Normal"/>
    <w:next w:val="Normal"/>
    <w:link w:val="TitreCar"/>
    <w:uiPriority w:val="10"/>
    <w:qFormat/>
    <w:rsid w:val="006C5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C56C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C56C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C56C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C56CB"/>
    <w:pPr>
      <w:spacing w:before="160"/>
      <w:jc w:val="center"/>
    </w:pPr>
    <w:rPr>
      <w:i/>
      <w:iCs/>
      <w:color w:val="404040" w:themeColor="text1" w:themeTint="BF"/>
    </w:rPr>
  </w:style>
  <w:style w:type="character" w:customStyle="1" w:styleId="CitationCar">
    <w:name w:val="Citation Car"/>
    <w:basedOn w:val="Policepardfaut"/>
    <w:link w:val="Citation"/>
    <w:uiPriority w:val="29"/>
    <w:rsid w:val="006C56CB"/>
    <w:rPr>
      <w:i/>
      <w:iCs/>
      <w:color w:val="404040" w:themeColor="text1" w:themeTint="BF"/>
    </w:rPr>
  </w:style>
  <w:style w:type="paragraph" w:styleId="Paragraphedeliste">
    <w:name w:val="List Paragraph"/>
    <w:basedOn w:val="Normal"/>
    <w:uiPriority w:val="34"/>
    <w:qFormat/>
    <w:rsid w:val="006C56CB"/>
    <w:pPr>
      <w:ind w:left="720"/>
      <w:contextualSpacing/>
    </w:pPr>
  </w:style>
  <w:style w:type="character" w:styleId="Accentuationintense">
    <w:name w:val="Intense Emphasis"/>
    <w:basedOn w:val="Policepardfaut"/>
    <w:uiPriority w:val="21"/>
    <w:qFormat/>
    <w:rsid w:val="006C56CB"/>
    <w:rPr>
      <w:i/>
      <w:iCs/>
      <w:color w:val="0F4761" w:themeColor="accent1" w:themeShade="BF"/>
    </w:rPr>
  </w:style>
  <w:style w:type="paragraph" w:styleId="Citationintense">
    <w:name w:val="Intense Quote"/>
    <w:basedOn w:val="Normal"/>
    <w:next w:val="Normal"/>
    <w:link w:val="CitationintenseCar"/>
    <w:uiPriority w:val="30"/>
    <w:qFormat/>
    <w:rsid w:val="006C5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C56CB"/>
    <w:rPr>
      <w:i/>
      <w:iCs/>
      <w:color w:val="0F4761" w:themeColor="accent1" w:themeShade="BF"/>
    </w:rPr>
  </w:style>
  <w:style w:type="character" w:styleId="Rfrenceintense">
    <w:name w:val="Intense Reference"/>
    <w:basedOn w:val="Policepardfaut"/>
    <w:uiPriority w:val="32"/>
    <w:qFormat/>
    <w:rsid w:val="006C56CB"/>
    <w:rPr>
      <w:b/>
      <w:bCs/>
      <w:smallCaps/>
      <w:color w:val="0F4761" w:themeColor="accent1" w:themeShade="BF"/>
      <w:spacing w:val="5"/>
    </w:rPr>
  </w:style>
  <w:style w:type="character" w:styleId="Lienhypertexte">
    <w:name w:val="Hyperlink"/>
    <w:basedOn w:val="Policepardfaut"/>
    <w:uiPriority w:val="99"/>
    <w:unhideWhenUsed/>
    <w:rsid w:val="00355169"/>
    <w:rPr>
      <w:color w:val="0000FF"/>
      <w:u w:val="single"/>
    </w:rPr>
  </w:style>
  <w:style w:type="character" w:styleId="Mentionnonrsolue">
    <w:name w:val="Unresolved Mention"/>
    <w:basedOn w:val="Policepardfaut"/>
    <w:uiPriority w:val="99"/>
    <w:semiHidden/>
    <w:unhideWhenUsed/>
    <w:rsid w:val="00355169"/>
    <w:rPr>
      <w:color w:val="605E5C"/>
      <w:shd w:val="clear" w:color="auto" w:fill="E1DFDD"/>
    </w:rPr>
  </w:style>
  <w:style w:type="character" w:styleId="Lienhypertextesuivivisit">
    <w:name w:val="FollowedHyperlink"/>
    <w:basedOn w:val="Policepardfaut"/>
    <w:uiPriority w:val="99"/>
    <w:semiHidden/>
    <w:unhideWhenUsed/>
    <w:rsid w:val="00355169"/>
    <w:rPr>
      <w:color w:val="96607D" w:themeColor="followedHyperlink"/>
      <w:u w:val="single"/>
    </w:rPr>
  </w:style>
  <w:style w:type="paragraph" w:styleId="Rvision">
    <w:name w:val="Revision"/>
    <w:hidden/>
    <w:uiPriority w:val="99"/>
    <w:semiHidden/>
    <w:rsid w:val="00A92794"/>
    <w:pPr>
      <w:spacing w:after="0" w:line="240" w:lineRule="auto"/>
    </w:pPr>
  </w:style>
  <w:style w:type="paragraph" w:customStyle="1" w:styleId="AODocTxt">
    <w:name w:val="AODocTxt"/>
    <w:basedOn w:val="Normal"/>
    <w:qFormat/>
    <w:rsid w:val="00234CF9"/>
    <w:pPr>
      <w:numPr>
        <w:numId w:val="6"/>
      </w:numPr>
      <w:spacing w:before="240" w:after="0" w:line="260" w:lineRule="atLeast"/>
      <w:jc w:val="both"/>
    </w:pPr>
    <w:rPr>
      <w:rFonts w:ascii="Times New Roman" w:hAnsi="Times New Roman" w:cs="Times New Roman"/>
      <w:kern w:val="0"/>
      <w:lang w:val="en-GB"/>
      <w14:ligatures w14:val="none"/>
    </w:rPr>
  </w:style>
  <w:style w:type="paragraph" w:customStyle="1" w:styleId="AODocTxtL1">
    <w:name w:val="AODocTxtL1"/>
    <w:basedOn w:val="AODocTxt"/>
    <w:uiPriority w:val="49"/>
    <w:rsid w:val="00234CF9"/>
    <w:pPr>
      <w:numPr>
        <w:ilvl w:val="1"/>
      </w:numPr>
    </w:pPr>
  </w:style>
  <w:style w:type="paragraph" w:customStyle="1" w:styleId="AODocTxtL2">
    <w:name w:val="AODocTxtL2"/>
    <w:basedOn w:val="AODocTxt"/>
    <w:uiPriority w:val="49"/>
    <w:rsid w:val="00234CF9"/>
    <w:pPr>
      <w:numPr>
        <w:ilvl w:val="2"/>
      </w:numPr>
    </w:pPr>
  </w:style>
  <w:style w:type="paragraph" w:customStyle="1" w:styleId="AODocTxtL3">
    <w:name w:val="AODocTxtL3"/>
    <w:basedOn w:val="AODocTxt"/>
    <w:uiPriority w:val="49"/>
    <w:rsid w:val="00234CF9"/>
    <w:pPr>
      <w:numPr>
        <w:ilvl w:val="3"/>
      </w:numPr>
    </w:pPr>
  </w:style>
  <w:style w:type="paragraph" w:customStyle="1" w:styleId="AODocTxtL4">
    <w:name w:val="AODocTxtL4"/>
    <w:basedOn w:val="AODocTxt"/>
    <w:uiPriority w:val="49"/>
    <w:rsid w:val="00234CF9"/>
    <w:pPr>
      <w:numPr>
        <w:ilvl w:val="4"/>
      </w:numPr>
    </w:pPr>
  </w:style>
  <w:style w:type="paragraph" w:customStyle="1" w:styleId="AODocTxtL5">
    <w:name w:val="AODocTxtL5"/>
    <w:basedOn w:val="AODocTxt"/>
    <w:uiPriority w:val="49"/>
    <w:rsid w:val="00234CF9"/>
    <w:pPr>
      <w:numPr>
        <w:ilvl w:val="5"/>
      </w:numPr>
    </w:pPr>
  </w:style>
  <w:style w:type="paragraph" w:customStyle="1" w:styleId="AODocTxtL6">
    <w:name w:val="AODocTxtL6"/>
    <w:basedOn w:val="AODocTxt"/>
    <w:uiPriority w:val="49"/>
    <w:rsid w:val="00234CF9"/>
    <w:pPr>
      <w:numPr>
        <w:ilvl w:val="6"/>
      </w:numPr>
    </w:pPr>
  </w:style>
  <w:style w:type="paragraph" w:customStyle="1" w:styleId="AODocTxtL7">
    <w:name w:val="AODocTxtL7"/>
    <w:basedOn w:val="AODocTxt"/>
    <w:uiPriority w:val="49"/>
    <w:rsid w:val="00234CF9"/>
    <w:pPr>
      <w:numPr>
        <w:ilvl w:val="7"/>
      </w:numPr>
    </w:pPr>
  </w:style>
  <w:style w:type="paragraph" w:customStyle="1" w:styleId="AODocTxtL8">
    <w:name w:val="AODocTxtL8"/>
    <w:basedOn w:val="AODocTxt"/>
    <w:uiPriority w:val="49"/>
    <w:rsid w:val="00234CF9"/>
    <w:pPr>
      <w:numPr>
        <w:ilvl w:val="8"/>
      </w:numPr>
    </w:pPr>
  </w:style>
  <w:style w:type="paragraph" w:styleId="En-tte">
    <w:name w:val="header"/>
    <w:basedOn w:val="Normal"/>
    <w:link w:val="En-tteCar"/>
    <w:uiPriority w:val="99"/>
    <w:unhideWhenUsed/>
    <w:rsid w:val="007C015E"/>
    <w:pPr>
      <w:tabs>
        <w:tab w:val="center" w:pos="4513"/>
        <w:tab w:val="right" w:pos="9026"/>
      </w:tabs>
      <w:spacing w:after="0" w:line="240" w:lineRule="auto"/>
    </w:pPr>
  </w:style>
  <w:style w:type="character" w:customStyle="1" w:styleId="En-tteCar">
    <w:name w:val="En-tête Car"/>
    <w:basedOn w:val="Policepardfaut"/>
    <w:link w:val="En-tte"/>
    <w:uiPriority w:val="99"/>
    <w:rsid w:val="007C015E"/>
  </w:style>
  <w:style w:type="paragraph" w:styleId="Pieddepage">
    <w:name w:val="footer"/>
    <w:basedOn w:val="Normal"/>
    <w:link w:val="PieddepageCar"/>
    <w:uiPriority w:val="99"/>
    <w:unhideWhenUsed/>
    <w:rsid w:val="0006003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60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41369">
      <w:bodyDiv w:val="1"/>
      <w:marLeft w:val="0"/>
      <w:marRight w:val="0"/>
      <w:marTop w:val="0"/>
      <w:marBottom w:val="0"/>
      <w:divBdr>
        <w:top w:val="none" w:sz="0" w:space="0" w:color="auto"/>
        <w:left w:val="none" w:sz="0" w:space="0" w:color="auto"/>
        <w:bottom w:val="none" w:sz="0" w:space="0" w:color="auto"/>
        <w:right w:val="none" w:sz="0" w:space="0" w:color="auto"/>
      </w:divBdr>
    </w:div>
    <w:div w:id="37124302">
      <w:bodyDiv w:val="1"/>
      <w:marLeft w:val="0"/>
      <w:marRight w:val="0"/>
      <w:marTop w:val="0"/>
      <w:marBottom w:val="0"/>
      <w:divBdr>
        <w:top w:val="none" w:sz="0" w:space="0" w:color="auto"/>
        <w:left w:val="none" w:sz="0" w:space="0" w:color="auto"/>
        <w:bottom w:val="none" w:sz="0" w:space="0" w:color="auto"/>
        <w:right w:val="none" w:sz="0" w:space="0" w:color="auto"/>
      </w:divBdr>
    </w:div>
    <w:div w:id="270668275">
      <w:bodyDiv w:val="1"/>
      <w:marLeft w:val="0"/>
      <w:marRight w:val="0"/>
      <w:marTop w:val="0"/>
      <w:marBottom w:val="0"/>
      <w:divBdr>
        <w:top w:val="none" w:sz="0" w:space="0" w:color="auto"/>
        <w:left w:val="none" w:sz="0" w:space="0" w:color="auto"/>
        <w:bottom w:val="none" w:sz="0" w:space="0" w:color="auto"/>
        <w:right w:val="none" w:sz="0" w:space="0" w:color="auto"/>
      </w:divBdr>
    </w:div>
    <w:div w:id="394474506">
      <w:bodyDiv w:val="1"/>
      <w:marLeft w:val="0"/>
      <w:marRight w:val="0"/>
      <w:marTop w:val="0"/>
      <w:marBottom w:val="0"/>
      <w:divBdr>
        <w:top w:val="none" w:sz="0" w:space="0" w:color="auto"/>
        <w:left w:val="none" w:sz="0" w:space="0" w:color="auto"/>
        <w:bottom w:val="none" w:sz="0" w:space="0" w:color="auto"/>
        <w:right w:val="none" w:sz="0" w:space="0" w:color="auto"/>
      </w:divBdr>
    </w:div>
    <w:div w:id="394932442">
      <w:bodyDiv w:val="1"/>
      <w:marLeft w:val="0"/>
      <w:marRight w:val="0"/>
      <w:marTop w:val="0"/>
      <w:marBottom w:val="0"/>
      <w:divBdr>
        <w:top w:val="none" w:sz="0" w:space="0" w:color="auto"/>
        <w:left w:val="none" w:sz="0" w:space="0" w:color="auto"/>
        <w:bottom w:val="none" w:sz="0" w:space="0" w:color="auto"/>
        <w:right w:val="none" w:sz="0" w:space="0" w:color="auto"/>
      </w:divBdr>
    </w:div>
    <w:div w:id="600375832">
      <w:bodyDiv w:val="1"/>
      <w:marLeft w:val="0"/>
      <w:marRight w:val="0"/>
      <w:marTop w:val="0"/>
      <w:marBottom w:val="0"/>
      <w:divBdr>
        <w:top w:val="none" w:sz="0" w:space="0" w:color="auto"/>
        <w:left w:val="none" w:sz="0" w:space="0" w:color="auto"/>
        <w:bottom w:val="none" w:sz="0" w:space="0" w:color="auto"/>
        <w:right w:val="none" w:sz="0" w:space="0" w:color="auto"/>
      </w:divBdr>
    </w:div>
    <w:div w:id="757796324">
      <w:bodyDiv w:val="1"/>
      <w:marLeft w:val="0"/>
      <w:marRight w:val="0"/>
      <w:marTop w:val="0"/>
      <w:marBottom w:val="0"/>
      <w:divBdr>
        <w:top w:val="none" w:sz="0" w:space="0" w:color="auto"/>
        <w:left w:val="none" w:sz="0" w:space="0" w:color="auto"/>
        <w:bottom w:val="none" w:sz="0" w:space="0" w:color="auto"/>
        <w:right w:val="none" w:sz="0" w:space="0" w:color="auto"/>
      </w:divBdr>
    </w:div>
    <w:div w:id="1205754548">
      <w:bodyDiv w:val="1"/>
      <w:marLeft w:val="0"/>
      <w:marRight w:val="0"/>
      <w:marTop w:val="0"/>
      <w:marBottom w:val="0"/>
      <w:divBdr>
        <w:top w:val="none" w:sz="0" w:space="0" w:color="auto"/>
        <w:left w:val="none" w:sz="0" w:space="0" w:color="auto"/>
        <w:bottom w:val="none" w:sz="0" w:space="0" w:color="auto"/>
        <w:right w:val="none" w:sz="0" w:space="0" w:color="auto"/>
      </w:divBdr>
    </w:div>
    <w:div w:id="1233739280">
      <w:bodyDiv w:val="1"/>
      <w:marLeft w:val="0"/>
      <w:marRight w:val="0"/>
      <w:marTop w:val="0"/>
      <w:marBottom w:val="0"/>
      <w:divBdr>
        <w:top w:val="none" w:sz="0" w:space="0" w:color="auto"/>
        <w:left w:val="none" w:sz="0" w:space="0" w:color="auto"/>
        <w:bottom w:val="none" w:sz="0" w:space="0" w:color="auto"/>
        <w:right w:val="none" w:sz="0" w:space="0" w:color="auto"/>
      </w:divBdr>
    </w:div>
    <w:div w:id="1376395483">
      <w:bodyDiv w:val="1"/>
      <w:marLeft w:val="0"/>
      <w:marRight w:val="0"/>
      <w:marTop w:val="0"/>
      <w:marBottom w:val="0"/>
      <w:divBdr>
        <w:top w:val="none" w:sz="0" w:space="0" w:color="auto"/>
        <w:left w:val="none" w:sz="0" w:space="0" w:color="auto"/>
        <w:bottom w:val="none" w:sz="0" w:space="0" w:color="auto"/>
        <w:right w:val="none" w:sz="0" w:space="0" w:color="auto"/>
      </w:divBdr>
    </w:div>
    <w:div w:id="1405034495">
      <w:bodyDiv w:val="1"/>
      <w:marLeft w:val="0"/>
      <w:marRight w:val="0"/>
      <w:marTop w:val="0"/>
      <w:marBottom w:val="0"/>
      <w:divBdr>
        <w:top w:val="none" w:sz="0" w:space="0" w:color="auto"/>
        <w:left w:val="none" w:sz="0" w:space="0" w:color="auto"/>
        <w:bottom w:val="none" w:sz="0" w:space="0" w:color="auto"/>
        <w:right w:val="none" w:sz="0" w:space="0" w:color="auto"/>
      </w:divBdr>
    </w:div>
    <w:div w:id="1420172328">
      <w:bodyDiv w:val="1"/>
      <w:marLeft w:val="0"/>
      <w:marRight w:val="0"/>
      <w:marTop w:val="0"/>
      <w:marBottom w:val="0"/>
      <w:divBdr>
        <w:top w:val="none" w:sz="0" w:space="0" w:color="auto"/>
        <w:left w:val="none" w:sz="0" w:space="0" w:color="auto"/>
        <w:bottom w:val="none" w:sz="0" w:space="0" w:color="auto"/>
        <w:right w:val="none" w:sz="0" w:space="0" w:color="auto"/>
      </w:divBdr>
    </w:div>
    <w:div w:id="1472671089">
      <w:bodyDiv w:val="1"/>
      <w:marLeft w:val="0"/>
      <w:marRight w:val="0"/>
      <w:marTop w:val="0"/>
      <w:marBottom w:val="0"/>
      <w:divBdr>
        <w:top w:val="none" w:sz="0" w:space="0" w:color="auto"/>
        <w:left w:val="none" w:sz="0" w:space="0" w:color="auto"/>
        <w:bottom w:val="none" w:sz="0" w:space="0" w:color="auto"/>
        <w:right w:val="none" w:sz="0" w:space="0" w:color="auto"/>
      </w:divBdr>
    </w:div>
    <w:div w:id="1502508252">
      <w:bodyDiv w:val="1"/>
      <w:marLeft w:val="0"/>
      <w:marRight w:val="0"/>
      <w:marTop w:val="0"/>
      <w:marBottom w:val="0"/>
      <w:divBdr>
        <w:top w:val="none" w:sz="0" w:space="0" w:color="auto"/>
        <w:left w:val="none" w:sz="0" w:space="0" w:color="auto"/>
        <w:bottom w:val="none" w:sz="0" w:space="0" w:color="auto"/>
        <w:right w:val="none" w:sz="0" w:space="0" w:color="auto"/>
      </w:divBdr>
    </w:div>
    <w:div w:id="1519466939">
      <w:bodyDiv w:val="1"/>
      <w:marLeft w:val="0"/>
      <w:marRight w:val="0"/>
      <w:marTop w:val="0"/>
      <w:marBottom w:val="0"/>
      <w:divBdr>
        <w:top w:val="none" w:sz="0" w:space="0" w:color="auto"/>
        <w:left w:val="none" w:sz="0" w:space="0" w:color="auto"/>
        <w:bottom w:val="none" w:sz="0" w:space="0" w:color="auto"/>
        <w:right w:val="none" w:sz="0" w:space="0" w:color="auto"/>
      </w:divBdr>
    </w:div>
    <w:div w:id="1891065039">
      <w:bodyDiv w:val="1"/>
      <w:marLeft w:val="0"/>
      <w:marRight w:val="0"/>
      <w:marTop w:val="0"/>
      <w:marBottom w:val="0"/>
      <w:divBdr>
        <w:top w:val="none" w:sz="0" w:space="0" w:color="auto"/>
        <w:left w:val="none" w:sz="0" w:space="0" w:color="auto"/>
        <w:bottom w:val="none" w:sz="0" w:space="0" w:color="auto"/>
        <w:right w:val="none" w:sz="0" w:space="0" w:color="auto"/>
      </w:divBdr>
    </w:div>
    <w:div w:id="202901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ypo.org/emf/publications/dat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orieddata.com/wp-content/uploads/Demo-Files/Euro-Data-Warehouse-Barometer-Report.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pfandbrief.de/site/de/vdp/sustainable_finance/Pfandbriefe/Nachhaltige-Emissionen.html" TargetMode="External"/><Relationship Id="rId4" Type="http://schemas.openxmlformats.org/officeDocument/2006/relationships/settings" Target="settings.xml"/><Relationship Id="rId9" Type="http://schemas.openxmlformats.org/officeDocument/2006/relationships/hyperlink" Target="https://pcsmarket.org/the-great-library/sts-market-data/"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25B4F-A159-494F-AEFA-F849B9E29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1024</Words>
  <Characters>5634</Characters>
  <Application>Microsoft Office Word</Application>
  <DocSecurity>0</DocSecurity>
  <Lines>46</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chausson</dc:creator>
  <cp:keywords/>
  <dc:description/>
  <cp:lastModifiedBy>Antoine Chausson</cp:lastModifiedBy>
  <cp:revision>2</cp:revision>
  <cp:lastPrinted>2025-03-31T18:59:00Z</cp:lastPrinted>
  <dcterms:created xsi:type="dcterms:W3CDTF">2025-03-31T21:57:00Z</dcterms:created>
  <dcterms:modified xsi:type="dcterms:W3CDTF">2025-03-31T21:57:00Z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44a8c587,96fd39a,1d535017</vt:lpwstr>
  </property>
  <property fmtid="{D5CDD505-2E9C-101B-9397-08002B2CF9AE}" pid="3" name="ClassificationContentMarkingHeaderFontProps">
    <vt:lpwstr>#000000,10,Calibri</vt:lpwstr>
  </property>
  <property fmtid="{D5CDD505-2E9C-101B-9397-08002B2CF9AE}" pid="4" name="ClassificationContentMarkingHeaderText">
    <vt:lpwstr>Information Classification: Internal Use</vt:lpwstr>
  </property>
  <property fmtid="{D5CDD505-2E9C-101B-9397-08002B2CF9AE}" pid="5" name="MSIP_Label_9f1400f8-6517-410d-82ab-f249b74b187c_Enabled">
    <vt:lpwstr>true</vt:lpwstr>
  </property>
  <property fmtid="{D5CDD505-2E9C-101B-9397-08002B2CF9AE}" pid="6" name="MSIP_Label_9f1400f8-6517-410d-82ab-f249b74b187c_SetDate">
    <vt:lpwstr>2024-03-15T09:22:58Z</vt:lpwstr>
  </property>
  <property fmtid="{D5CDD505-2E9C-101B-9397-08002B2CF9AE}" pid="7" name="MSIP_Label_9f1400f8-6517-410d-82ab-f249b74b187c_Method">
    <vt:lpwstr>Standard</vt:lpwstr>
  </property>
  <property fmtid="{D5CDD505-2E9C-101B-9397-08002B2CF9AE}" pid="8" name="MSIP_Label_9f1400f8-6517-410d-82ab-f249b74b187c_Name">
    <vt:lpwstr>Internal Use</vt:lpwstr>
  </property>
  <property fmtid="{D5CDD505-2E9C-101B-9397-08002B2CF9AE}" pid="9" name="MSIP_Label_9f1400f8-6517-410d-82ab-f249b74b187c_SiteId">
    <vt:lpwstr>b4fe3a7f-5de7-4d27-8066-1d5728a1b3ea</vt:lpwstr>
  </property>
  <property fmtid="{D5CDD505-2E9C-101B-9397-08002B2CF9AE}" pid="10" name="MSIP_Label_9f1400f8-6517-410d-82ab-f249b74b187c_ActionId">
    <vt:lpwstr>ed46f38d-2eb4-4f2c-8c1d-681b1b51352a</vt:lpwstr>
  </property>
  <property fmtid="{D5CDD505-2E9C-101B-9397-08002B2CF9AE}" pid="11" name="MSIP_Label_9f1400f8-6517-410d-82ab-f249b74b187c_ContentBits">
    <vt:lpwstr>1</vt:lpwstr>
  </property>
</Properties>
</file>