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40AA087F"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94941"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062CECA8" w:rsidR="00635BCA" w:rsidRPr="00557BD2" w:rsidRDefault="008E2CDC" w:rsidP="00D21C35">
                <w:r>
                  <w:t xml:space="preserve">J&amp;Griff </w:t>
                </w:r>
                <w:r w:rsidR="003552AA">
                  <w:t>LLC</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2DC06511" w:rsidR="00B17279" w:rsidRDefault="008E2CDC" w:rsidP="00B17279">
                <w:r>
                  <w:t>Consultant</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14A59383" w:rsidR="00B17279" w:rsidRPr="00557BD2" w:rsidRDefault="008E2CDC" w:rsidP="00B17279">
                <w:r>
                  <w:t>Lebanon / Middle East</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354C6BB9" w14:textId="77777777" w:rsidR="00525A1E" w:rsidRDefault="008E2CDC" w:rsidP="009B1E21">
      <w:permStart w:id="627510576" w:edGrp="everyone"/>
      <w:r>
        <w:t xml:space="preserve">The EU MAR aims to enhance market integrity and investor protection by prohibiting insider dealing </w:t>
      </w:r>
      <w:r w:rsidR="00486BBC">
        <w:t>and</w:t>
      </w:r>
      <w:r>
        <w:t xml:space="preserve"> ensuring transparency in financial markets.</w:t>
      </w:r>
    </w:p>
    <w:p w14:paraId="78F5E064" w14:textId="77777777" w:rsidR="00525A1E" w:rsidRDefault="008E2CDC" w:rsidP="009B1E21">
      <w:r>
        <w:t xml:space="preserve">The </w:t>
      </w:r>
      <w:r w:rsidR="008827C9">
        <w:t xml:space="preserve">current </w:t>
      </w:r>
      <w:r w:rsidR="00B97A20">
        <w:t>templates</w:t>
      </w:r>
      <w:r>
        <w:t xml:space="preserve"> </w:t>
      </w:r>
      <w:r w:rsidR="00B97A20">
        <w:t xml:space="preserve">are </w:t>
      </w:r>
      <w:r>
        <w:t>based on CIR 2022/1210</w:t>
      </w:r>
      <w:r w:rsidR="008827C9">
        <w:t xml:space="preserve"> which will be repealed and replaced by the ESMA’s new ITS. According to the three Annexes, a listed company in any member state has to maintain a permanent list and an event-based list of insiders (whether a member state has opted in or out of the simplified framework affects SME GM </w:t>
      </w:r>
      <w:r w:rsidR="006E2621">
        <w:t>issuers</w:t>
      </w:r>
      <w:r w:rsidR="008827C9">
        <w:t xml:space="preserve"> in maintaining permanent list</w:t>
      </w:r>
      <w:r w:rsidR="00130894">
        <w:t>s</w:t>
      </w:r>
      <w:r w:rsidR="008827C9">
        <w:t xml:space="preserve"> only </w:t>
      </w:r>
      <w:r w:rsidR="006E2621">
        <w:t>in an</w:t>
      </w:r>
      <w:r w:rsidR="008827C9">
        <w:t xml:space="preserve"> alleviated </w:t>
      </w:r>
      <w:r w:rsidR="006E2621">
        <w:t>form</w:t>
      </w:r>
      <w:r w:rsidR="008827C9">
        <w:t>. The insider list should</w:t>
      </w:r>
      <w:r w:rsidR="006E2621">
        <w:t xml:space="preserve"> include</w:t>
      </w:r>
      <w:r w:rsidR="008827C9">
        <w:t xml:space="preserve"> personal data </w:t>
      </w:r>
      <w:r w:rsidR="006E2621">
        <w:t>like</w:t>
      </w:r>
      <w:r w:rsidR="008827C9">
        <w:t xml:space="preserve"> the </w:t>
      </w:r>
      <w:r w:rsidR="006E2621">
        <w:t>f</w:t>
      </w:r>
      <w:r w:rsidR="008827C9">
        <w:t xml:space="preserve">irst name, surname, </w:t>
      </w:r>
      <w:r w:rsidR="006E2621">
        <w:t>p</w:t>
      </w:r>
      <w:r w:rsidR="008827C9">
        <w:t>rofessional telephone number</w:t>
      </w:r>
      <w:r w:rsidR="006E2621">
        <w:t>, home address</w:t>
      </w:r>
      <w:r w:rsidR="008827C9">
        <w:t xml:space="preserve"> and NIN/date of birth</w:t>
      </w:r>
      <w:r w:rsidR="006E2621">
        <w:t xml:space="preserve"> (simultaneously)</w:t>
      </w:r>
      <w:r w:rsidR="008827C9">
        <w:t xml:space="preserve"> of the insider</w:t>
      </w:r>
      <w:r w:rsidR="006E2621">
        <w:t>. ESMA’s proposed approach is to extend the use of the alleviated format of insider lists to all issuers instead of SME GM issuers. The alleviated format should include only the NIN/date of birth of the insider.</w:t>
      </w:r>
      <w:r w:rsidR="006C4593">
        <w:t xml:space="preserve"> </w:t>
      </w:r>
    </w:p>
    <w:p w14:paraId="43BF917A" w14:textId="77777777" w:rsidR="00525A1E" w:rsidRDefault="006C4593" w:rsidP="009B1E21">
      <w:r>
        <w:t>The proposed approach is in harmony with</w:t>
      </w:r>
      <w:r w:rsidR="00BF55A9">
        <w:t xml:space="preserve"> the</w:t>
      </w:r>
      <w:r>
        <w:t xml:space="preserve"> data minimization principle under Article 5(1)(C) of the GDPR requiring that data should be adequate, relevant and proportionate to the purpose being stored. </w:t>
      </w:r>
      <w:r w:rsidR="00BF55A9">
        <w:t xml:space="preserve">Since no two individuals can share the same NIN, the proposed requirement to process the NIN or birth date of the insider is sufficient for reference purposes. </w:t>
      </w:r>
      <w:r w:rsidR="00C721DB">
        <w:t>According to the issuer, the NIN is sufficient to identify an insider.</w:t>
      </w:r>
      <w:r w:rsidR="00A2040F">
        <w:t xml:space="preserve"> The current technical standards require that insider list(s) must be kept promptly updated and must be provided to the relevant N</w:t>
      </w:r>
      <w:r w:rsidR="00111497">
        <w:t xml:space="preserve">ational </w:t>
      </w:r>
      <w:r w:rsidR="00A2040F">
        <w:t>C</w:t>
      </w:r>
      <w:r w:rsidR="00111497">
        <w:t xml:space="preserve">ompetent </w:t>
      </w:r>
      <w:r w:rsidR="00A2040F">
        <w:t>A</w:t>
      </w:r>
      <w:r w:rsidR="00111497">
        <w:t xml:space="preserve">uthority </w:t>
      </w:r>
      <w:r w:rsidR="00A2040F">
        <w:t>upon request</w:t>
      </w:r>
      <w:r w:rsidR="00E462B3">
        <w:t>.</w:t>
      </w:r>
    </w:p>
    <w:p w14:paraId="61F8742B" w14:textId="4C46457C" w:rsidR="00525A1E" w:rsidRDefault="00E462B3" w:rsidP="009B1E21">
      <w:r>
        <w:t>Translating this into GDPR requirements,</w:t>
      </w:r>
      <w:r w:rsidR="00920481">
        <w:t xml:space="preserve"> </w:t>
      </w:r>
      <w:r>
        <w:t xml:space="preserve">personal data for insider lists should be currently obtained for the purpose of sharing them ONLY </w:t>
      </w:r>
      <w:r w:rsidR="00B7119B">
        <w:t>WITH NCA’s</w:t>
      </w:r>
      <w:r>
        <w:t xml:space="preserve"> upon request. Given the new </w:t>
      </w:r>
      <w:r>
        <w:lastRenderedPageBreak/>
        <w:t>minimization approach for insider lists, is the “NIN/DOB only” requirement proportionate</w:t>
      </w:r>
      <w:r w:rsidR="00041248">
        <w:t>/sufficient</w:t>
      </w:r>
      <w:r w:rsidR="00B7119B">
        <w:t xml:space="preserve"> for</w:t>
      </w:r>
      <w:r>
        <w:t xml:space="preserve"> NCAs</w:t>
      </w:r>
      <w:r w:rsidR="00AF2806">
        <w:t xml:space="preserve"> to conduct insider dealing investigations</w:t>
      </w:r>
      <w:r w:rsidR="00704505">
        <w:t xml:space="preserve"> under MAR No 596/2014</w:t>
      </w:r>
      <w:r>
        <w:t>?</w:t>
      </w:r>
      <w:r w:rsidR="001C390E">
        <w:t xml:space="preserve"> </w:t>
      </w:r>
    </w:p>
    <w:p w14:paraId="388E9EC6" w14:textId="7DDA76D6" w:rsidR="00525A1E" w:rsidRDefault="001C390E" w:rsidP="009B1E21">
      <w:r>
        <w:t xml:space="preserve">Prosecution of insider dealing as a criminal offense is </w:t>
      </w:r>
      <w:r w:rsidR="00111497">
        <w:t>already</w:t>
      </w:r>
      <w:r>
        <w:t xml:space="preserve"> </w:t>
      </w:r>
      <w:r w:rsidR="00920481">
        <w:t xml:space="preserve">a </w:t>
      </w:r>
      <w:r w:rsidR="00111497">
        <w:t>complex</w:t>
      </w:r>
      <w:r w:rsidR="00920481">
        <w:t xml:space="preserve"> procedure</w:t>
      </w:r>
      <w:r>
        <w:t xml:space="preserve"> as it requires clear evidence of both access to inside information and the intentional misuse of such information for trading.</w:t>
      </w:r>
      <w:r w:rsidR="00111497">
        <w:t xml:space="preserve"> Reducing the amount of personal data required for insider lists </w:t>
      </w:r>
      <w:r w:rsidR="004368FA">
        <w:t>is indeed</w:t>
      </w:r>
      <w:r w:rsidR="00111497">
        <w:t xml:space="preserve"> less cumbersome for issuers but </w:t>
      </w:r>
      <w:r w:rsidR="003847F7">
        <w:t xml:space="preserve">may </w:t>
      </w:r>
      <w:r w:rsidR="002C204B">
        <w:t xml:space="preserve">potentially </w:t>
      </w:r>
      <w:r w:rsidR="00B510A4">
        <w:t>delay enforcement actions and compromise</w:t>
      </w:r>
      <w:r w:rsidR="00111497">
        <w:t xml:space="preserve"> the</w:t>
      </w:r>
      <w:r w:rsidR="003847F7">
        <w:t xml:space="preserve"> </w:t>
      </w:r>
      <w:r w:rsidR="00111497">
        <w:t xml:space="preserve">investigation process for NCAs </w:t>
      </w:r>
      <w:r w:rsidR="004368FA">
        <w:t xml:space="preserve">by reverting back to other entities </w:t>
      </w:r>
      <w:r w:rsidR="00111497">
        <w:t xml:space="preserve">to </w:t>
      </w:r>
      <w:r w:rsidR="001E0B45">
        <w:t>adequately</w:t>
      </w:r>
      <w:r w:rsidR="00111497">
        <w:t xml:space="preserve"> conduct insider dealing investigations</w:t>
      </w:r>
      <w:r w:rsidR="003847F7">
        <w:t>.</w:t>
      </w:r>
    </w:p>
    <w:p w14:paraId="3111A860" w14:textId="4BB30E02" w:rsidR="009B1E21" w:rsidRDefault="003847F7" w:rsidP="009B1E21">
      <w:r>
        <w:t>St</w:t>
      </w:r>
      <w:r w:rsidR="008915DD">
        <w:t>reamlining</w:t>
      </w:r>
      <w:r>
        <w:t xml:space="preserve"> and digitizing templates across EU member states would indeed</w:t>
      </w:r>
      <w:r w:rsidR="004368FA">
        <w:t xml:space="preserve"> be less cumbersome for </w:t>
      </w:r>
      <w:r w:rsidR="008A7638">
        <w:t xml:space="preserve">all </w:t>
      </w:r>
      <w:r w:rsidR="004368FA">
        <w:t>issuers while retaining NCAs</w:t>
      </w:r>
      <w:r w:rsidR="00B510A4">
        <w:t>’</w:t>
      </w:r>
      <w:r w:rsidR="004368FA">
        <w:t xml:space="preserve"> supervisory powers</w:t>
      </w:r>
      <w:r w:rsidR="002C204B">
        <w:t xml:space="preserve"> (safeguarding confidentiality too); but we are against reducing required data</w:t>
      </w:r>
      <w:r w:rsidR="00B97A20">
        <w:t xml:space="preserve"> in insider lists</w:t>
      </w:r>
      <w:r w:rsidR="002C204B">
        <w:t xml:space="preserve"> for the purpose of sharing them with</w:t>
      </w:r>
      <w:r w:rsidR="0047646A">
        <w:t xml:space="preserve"> </w:t>
      </w:r>
      <w:r w:rsidR="00AA4B84">
        <w:t>NCAs’</w:t>
      </w:r>
      <w:r w:rsidR="00232D1C">
        <w:t xml:space="preserve"> </w:t>
      </w:r>
      <w:r w:rsidR="00AA4B84">
        <w:t>to exercise their powers under regulation No 596/2014</w:t>
      </w:r>
      <w:r w:rsidR="004368FA">
        <w:t>.</w:t>
      </w:r>
    </w:p>
    <w:permEnd w:id="627510576"/>
    <w:p w14:paraId="0D7538F4" w14:textId="55124EF2" w:rsidR="009B1E21" w:rsidRDefault="009B1E21" w:rsidP="009B1E21">
      <w:r>
        <w:t>&lt;ESMA_QUESTION_</w:t>
      </w:r>
      <w:r w:rsidR="00392A82">
        <w:t>CPIL</w:t>
      </w:r>
      <w:r>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679753B4" w14:textId="415D7E31" w:rsidR="00FB4B9D" w:rsidRDefault="00621779" w:rsidP="009B1E21">
      <w:permStart w:id="55053902" w:edGrp="everyone"/>
      <w:r>
        <w:t>The</w:t>
      </w:r>
      <w:r w:rsidR="00D449DC">
        <w:t xml:space="preserve"> permanent section of the insider</w:t>
      </w:r>
      <w:r>
        <w:t xml:space="preserve"> list provides a constantly updated record of individuals having continuous access to inside information due to their role</w:t>
      </w:r>
      <w:r w:rsidR="006214E8">
        <w:t xml:space="preserve"> in the </w:t>
      </w:r>
      <w:r w:rsidR="00E75FCC">
        <w:t>company</w:t>
      </w:r>
      <w:r>
        <w:t>.</w:t>
      </w:r>
      <w:r w:rsidR="006214E8">
        <w:t xml:space="preserve"> Moreover, the permanent section offers a centralised reference that can be linked to event-based entries without duplicating personal data</w:t>
      </w:r>
      <w:r w:rsidR="00FB4B9D">
        <w:t>. Thus, issuers would not re-enter the same personal data in every event-based list</w:t>
      </w:r>
      <w:r w:rsidR="006214E8">
        <w:t>.</w:t>
      </w:r>
    </w:p>
    <w:p w14:paraId="46B23235" w14:textId="77777777" w:rsidR="00D449DC" w:rsidRDefault="006214E8" w:rsidP="009B1E21">
      <w:r>
        <w:t xml:space="preserve">Since insider trading is a criminal offense and NCAs according to Article 23 of MAR No 596/2014 have the powers to investigate such offenses, the permanent list offers an immediate reference that enables NCAs to swiftly identify individuals who always have access to inside information resulting in </w:t>
      </w:r>
      <w:r w:rsidR="00FB4B9D">
        <w:t>rapid, ideal</w:t>
      </w:r>
      <w:r>
        <w:t xml:space="preserve"> investigations.</w:t>
      </w:r>
    </w:p>
    <w:p w14:paraId="5572F42B" w14:textId="347D8F6B" w:rsidR="009B1E21" w:rsidRDefault="00D449DC" w:rsidP="009B1E21">
      <w:r>
        <w:t xml:space="preserve">Although the permanent section of insiders might appear duplicative to SME GM issuers, offering a flexible solution for recordkeeping without compromising regulatory objectives </w:t>
      </w:r>
      <w:r w:rsidR="00525A1E">
        <w:t>might be beneficial</w:t>
      </w:r>
      <w:r>
        <w:t>.</w:t>
      </w:r>
      <w:r w:rsidR="00621779">
        <w:t xml:space="preserve"> </w:t>
      </w:r>
    </w:p>
    <w:p w14:paraId="4B5D1E2E" w14:textId="6C082E66" w:rsidR="00D449DC" w:rsidRDefault="00D449DC" w:rsidP="009B1E21">
      <w:r>
        <w:lastRenderedPageBreak/>
        <w:t>To conclude, we consider the permanent section of the insider list as set out in Annex I to be useful. ESMA might offer flexible</w:t>
      </w:r>
      <w:r w:rsidR="00805D32">
        <w:t xml:space="preserve"> solutions for SME GMs</w:t>
      </w:r>
      <w:r>
        <w:t xml:space="preserve"> for </w:t>
      </w:r>
      <w:r w:rsidR="00805D32">
        <w:t>maintaining this section,</w:t>
      </w:r>
      <w:r w:rsidR="007F2A89">
        <w:t xml:space="preserve"> but</w:t>
      </w:r>
      <w:r w:rsidR="00805D32">
        <w:t xml:space="preserve"> retaining th</w:t>
      </w:r>
      <w:r w:rsidR="00C42512">
        <w:t>e permanent list</w:t>
      </w:r>
      <w:r w:rsidR="00805D32">
        <w:t xml:space="preserve"> for all issuers is </w:t>
      </w:r>
      <w:r w:rsidR="00C57DA9">
        <w:t>crucial</w:t>
      </w:r>
      <w:r w:rsidR="00217C4A">
        <w:t xml:space="preserve"> to maintain</w:t>
      </w:r>
      <w:r w:rsidR="00805D32">
        <w:t xml:space="preserve"> market integrity and prevent market abuse.</w:t>
      </w:r>
    </w:p>
    <w:permEnd w:id="55053902"/>
    <w:p w14:paraId="360DEE1D" w14:textId="6DABE5AD" w:rsidR="009B1E21" w:rsidRDefault="009B1E21" w:rsidP="009B1E21">
      <w:r>
        <w:t>&lt;ESMA_QUESTION_</w:t>
      </w:r>
      <w:r w:rsidR="00392A82" w:rsidRPr="00392A82">
        <w:t xml:space="preserve"> </w:t>
      </w:r>
      <w:r w:rsidR="00392A82">
        <w:t>CPIL</w:t>
      </w:r>
      <w:r>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D15CD" w14:textId="77777777" w:rsidR="00525F9C" w:rsidRDefault="00525F9C" w:rsidP="007E7997">
      <w:pPr>
        <w:spacing w:line="240" w:lineRule="auto"/>
      </w:pPr>
      <w:r>
        <w:separator/>
      </w:r>
    </w:p>
  </w:endnote>
  <w:endnote w:type="continuationSeparator" w:id="0">
    <w:p w14:paraId="5668A989" w14:textId="77777777" w:rsidR="00525F9C" w:rsidRDefault="00525F9C" w:rsidP="007E7997">
      <w:pPr>
        <w:spacing w:line="240" w:lineRule="auto"/>
      </w:pPr>
      <w:r>
        <w:continuationSeparator/>
      </w:r>
    </w:p>
  </w:endnote>
  <w:endnote w:type="continuationNotice" w:id="1">
    <w:p w14:paraId="220BB8C6" w14:textId="77777777" w:rsidR="00525F9C" w:rsidRDefault="00525F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03CA" w14:textId="77777777" w:rsidR="00525F9C" w:rsidRDefault="00525F9C" w:rsidP="007E7997">
      <w:pPr>
        <w:spacing w:line="240" w:lineRule="auto"/>
      </w:pPr>
      <w:r>
        <w:separator/>
      </w:r>
    </w:p>
  </w:footnote>
  <w:footnote w:type="continuationSeparator" w:id="0">
    <w:p w14:paraId="0710D60F" w14:textId="77777777" w:rsidR="00525F9C" w:rsidRDefault="00525F9C" w:rsidP="007E7997">
      <w:pPr>
        <w:spacing w:line="240" w:lineRule="auto"/>
      </w:pPr>
      <w:r>
        <w:continuationSeparator/>
      </w:r>
    </w:p>
  </w:footnote>
  <w:footnote w:type="continuationNotice" w:id="1">
    <w:p w14:paraId="4B9DC752" w14:textId="77777777" w:rsidR="00525F9C" w:rsidRDefault="00525F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B06AF8" w:rsidR="00D77369" w:rsidRPr="00A51B24" w:rsidRDefault="00D77369" w:rsidP="008858FE">
    <w:pPr>
      <w:pStyle w:val="Header"/>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KDv5OyqLLC5tSHAqEb0OOzlizvQ3wv/YvGwgB5m/uhj3YUY4dRMIuO2pvYK7a5bbyCRCyRgbhE20MaBUiQHuA==" w:salt="8tTR8pm1nGAyGH1T3J44Z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248"/>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66D"/>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BD9"/>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497"/>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894"/>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103"/>
    <w:rsid w:val="001C0461"/>
    <w:rsid w:val="001C088C"/>
    <w:rsid w:val="001C0ACA"/>
    <w:rsid w:val="001C13FA"/>
    <w:rsid w:val="001C1457"/>
    <w:rsid w:val="001C163F"/>
    <w:rsid w:val="001C2017"/>
    <w:rsid w:val="001C2134"/>
    <w:rsid w:val="001C2186"/>
    <w:rsid w:val="001C2AC2"/>
    <w:rsid w:val="001C34BB"/>
    <w:rsid w:val="001C389D"/>
    <w:rsid w:val="001C390E"/>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0B45"/>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0700"/>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17C4A"/>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2D1C"/>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04B"/>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2AA"/>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7F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68FA"/>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46A"/>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BBC"/>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5A1E"/>
    <w:rsid w:val="00525F9C"/>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1A4"/>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7F"/>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4E8"/>
    <w:rsid w:val="00621779"/>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593"/>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621"/>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327"/>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5"/>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50A"/>
    <w:rsid w:val="007E6672"/>
    <w:rsid w:val="007E66F8"/>
    <w:rsid w:val="007E6B8B"/>
    <w:rsid w:val="007E70E1"/>
    <w:rsid w:val="007E7279"/>
    <w:rsid w:val="007E72EC"/>
    <w:rsid w:val="007E75F3"/>
    <w:rsid w:val="007E76BC"/>
    <w:rsid w:val="007E7997"/>
    <w:rsid w:val="007F0029"/>
    <w:rsid w:val="007F0700"/>
    <w:rsid w:val="007F0AA7"/>
    <w:rsid w:val="007F0AB4"/>
    <w:rsid w:val="007F0DF1"/>
    <w:rsid w:val="007F12CE"/>
    <w:rsid w:val="007F14DF"/>
    <w:rsid w:val="007F156C"/>
    <w:rsid w:val="007F1A39"/>
    <w:rsid w:val="007F1C71"/>
    <w:rsid w:val="007F1CD3"/>
    <w:rsid w:val="007F1CDD"/>
    <w:rsid w:val="007F221A"/>
    <w:rsid w:val="007F2291"/>
    <w:rsid w:val="007F2A89"/>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5D32"/>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66"/>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7C9"/>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5DD"/>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638"/>
    <w:rsid w:val="008A7A16"/>
    <w:rsid w:val="008A7EE3"/>
    <w:rsid w:val="008B0044"/>
    <w:rsid w:val="008B03F7"/>
    <w:rsid w:val="008B04E2"/>
    <w:rsid w:val="008B0834"/>
    <w:rsid w:val="008B0AA5"/>
    <w:rsid w:val="008B0B02"/>
    <w:rsid w:val="008B0F46"/>
    <w:rsid w:val="008B0FBC"/>
    <w:rsid w:val="008B10FD"/>
    <w:rsid w:val="008B110B"/>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533"/>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2CDC"/>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763"/>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481"/>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40F"/>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4B84"/>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806"/>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A4"/>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19B"/>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97A20"/>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5A9"/>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512"/>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DA9"/>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1D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A01"/>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9DC"/>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1FBB"/>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0E1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2B3"/>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5FCC"/>
    <w:rsid w:val="00E76053"/>
    <w:rsid w:val="00E76298"/>
    <w:rsid w:val="00E76986"/>
    <w:rsid w:val="00E775AE"/>
    <w:rsid w:val="00E77E04"/>
    <w:rsid w:val="00E810C3"/>
    <w:rsid w:val="00E810CB"/>
    <w:rsid w:val="00E814EB"/>
    <w:rsid w:val="00E81C78"/>
    <w:rsid w:val="00E8241C"/>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503"/>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B9D"/>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60BD9"/>
    <w:rsid w:val="000B5175"/>
    <w:rsid w:val="0015768C"/>
    <w:rsid w:val="001C0103"/>
    <w:rsid w:val="001D0361"/>
    <w:rsid w:val="0034145D"/>
    <w:rsid w:val="00472FED"/>
    <w:rsid w:val="004D67E0"/>
    <w:rsid w:val="004E4CF9"/>
    <w:rsid w:val="00517B9B"/>
    <w:rsid w:val="005821A4"/>
    <w:rsid w:val="005D66AB"/>
    <w:rsid w:val="006D3543"/>
    <w:rsid w:val="00736117"/>
    <w:rsid w:val="00740052"/>
    <w:rsid w:val="007F0AA7"/>
    <w:rsid w:val="00813189"/>
    <w:rsid w:val="00813EAE"/>
    <w:rsid w:val="008222A0"/>
    <w:rsid w:val="00836D47"/>
    <w:rsid w:val="0088086A"/>
    <w:rsid w:val="008B110B"/>
    <w:rsid w:val="00982D57"/>
    <w:rsid w:val="00993537"/>
    <w:rsid w:val="009B6B9C"/>
    <w:rsid w:val="009C0B17"/>
    <w:rsid w:val="00A44918"/>
    <w:rsid w:val="00B22006"/>
    <w:rsid w:val="00B46CAE"/>
    <w:rsid w:val="00BD1825"/>
    <w:rsid w:val="00D40353"/>
    <w:rsid w:val="00D76D1C"/>
    <w:rsid w:val="00DC3796"/>
    <w:rsid w:val="00DC4211"/>
    <w:rsid w:val="00E20E17"/>
    <w:rsid w:val="00F81463"/>
    <w:rsid w:val="00FA09D7"/>
    <w:rsid w:val="00FC2C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A8528FDC84450D4D81C2352023D6E351" ma:contentTypeVersion="16" ma:contentTypeDescription="" ma:contentTypeScope="" ma:versionID="5402f68cda9d5721c920092050338e22">
  <xsd:schema xmlns:xsd="http://www.w3.org/2001/XMLSchema" xmlns:xs="http://www.w3.org/2001/XMLSchema" xmlns:p="http://schemas.microsoft.com/office/2006/metadata/properties" xmlns:ns2="d0fb0f98-34f9-4d57-9559-eb8efd17aa5e" xmlns:ns3="f8732b39-c95d-424f-a92c-f9f157629276" targetNamespace="http://schemas.microsoft.com/office/2006/metadata/properties" ma:root="true" ma:fieldsID="081f4dcb2673290e65eda033b27b8a37" ns2:_="" ns3:_="">
    <xsd:import namespace="d0fb0f98-34f9-4d57-9559-eb8efd17aa5e"/>
    <xsd:import namespace="f8732b39-c95d-424f-a92c-f9f157629276"/>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732b39-c95d-424f-a92c-f9f157629276"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ESMA74-268544963-1487</_dlc_DocId>
    <_dlc_DocIdUrl xmlns="d0fb0f98-34f9-4d57-9559-eb8efd17aa5e">
      <Url>https://securitiesandmarketsauth.sharepoint.com/sites/sherpa-trdu/_layouts/15/DocIdRedir.aspx?ID=ESMA74-268544963-1487</Url>
      <Description>ESMA74-268544963-1487</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61A3070F-03CA-4860-A260-5385951B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f8732b39-c95d-424f-a92c-f9f157629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1130</Words>
  <Characters>6443</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joe michael ghoul</cp:lastModifiedBy>
  <cp:revision>42</cp:revision>
  <cp:lastPrinted>2023-09-09T00:53:00Z</cp:lastPrinted>
  <dcterms:created xsi:type="dcterms:W3CDTF">2025-04-05T14:40:00Z</dcterms:created>
  <dcterms:modified xsi:type="dcterms:W3CDTF">2025-06-02T18:17:00Z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0x0101008D9E5D2C101BA04B85C7EB08C6516E400600A8528FDC84450D4D81C2352023D6E351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ies>
</file>