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35C78" w14:textId="2E799268" w:rsidR="004962C0" w:rsidRDefault="004B2EAE" w:rsidP="003D0F11">
      <w:pPr>
        <w:jc w:val="right"/>
      </w:pPr>
      <w:r>
        <w:rPr>
          <w:noProof/>
        </w:rPr>
        <w:drawing>
          <wp:anchor distT="0" distB="0" distL="114300" distR="114300" simplePos="0" relativeHeight="251658240" behindDoc="0" locked="0" layoutInCell="1" allowOverlap="1" wp14:anchorId="5F693B8C" wp14:editId="246517A3">
            <wp:simplePos x="0" y="0"/>
            <wp:positionH relativeFrom="margin">
              <wp:posOffset>2661920</wp:posOffset>
            </wp:positionH>
            <wp:positionV relativeFrom="paragraph">
              <wp:posOffset>0</wp:posOffset>
            </wp:positionV>
            <wp:extent cx="3222477" cy="952500"/>
            <wp:effectExtent l="0" t="0" r="0" b="0"/>
            <wp:wrapSquare wrapText="bothSides"/>
            <wp:docPr id="1783814077"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14077" name="Picture 2" descr="A close-up of a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3222477" cy="952500"/>
                    </a:xfrm>
                    <a:prstGeom prst="rect">
                      <a:avLst/>
                    </a:prstGeom>
                  </pic:spPr>
                </pic:pic>
              </a:graphicData>
            </a:graphic>
          </wp:anchor>
        </w:drawing>
      </w:r>
    </w:p>
    <w:p w14:paraId="1E267BB1" w14:textId="77777777" w:rsidR="004B2EAE" w:rsidRDefault="004B2EAE" w:rsidP="003D0F11">
      <w:pPr>
        <w:spacing w:after="0" w:line="240" w:lineRule="auto"/>
        <w:jc w:val="right"/>
        <w:rPr>
          <w:rFonts w:asciiTheme="minorHAnsi" w:hAnsiTheme="minorHAnsi"/>
          <w:sz w:val="18"/>
          <w:szCs w:val="18"/>
          <w:lang w:val="fr-BE"/>
        </w:rPr>
      </w:pPr>
    </w:p>
    <w:p w14:paraId="262ABD5A" w14:textId="77777777" w:rsidR="004B2EAE" w:rsidRDefault="004B2EAE" w:rsidP="003D0F11">
      <w:pPr>
        <w:spacing w:after="0" w:line="240" w:lineRule="auto"/>
        <w:jc w:val="right"/>
        <w:rPr>
          <w:rFonts w:asciiTheme="minorHAnsi" w:hAnsiTheme="minorHAnsi"/>
          <w:sz w:val="18"/>
          <w:szCs w:val="18"/>
          <w:lang w:val="fr-BE"/>
        </w:rPr>
      </w:pPr>
    </w:p>
    <w:p w14:paraId="63B0A666" w14:textId="77777777" w:rsidR="004B2EAE" w:rsidRDefault="004B2EAE" w:rsidP="003D0F11">
      <w:pPr>
        <w:spacing w:after="0" w:line="240" w:lineRule="auto"/>
        <w:jc w:val="right"/>
        <w:rPr>
          <w:rFonts w:asciiTheme="minorHAnsi" w:hAnsiTheme="minorHAnsi"/>
          <w:sz w:val="18"/>
          <w:szCs w:val="18"/>
          <w:lang w:val="fr-BE"/>
        </w:rPr>
      </w:pPr>
    </w:p>
    <w:p w14:paraId="2D3221AA" w14:textId="77777777" w:rsidR="004B2EAE" w:rsidRDefault="004B2EAE" w:rsidP="003D0F11">
      <w:pPr>
        <w:spacing w:after="0" w:line="240" w:lineRule="auto"/>
        <w:jc w:val="right"/>
        <w:rPr>
          <w:rFonts w:asciiTheme="minorHAnsi" w:hAnsiTheme="minorHAnsi"/>
          <w:sz w:val="18"/>
          <w:szCs w:val="18"/>
          <w:lang w:val="fr-BE"/>
        </w:rPr>
      </w:pPr>
    </w:p>
    <w:p w14:paraId="4463030A" w14:textId="7F530137" w:rsidR="004B2EAE" w:rsidRDefault="004B2EAE" w:rsidP="003D0F11">
      <w:pPr>
        <w:spacing w:after="0" w:line="240" w:lineRule="auto"/>
        <w:jc w:val="right"/>
        <w:rPr>
          <w:rFonts w:asciiTheme="minorHAnsi" w:hAnsiTheme="minorHAnsi"/>
          <w:sz w:val="18"/>
          <w:szCs w:val="18"/>
          <w:lang w:val="fr-BE"/>
        </w:rPr>
      </w:pPr>
    </w:p>
    <w:p w14:paraId="1AF24770" w14:textId="40BB1194" w:rsidR="004B2EAE" w:rsidRDefault="004B2EAE" w:rsidP="003D0F11">
      <w:pPr>
        <w:spacing w:after="0" w:line="240" w:lineRule="auto"/>
        <w:jc w:val="right"/>
        <w:rPr>
          <w:rFonts w:asciiTheme="minorHAnsi" w:hAnsiTheme="minorHAnsi"/>
          <w:sz w:val="18"/>
          <w:szCs w:val="18"/>
          <w:lang w:val="fr-BE"/>
        </w:rPr>
      </w:pPr>
    </w:p>
    <w:p w14:paraId="2B3CD69E" w14:textId="1D89FB77" w:rsidR="003D0F11" w:rsidRPr="00962A1F" w:rsidRDefault="003D0F11" w:rsidP="003D0F11">
      <w:pPr>
        <w:spacing w:after="0" w:line="240" w:lineRule="auto"/>
        <w:jc w:val="right"/>
        <w:rPr>
          <w:rFonts w:cs="Calibri"/>
          <w:sz w:val="18"/>
          <w:szCs w:val="18"/>
          <w:lang w:val="fr-BE"/>
        </w:rPr>
      </w:pPr>
      <w:r w:rsidRPr="00962A1F">
        <w:rPr>
          <w:rFonts w:cs="Calibri"/>
          <w:sz w:val="18"/>
          <w:szCs w:val="18"/>
          <w:lang w:val="fr-BE"/>
        </w:rPr>
        <w:t>Rue de la Science 21-23</w:t>
      </w:r>
    </w:p>
    <w:p w14:paraId="402523BD" w14:textId="082FE978" w:rsidR="003D0F11" w:rsidRPr="00962A1F" w:rsidRDefault="003D0F11" w:rsidP="003D0F11">
      <w:pPr>
        <w:spacing w:after="0" w:line="240" w:lineRule="auto"/>
        <w:jc w:val="right"/>
        <w:rPr>
          <w:rFonts w:cs="Calibri"/>
          <w:sz w:val="18"/>
          <w:szCs w:val="18"/>
          <w:lang w:val="fr-BE"/>
        </w:rPr>
      </w:pPr>
      <w:r w:rsidRPr="00962A1F">
        <w:rPr>
          <w:rFonts w:cs="Calibri"/>
          <w:sz w:val="18"/>
          <w:szCs w:val="18"/>
          <w:lang w:val="fr-BE"/>
        </w:rPr>
        <w:t>1040, Brussels</w:t>
      </w:r>
    </w:p>
    <w:p w14:paraId="726C80CA" w14:textId="5180BC6D" w:rsidR="003D0F11" w:rsidRPr="00962A1F" w:rsidRDefault="000034A8" w:rsidP="003D0F11">
      <w:pPr>
        <w:spacing w:line="240" w:lineRule="auto"/>
        <w:jc w:val="right"/>
        <w:rPr>
          <w:rFonts w:cs="Calibri"/>
          <w:sz w:val="18"/>
          <w:szCs w:val="18"/>
          <w:lang w:val="fr-BE"/>
        </w:rPr>
      </w:pPr>
      <w:r w:rsidRPr="00962A1F">
        <w:rPr>
          <w:rFonts w:cs="Calibri"/>
          <w:noProof/>
          <w:sz w:val="18"/>
          <w:szCs w:val="18"/>
        </w:rPr>
        <mc:AlternateContent>
          <mc:Choice Requires="wps">
            <w:drawing>
              <wp:anchor distT="45720" distB="45720" distL="114300" distR="114300" simplePos="0" relativeHeight="251656192" behindDoc="0" locked="0" layoutInCell="1" allowOverlap="1" wp14:anchorId="49587B51" wp14:editId="64BE400A">
                <wp:simplePos x="0" y="0"/>
                <wp:positionH relativeFrom="margin">
                  <wp:posOffset>-66675</wp:posOffset>
                </wp:positionH>
                <wp:positionV relativeFrom="paragraph">
                  <wp:posOffset>102870</wp:posOffset>
                </wp:positionV>
                <wp:extent cx="394335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3350" cy="1404620"/>
                        </a:xfrm>
                        <a:prstGeom prst="rect">
                          <a:avLst/>
                        </a:prstGeom>
                        <a:solidFill>
                          <a:srgbClr val="FFFFFF"/>
                        </a:solidFill>
                        <a:ln w="9525">
                          <a:noFill/>
                          <a:miter lim="800000"/>
                          <a:headEnd/>
                          <a:tailEnd/>
                        </a:ln>
                      </wps:spPr>
                      <wps:txbx>
                        <w:txbxContent>
                          <w:p w14:paraId="70022B3E" w14:textId="2E0711FB" w:rsidR="004B2EAE" w:rsidRPr="004B2EAE" w:rsidRDefault="00361100">
                            <w:pPr>
                              <w:rPr>
                                <w:rFonts w:asciiTheme="minorHAnsi" w:hAnsiTheme="minorHAnsi"/>
                                <w:b/>
                                <w:bCs/>
                                <w:color w:val="D54D19"/>
                                <w:sz w:val="28"/>
                                <w:szCs w:val="28"/>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pPr>
                            <w:r w:rsidRPr="00361100">
                              <w:rPr>
                                <w:rFonts w:asciiTheme="minorHAnsi" w:hAnsiTheme="minorHAnsi"/>
                                <w:b/>
                                <w:bCs/>
                                <w:color w:val="D54D19"/>
                                <w:sz w:val="36"/>
                                <w:szCs w:val="36"/>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t xml:space="preserve">EuropeanIssuers’ </w:t>
                            </w:r>
                            <w:r w:rsidR="00D352E3">
                              <w:rPr>
                                <w:rFonts w:asciiTheme="minorHAnsi" w:hAnsiTheme="minorHAnsi"/>
                                <w:b/>
                                <w:bCs/>
                                <w:color w:val="D54D19"/>
                                <w:sz w:val="36"/>
                                <w:szCs w:val="36"/>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t>Cover letter</w:t>
                            </w:r>
                            <w:r w:rsidR="000034A8" w:rsidRPr="000034A8">
                              <w:rPr>
                                <w:rFonts w:asciiTheme="minorHAnsi" w:hAnsiTheme="minorHAnsi"/>
                                <w:b/>
                                <w:bCs/>
                                <w:color w:val="D54D19"/>
                                <w:sz w:val="36"/>
                                <w:szCs w:val="36"/>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t xml:space="preserve"> on</w:t>
                            </w:r>
                            <w:r w:rsidR="00375E3D">
                              <w:rPr>
                                <w:rFonts w:asciiTheme="minorHAnsi" w:hAnsiTheme="minorHAnsi"/>
                                <w:b/>
                                <w:bCs/>
                                <w:color w:val="D54D19"/>
                                <w:sz w:val="36"/>
                                <w:szCs w:val="36"/>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t xml:space="preserve"> the</w:t>
                            </w:r>
                            <w:r w:rsidR="000034A8">
                              <w:rPr>
                                <w:rFonts w:asciiTheme="minorHAnsi" w:hAnsiTheme="minorHAnsi"/>
                                <w:b/>
                                <w:bCs/>
                                <w:color w:val="D54D19"/>
                                <w:sz w:val="28"/>
                                <w:szCs w:val="28"/>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t xml:space="preserve"> </w:t>
                            </w:r>
                            <w:r w:rsidR="00375E3D">
                              <w:rPr>
                                <w:rFonts w:asciiTheme="minorHAnsi" w:hAnsiTheme="minorHAnsi"/>
                                <w:b/>
                                <w:bCs/>
                                <w:color w:val="D54D19"/>
                                <w:sz w:val="28"/>
                                <w:szCs w:val="28"/>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9587B51" id="_x0000_t202" coordsize="21600,21600" o:spt="202" path="m,l,21600r21600,l21600,xe">
                <v:stroke joinstyle="miter"/>
                <v:path gradientshapeok="t" o:connecttype="rect"/>
              </v:shapetype>
              <v:shape id="Text Box 2" o:spid="_x0000_s1026" type="#_x0000_t202" style="position:absolute;left:0;text-align:left;margin-left:-5.25pt;margin-top:8.1pt;width:310.5pt;height:110.6pt;z-index:25165619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" stroked="f">
                <v:textbox style="mso-fit-shape-to-text:t">
                  <w:txbxContent>
                    <w:p w14:paraId="70022B3E" w14:textId="2E0711FB" w:rsidR="004B2EAE" w:rsidRPr="004B2EAE" w:rsidRDefault="00361100">
                      <w:pPr>
                        <w:rPr>
                          <w:rFonts w:asciiTheme="minorHAnsi" w:hAnsiTheme="minorHAnsi"/>
                          <w:b/>
                          <w:bCs/>
                          <w:color w:val="D54D19"/>
                          <w:sz w:val="28"/>
                          <w:szCs w:val="28"/>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pPr>
                      <w:r w:rsidRPr="00361100">
                        <w:rPr>
                          <w:rFonts w:asciiTheme="minorHAnsi" w:hAnsiTheme="minorHAnsi"/>
                          <w:b/>
                          <w:bCs/>
                          <w:color w:val="D54D19"/>
                          <w:sz w:val="36"/>
                          <w:szCs w:val="36"/>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t xml:space="preserve">EuropeanIssuers’ </w:t>
                      </w:r>
                      <w:r w:rsidR="00D352E3">
                        <w:rPr>
                          <w:rFonts w:asciiTheme="minorHAnsi" w:hAnsiTheme="minorHAnsi"/>
                          <w:b/>
                          <w:bCs/>
                          <w:color w:val="D54D19"/>
                          <w:sz w:val="36"/>
                          <w:szCs w:val="36"/>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t>Cover letter</w:t>
                      </w:r>
                      <w:r w:rsidR="000034A8" w:rsidRPr="000034A8">
                        <w:rPr>
                          <w:rFonts w:asciiTheme="minorHAnsi" w:hAnsiTheme="minorHAnsi"/>
                          <w:b/>
                          <w:bCs/>
                          <w:color w:val="D54D19"/>
                          <w:sz w:val="36"/>
                          <w:szCs w:val="36"/>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t xml:space="preserve"> on</w:t>
                      </w:r>
                      <w:r w:rsidR="00375E3D">
                        <w:rPr>
                          <w:rFonts w:asciiTheme="minorHAnsi" w:hAnsiTheme="minorHAnsi"/>
                          <w:b/>
                          <w:bCs/>
                          <w:color w:val="D54D19"/>
                          <w:sz w:val="36"/>
                          <w:szCs w:val="36"/>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t xml:space="preserve"> the</w:t>
                      </w:r>
                      <w:r w:rsidR="000034A8">
                        <w:rPr>
                          <w:rFonts w:asciiTheme="minorHAnsi" w:hAnsiTheme="minorHAnsi"/>
                          <w:b/>
                          <w:bCs/>
                          <w:color w:val="D54D19"/>
                          <w:sz w:val="28"/>
                          <w:szCs w:val="28"/>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t xml:space="preserve"> </w:t>
                      </w:r>
                      <w:r w:rsidR="00375E3D">
                        <w:rPr>
                          <w:rFonts w:asciiTheme="minorHAnsi" w:hAnsiTheme="minorHAnsi"/>
                          <w:b/>
                          <w:bCs/>
                          <w:color w:val="D54D19"/>
                          <w:sz w:val="28"/>
                          <w:szCs w:val="28"/>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t xml:space="preserve"> </w:t>
                      </w:r>
                    </w:p>
                  </w:txbxContent>
                </v:textbox>
                <w10:wrap type="square" anchorx="margin"/>
              </v:shape>
            </w:pict>
          </mc:Fallback>
        </mc:AlternateContent>
      </w:r>
      <w:r w:rsidR="003D0F11" w:rsidRPr="00962A1F">
        <w:rPr>
          <w:rFonts w:cs="Calibri"/>
          <w:sz w:val="18"/>
          <w:szCs w:val="18"/>
          <w:lang w:val="fr-BE"/>
        </w:rPr>
        <w:t>Belgium</w:t>
      </w:r>
    </w:p>
    <w:p w14:paraId="1B51CEEF" w14:textId="6743890A" w:rsidR="003D0F11" w:rsidRPr="00962A1F" w:rsidRDefault="003D0F11" w:rsidP="003D0F11">
      <w:pPr>
        <w:spacing w:after="0" w:line="240" w:lineRule="auto"/>
        <w:jc w:val="right"/>
        <w:rPr>
          <w:rFonts w:cs="Calibri"/>
          <w:sz w:val="18"/>
          <w:szCs w:val="18"/>
          <w:lang w:val="fr-BE"/>
        </w:rPr>
      </w:pPr>
      <w:r w:rsidRPr="00962A1F">
        <w:rPr>
          <w:rFonts w:cs="Calibri"/>
          <w:sz w:val="18"/>
          <w:szCs w:val="18"/>
          <w:lang w:val="fr-BE"/>
        </w:rPr>
        <w:t>+32 2 216 92 47</w:t>
      </w:r>
    </w:p>
    <w:p w14:paraId="3C96B47E" w14:textId="2798EA51" w:rsidR="003D0F11" w:rsidRPr="00962A1F" w:rsidRDefault="000034A8" w:rsidP="003D0F11">
      <w:pPr>
        <w:spacing w:after="0" w:line="240" w:lineRule="auto"/>
        <w:jc w:val="right"/>
        <w:rPr>
          <w:rFonts w:cs="Calibri"/>
          <w:sz w:val="18"/>
          <w:szCs w:val="18"/>
          <w:lang w:val="fr-BE"/>
        </w:rPr>
      </w:pPr>
      <w:r w:rsidRPr="00962A1F">
        <w:rPr>
          <w:rFonts w:cs="Calibri"/>
          <w:noProof/>
          <w:sz w:val="18"/>
          <w:szCs w:val="18"/>
        </w:rPr>
        <mc:AlternateContent>
          <mc:Choice Requires="wps">
            <w:drawing>
              <wp:anchor distT="45720" distB="45720" distL="114300" distR="114300" simplePos="0" relativeHeight="251661312" behindDoc="0" locked="0" layoutInCell="1" allowOverlap="1" wp14:anchorId="5A497F9E" wp14:editId="0E2521D0">
                <wp:simplePos x="0" y="0"/>
                <wp:positionH relativeFrom="column">
                  <wp:posOffset>-47625</wp:posOffset>
                </wp:positionH>
                <wp:positionV relativeFrom="paragraph">
                  <wp:posOffset>55880</wp:posOffset>
                </wp:positionV>
                <wp:extent cx="3924300" cy="1404620"/>
                <wp:effectExtent l="0" t="0" r="0" b="3175"/>
                <wp:wrapSquare wrapText="bothSides"/>
                <wp:docPr id="16348730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1404620"/>
                        </a:xfrm>
                        <a:prstGeom prst="rect">
                          <a:avLst/>
                        </a:prstGeom>
                        <a:solidFill>
                          <a:srgbClr val="FFFFFF"/>
                        </a:solidFill>
                        <a:ln w="9525">
                          <a:noFill/>
                          <a:miter lim="800000"/>
                          <a:headEnd/>
                          <a:tailEnd/>
                        </a:ln>
                      </wps:spPr>
                      <wps:txbx>
                        <w:txbxContent>
                          <w:p w14:paraId="13983F8D" w14:textId="10E5DCDB" w:rsidR="004B2EAE" w:rsidRPr="000034A8" w:rsidRDefault="00F049A8">
                            <w:pPr>
                              <w:rPr>
                                <w:rFonts w:asciiTheme="minorHAnsi" w:hAnsiTheme="minorHAnsi"/>
                                <w:i/>
                                <w:iCs/>
                                <w:sz w:val="28"/>
                                <w:szCs w:val="28"/>
                              </w:rPr>
                            </w:pPr>
                            <w:r>
                              <w:rPr>
                                <w:rFonts w:asciiTheme="minorHAnsi" w:hAnsiTheme="minorHAnsi"/>
                                <w:i/>
                                <w:iCs/>
                                <w:sz w:val="28"/>
                                <w:szCs w:val="28"/>
                              </w:rPr>
                              <w:t xml:space="preserve">ESMA’s </w:t>
                            </w:r>
                            <w:r w:rsidRPr="00F049A8">
                              <w:rPr>
                                <w:rFonts w:asciiTheme="minorHAnsi" w:hAnsiTheme="minorHAnsi"/>
                                <w:i/>
                                <w:iCs/>
                                <w:sz w:val="28"/>
                                <w:szCs w:val="28"/>
                              </w:rPr>
                              <w:t>Consultation on the Draft implementing technical standards on the extension of the use of the alleviated format of insider lists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A497F9E" id="_x0000_s1027" type="#_x0000_t202" style="position:absolute;left:0;text-align:left;margin-left:-3.75pt;margin-top:4.4pt;width:309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" stroked="f">
                <v:textbox style="mso-fit-shape-to-text:t">
                  <w:txbxContent>
                    <w:p w14:paraId="13983F8D" w14:textId="10E5DCDB" w:rsidR="004B2EAE" w:rsidRPr="000034A8" w:rsidRDefault="00F049A8">
                      <w:pPr>
                        <w:rPr>
                          <w:rFonts w:asciiTheme="minorHAnsi" w:hAnsiTheme="minorHAnsi"/>
                          <w:i/>
                          <w:iCs/>
                          <w:sz w:val="28"/>
                          <w:szCs w:val="28"/>
                        </w:rPr>
                      </w:pPr>
                      <w:r>
                        <w:rPr>
                          <w:rFonts w:asciiTheme="minorHAnsi" w:hAnsiTheme="minorHAnsi"/>
                          <w:i/>
                          <w:iCs/>
                          <w:sz w:val="28"/>
                          <w:szCs w:val="28"/>
                        </w:rPr>
                        <w:t xml:space="preserve">ESMA’s </w:t>
                      </w:r>
                      <w:r w:rsidRPr="00F049A8">
                        <w:rPr>
                          <w:rFonts w:asciiTheme="minorHAnsi" w:hAnsiTheme="minorHAnsi"/>
                          <w:i/>
                          <w:iCs/>
                          <w:sz w:val="28"/>
                          <w:szCs w:val="28"/>
                        </w:rPr>
                        <w:t>Consultation on the Draft implementing technical standards on the extension of the use of the alleviated format of insider lists</w:t>
                      </w:r>
                    </w:p>
                  </w:txbxContent>
                </v:textbox>
                <w10:wrap type="square"/>
              </v:shape>
            </w:pict>
          </mc:Fallback>
        </mc:AlternateContent>
      </w:r>
      <w:hyperlink r:id="rId9" w:history="1">
        <w:r w:rsidR="003D0F11" w:rsidRPr="00962A1F">
          <w:rPr>
            <w:rStyle w:val="Hyperlink"/>
            <w:rFonts w:cs="Calibri"/>
            <w:color w:val="auto"/>
            <w:sz w:val="18"/>
            <w:szCs w:val="18"/>
            <w:lang w:val="fr-BE"/>
          </w:rPr>
          <w:t>info@europeanissuers.eu</w:t>
        </w:r>
      </w:hyperlink>
    </w:p>
    <w:p w14:paraId="122A4D25" w14:textId="4D7492C6" w:rsidR="003D0F11" w:rsidRPr="00962A1F" w:rsidRDefault="003D0F11" w:rsidP="003D0F11">
      <w:pPr>
        <w:spacing w:line="240" w:lineRule="auto"/>
        <w:jc w:val="right"/>
        <w:rPr>
          <w:rFonts w:cs="Calibri"/>
          <w:sz w:val="18"/>
          <w:szCs w:val="18"/>
          <w:lang w:val="fr-BE"/>
        </w:rPr>
      </w:pPr>
      <w:r w:rsidRPr="00962A1F">
        <w:rPr>
          <w:rFonts w:cs="Calibri"/>
          <w:sz w:val="18"/>
          <w:szCs w:val="18"/>
          <w:lang w:val="fr-BE"/>
        </w:rPr>
        <w:t>www.europeanissuers</w:t>
      </w:r>
    </w:p>
    <w:p w14:paraId="42011440" w14:textId="74CEB8C1" w:rsidR="003D0F11" w:rsidRPr="00962A1F" w:rsidRDefault="003D0F11" w:rsidP="003D0F11">
      <w:pPr>
        <w:jc w:val="right"/>
        <w:rPr>
          <w:rFonts w:cs="Calibri"/>
          <w:lang w:val="fr-BE"/>
        </w:rPr>
      </w:pPr>
    </w:p>
    <w:p w14:paraId="6E7ADD05" w14:textId="77777777" w:rsidR="004B2EAE" w:rsidRPr="00962A1F" w:rsidRDefault="004B2EAE" w:rsidP="003D0F11">
      <w:pPr>
        <w:jc w:val="right"/>
        <w:rPr>
          <w:rFonts w:cs="Calibri"/>
          <w:lang w:val="fr-BE"/>
        </w:rPr>
      </w:pPr>
    </w:p>
    <w:p w14:paraId="09F8E221" w14:textId="77777777" w:rsidR="00797A65" w:rsidRPr="00962A1F" w:rsidRDefault="00797A65" w:rsidP="004B2EAE">
      <w:pPr>
        <w:jc w:val="center"/>
        <w:rPr>
          <w:rFonts w:cs="Calibri"/>
          <w:sz w:val="28"/>
          <w:szCs w:val="28"/>
          <w:lang w:val="fr-BE"/>
        </w:rPr>
      </w:pPr>
    </w:p>
    <w:p w14:paraId="0ED4630B" w14:textId="60498A8C" w:rsidR="004B2EAE" w:rsidRPr="00D352E3" w:rsidRDefault="00F049A8" w:rsidP="004B2EAE">
      <w:pPr>
        <w:jc w:val="center"/>
        <w:rPr>
          <w:rFonts w:cs="Calibri"/>
          <w:sz w:val="28"/>
          <w:szCs w:val="28"/>
        </w:rPr>
      </w:pPr>
      <w:r w:rsidRPr="00D352E3">
        <w:rPr>
          <w:rFonts w:cs="Calibri"/>
          <w:sz w:val="28"/>
          <w:szCs w:val="28"/>
        </w:rPr>
        <w:t>June</w:t>
      </w:r>
      <w:r w:rsidR="004B2EAE" w:rsidRPr="00D352E3">
        <w:rPr>
          <w:rFonts w:cs="Calibri"/>
          <w:sz w:val="28"/>
          <w:szCs w:val="28"/>
        </w:rPr>
        <w:t xml:space="preserve"> </w:t>
      </w:r>
      <w:r w:rsidR="00361100" w:rsidRPr="00D352E3">
        <w:rPr>
          <w:rFonts w:cs="Calibri"/>
          <w:sz w:val="28"/>
          <w:szCs w:val="28"/>
        </w:rPr>
        <w:t>202</w:t>
      </w:r>
      <w:r w:rsidRPr="00D352E3">
        <w:rPr>
          <w:rFonts w:cs="Calibri"/>
          <w:sz w:val="28"/>
          <w:szCs w:val="28"/>
        </w:rPr>
        <w:t>5</w:t>
      </w:r>
    </w:p>
    <w:p w14:paraId="3514AF3F" w14:textId="77777777" w:rsidR="00375E3D" w:rsidRPr="00D352E3" w:rsidRDefault="00375E3D" w:rsidP="004B2EAE">
      <w:pPr>
        <w:jc w:val="center"/>
        <w:rPr>
          <w:rFonts w:asciiTheme="minorHAnsi" w:hAnsiTheme="minorHAnsi"/>
          <w:sz w:val="28"/>
          <w:szCs w:val="28"/>
        </w:rPr>
      </w:pPr>
    </w:p>
    <w:p w14:paraId="438619E3" w14:textId="77777777" w:rsidR="00D352E3" w:rsidRDefault="00F049A8" w:rsidP="00D352E3">
      <w:pPr>
        <w:pStyle w:val="ListParagraph"/>
        <w:widowControl w:val="0"/>
        <w:tabs>
          <w:tab w:val="left" w:pos="840"/>
        </w:tabs>
        <w:autoSpaceDE w:val="0"/>
        <w:autoSpaceDN w:val="0"/>
        <w:spacing w:after="120" w:line="276" w:lineRule="auto"/>
        <w:ind w:left="0" w:right="113"/>
        <w:jc w:val="both"/>
      </w:pPr>
      <w:r>
        <w:t xml:space="preserve">The Listing Act is a major step towards the simplification and burden reduction </w:t>
      </w:r>
      <w:r w:rsidR="00D352E3" w:rsidRPr="00D352E3">
        <w:t>that have been</w:t>
      </w:r>
      <w:r w:rsidR="00D352E3">
        <w:t xml:space="preserve"> </w:t>
      </w:r>
      <w:r>
        <w:t xml:space="preserve">at the core of the agenda of the EU institutions since the Action Plan </w:t>
      </w:r>
      <w:r w:rsidR="00D352E3">
        <w:t>of</w:t>
      </w:r>
      <w:r>
        <w:t xml:space="preserve"> 2020.</w:t>
      </w:r>
    </w:p>
    <w:p w14:paraId="695F0B30" w14:textId="77777777" w:rsidR="00D352E3" w:rsidRDefault="00D352E3" w:rsidP="00D352E3">
      <w:pPr>
        <w:pStyle w:val="ListParagraph"/>
        <w:widowControl w:val="0"/>
        <w:tabs>
          <w:tab w:val="left" w:pos="840"/>
        </w:tabs>
        <w:autoSpaceDE w:val="0"/>
        <w:autoSpaceDN w:val="0"/>
        <w:spacing w:after="120" w:line="276" w:lineRule="auto"/>
        <w:ind w:left="0" w:right="113"/>
        <w:jc w:val="both"/>
      </w:pPr>
    </w:p>
    <w:p w14:paraId="789B8F4B" w14:textId="0120FB8D" w:rsidR="00D352E3" w:rsidRDefault="00F049A8" w:rsidP="00D352E3">
      <w:pPr>
        <w:pStyle w:val="ListParagraph"/>
        <w:widowControl w:val="0"/>
        <w:tabs>
          <w:tab w:val="left" w:pos="840"/>
        </w:tabs>
        <w:autoSpaceDE w:val="0"/>
        <w:autoSpaceDN w:val="0"/>
        <w:spacing w:after="120" w:line="276" w:lineRule="auto"/>
        <w:ind w:left="0" w:right="113"/>
        <w:jc w:val="both"/>
      </w:pPr>
      <w:r>
        <w:t>Many relevant simplifications have been provided with the Listing Act regarding Prospectus Regulation and Market Abuse Regulation.</w:t>
      </w:r>
    </w:p>
    <w:p w14:paraId="0C3803F3" w14:textId="77777777" w:rsidR="00D352E3" w:rsidRDefault="00D352E3" w:rsidP="00D352E3">
      <w:pPr>
        <w:pStyle w:val="ListParagraph"/>
        <w:widowControl w:val="0"/>
        <w:tabs>
          <w:tab w:val="left" w:pos="840"/>
        </w:tabs>
        <w:autoSpaceDE w:val="0"/>
        <w:autoSpaceDN w:val="0"/>
        <w:spacing w:after="120" w:line="276" w:lineRule="auto"/>
        <w:ind w:left="0" w:right="113"/>
        <w:jc w:val="both"/>
      </w:pPr>
    </w:p>
    <w:p w14:paraId="2CC0871E" w14:textId="7E3D2EC4" w:rsidR="00D352E3" w:rsidRDefault="00F049A8" w:rsidP="00D352E3">
      <w:pPr>
        <w:pStyle w:val="ListParagraph"/>
        <w:widowControl w:val="0"/>
        <w:tabs>
          <w:tab w:val="left" w:pos="840"/>
        </w:tabs>
        <w:autoSpaceDE w:val="0"/>
        <w:autoSpaceDN w:val="0"/>
        <w:spacing w:after="120" w:line="276" w:lineRule="auto"/>
        <w:ind w:left="0" w:right="113"/>
        <w:jc w:val="both"/>
      </w:pPr>
      <w:r>
        <w:t xml:space="preserve">Regarding MAR, the </w:t>
      </w:r>
      <w:r w:rsidR="00D352E3">
        <w:t>most</w:t>
      </w:r>
      <w:r>
        <w:t xml:space="preserve"> important achievement is the modification of Art. 17.1, namely the exclusion of the intermediate steps from the disclosure obligations, allowing issuers to communicate more mature information to the public.</w:t>
      </w:r>
    </w:p>
    <w:p w14:paraId="783282BE" w14:textId="77777777" w:rsidR="00D352E3" w:rsidRDefault="00D352E3" w:rsidP="00D352E3">
      <w:pPr>
        <w:pStyle w:val="ListParagraph"/>
        <w:widowControl w:val="0"/>
        <w:tabs>
          <w:tab w:val="left" w:pos="840"/>
        </w:tabs>
        <w:autoSpaceDE w:val="0"/>
        <w:autoSpaceDN w:val="0"/>
        <w:spacing w:after="120" w:line="276" w:lineRule="auto"/>
        <w:ind w:left="0" w:right="113"/>
        <w:jc w:val="both"/>
      </w:pPr>
    </w:p>
    <w:p w14:paraId="3D3FE07E" w14:textId="5BFC46BC" w:rsidR="00D352E3" w:rsidRDefault="00F049A8" w:rsidP="00D352E3">
      <w:pPr>
        <w:pStyle w:val="ListParagraph"/>
        <w:widowControl w:val="0"/>
        <w:tabs>
          <w:tab w:val="left" w:pos="840"/>
        </w:tabs>
        <w:autoSpaceDE w:val="0"/>
        <w:autoSpaceDN w:val="0"/>
        <w:spacing w:after="120" w:line="276" w:lineRule="auto"/>
        <w:ind w:left="0" w:right="113"/>
        <w:jc w:val="both"/>
      </w:pPr>
      <w:r>
        <w:t xml:space="preserve">On the other hand, the modifications concerning the insider list are quite marginal; Art. 18.9, as amended by the Listing Act, mandates ESMA to review its </w:t>
      </w:r>
      <w:proofErr w:type="spellStart"/>
      <w:r>
        <w:t>ITS</w:t>
      </w:r>
      <w:proofErr w:type="spellEnd"/>
      <w:r>
        <w:t xml:space="preserve"> to extend the alleviated format of the insider list for SME GM issuers to all issuers.</w:t>
      </w:r>
    </w:p>
    <w:p w14:paraId="49EF3C1C" w14:textId="77777777" w:rsidR="00D352E3" w:rsidRDefault="00D352E3" w:rsidP="00D352E3">
      <w:pPr>
        <w:pStyle w:val="ListParagraph"/>
        <w:widowControl w:val="0"/>
        <w:tabs>
          <w:tab w:val="left" w:pos="840"/>
        </w:tabs>
        <w:autoSpaceDE w:val="0"/>
        <w:autoSpaceDN w:val="0"/>
        <w:spacing w:after="120" w:line="276" w:lineRule="auto"/>
        <w:ind w:left="0" w:right="113"/>
        <w:jc w:val="both"/>
      </w:pPr>
    </w:p>
    <w:p w14:paraId="3D70B67B" w14:textId="44CEBB2B" w:rsidR="00D352E3" w:rsidRDefault="00F049A8" w:rsidP="00D352E3">
      <w:pPr>
        <w:pStyle w:val="ListParagraph"/>
        <w:widowControl w:val="0"/>
        <w:tabs>
          <w:tab w:val="left" w:pos="840"/>
        </w:tabs>
        <w:autoSpaceDE w:val="0"/>
        <w:autoSpaceDN w:val="0"/>
        <w:spacing w:after="120" w:line="276" w:lineRule="auto"/>
        <w:ind w:left="0" w:right="113"/>
        <w:jc w:val="both"/>
      </w:pPr>
      <w:r>
        <w:t>Even if we welcome the alleviations proposed in the Consultation Paper, we still believe that a real burden reduction could have been achieved with the Listing Act through the deletion of the insider list (given that the NCAs have other tools/means to detect market abuse to identify the persons involved in a transaction in accordance with Article 23 of MAR).</w:t>
      </w:r>
    </w:p>
    <w:p w14:paraId="66E9AB1D" w14:textId="77777777" w:rsidR="00D352E3" w:rsidRDefault="00D352E3" w:rsidP="00D352E3">
      <w:pPr>
        <w:pStyle w:val="ListParagraph"/>
        <w:widowControl w:val="0"/>
        <w:tabs>
          <w:tab w:val="left" w:pos="840"/>
        </w:tabs>
        <w:autoSpaceDE w:val="0"/>
        <w:autoSpaceDN w:val="0"/>
        <w:spacing w:after="120" w:line="276" w:lineRule="auto"/>
        <w:ind w:left="0" w:right="113"/>
        <w:jc w:val="both"/>
      </w:pPr>
    </w:p>
    <w:p w14:paraId="12A7FCFC" w14:textId="79E1CFB1" w:rsidR="00D352E3" w:rsidRDefault="00F049A8" w:rsidP="00D352E3">
      <w:pPr>
        <w:pStyle w:val="ListParagraph"/>
        <w:widowControl w:val="0"/>
        <w:tabs>
          <w:tab w:val="left" w:pos="840"/>
        </w:tabs>
        <w:autoSpaceDE w:val="0"/>
        <w:autoSpaceDN w:val="0"/>
        <w:spacing w:after="120" w:line="276" w:lineRule="auto"/>
        <w:ind w:left="0" w:right="113"/>
        <w:jc w:val="both"/>
      </w:pPr>
      <w:r>
        <w:t xml:space="preserve">This is also backed by the EC’s Impact Assessment at the start of the discussion on the EU Listing Act where, “an overwhelming majority of respondents consider this requirement burdensome for all companies and </w:t>
      </w:r>
      <w:proofErr w:type="gramStart"/>
      <w:r>
        <w:t>in particular for</w:t>
      </w:r>
      <w:proofErr w:type="gramEnd"/>
      <w:r>
        <w:t xml:space="preserve"> issuers listed on SME growth markets, hence questioning the efficiency of the tool. Most market participants would be in favour of removing such a requirement” (see p. 229).</w:t>
      </w:r>
    </w:p>
    <w:p w14:paraId="68BDE505" w14:textId="77777777" w:rsidR="00D352E3" w:rsidRDefault="00D352E3" w:rsidP="00D352E3">
      <w:pPr>
        <w:pStyle w:val="ListParagraph"/>
        <w:widowControl w:val="0"/>
        <w:tabs>
          <w:tab w:val="left" w:pos="840"/>
        </w:tabs>
        <w:autoSpaceDE w:val="0"/>
        <w:autoSpaceDN w:val="0"/>
        <w:spacing w:after="120" w:line="276" w:lineRule="auto"/>
        <w:ind w:left="0" w:right="113"/>
        <w:jc w:val="both"/>
      </w:pPr>
    </w:p>
    <w:p w14:paraId="37774990" w14:textId="2D567471" w:rsidR="00D352E3" w:rsidRDefault="00F049A8" w:rsidP="00D352E3">
      <w:pPr>
        <w:pStyle w:val="ListParagraph"/>
        <w:widowControl w:val="0"/>
        <w:tabs>
          <w:tab w:val="left" w:pos="840"/>
        </w:tabs>
        <w:autoSpaceDE w:val="0"/>
        <w:autoSpaceDN w:val="0"/>
        <w:spacing w:after="120" w:line="276" w:lineRule="auto"/>
        <w:ind w:left="0" w:right="113"/>
        <w:jc w:val="both"/>
      </w:pPr>
      <w:r>
        <w:lastRenderedPageBreak/>
        <w:t>However, we think that the deletion of the obligation of the insider list from Market Abuse Regulation in the context of a possible future revision of Level 1 would not prevent companies from keeping their own insider list on a voluntary basis.</w:t>
      </w:r>
    </w:p>
    <w:p w14:paraId="4212715F" w14:textId="77777777" w:rsidR="00D352E3" w:rsidRDefault="00D352E3" w:rsidP="00D352E3">
      <w:pPr>
        <w:pStyle w:val="ListParagraph"/>
        <w:widowControl w:val="0"/>
        <w:tabs>
          <w:tab w:val="left" w:pos="840"/>
        </w:tabs>
        <w:autoSpaceDE w:val="0"/>
        <w:autoSpaceDN w:val="0"/>
        <w:spacing w:after="120" w:line="276" w:lineRule="auto"/>
        <w:ind w:left="0" w:right="113"/>
        <w:jc w:val="both"/>
      </w:pPr>
    </w:p>
    <w:p w14:paraId="20ADB5C2" w14:textId="5807E614" w:rsidR="00D841A9" w:rsidRPr="00D352E3" w:rsidRDefault="00F049A8" w:rsidP="00D352E3">
      <w:pPr>
        <w:pStyle w:val="ListParagraph"/>
        <w:widowControl w:val="0"/>
        <w:tabs>
          <w:tab w:val="left" w:pos="840"/>
        </w:tabs>
        <w:autoSpaceDE w:val="0"/>
        <w:autoSpaceDN w:val="0"/>
        <w:spacing w:after="120" w:line="276" w:lineRule="auto"/>
        <w:ind w:left="0" w:right="113"/>
        <w:jc w:val="both"/>
      </w:pPr>
      <w:r>
        <w:t>We would therefore appreciate that, in addition to the alleviations already implemented with the Listing Act, the current discussions on the simplification of regulations will be used to review the issues of insider lists again, as we have already highlighted in our recent answer to the questionnaire/survey on burden reduction sent to the Consultative Working Group.</w:t>
      </w:r>
    </w:p>
    <w:p w14:paraId="0C059EA3" w14:textId="77777777" w:rsidR="00375E3D" w:rsidRPr="00EA43E7" w:rsidRDefault="00375E3D" w:rsidP="00375E3D">
      <w:pPr>
        <w:spacing w:after="0"/>
        <w:jc w:val="center"/>
        <w:rPr>
          <w:rFonts w:eastAsia="MS Mincho" w:cs="Calibri"/>
          <w:color w:val="3B3838"/>
          <w:lang w:eastAsia="fr-FR"/>
        </w:rPr>
      </w:pPr>
      <w:r w:rsidRPr="00EA43E7">
        <w:rPr>
          <w:rFonts w:eastAsia="MS Mincho" w:cs="Calibri"/>
          <w:color w:val="3B3838"/>
          <w:lang w:eastAsia="fr-FR"/>
        </w:rPr>
        <w:t>***</w:t>
      </w:r>
    </w:p>
    <w:p w14:paraId="4EA38B56" w14:textId="77777777" w:rsidR="00375E3D" w:rsidRPr="00EA43E7" w:rsidRDefault="00375E3D" w:rsidP="00375E3D">
      <w:pPr>
        <w:pBdr>
          <w:top w:val="single" w:sz="4" w:space="1" w:color="auto"/>
          <w:left w:val="single" w:sz="4" w:space="4" w:color="auto"/>
          <w:bottom w:val="single" w:sz="4" w:space="1" w:color="auto"/>
          <w:right w:val="single" w:sz="4" w:space="4" w:color="auto"/>
        </w:pBdr>
        <w:shd w:val="clear" w:color="auto" w:fill="F3F3F3"/>
        <w:spacing w:before="120" w:after="120" w:line="240" w:lineRule="auto"/>
        <w:jc w:val="both"/>
        <w:rPr>
          <w:rFonts w:eastAsia="Times New Roman" w:cs="Calibri"/>
          <w:lang w:eastAsia="fr-FR"/>
        </w:rPr>
      </w:pPr>
      <w:r w:rsidRPr="00EA43E7">
        <w:rPr>
          <w:rFonts w:eastAsia="Times New Roman" w:cs="Calibri"/>
          <w:b/>
          <w:lang w:eastAsia="fr-FR"/>
        </w:rPr>
        <w:t>EuropeanIssuers</w:t>
      </w:r>
      <w:r w:rsidRPr="00EA43E7">
        <w:rPr>
          <w:rFonts w:eastAsia="Times New Roman" w:cs="Calibri"/>
          <w:lang w:eastAsia="fr-FR"/>
        </w:rPr>
        <w:t xml:space="preserve"> is a pan-European organisation representing the interests of publicly quoted companies across Europe to the EU Institutions. There are approximately 13,225 such companies on both the main regulated markets and the alternative exchange-regulated markets. Our members include both national associations and companies from all sectors in 14 European countries, covering markets worth €7.6 trillion market capitalisation with approximately 8,000 companies.</w:t>
      </w:r>
    </w:p>
    <w:p w14:paraId="73253DF4" w14:textId="77777777" w:rsidR="00375E3D" w:rsidRPr="00EA43E7" w:rsidRDefault="00375E3D" w:rsidP="00375E3D">
      <w:pPr>
        <w:pBdr>
          <w:top w:val="single" w:sz="4" w:space="1" w:color="auto"/>
          <w:left w:val="single" w:sz="4" w:space="4" w:color="auto"/>
          <w:bottom w:val="single" w:sz="4" w:space="1" w:color="auto"/>
          <w:right w:val="single" w:sz="4" w:space="4" w:color="auto"/>
        </w:pBdr>
        <w:shd w:val="clear" w:color="auto" w:fill="F3F3F3"/>
        <w:spacing w:before="120" w:after="120" w:line="240" w:lineRule="auto"/>
        <w:jc w:val="both"/>
        <w:rPr>
          <w:rFonts w:eastAsia="Times New Roman" w:cs="Calibri"/>
          <w:lang w:eastAsia="fr-FR"/>
        </w:rPr>
      </w:pPr>
      <w:r w:rsidRPr="00EA43E7">
        <w:rPr>
          <w:rFonts w:eastAsia="Times New Roman" w:cs="Calibri"/>
          <w:lang w:eastAsia="fr-FR"/>
        </w:rPr>
        <w:t>We aim to ensure that EU policy creates an environment in which companies can raise capital through the public markets and can deliver growth over the longer term. We seek capital markets that serve the interests of their end</w:t>
      </w:r>
      <w:r>
        <w:rPr>
          <w:rFonts w:eastAsia="Times New Roman" w:cs="Calibri"/>
          <w:lang w:eastAsia="fr-FR"/>
        </w:rPr>
        <w:t>-</w:t>
      </w:r>
      <w:r w:rsidRPr="00EA43E7">
        <w:rPr>
          <w:rFonts w:eastAsia="Times New Roman" w:cs="Calibri"/>
          <w:lang w:eastAsia="fr-FR"/>
        </w:rPr>
        <w:t xml:space="preserve">users, including issuers. </w:t>
      </w:r>
    </w:p>
    <w:p w14:paraId="76C6A011" w14:textId="77777777" w:rsidR="00375E3D" w:rsidRPr="00EC4232" w:rsidRDefault="00375E3D" w:rsidP="00375E3D">
      <w:pPr>
        <w:pBdr>
          <w:top w:val="single" w:sz="4" w:space="1" w:color="auto"/>
          <w:left w:val="single" w:sz="4" w:space="4" w:color="auto"/>
          <w:bottom w:val="single" w:sz="4" w:space="1" w:color="auto"/>
          <w:right w:val="single" w:sz="4" w:space="4" w:color="auto"/>
        </w:pBdr>
        <w:shd w:val="clear" w:color="auto" w:fill="F3F3F3"/>
        <w:spacing w:before="120" w:after="120" w:line="240" w:lineRule="auto"/>
        <w:jc w:val="both"/>
        <w:rPr>
          <w:rFonts w:eastAsia="Times New Roman" w:cs="Calibri"/>
          <w:lang w:eastAsia="fr-FR"/>
        </w:rPr>
      </w:pPr>
      <w:r w:rsidRPr="00EA43E7">
        <w:rPr>
          <w:rFonts w:eastAsia="Times New Roman" w:cs="Calibri"/>
          <w:lang w:eastAsia="fr-FR"/>
        </w:rPr>
        <w:t xml:space="preserve">For more information, please visit </w:t>
      </w:r>
      <w:hyperlink r:id="rId10" w:history="1">
        <w:r w:rsidRPr="00EA43E7">
          <w:rPr>
            <w:rFonts w:eastAsia="Times New Roman" w:cs="Calibri"/>
            <w:color w:val="0000FF"/>
            <w:u w:val="single"/>
            <w:lang w:eastAsia="fr-FR"/>
          </w:rPr>
          <w:t>www.europeanissuers.eu</w:t>
        </w:r>
      </w:hyperlink>
      <w:r w:rsidRPr="00EA43E7">
        <w:rPr>
          <w:rFonts w:eastAsia="Times New Roman" w:cs="Calibri"/>
          <w:lang w:eastAsia="fr-FR"/>
        </w:rPr>
        <w:t>.</w:t>
      </w:r>
    </w:p>
    <w:p w14:paraId="3CF791B4" w14:textId="77777777" w:rsidR="00375E3D" w:rsidRPr="00480468" w:rsidRDefault="00375E3D" w:rsidP="00375E3D"/>
    <w:p w14:paraId="19C37D76" w14:textId="77777777" w:rsidR="00375E3D" w:rsidRPr="00BC559A" w:rsidRDefault="00375E3D" w:rsidP="00375E3D">
      <w:pPr>
        <w:jc w:val="both"/>
        <w:rPr>
          <w:rFonts w:cs="Calibri"/>
          <w:sz w:val="24"/>
          <w:szCs w:val="24"/>
        </w:rPr>
      </w:pPr>
    </w:p>
    <w:p w14:paraId="576A66F7" w14:textId="77777777" w:rsidR="004B2EAE" w:rsidRPr="00375E3D" w:rsidRDefault="004B2EAE" w:rsidP="00375E3D">
      <w:pPr>
        <w:jc w:val="both"/>
        <w:rPr>
          <w:rFonts w:cs="Calibri"/>
          <w:b/>
          <w:bCs/>
          <w:color w:val="D54D19"/>
          <w:sz w:val="28"/>
          <w:szCs w:val="28"/>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pPr>
    </w:p>
    <w:p w14:paraId="3250E1BB" w14:textId="77777777" w:rsidR="00CE687E" w:rsidRPr="00375E3D" w:rsidRDefault="00CE687E" w:rsidP="00375E3D">
      <w:pPr>
        <w:jc w:val="both"/>
        <w:rPr>
          <w:rFonts w:cs="Calibri"/>
          <w:b/>
          <w:bCs/>
          <w:color w:val="D54D19"/>
          <w:sz w:val="28"/>
          <w:szCs w:val="28"/>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pPr>
    </w:p>
    <w:p w14:paraId="7B530A0B" w14:textId="77777777" w:rsidR="00CE687E" w:rsidRPr="00375E3D" w:rsidRDefault="00CE687E" w:rsidP="00375E3D">
      <w:pPr>
        <w:jc w:val="both"/>
        <w:rPr>
          <w:rFonts w:cs="Calibri"/>
          <w:b/>
          <w:bCs/>
          <w:color w:val="D54D19"/>
          <w:sz w:val="28"/>
          <w:szCs w:val="28"/>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pPr>
    </w:p>
    <w:p w14:paraId="31164179" w14:textId="77777777" w:rsidR="004B2EAE" w:rsidRPr="00375E3D" w:rsidRDefault="004B2EAE" w:rsidP="00375E3D">
      <w:pPr>
        <w:jc w:val="both"/>
        <w:rPr>
          <w:rFonts w:cs="Calibri"/>
          <w:b/>
          <w:bCs/>
          <w:color w:val="D54D19"/>
          <w:sz w:val="28"/>
          <w:szCs w:val="28"/>
          <w14:textFill>
            <w14:gradFill>
              <w14:gsLst>
                <w14:gs w14:pos="0">
                  <w14:srgbClr w14:val="D54D19">
                    <w14:shade w14:val="30000"/>
                    <w14:satMod w14:val="115000"/>
                  </w14:srgbClr>
                </w14:gs>
                <w14:gs w14:pos="50000">
                  <w14:srgbClr w14:val="D54D19">
                    <w14:shade w14:val="67500"/>
                    <w14:satMod w14:val="115000"/>
                  </w14:srgbClr>
                </w14:gs>
                <w14:gs w14:pos="100000">
                  <w14:srgbClr w14:val="D54D19">
                    <w14:shade w14:val="100000"/>
                    <w14:satMod w14:val="115000"/>
                  </w14:srgbClr>
                </w14:gs>
              </w14:gsLst>
              <w14:lin w14:ang="2700000" w14:scaled="0"/>
            </w14:gradFill>
          </w14:textFill>
        </w:rPr>
      </w:pPr>
    </w:p>
    <w:sectPr w:rsidR="004B2EAE" w:rsidRPr="00375E3D">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3ED582" w14:textId="77777777" w:rsidR="001B6237" w:rsidRDefault="001B6237" w:rsidP="004B2EAE">
      <w:pPr>
        <w:spacing w:after="0" w:line="240" w:lineRule="auto"/>
      </w:pPr>
      <w:r>
        <w:separator/>
      </w:r>
    </w:p>
  </w:endnote>
  <w:endnote w:type="continuationSeparator" w:id="0">
    <w:p w14:paraId="14C929F2" w14:textId="77777777" w:rsidR="001B6237" w:rsidRDefault="001B6237" w:rsidP="004B2E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213721"/>
      <w:docPartObj>
        <w:docPartGallery w:val="Page Numbers (Bottom of Page)"/>
        <w:docPartUnique/>
      </w:docPartObj>
    </w:sdtPr>
    <w:sdtContent>
      <w:p w14:paraId="482DB13E" w14:textId="7FEE1B3E" w:rsidR="00212E3F" w:rsidRDefault="00212E3F">
        <w:pPr>
          <w:pStyle w:val="Footer"/>
          <w:jc w:val="center"/>
        </w:pPr>
        <w:r>
          <w:fldChar w:fldCharType="begin"/>
        </w:r>
        <w:r>
          <w:instrText>PAGE   \* MERGEFORMAT</w:instrText>
        </w:r>
        <w:r>
          <w:fldChar w:fldCharType="separate"/>
        </w:r>
        <w:r>
          <w:rPr>
            <w:lang w:val="it-IT"/>
          </w:rPr>
          <w:t>2</w:t>
        </w:r>
        <w:r>
          <w:fldChar w:fldCharType="end"/>
        </w:r>
      </w:p>
    </w:sdtContent>
  </w:sdt>
  <w:sdt>
    <w:sdtPr>
      <w:id w:val="-1717811362"/>
      <w:docPartObj>
        <w:docPartGallery w:val="Page Numbers (Bottom of Page)"/>
        <w:docPartUnique/>
      </w:docPartObj>
    </w:sdtPr>
    <w:sdtContent>
      <w:p w14:paraId="1E8B7C18" w14:textId="77777777" w:rsidR="009C6EA0" w:rsidRDefault="009C6EA0" w:rsidP="009C6EA0">
        <w:pPr>
          <w:pStyle w:val="Footer"/>
        </w:pPr>
      </w:p>
      <w:p w14:paraId="1F7AC113" w14:textId="7D2F66E6" w:rsidR="009C6EA0" w:rsidRDefault="009C6EA0" w:rsidP="009C6EA0">
        <w:pPr>
          <w:pStyle w:val="Footer"/>
        </w:pPr>
        <w:r w:rsidRPr="00031496">
          <w:t xml:space="preserve">EuropeanIssuers’ EU Transparency no: 20935778703-23 </w:t>
        </w:r>
      </w:p>
    </w:sdtContent>
  </w:sdt>
  <w:p w14:paraId="339AC3D8" w14:textId="205DC3CF" w:rsidR="00CE687E" w:rsidRDefault="00CE687E" w:rsidP="00CE687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ECAAD" w14:textId="77777777" w:rsidR="001B6237" w:rsidRDefault="001B6237" w:rsidP="004B2EAE">
      <w:pPr>
        <w:spacing w:after="0" w:line="240" w:lineRule="auto"/>
      </w:pPr>
      <w:r>
        <w:separator/>
      </w:r>
    </w:p>
  </w:footnote>
  <w:footnote w:type="continuationSeparator" w:id="0">
    <w:p w14:paraId="4B8917D1" w14:textId="77777777" w:rsidR="001B6237" w:rsidRDefault="001B6237" w:rsidP="004B2E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E45CC" w14:textId="7DFEDCBB" w:rsidR="00AF5D53" w:rsidRDefault="00AF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E4BFA"/>
    <w:multiLevelType w:val="hybridMultilevel"/>
    <w:tmpl w:val="D8B67B92"/>
    <w:lvl w:ilvl="0" w:tplc="2CF04A6A">
      <w:start w:val="1"/>
      <w:numFmt w:val="decimal"/>
      <w:lvlText w:val="%1."/>
      <w:lvlJc w:val="left"/>
      <w:pPr>
        <w:ind w:left="839" w:hanging="360"/>
      </w:pPr>
      <w:rPr>
        <w:rFonts w:ascii="Calibri" w:eastAsia="Calibri" w:hAnsi="Calibri" w:cs="Calibri" w:hint="default"/>
        <w:w w:val="100"/>
        <w:sz w:val="22"/>
        <w:szCs w:val="22"/>
        <w:lang w:val="en-US" w:eastAsia="en-US" w:bidi="ar-SA"/>
      </w:rPr>
    </w:lvl>
    <w:lvl w:ilvl="1" w:tplc="31F25BF2">
      <w:numFmt w:val="bullet"/>
      <w:lvlText w:val="•"/>
      <w:lvlJc w:val="left"/>
      <w:pPr>
        <w:ind w:left="1715" w:hanging="360"/>
      </w:pPr>
      <w:rPr>
        <w:rFonts w:hint="default"/>
        <w:lang w:val="en-US" w:eastAsia="en-US" w:bidi="ar-SA"/>
      </w:rPr>
    </w:lvl>
    <w:lvl w:ilvl="2" w:tplc="E28CC082">
      <w:numFmt w:val="bullet"/>
      <w:lvlText w:val="•"/>
      <w:lvlJc w:val="left"/>
      <w:pPr>
        <w:ind w:left="2590" w:hanging="360"/>
      </w:pPr>
      <w:rPr>
        <w:rFonts w:hint="default"/>
        <w:lang w:val="en-US" w:eastAsia="en-US" w:bidi="ar-SA"/>
      </w:rPr>
    </w:lvl>
    <w:lvl w:ilvl="3" w:tplc="C2D02E80">
      <w:numFmt w:val="bullet"/>
      <w:lvlText w:val="•"/>
      <w:lvlJc w:val="left"/>
      <w:pPr>
        <w:ind w:left="3465" w:hanging="360"/>
      </w:pPr>
      <w:rPr>
        <w:rFonts w:hint="default"/>
        <w:lang w:val="en-US" w:eastAsia="en-US" w:bidi="ar-SA"/>
      </w:rPr>
    </w:lvl>
    <w:lvl w:ilvl="4" w:tplc="7062E888">
      <w:numFmt w:val="bullet"/>
      <w:lvlText w:val="•"/>
      <w:lvlJc w:val="left"/>
      <w:pPr>
        <w:ind w:left="4340" w:hanging="360"/>
      </w:pPr>
      <w:rPr>
        <w:rFonts w:hint="default"/>
        <w:lang w:val="en-US" w:eastAsia="en-US" w:bidi="ar-SA"/>
      </w:rPr>
    </w:lvl>
    <w:lvl w:ilvl="5" w:tplc="58064FB0">
      <w:numFmt w:val="bullet"/>
      <w:lvlText w:val="•"/>
      <w:lvlJc w:val="left"/>
      <w:pPr>
        <w:ind w:left="5215" w:hanging="360"/>
      </w:pPr>
      <w:rPr>
        <w:rFonts w:hint="default"/>
        <w:lang w:val="en-US" w:eastAsia="en-US" w:bidi="ar-SA"/>
      </w:rPr>
    </w:lvl>
    <w:lvl w:ilvl="6" w:tplc="9B5A3E9E">
      <w:numFmt w:val="bullet"/>
      <w:lvlText w:val="•"/>
      <w:lvlJc w:val="left"/>
      <w:pPr>
        <w:ind w:left="6090" w:hanging="360"/>
      </w:pPr>
      <w:rPr>
        <w:rFonts w:hint="default"/>
        <w:lang w:val="en-US" w:eastAsia="en-US" w:bidi="ar-SA"/>
      </w:rPr>
    </w:lvl>
    <w:lvl w:ilvl="7" w:tplc="7F369724">
      <w:numFmt w:val="bullet"/>
      <w:lvlText w:val="•"/>
      <w:lvlJc w:val="left"/>
      <w:pPr>
        <w:ind w:left="6965" w:hanging="360"/>
      </w:pPr>
      <w:rPr>
        <w:rFonts w:hint="default"/>
        <w:lang w:val="en-US" w:eastAsia="en-US" w:bidi="ar-SA"/>
      </w:rPr>
    </w:lvl>
    <w:lvl w:ilvl="8" w:tplc="C938032A">
      <w:numFmt w:val="bullet"/>
      <w:lvlText w:val="•"/>
      <w:lvlJc w:val="left"/>
      <w:pPr>
        <w:ind w:left="7840" w:hanging="360"/>
      </w:pPr>
      <w:rPr>
        <w:rFonts w:hint="default"/>
        <w:lang w:val="en-US" w:eastAsia="en-US" w:bidi="ar-SA"/>
      </w:rPr>
    </w:lvl>
  </w:abstractNum>
  <w:num w:numId="1" w16cid:durableId="1513177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F11"/>
    <w:rsid w:val="000034A8"/>
    <w:rsid w:val="00004FB2"/>
    <w:rsid w:val="0004144F"/>
    <w:rsid w:val="000427DD"/>
    <w:rsid w:val="000964DB"/>
    <w:rsid w:val="000E5786"/>
    <w:rsid w:val="00101291"/>
    <w:rsid w:val="00102034"/>
    <w:rsid w:val="001625C5"/>
    <w:rsid w:val="0016285C"/>
    <w:rsid w:val="00175C66"/>
    <w:rsid w:val="00196CB3"/>
    <w:rsid w:val="001A0474"/>
    <w:rsid w:val="001B6237"/>
    <w:rsid w:val="001E4382"/>
    <w:rsid w:val="00212E3F"/>
    <w:rsid w:val="0024011A"/>
    <w:rsid w:val="002419FC"/>
    <w:rsid w:val="00264514"/>
    <w:rsid w:val="002A3DBD"/>
    <w:rsid w:val="003146C1"/>
    <w:rsid w:val="003251A7"/>
    <w:rsid w:val="00341456"/>
    <w:rsid w:val="00346A24"/>
    <w:rsid w:val="00361100"/>
    <w:rsid w:val="0037494F"/>
    <w:rsid w:val="00375E3D"/>
    <w:rsid w:val="00395FF3"/>
    <w:rsid w:val="003A17FC"/>
    <w:rsid w:val="003D0F11"/>
    <w:rsid w:val="003D1726"/>
    <w:rsid w:val="003D3BF2"/>
    <w:rsid w:val="004410EE"/>
    <w:rsid w:val="00464D60"/>
    <w:rsid w:val="004962C0"/>
    <w:rsid w:val="00497F05"/>
    <w:rsid w:val="004A363D"/>
    <w:rsid w:val="004B2EAE"/>
    <w:rsid w:val="004D6686"/>
    <w:rsid w:val="00514C9D"/>
    <w:rsid w:val="00520889"/>
    <w:rsid w:val="0052539A"/>
    <w:rsid w:val="005C09C7"/>
    <w:rsid w:val="005C3886"/>
    <w:rsid w:val="005C70FC"/>
    <w:rsid w:val="005D3437"/>
    <w:rsid w:val="005E2F45"/>
    <w:rsid w:val="005E62F5"/>
    <w:rsid w:val="0062015F"/>
    <w:rsid w:val="00636851"/>
    <w:rsid w:val="00674D89"/>
    <w:rsid w:val="006907E0"/>
    <w:rsid w:val="006D0C4D"/>
    <w:rsid w:val="0070507A"/>
    <w:rsid w:val="00711E76"/>
    <w:rsid w:val="00737D14"/>
    <w:rsid w:val="0074319F"/>
    <w:rsid w:val="00743F50"/>
    <w:rsid w:val="00787E27"/>
    <w:rsid w:val="00797A65"/>
    <w:rsid w:val="007D001C"/>
    <w:rsid w:val="007D0A65"/>
    <w:rsid w:val="007E08E6"/>
    <w:rsid w:val="007F3A69"/>
    <w:rsid w:val="00802CA3"/>
    <w:rsid w:val="00814ABD"/>
    <w:rsid w:val="00817A1A"/>
    <w:rsid w:val="008451BE"/>
    <w:rsid w:val="00877EB8"/>
    <w:rsid w:val="0088093F"/>
    <w:rsid w:val="00885077"/>
    <w:rsid w:val="00890699"/>
    <w:rsid w:val="008C576C"/>
    <w:rsid w:val="00905B5C"/>
    <w:rsid w:val="00906DBE"/>
    <w:rsid w:val="00931788"/>
    <w:rsid w:val="00962A1F"/>
    <w:rsid w:val="009963A6"/>
    <w:rsid w:val="009A3816"/>
    <w:rsid w:val="009A4EF8"/>
    <w:rsid w:val="009C6EA0"/>
    <w:rsid w:val="009E1D15"/>
    <w:rsid w:val="00A32CEF"/>
    <w:rsid w:val="00AF5D53"/>
    <w:rsid w:val="00B94EEE"/>
    <w:rsid w:val="00BC559A"/>
    <w:rsid w:val="00BE5380"/>
    <w:rsid w:val="00C21AFF"/>
    <w:rsid w:val="00C30974"/>
    <w:rsid w:val="00C72333"/>
    <w:rsid w:val="00C913BE"/>
    <w:rsid w:val="00CC372C"/>
    <w:rsid w:val="00CD6440"/>
    <w:rsid w:val="00CE1537"/>
    <w:rsid w:val="00CE687E"/>
    <w:rsid w:val="00D34014"/>
    <w:rsid w:val="00D352E3"/>
    <w:rsid w:val="00D7788F"/>
    <w:rsid w:val="00D841A9"/>
    <w:rsid w:val="00D91C0F"/>
    <w:rsid w:val="00DD3973"/>
    <w:rsid w:val="00E03184"/>
    <w:rsid w:val="00E37B9C"/>
    <w:rsid w:val="00E47E23"/>
    <w:rsid w:val="00E611AE"/>
    <w:rsid w:val="00EA39ED"/>
    <w:rsid w:val="00F049A8"/>
    <w:rsid w:val="00F20298"/>
    <w:rsid w:val="00F24FF7"/>
    <w:rsid w:val="00F712EF"/>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0B910C"/>
  <w15:chartTrackingRefBased/>
  <w15:docId w15:val="{CC3C4CD2-6C82-4D60-87CF-FF0686D87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HAns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0F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0F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0F1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0F1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D0F1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D0F1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D0F1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D0F1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D0F1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0F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0F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0F1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0F1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D0F1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D0F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D0F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D0F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D0F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D0F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0F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0F1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0F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D0F11"/>
    <w:pPr>
      <w:spacing w:before="160"/>
      <w:jc w:val="center"/>
    </w:pPr>
    <w:rPr>
      <w:i/>
      <w:iCs/>
      <w:color w:val="404040" w:themeColor="text1" w:themeTint="BF"/>
    </w:rPr>
  </w:style>
  <w:style w:type="character" w:customStyle="1" w:styleId="QuoteChar">
    <w:name w:val="Quote Char"/>
    <w:basedOn w:val="DefaultParagraphFont"/>
    <w:link w:val="Quote"/>
    <w:uiPriority w:val="29"/>
    <w:rsid w:val="003D0F11"/>
    <w:rPr>
      <w:i/>
      <w:iCs/>
      <w:color w:val="404040" w:themeColor="text1" w:themeTint="BF"/>
    </w:rPr>
  </w:style>
  <w:style w:type="paragraph" w:styleId="ListParagraph">
    <w:name w:val="List Paragraph"/>
    <w:basedOn w:val="Normal"/>
    <w:uiPriority w:val="34"/>
    <w:qFormat/>
    <w:rsid w:val="003D0F11"/>
    <w:pPr>
      <w:ind w:left="720"/>
      <w:contextualSpacing/>
    </w:pPr>
  </w:style>
  <w:style w:type="character" w:styleId="IntenseEmphasis">
    <w:name w:val="Intense Emphasis"/>
    <w:basedOn w:val="DefaultParagraphFont"/>
    <w:uiPriority w:val="21"/>
    <w:qFormat/>
    <w:rsid w:val="003D0F11"/>
    <w:rPr>
      <w:i/>
      <w:iCs/>
      <w:color w:val="0F4761" w:themeColor="accent1" w:themeShade="BF"/>
    </w:rPr>
  </w:style>
  <w:style w:type="paragraph" w:styleId="IntenseQuote">
    <w:name w:val="Intense Quote"/>
    <w:basedOn w:val="Normal"/>
    <w:next w:val="Normal"/>
    <w:link w:val="IntenseQuoteChar"/>
    <w:uiPriority w:val="30"/>
    <w:qFormat/>
    <w:rsid w:val="003D0F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0F11"/>
    <w:rPr>
      <w:i/>
      <w:iCs/>
      <w:color w:val="0F4761" w:themeColor="accent1" w:themeShade="BF"/>
    </w:rPr>
  </w:style>
  <w:style w:type="character" w:styleId="IntenseReference">
    <w:name w:val="Intense Reference"/>
    <w:basedOn w:val="DefaultParagraphFont"/>
    <w:uiPriority w:val="32"/>
    <w:qFormat/>
    <w:rsid w:val="003D0F11"/>
    <w:rPr>
      <w:b/>
      <w:bCs/>
      <w:smallCaps/>
      <w:color w:val="0F4761" w:themeColor="accent1" w:themeShade="BF"/>
      <w:spacing w:val="5"/>
    </w:rPr>
  </w:style>
  <w:style w:type="character" w:styleId="Hyperlink">
    <w:name w:val="Hyperlink"/>
    <w:basedOn w:val="DefaultParagraphFont"/>
    <w:uiPriority w:val="99"/>
    <w:unhideWhenUsed/>
    <w:rsid w:val="003D0F11"/>
    <w:rPr>
      <w:color w:val="467886" w:themeColor="hyperlink"/>
      <w:u w:val="single"/>
    </w:rPr>
  </w:style>
  <w:style w:type="character" w:styleId="UnresolvedMention">
    <w:name w:val="Unresolved Mention"/>
    <w:basedOn w:val="DefaultParagraphFont"/>
    <w:uiPriority w:val="99"/>
    <w:semiHidden/>
    <w:unhideWhenUsed/>
    <w:rsid w:val="003D0F11"/>
    <w:rPr>
      <w:color w:val="605E5C"/>
      <w:shd w:val="clear" w:color="auto" w:fill="E1DFDD"/>
    </w:rPr>
  </w:style>
  <w:style w:type="paragraph" w:styleId="Header">
    <w:name w:val="header"/>
    <w:basedOn w:val="Normal"/>
    <w:link w:val="HeaderChar"/>
    <w:uiPriority w:val="99"/>
    <w:unhideWhenUsed/>
    <w:rsid w:val="004B2E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2EAE"/>
  </w:style>
  <w:style w:type="paragraph" w:styleId="Footer">
    <w:name w:val="footer"/>
    <w:basedOn w:val="Normal"/>
    <w:link w:val="FooterChar"/>
    <w:uiPriority w:val="99"/>
    <w:unhideWhenUsed/>
    <w:rsid w:val="004B2E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2EAE"/>
  </w:style>
  <w:style w:type="table" w:styleId="TableGrid">
    <w:name w:val="Table Grid"/>
    <w:basedOn w:val="TableNormal"/>
    <w:uiPriority w:val="39"/>
    <w:rsid w:val="00CE68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unhideWhenUsed/>
    <w:rsid w:val="00AF5D53"/>
  </w:style>
  <w:style w:type="character" w:customStyle="1" w:styleId="DateChar">
    <w:name w:val="Date Char"/>
    <w:basedOn w:val="DefaultParagraphFont"/>
    <w:link w:val="Date"/>
    <w:uiPriority w:val="99"/>
    <w:semiHidden/>
    <w:rsid w:val="00AF5D53"/>
  </w:style>
  <w:style w:type="paragraph" w:styleId="BodyText">
    <w:name w:val="Body Text"/>
    <w:basedOn w:val="Normal"/>
    <w:link w:val="BodyTextChar"/>
    <w:uiPriority w:val="1"/>
    <w:qFormat/>
    <w:rsid w:val="00361100"/>
    <w:pPr>
      <w:widowControl w:val="0"/>
      <w:autoSpaceDE w:val="0"/>
      <w:autoSpaceDN w:val="0"/>
      <w:spacing w:after="0" w:line="240" w:lineRule="auto"/>
    </w:pPr>
    <w:rPr>
      <w:rFonts w:eastAsia="Calibri" w:cs="Calibri"/>
      <w:kern w:val="0"/>
      <w:lang w:val="en-US"/>
      <w14:ligatures w14:val="none"/>
    </w:rPr>
  </w:style>
  <w:style w:type="character" w:customStyle="1" w:styleId="BodyTextChar">
    <w:name w:val="Body Text Char"/>
    <w:basedOn w:val="DefaultParagraphFont"/>
    <w:link w:val="BodyText"/>
    <w:uiPriority w:val="1"/>
    <w:rsid w:val="00361100"/>
    <w:rPr>
      <w:rFonts w:eastAsia="Calibri" w:cs="Calibri"/>
      <w:kern w:val="0"/>
      <w:lang w:val="en-US"/>
      <w14:ligatures w14:val="none"/>
    </w:rPr>
  </w:style>
  <w:style w:type="character" w:styleId="CommentReference">
    <w:name w:val="annotation reference"/>
    <w:basedOn w:val="DefaultParagraphFont"/>
    <w:uiPriority w:val="99"/>
    <w:semiHidden/>
    <w:unhideWhenUsed/>
    <w:rsid w:val="00361100"/>
    <w:rPr>
      <w:sz w:val="16"/>
      <w:szCs w:val="16"/>
    </w:rPr>
  </w:style>
  <w:style w:type="paragraph" w:styleId="CommentText">
    <w:name w:val="annotation text"/>
    <w:basedOn w:val="Normal"/>
    <w:link w:val="CommentTextChar"/>
    <w:uiPriority w:val="99"/>
    <w:unhideWhenUsed/>
    <w:rsid w:val="00361100"/>
    <w:pPr>
      <w:widowControl w:val="0"/>
      <w:autoSpaceDE w:val="0"/>
      <w:autoSpaceDN w:val="0"/>
      <w:spacing w:after="0" w:line="240" w:lineRule="auto"/>
    </w:pPr>
    <w:rPr>
      <w:rFonts w:eastAsia="Calibri" w:cs="Calibri"/>
      <w:kern w:val="0"/>
      <w:sz w:val="20"/>
      <w:szCs w:val="20"/>
      <w:lang w:val="en-US"/>
      <w14:ligatures w14:val="none"/>
    </w:rPr>
  </w:style>
  <w:style w:type="character" w:customStyle="1" w:styleId="CommentTextChar">
    <w:name w:val="Comment Text Char"/>
    <w:basedOn w:val="DefaultParagraphFont"/>
    <w:link w:val="CommentText"/>
    <w:uiPriority w:val="99"/>
    <w:rsid w:val="00361100"/>
    <w:rPr>
      <w:rFonts w:eastAsia="Calibri" w:cs="Calibri"/>
      <w:kern w:val="0"/>
      <w:sz w:val="20"/>
      <w:szCs w:val="20"/>
      <w:lang w:val="en-US"/>
      <w14:ligatures w14:val="none"/>
    </w:rPr>
  </w:style>
  <w:style w:type="paragraph" w:customStyle="1" w:styleId="TableParagraph">
    <w:name w:val="Table Paragraph"/>
    <w:basedOn w:val="Normal"/>
    <w:uiPriority w:val="1"/>
    <w:qFormat/>
    <w:rsid w:val="00361100"/>
    <w:pPr>
      <w:widowControl w:val="0"/>
      <w:autoSpaceDE w:val="0"/>
      <w:autoSpaceDN w:val="0"/>
      <w:spacing w:before="1" w:after="0" w:line="240" w:lineRule="auto"/>
      <w:ind w:left="107"/>
    </w:pPr>
    <w:rPr>
      <w:rFonts w:eastAsia="Calibri" w:cs="Calibri"/>
      <w:kern w:val="0"/>
      <w:lang w:val="en-US"/>
      <w14:ligatures w14:val="none"/>
    </w:rPr>
  </w:style>
  <w:style w:type="paragraph" w:customStyle="1" w:styleId="Default">
    <w:name w:val="Default"/>
    <w:rsid w:val="00361100"/>
    <w:pPr>
      <w:autoSpaceDE w:val="0"/>
      <w:autoSpaceDN w:val="0"/>
      <w:adjustRightInd w:val="0"/>
      <w:spacing w:after="0" w:line="240" w:lineRule="auto"/>
    </w:pPr>
    <w:rPr>
      <w:rFonts w:ascii="Arial" w:hAnsi="Arial" w:cs="Arial"/>
      <w:color w:val="000000"/>
      <w:kern w:val="0"/>
      <w:sz w:val="24"/>
      <w:szCs w:val="24"/>
      <w:lang w:val="it-IT"/>
      <w14:ligatures w14:val="none"/>
    </w:rPr>
  </w:style>
  <w:style w:type="paragraph" w:styleId="Revision">
    <w:name w:val="Revision"/>
    <w:hidden/>
    <w:uiPriority w:val="99"/>
    <w:semiHidden/>
    <w:rsid w:val="00361100"/>
    <w:pPr>
      <w:spacing w:after="0" w:line="240" w:lineRule="auto"/>
    </w:pPr>
    <w:rPr>
      <w:rFonts w:asciiTheme="minorHAnsi" w:eastAsiaTheme="minorEastAsia" w:hAnsiTheme="minorHAnsi" w:cstheme="minorBidi"/>
      <w:sz w:val="24"/>
      <w:szCs w:val="24"/>
      <w:lang w:eastAsia="zh-TW"/>
    </w:rPr>
  </w:style>
  <w:style w:type="paragraph" w:styleId="CommentSubject">
    <w:name w:val="annotation subject"/>
    <w:basedOn w:val="CommentText"/>
    <w:next w:val="CommentText"/>
    <w:link w:val="CommentSubjectChar"/>
    <w:uiPriority w:val="99"/>
    <w:semiHidden/>
    <w:unhideWhenUsed/>
    <w:rsid w:val="00361100"/>
    <w:pPr>
      <w:widowControl/>
      <w:autoSpaceDE/>
      <w:autoSpaceDN/>
      <w:spacing w:after="160"/>
    </w:pPr>
    <w:rPr>
      <w:rFonts w:asciiTheme="minorHAnsi" w:eastAsiaTheme="minorEastAsia" w:hAnsiTheme="minorHAnsi" w:cstheme="minorBidi"/>
      <w:b/>
      <w:bCs/>
      <w:kern w:val="2"/>
      <w:lang w:val="en-GB" w:eastAsia="zh-TW"/>
      <w14:ligatures w14:val="standardContextual"/>
    </w:rPr>
  </w:style>
  <w:style w:type="character" w:customStyle="1" w:styleId="CommentSubjectChar">
    <w:name w:val="Comment Subject Char"/>
    <w:basedOn w:val="CommentTextChar"/>
    <w:link w:val="CommentSubject"/>
    <w:uiPriority w:val="99"/>
    <w:semiHidden/>
    <w:rsid w:val="00361100"/>
    <w:rPr>
      <w:rFonts w:asciiTheme="minorHAnsi" w:eastAsiaTheme="minorEastAsia" w:hAnsiTheme="minorHAnsi" w:cstheme="minorBidi"/>
      <w:b/>
      <w:bCs/>
      <w:kern w:val="0"/>
      <w:sz w:val="20"/>
      <w:szCs w:val="20"/>
      <w:lang w:val="en-US" w:eastAsia="zh-T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42330">
      <w:bodyDiv w:val="1"/>
      <w:marLeft w:val="0"/>
      <w:marRight w:val="0"/>
      <w:marTop w:val="0"/>
      <w:marBottom w:val="0"/>
      <w:divBdr>
        <w:top w:val="none" w:sz="0" w:space="0" w:color="auto"/>
        <w:left w:val="none" w:sz="0" w:space="0" w:color="auto"/>
        <w:bottom w:val="none" w:sz="0" w:space="0" w:color="auto"/>
        <w:right w:val="none" w:sz="0" w:space="0" w:color="auto"/>
      </w:divBdr>
    </w:div>
    <w:div w:id="1277449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europeanissuers.eu" TargetMode="External"/><Relationship Id="rId4" Type="http://schemas.openxmlformats.org/officeDocument/2006/relationships/settings" Target="settings.xml"/><Relationship Id="rId9" Type="http://schemas.openxmlformats.org/officeDocument/2006/relationships/hyperlink" Target="mailto:info@europeanissuers.e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82453-3C11-4123-9C57-7420E5B3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2706</Characters>
  <Application>Microsoft Office Word</Application>
  <DocSecurity>0</DocSecurity>
  <Lines>22</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European Issuers</dc:creator>
  <cp:keywords/>
  <dc:description/>
  <cp:lastModifiedBy>European Issuers</cp:lastModifiedBy>
  <cp:revision>2</cp:revision>
  <cp:lastPrinted>2024-11-25T11:21:00Z</cp:lastPrinted>
  <dcterms:created xsi:type="dcterms:W3CDTF">2025-06-03T07:37:00Z</dcterms:created>
  <dcterms:modified xsi:type="dcterms:W3CDTF">2025-06-03T07:37:00Z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8ccecf2d-d635-4824-8172-76ddcea11ad5</vt:lpwstr>
  </property>
</Properties>
</file>