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le"/>
                  <w:rPr>
                    <w:sz w:val="48"/>
                    <w:szCs w:val="48"/>
                  </w:rPr>
                </w:pPr>
                <w:r w:rsidRPr="00FA64BE">
                  <w:rPr>
                    <w:sz w:val="48"/>
                    <w:szCs w:val="48"/>
                  </w:rPr>
                  <w:t xml:space="preserve">Reply form </w:t>
                </w:r>
              </w:p>
              <w:p w14:paraId="2F2A3347" w14:textId="77777777" w:rsidR="000310AB" w:rsidRPr="00FA64BE" w:rsidRDefault="000310AB" w:rsidP="000310AB"/>
              <w:p w14:paraId="00FE0097" w14:textId="77777777" w:rsidR="000310AB" w:rsidRPr="00FA64BE" w:rsidRDefault="000310AB" w:rsidP="000310AB">
                <w:pPr>
                  <w:pStyle w:val="Title"/>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the Consultation Paper</w:t>
                </w:r>
                <w:r>
                  <w:rPr>
                    <w:rFonts w:cs="Arial"/>
                    <w:bCs/>
                    <w:color w:val="auto"/>
                    <w:sz w:val="24"/>
                    <w:szCs w:val="24"/>
                  </w:rPr>
                  <w:t xml:space="preserve"> on Technical Standards under the Regulation on transparency and integrity of Environmental, Social and Governance (ESG) rating activities</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Heading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Heading2"/>
            <w:numPr>
              <w:ilvl w:val="0"/>
              <w:numId w:val="0"/>
            </w:num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6"/>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5557849C"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79253B20"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proofErr w:type="gramStart"/>
          <w:r w:rsidRPr="00B16706">
            <w:rPr>
              <w:rFonts w:asciiTheme="minorHAnsi" w:eastAsiaTheme="minorEastAsia" w:hAnsiTheme="minorHAnsi" w:cstheme="minorBidi"/>
              <w:sz w:val="18"/>
              <w:szCs w:val="16"/>
              <w:u w:val="dottedHeavy" w:color="BF8F00" w:themeColor="accent4" w:themeShade="BF"/>
              <w:lang w:eastAsia="en-US"/>
            </w:rPr>
            <w:t>in particular on</w:t>
          </w:r>
          <w:proofErr w:type="gramEnd"/>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respond to the question </w:t>
          </w:r>
          <w:proofErr w:type="gramStart"/>
          <w:r w:rsidRPr="00B16706">
            <w:rPr>
              <w:rFonts w:asciiTheme="minorHAnsi" w:eastAsiaTheme="minorEastAsia" w:hAnsiTheme="minorHAnsi" w:cstheme="minorBidi"/>
              <w:sz w:val="18"/>
              <w:szCs w:val="16"/>
              <w:lang w:eastAsia="en-US"/>
            </w:rPr>
            <w:t>stated;</w:t>
          </w:r>
          <w:proofErr w:type="gramEnd"/>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indicate the specific question to which the comment </w:t>
          </w:r>
          <w:proofErr w:type="gramStart"/>
          <w:r w:rsidRPr="00B16706">
            <w:rPr>
              <w:rFonts w:asciiTheme="minorHAnsi" w:eastAsiaTheme="minorEastAsia" w:hAnsiTheme="minorHAnsi" w:cstheme="minorBidi"/>
              <w:sz w:val="18"/>
              <w:szCs w:val="16"/>
              <w:lang w:eastAsia="en-US"/>
            </w:rPr>
            <w:t>relates;</w:t>
          </w:r>
          <w:proofErr w:type="gramEnd"/>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701E1EA5"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D11B30">
            <w:rPr>
              <w:rFonts w:asciiTheme="minorHAnsi" w:eastAsiaTheme="minorEastAsia" w:hAnsiTheme="minorHAnsi" w:cstheme="minorBidi"/>
              <w:b/>
              <w:sz w:val="18"/>
              <w:szCs w:val="16"/>
              <w:lang w:eastAsia="en-US"/>
            </w:rPr>
            <w:t>20</w:t>
          </w:r>
          <w:r w:rsidR="00C17150">
            <w:rPr>
              <w:rFonts w:asciiTheme="minorHAnsi" w:eastAsiaTheme="minorEastAsia" w:hAnsiTheme="minorHAnsi" w:cstheme="minorBidi"/>
              <w:b/>
              <w:sz w:val="18"/>
              <w:szCs w:val="16"/>
              <w:lang w:eastAsia="en-US"/>
            </w:rPr>
            <w:t xml:space="preserve"> </w:t>
          </w:r>
          <w:r w:rsidR="00D11B30">
            <w:rPr>
              <w:rFonts w:asciiTheme="minorHAnsi" w:eastAsiaTheme="minorEastAsia" w:hAnsiTheme="minorHAnsi" w:cstheme="minorBidi"/>
              <w:b/>
              <w:sz w:val="18"/>
              <w:szCs w:val="16"/>
              <w:lang w:eastAsia="en-US"/>
            </w:rPr>
            <w:t>June</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proofErr w:type="gramStart"/>
          <w:r w:rsidRPr="00B16706">
            <w:rPr>
              <w:rFonts w:asciiTheme="minorHAnsi" w:eastAsiaTheme="minorEastAsia" w:hAnsiTheme="minorHAnsi" w:cstheme="minorBidi"/>
              <w:sz w:val="18"/>
              <w:szCs w:val="16"/>
              <w:lang w:eastAsia="en-US"/>
            </w:rPr>
            <w:t>In order to</w:t>
          </w:r>
          <w:proofErr w:type="gramEnd"/>
          <w:r w:rsidRPr="00B16706">
            <w:rPr>
              <w:rFonts w:asciiTheme="minorHAnsi" w:eastAsiaTheme="minorEastAsia" w:hAnsiTheme="minorHAnsi" w:cstheme="minorBidi"/>
              <w:sz w:val="18"/>
              <w:szCs w:val="16"/>
              <w:lang w:eastAsia="en-US"/>
            </w:rPr>
            <w:t xml:space="preserve">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0392516A" w:rsidR="00A409C2" w:rsidRPr="00871163" w:rsidRDefault="008279D3" w:rsidP="00A409C2">
          <w:pPr>
            <w:pStyle w:val="ListParagraph"/>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proofErr w:type="gramStart"/>
          <w:r w:rsidR="00A409C2" w:rsidRPr="00871163">
            <w:rPr>
              <w:rFonts w:eastAsiaTheme="minorEastAsia" w:cstheme="minorBidi"/>
              <w:sz w:val="18"/>
              <w:szCs w:val="16"/>
              <w:u w:val="single"/>
              <w:lang w:eastAsia="en-US"/>
            </w:rPr>
            <w:t>);</w:t>
          </w:r>
          <w:proofErr w:type="gramEnd"/>
        </w:p>
        <w:p w14:paraId="6692798E" w14:textId="1F3ED354"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B26BA">
            <w:rPr>
              <w:rFonts w:eastAsiaTheme="minorEastAsia" w:cstheme="minorBidi"/>
              <w:sz w:val="18"/>
              <w:szCs w:val="16"/>
              <w:lang w:eastAsia="en-US"/>
            </w:rPr>
            <w:t>E</w:t>
          </w:r>
          <w:r w:rsidR="004578B3">
            <w:rPr>
              <w:rFonts w:eastAsiaTheme="minorEastAsia" w:cstheme="minorBidi"/>
              <w:sz w:val="18"/>
              <w:szCs w:val="16"/>
              <w:lang w:eastAsia="en-US"/>
            </w:rPr>
            <w:t>SGR</w:t>
          </w:r>
          <w:r w:rsidRPr="00A409C2">
            <w:rPr>
              <w:rFonts w:eastAsiaTheme="minorEastAsia" w:cstheme="minorBidi"/>
              <w:sz w:val="18"/>
              <w:szCs w:val="16"/>
              <w:lang w:eastAsia="en-US"/>
            </w:rPr>
            <w:t xml:space="preserve">_1&gt;. Your response to each question </w:t>
          </w:r>
          <w:proofErr w:type="gramStart"/>
          <w:r w:rsidRPr="00A409C2">
            <w:rPr>
              <w:rFonts w:eastAsiaTheme="minorEastAsia" w:cstheme="minorBidi"/>
              <w:sz w:val="18"/>
              <w:szCs w:val="16"/>
              <w:lang w:eastAsia="en-US"/>
            </w:rPr>
            <w:t>has to</w:t>
          </w:r>
          <w:proofErr w:type="gramEnd"/>
          <w:r w:rsidRPr="00A409C2">
            <w:rPr>
              <w:rFonts w:eastAsiaTheme="minorEastAsia" w:cstheme="minorBidi"/>
              <w:sz w:val="18"/>
              <w:szCs w:val="16"/>
              <w:lang w:eastAsia="en-US"/>
            </w:rPr>
            <w:t xml:space="preserve">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5318C045"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When you have drafted your response, name your response form according to the following convention: </w:t>
          </w:r>
          <w:proofErr w:type="spellStart"/>
          <w:r w:rsidRPr="00A409C2">
            <w:rPr>
              <w:rFonts w:eastAsiaTheme="minorEastAsia" w:cstheme="minorBidi"/>
              <w:sz w:val="18"/>
              <w:szCs w:val="16"/>
              <w:lang w:eastAsia="en-US"/>
            </w:rPr>
            <w:t>ESMA_</w:t>
          </w:r>
          <w:r w:rsidR="003B26BA">
            <w:rPr>
              <w:rFonts w:eastAsiaTheme="minorEastAsia" w:cstheme="minorBidi"/>
              <w:sz w:val="18"/>
              <w:szCs w:val="16"/>
              <w:lang w:eastAsia="en-US"/>
            </w:rPr>
            <w:t>EUGB</w:t>
          </w:r>
          <w:r w:rsidRPr="00A409C2">
            <w:rPr>
              <w:rFonts w:eastAsiaTheme="minorEastAsia" w:cstheme="minorBidi"/>
              <w:sz w:val="18"/>
              <w:szCs w:val="16"/>
              <w:lang w:eastAsia="en-US"/>
            </w:rPr>
            <w:t>_nameofrespondent_RESPONSEFORM</w:t>
          </w:r>
          <w:proofErr w:type="spellEnd"/>
          <w:r w:rsidRPr="00A409C2">
            <w:rPr>
              <w:rFonts w:eastAsiaTheme="minorEastAsia" w:cstheme="minorBidi"/>
              <w:sz w:val="18"/>
              <w:szCs w:val="16"/>
              <w:lang w:eastAsia="en-US"/>
            </w:rPr>
            <w:t>. For example, for a respondent named ABCD, the response form would be entitled ESMA_</w:t>
          </w:r>
          <w:r w:rsidR="0037311D">
            <w:rPr>
              <w:rFonts w:eastAsiaTheme="minorEastAsia" w:cstheme="minorBidi"/>
              <w:sz w:val="18"/>
              <w:szCs w:val="16"/>
              <w:lang w:eastAsia="en-US"/>
            </w:rPr>
            <w:t>E</w:t>
          </w:r>
          <w:r w:rsidR="001522DD">
            <w:rPr>
              <w:rFonts w:eastAsiaTheme="minorEastAsia" w:cstheme="minorBidi"/>
              <w:sz w:val="18"/>
              <w:szCs w:val="16"/>
              <w:lang w:eastAsia="en-US"/>
            </w:rPr>
            <w:t>SGR</w:t>
          </w:r>
          <w:r w:rsidRPr="00A409C2">
            <w:rPr>
              <w:rFonts w:eastAsiaTheme="minorEastAsia" w:cstheme="minorBidi"/>
              <w:sz w:val="18"/>
              <w:szCs w:val="16"/>
              <w:lang w:eastAsia="en-US"/>
            </w:rPr>
            <w:t>_ABCD_RESPONSEFORM.</w:t>
          </w:r>
        </w:p>
        <w:p w14:paraId="28EEA743" w14:textId="2B8D6968"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to ESMA’s website (www.esma.europa.eu under the heading “Your input – Open Consultations” -</w:t>
          </w:r>
          <w:proofErr w:type="gramStart"/>
          <w:r w:rsidRPr="00A409C2">
            <w:rPr>
              <w:rFonts w:eastAsiaTheme="minorEastAsia" w:cstheme="minorBidi"/>
              <w:sz w:val="18"/>
              <w:szCs w:val="16"/>
              <w:lang w:eastAsia="en-US"/>
            </w:rPr>
            <w:t>&gt;  Consultation</w:t>
          </w:r>
          <w:proofErr w:type="gramEnd"/>
          <w:r w:rsidRPr="00A409C2">
            <w:rPr>
              <w:rFonts w:eastAsiaTheme="minorEastAsia" w:cstheme="minorBidi"/>
              <w:sz w:val="18"/>
              <w:szCs w:val="16"/>
              <w:lang w:eastAsia="en-US"/>
            </w:rPr>
            <w:t xml:space="preserve"> Paper </w:t>
          </w:r>
          <w:r w:rsidR="003B26BA" w:rsidRPr="003B26BA">
            <w:rPr>
              <w:rFonts w:eastAsiaTheme="minorEastAsia" w:cstheme="minorBidi"/>
              <w:sz w:val="18"/>
              <w:szCs w:val="16"/>
              <w:lang w:eastAsia="en-US"/>
            </w:rPr>
            <w:t>on technical standards on the European Green Bonds Regulation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proofErr w:type="spellStart"/>
          <w:r w:rsidRPr="00B16706">
            <w:rPr>
              <w:rFonts w:asciiTheme="minorHAnsi" w:eastAsiaTheme="minorEastAsia" w:hAnsiTheme="minorHAnsi" w:cstheme="minorBidi"/>
              <w:sz w:val="18"/>
              <w:szCs w:val="16"/>
              <w:lang w:eastAsia="en-US"/>
            </w:rPr>
            <w:t>publically</w:t>
          </w:r>
          <w:proofErr w:type="spellEnd"/>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6C89F0D" w14:textId="77777777" w:rsidR="008279D3" w:rsidRDefault="008279D3" w:rsidP="00AF2EF7">
          <w:pPr>
            <w:spacing w:after="250" w:line="276" w:lineRule="auto"/>
            <w:jc w:val="both"/>
            <w:rPr>
              <w:rFonts w:asciiTheme="minorHAnsi" w:eastAsiaTheme="minorEastAsia" w:hAnsiTheme="minorHAnsi" w:cstheme="minorBidi"/>
              <w:b/>
              <w:sz w:val="18"/>
              <w:szCs w:val="16"/>
              <w:lang w:eastAsia="en-US"/>
            </w:rPr>
          </w:pP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t>Who should read this paper</w:t>
          </w:r>
        </w:p>
      </w:sdtContent>
    </w:sdt>
    <w:p w14:paraId="1F90B8D3" w14:textId="4C9C01EB" w:rsidR="00C85C8B" w:rsidRDefault="00C17150" w:rsidP="008279D3">
      <w:pPr>
        <w:pStyle w:val="Heading1"/>
        <w:numPr>
          <w:ilvl w:val="0"/>
          <w:numId w:val="0"/>
        </w:numPr>
        <w:spacing w:line="276" w:lineRule="auto"/>
        <w:rPr>
          <w:rFonts w:asciiTheme="minorHAnsi" w:hAnsiTheme="minorHAnsi" w:cstheme="minorHAnsi"/>
          <w:sz w:val="20"/>
          <w:szCs w:val="20"/>
        </w:rPr>
      </w:pPr>
      <w:r w:rsidRPr="00C17150">
        <w:rPr>
          <w:rFonts w:ascii="Arial" w:eastAsia="Times New Roman" w:hAnsi="Arial" w:cs="Arial"/>
          <w:b w:val="0"/>
          <w:sz w:val="18"/>
          <w:szCs w:val="18"/>
          <w:lang w:eastAsia="it-IT"/>
        </w:rPr>
        <w:t xml:space="preserve">All interested stakeholders are invited to respond to this Consultation Paper. </w:t>
      </w:r>
      <w:proofErr w:type="gramStart"/>
      <w:r w:rsidRPr="00C17150">
        <w:rPr>
          <w:rFonts w:ascii="Arial" w:eastAsia="Times New Roman" w:hAnsi="Arial" w:cs="Arial"/>
          <w:b w:val="0"/>
          <w:sz w:val="18"/>
          <w:szCs w:val="18"/>
          <w:lang w:eastAsia="it-IT"/>
        </w:rPr>
        <w:t>In particular, ESMA</w:t>
      </w:r>
      <w:proofErr w:type="gramEnd"/>
      <w:r w:rsidRPr="00C17150">
        <w:rPr>
          <w:rFonts w:ascii="Arial" w:eastAsia="Times New Roman" w:hAnsi="Arial" w:cs="Arial"/>
          <w:b w:val="0"/>
          <w:sz w:val="18"/>
          <w:szCs w:val="18"/>
          <w:lang w:eastAsia="it-IT"/>
        </w:rPr>
        <w:t xml:space="preserve"> encourages entities that intend to apply for registration as external reviewers of European Green Bonds, as well as financial market participants who have or intend to issue or invest in green bonds or sustainability-linked bonds, to participate</w:t>
      </w:r>
      <w:r w:rsidR="00FA64BE" w:rsidRPr="00FA64BE">
        <w:rPr>
          <w:rFonts w:ascii="Arial" w:eastAsia="Times New Roman" w:hAnsi="Arial" w:cs="Arial"/>
          <w:b w:val="0"/>
          <w:sz w:val="18"/>
          <w:szCs w:val="18"/>
          <w:lang w:eastAsia="it-IT"/>
        </w:rPr>
        <w:t xml:space="preserve">. </w:t>
      </w:r>
      <w:r w:rsidR="00AF2EF7"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Content>
            <w:tc>
              <w:tcPr>
                <w:tcW w:w="5595" w:type="dxa"/>
                <w:shd w:val="clear" w:color="auto" w:fill="auto"/>
              </w:tcPr>
              <w:p w14:paraId="1B67440D" w14:textId="77D11204" w:rsidR="00C85C8B" w:rsidRPr="00B16706" w:rsidRDefault="007D47AC" w:rsidP="00C85C8B">
                <w:pPr>
                  <w:rPr>
                    <w:rFonts w:ascii="Arial" w:hAnsi="Arial" w:cs="Arial"/>
                    <w:color w:val="808080"/>
                    <w:sz w:val="16"/>
                    <w:szCs w:val="20"/>
                    <w:lang w:eastAsia="de-DE"/>
                  </w:rPr>
                </w:pPr>
                <w:r>
                  <w:rPr>
                    <w:rFonts w:ascii="Arial" w:hAnsi="Arial" w:cs="Arial"/>
                    <w:color w:val="808080"/>
                    <w:sz w:val="16"/>
                    <w:szCs w:val="20"/>
                    <w:lang w:eastAsia="de-DE"/>
                  </w:rPr>
                  <w:t>The Credit Rating Research Initiative</w:t>
                </w:r>
              </w:p>
            </w:tc>
          </w:sdtContent>
        </w:sdt>
      </w:tr>
      <w:tr w:rsidR="00C85C8B" w:rsidRPr="00B16706" w14:paraId="216F3E57" w14:textId="77777777" w:rsidTr="00C16775">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78F34285" w:rsidR="00C85C8B" w:rsidRPr="00B16706" w:rsidRDefault="0000000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7D47AC">
                  <w:rPr>
                    <w:rFonts w:ascii="Arial" w:hAnsi="Arial" w:cs="Arial"/>
                    <w:sz w:val="16"/>
                    <w:szCs w:val="20"/>
                    <w:lang w:eastAsia="de-DE"/>
                  </w:rPr>
                  <w:t>Audit/Legal/Individual</w:t>
                </w:r>
              </w:sdtContent>
            </w:sdt>
          </w:p>
        </w:tc>
      </w:tr>
      <w:tr w:rsidR="00C85C8B" w:rsidRPr="00B16706" w14:paraId="0D216581" w14:textId="77777777" w:rsidTr="00C16775">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0"/>
              <w14:checkedState w14:val="2612" w14:font="MS Gothic"/>
              <w14:uncheckedState w14:val="2610" w14:font="MS Gothic"/>
            </w14:checkbox>
          </w:sdtPr>
          <w:sdtContent>
            <w:tc>
              <w:tcPr>
                <w:tcW w:w="5595" w:type="dxa"/>
                <w:shd w:val="clear" w:color="auto" w:fill="auto"/>
              </w:tcPr>
              <w:p w14:paraId="6C4423E1" w14:textId="0B163B9E" w:rsidR="00C85C8B" w:rsidRPr="00B16706" w:rsidRDefault="007D47AC"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shd w:val="clear" w:color="auto" w:fill="auto"/>
              </w:tcPr>
              <w:p w14:paraId="082656BF" w14:textId="451A4F4A" w:rsidR="00C85C8B" w:rsidRPr="00B16706" w:rsidRDefault="007D47AC" w:rsidP="00C85C8B">
                <w:pPr>
                  <w:rPr>
                    <w:rFonts w:ascii="Arial" w:hAnsi="Arial" w:cs="Arial"/>
                    <w:sz w:val="16"/>
                    <w:szCs w:val="20"/>
                    <w:lang w:eastAsia="de-DE"/>
                  </w:rPr>
                </w:pPr>
                <w:r>
                  <w:rPr>
                    <w:rFonts w:ascii="Arial" w:hAnsi="Arial" w:cs="Arial"/>
                    <w:sz w:val="16"/>
                    <w:szCs w:val="20"/>
                    <w:lang w:eastAsia="de-DE"/>
                  </w:rPr>
                  <w:t>UK</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t>Questions</w:t>
      </w:r>
    </w:p>
    <w:p w14:paraId="14C3989A" w14:textId="77777777" w:rsidR="001B1B48" w:rsidRDefault="001B1B48">
      <w:pPr>
        <w:spacing w:after="120" w:line="264" w:lineRule="auto"/>
        <w:rPr>
          <w:rFonts w:ascii="Arial" w:hAnsi="Arial" w:cs="Arial"/>
          <w:b/>
          <w:sz w:val="22"/>
          <w:szCs w:val="22"/>
          <w:lang w:val="en-US" w:eastAsia="en-US"/>
        </w:rPr>
      </w:pPr>
    </w:p>
    <w:bookmarkEnd w:id="0"/>
    <w:p w14:paraId="5B87C99A" w14:textId="6906B0B4" w:rsidR="001B1B48" w:rsidRPr="004578B3" w:rsidRDefault="00CB0C0C" w:rsidP="004578B3">
      <w:pPr>
        <w:pStyle w:val="Paragraph"/>
        <w:numPr>
          <w:ilvl w:val="0"/>
          <w:numId w:val="0"/>
        </w:numPr>
        <w:ind w:left="708" w:hanging="708"/>
      </w:pPr>
      <w:proofErr w:type="gramStart"/>
      <w:r w:rsidRPr="009464EF">
        <w:rPr>
          <w:b/>
          <w:bCs/>
        </w:rPr>
        <w:t>Q1</w:t>
      </w:r>
      <w:proofErr w:type="gramEnd"/>
      <w:r w:rsidRPr="2E20FBB1">
        <w:t xml:space="preserve"> </w:t>
      </w:r>
      <w:r w:rsidR="004578B3">
        <w:tab/>
      </w:r>
      <w:r w:rsidRPr="004578B3">
        <w:rPr>
          <w:rFonts w:eastAsia="Times New Roman"/>
          <w:b/>
          <w:bCs/>
          <w:color w:val="auto"/>
          <w:lang w:eastAsia="en-US"/>
        </w:rPr>
        <w:t>Do you agree with ESMA’s proposals for the draft technical standard under Articles 6(3) and 12(9)?</w:t>
      </w:r>
      <w:r w:rsidR="00BB29AA" w:rsidRPr="00BB29AA">
        <w:rPr>
          <w:b/>
          <w:lang w:eastAsia="en-US"/>
        </w:rPr>
        <w:t xml:space="preserve"> </w:t>
      </w:r>
    </w:p>
    <w:p w14:paraId="034DFB41" w14:textId="7ABA3DF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Pr>
          <w:rFonts w:ascii="Calibri" w:eastAsia="Calibri" w:hAnsi="Calibri"/>
          <w:kern w:val="2"/>
          <w:sz w:val="22"/>
          <w:szCs w:val="22"/>
          <w:lang w:eastAsia="en-US"/>
          <w14:ligatures w14:val="standardContextual"/>
        </w:rPr>
        <w:t>E</w:t>
      </w:r>
      <w:r w:rsidR="004578B3">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_1&gt;</w:t>
      </w:r>
    </w:p>
    <w:p w14:paraId="61ACAC13"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ermStart w:id="1765354918" w:edGrp="everyone"/>
      <w:r w:rsidRPr="001B1B48">
        <w:rPr>
          <w:rFonts w:ascii="Calibri" w:eastAsia="Calibri" w:hAnsi="Calibri"/>
          <w:kern w:val="2"/>
          <w:sz w:val="22"/>
          <w:szCs w:val="22"/>
          <w:lang w:eastAsia="en-US"/>
          <w14:ligatures w14:val="standardContextual"/>
        </w:rPr>
        <w:t>TYPE YOUR TEXT HERE</w:t>
      </w:r>
    </w:p>
    <w:permEnd w:id="1765354918"/>
    <w:p w14:paraId="38524F57" w14:textId="12DC62D2"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Pr>
          <w:rFonts w:ascii="Calibri" w:eastAsia="Calibri" w:hAnsi="Calibri"/>
          <w:kern w:val="2"/>
          <w:sz w:val="22"/>
          <w:szCs w:val="22"/>
          <w:lang w:eastAsia="en-US"/>
          <w14:ligatures w14:val="standardContextual"/>
        </w:rPr>
        <w:t>E</w:t>
      </w:r>
      <w:r w:rsidR="00AB2C3F">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_1&gt;</w:t>
      </w:r>
    </w:p>
    <w:p w14:paraId="48BA7F71"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35B7ECCA" w14:textId="6E65D552" w:rsidR="001B1B48" w:rsidRPr="00ED4FDB" w:rsidRDefault="00ED4FDB" w:rsidP="00ED4FDB">
      <w:pPr>
        <w:pStyle w:val="Paragraph"/>
        <w:numPr>
          <w:ilvl w:val="0"/>
          <w:numId w:val="0"/>
        </w:numPr>
        <w:ind w:left="708" w:hanging="708"/>
      </w:pPr>
      <w:proofErr w:type="gramStart"/>
      <w:r w:rsidRPr="009464EF">
        <w:rPr>
          <w:b/>
          <w:bCs/>
        </w:rPr>
        <w:t>Q2</w:t>
      </w:r>
      <w:proofErr w:type="gramEnd"/>
      <w:r w:rsidRPr="2E20FBB1">
        <w:t xml:space="preserve"> </w:t>
      </w:r>
      <w:r>
        <w:tab/>
      </w:r>
      <w:r w:rsidRPr="00ED4FDB">
        <w:rPr>
          <w:b/>
          <w:bCs/>
        </w:rPr>
        <w:t>Do you agree with ESMA’s proposals for the draft technical standard under Article 16(5)?</w:t>
      </w:r>
    </w:p>
    <w:p w14:paraId="6C03D9F2" w14:textId="65FA1CA4"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D4FDB">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_2&gt;</w:t>
      </w:r>
    </w:p>
    <w:p w14:paraId="5D5811E2" w14:textId="77777777" w:rsidR="007D47AC" w:rsidRDefault="007D47AC" w:rsidP="007D47AC">
      <w:permStart w:id="1667529024" w:edGrp="everyone"/>
      <w:r>
        <w:t>While the CRRI supports the principle of organisational and operational separation under Article 16(5), a key structural risk remains unaddressed. Specifically, the integration of ESG ratings into proprietary indices licenced by the same corporate group presents a structural conflict of interest that is not yet addressed within the scope of the current RTS. The CRRI strongly encourages ESMA to explicitly acknowledge this issue as a future area for monitoring or review, even if not immediately captured by the current RTS.</w:t>
      </w:r>
    </w:p>
    <w:p w14:paraId="16B3029D" w14:textId="77777777" w:rsidR="007D47AC" w:rsidRPr="003857FE" w:rsidRDefault="007D47AC" w:rsidP="007D47AC">
      <w:r>
        <w:t>There are various reasons for this recommendation. The most pressing reason is related to research by Agrawal et al, who find</w:t>
      </w:r>
      <w:hyperlink r:id="rId20" w:history="1">
        <w:r w:rsidRPr="003857FE">
          <w:rPr>
            <w:rStyle w:val="Hyperlink"/>
          </w:rPr>
          <w:t xml:space="preserve"> that ESG Rating Agencies that provide ESG Ratings </w:t>
        </w:r>
        <w:r w:rsidRPr="003857FE">
          <w:rPr>
            <w:rStyle w:val="Hyperlink"/>
            <w:i/>
            <w:iCs/>
          </w:rPr>
          <w:t>alongside</w:t>
        </w:r>
        <w:r w:rsidRPr="003857FE">
          <w:rPr>
            <w:rStyle w:val="Hyperlink"/>
          </w:rPr>
          <w:t xml:space="preserve"> the provision of indices have been found to issue higher ESG Ratings for those companies that are included in their indices</w:t>
        </w:r>
      </w:hyperlink>
      <w:r>
        <w:t>. The finding that ‘</w:t>
      </w:r>
      <w:hyperlink r:id="rId21" w:history="1">
        <w:r w:rsidRPr="00CA40B2">
          <w:rPr>
            <w:rStyle w:val="Hyperlink"/>
          </w:rPr>
          <w:t>index construction incentives affect the production of ESG ratings</w:t>
        </w:r>
      </w:hyperlink>
      <w:r>
        <w:t xml:space="preserve">’. This comes on the back of Moody’s </w:t>
      </w:r>
      <w:hyperlink r:id="rId22" w:history="1">
        <w:r w:rsidRPr="003857FE">
          <w:rPr>
            <w:rStyle w:val="Hyperlink"/>
          </w:rPr>
          <w:t>discontinuing its ESG scoring business and instead going into strategic partnership with MSCI</w:t>
        </w:r>
      </w:hyperlink>
      <w:r>
        <w:t xml:space="preserve">, effectively leaving S&amp;P Global and MSCI as the two duopolistic leaders of the burgeoning ESG Rating field. MSCI’s </w:t>
      </w:r>
      <w:hyperlink r:id="rId23" w:history="1">
        <w:r w:rsidRPr="003857FE">
          <w:rPr>
            <w:rStyle w:val="Hyperlink"/>
          </w:rPr>
          <w:t>main income generator</w:t>
        </w:r>
      </w:hyperlink>
      <w:r>
        <w:t xml:space="preserve"> is its index business, while it is the opposite for S&amp;P (ratings brings in more revenues than indices, although indices are still important). The conflict of interest here is obvious and currently falls outside of the scope for the RTS. This structural issue should be explicitly acknowledged within the regulatory framework, particularly given the pace of market consolidation and the growing influence of index-linked ESG products.</w:t>
      </w:r>
    </w:p>
    <w:p w14:paraId="6ACD0D93" w14:textId="6E9B7804"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ermEnd w:id="1667529024"/>
    <w:p w14:paraId="578EB98F" w14:textId="459174C9"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AB2C3F">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_2&gt;</w:t>
      </w:r>
    </w:p>
    <w:p w14:paraId="19719837"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30B5FCEB" w14:textId="7A17AB27" w:rsidR="006372FE" w:rsidRPr="006372FE" w:rsidRDefault="006372FE" w:rsidP="00FC3B26">
      <w:pPr>
        <w:pStyle w:val="Paragraph"/>
        <w:numPr>
          <w:ilvl w:val="0"/>
          <w:numId w:val="0"/>
        </w:numPr>
        <w:ind w:left="708" w:hanging="708"/>
        <w:rPr>
          <w:b/>
          <w:bCs/>
        </w:rPr>
      </w:pPr>
      <w:r>
        <w:rPr>
          <w:b/>
          <w:bCs/>
        </w:rPr>
        <w:t xml:space="preserve">Q3. </w:t>
      </w:r>
      <w:r w:rsidR="00FC3B26">
        <w:rPr>
          <w:b/>
          <w:bCs/>
        </w:rPr>
        <w:tab/>
      </w:r>
      <w:r w:rsidRPr="006372FE">
        <w:rPr>
          <w:b/>
          <w:bCs/>
        </w:rPr>
        <w:t>Do you agree with ESMA’s proposals for the draft technical standard under Articles 23(4) and 24(3)?</w:t>
      </w:r>
    </w:p>
    <w:p w14:paraId="4E720D75" w14:textId="47BCF34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322B55">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_3&gt;</w:t>
      </w:r>
    </w:p>
    <w:p w14:paraId="3FE88DA7" w14:textId="77777777" w:rsidR="007D47AC" w:rsidRDefault="007D47AC" w:rsidP="007D47AC">
      <w:permStart w:id="669658389" w:edGrp="everyone"/>
      <w:r>
        <w:t>The CRRI broadly agrees with the proposals for greater methodological disclosure under Articles 23(4) and 24(3). However, there ought to be caution deployed. Efforts to enhance methodological comparability should not lead, inadvertently or by design, to methodological convergence or de facto standardisation. Transparency should allow users to understand diverse methodologies, not push providers toward uniformity that could stifle innovation or entrench incumbent models. There have been a variety of research outputs that have suggested investors are seeking to ‘aggregate’ the noise the in the ESG Rating sector. Aligning regulatory priorities too closely with perceived investor preferences risks undermining the public-interest objectives of ESG Rating oversight. Whilst greater convergence may be preferable, there must be a limit and it is the responsibility of the regulator to suggest, in a manner that suits, what that is. Without intervention, the market could consolidate around a handful of dominant methodologies, potentially eroding diversity and critical contestation in ESG frameworks. It is questionable whether that outcome would meet regulatory objectives. There is an associated risk with this outcome that dominant ESG rating philosophies take hold, entrenching potentially opaque, Global North-centric philosophies which are focused on scale, not nuance.</w:t>
      </w:r>
    </w:p>
    <w:p w14:paraId="578F08F2" w14:textId="77777777" w:rsidR="007D47AC" w:rsidRDefault="007D47AC" w:rsidP="007D47AC">
      <w:r>
        <w:t xml:space="preserve">ESMA should consider explicitly stating what is regulatory objective is in this regard. It would be helpful for ESMA to clarify that comparability of outputs is not equivalent to harmonisation of methodology. This distinction would protect the diversity of perspectives that ESG analysis requires. Any transparency that is promoted by the regulator should build towards users interpreting ratings better, not suppressing methodological diversity. As the market has grown </w:t>
      </w:r>
      <w:hyperlink r:id="rId24" w:history="1">
        <w:r w:rsidRPr="00854B5D">
          <w:rPr>
            <w:rStyle w:val="Hyperlink"/>
          </w:rPr>
          <w:t>methodologies and approaches have been converging at a rapid pace</w:t>
        </w:r>
      </w:hyperlink>
      <w:r>
        <w:t xml:space="preserve"> and this is not necessarily positive.</w:t>
      </w:r>
    </w:p>
    <w:p w14:paraId="087B25C3" w14:textId="07F43D83"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ermEnd w:id="669658389"/>
    <w:p w14:paraId="77645EA9" w14:textId="67311EC5"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322B55">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_3&gt;</w:t>
      </w:r>
    </w:p>
    <w:p w14:paraId="374EDE5B" w14:textId="29DF36F2" w:rsidR="00513DA2" w:rsidRPr="00513DA2" w:rsidRDefault="00655791" w:rsidP="00513DA2">
      <w:pPr>
        <w:pStyle w:val="Paragraph"/>
        <w:numPr>
          <w:ilvl w:val="0"/>
          <w:numId w:val="0"/>
        </w:numPr>
        <w:ind w:left="708" w:hanging="708"/>
        <w:rPr>
          <w:b/>
          <w:bCs/>
        </w:rPr>
      </w:pPr>
      <w:r>
        <w:rPr>
          <w:b/>
          <w:bCs/>
        </w:rPr>
        <w:t>Q4.</w:t>
      </w:r>
      <w:r>
        <w:rPr>
          <w:b/>
          <w:bCs/>
        </w:rPr>
        <w:tab/>
      </w:r>
      <w:r w:rsidR="00513DA2" w:rsidRPr="00513DA2">
        <w:rPr>
          <w:b/>
          <w:bCs/>
        </w:rPr>
        <w:t xml:space="preserve">Do you consider that the draft technical standards under Articles 23(4) or 24(3) </w:t>
      </w:r>
      <w:proofErr w:type="gramStart"/>
      <w:r w:rsidR="00513DA2" w:rsidRPr="00513DA2">
        <w:rPr>
          <w:b/>
          <w:bCs/>
        </w:rPr>
        <w:t>should  instead</w:t>
      </w:r>
      <w:proofErr w:type="gramEnd"/>
      <w:r w:rsidR="00513DA2" w:rsidRPr="00513DA2">
        <w:rPr>
          <w:b/>
          <w:bCs/>
        </w:rPr>
        <w:t xml:space="preserve"> provide an expanded table in Annex proposing a sequence and structure for all disclosures to be made under parts 1 and 2 of Annex III? If yes, please explain the benefits of such an approach.</w:t>
      </w:r>
    </w:p>
    <w:p w14:paraId="052AF9D6" w14:textId="43D4216A"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655791">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_4&gt;</w:t>
      </w:r>
    </w:p>
    <w:p w14:paraId="5CBF3978"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ermStart w:id="1645309941" w:edGrp="everyone"/>
      <w:r w:rsidRPr="001B1B48">
        <w:rPr>
          <w:rFonts w:ascii="Calibri" w:eastAsia="Calibri" w:hAnsi="Calibri"/>
          <w:kern w:val="2"/>
          <w:sz w:val="22"/>
          <w:szCs w:val="22"/>
          <w:lang w:eastAsia="en-US"/>
          <w14:ligatures w14:val="standardContextual"/>
        </w:rPr>
        <w:t>TYPE YOUR TEXT HERE</w:t>
      </w:r>
    </w:p>
    <w:permEnd w:id="1645309941"/>
    <w:p w14:paraId="2F0C894F" w14:textId="7301DC4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655791">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_4&gt;</w:t>
      </w:r>
    </w:p>
    <w:p w14:paraId="0EFC77F0"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0691FCAC" w14:textId="5B24CD2A" w:rsidR="001B1B48" w:rsidRPr="00EA357E" w:rsidRDefault="00EA357E" w:rsidP="00EA357E">
      <w:pPr>
        <w:pStyle w:val="Paragraph"/>
        <w:numPr>
          <w:ilvl w:val="0"/>
          <w:numId w:val="0"/>
        </w:numPr>
        <w:rPr>
          <w:b/>
          <w:bCs/>
        </w:rPr>
      </w:pPr>
      <w:proofErr w:type="gramStart"/>
      <w:r w:rsidRPr="00EA357E">
        <w:rPr>
          <w:b/>
          <w:bCs/>
        </w:rPr>
        <w:t>Q5</w:t>
      </w:r>
      <w:proofErr w:type="gramEnd"/>
      <w:r w:rsidRPr="00EA357E">
        <w:rPr>
          <w:b/>
          <w:bCs/>
        </w:rPr>
        <w:t xml:space="preserve"> </w:t>
      </w:r>
      <w:r w:rsidRPr="00EA357E">
        <w:rPr>
          <w:b/>
          <w:bCs/>
        </w:rPr>
        <w:tab/>
        <w:t>Do you agree with ESMA’s proposed cost benefit analysis? If not, please explain.</w:t>
      </w:r>
    </w:p>
    <w:p w14:paraId="2996F4BA" w14:textId="36938C88"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A357E">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_5&gt;</w:t>
      </w:r>
    </w:p>
    <w:p w14:paraId="1F375DC9"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ermStart w:id="159149139" w:edGrp="everyone"/>
      <w:r w:rsidRPr="001B1B48">
        <w:rPr>
          <w:rFonts w:ascii="Calibri" w:eastAsia="Calibri" w:hAnsi="Calibri"/>
          <w:kern w:val="2"/>
          <w:sz w:val="22"/>
          <w:szCs w:val="22"/>
          <w:lang w:eastAsia="en-US"/>
          <w14:ligatures w14:val="standardContextual"/>
        </w:rPr>
        <w:t>TYPE YOUR TEXT HERE</w:t>
      </w:r>
    </w:p>
    <w:permEnd w:id="159149139"/>
    <w:p w14:paraId="2A15B62C" w14:textId="1A40E171"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A357E">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_5&gt;</w:t>
      </w:r>
    </w:p>
    <w:sectPr w:rsidR="001B1B48" w:rsidRPr="001B1B48" w:rsidSect="00C85C8B">
      <w:headerReference w:type="default" r:id="rId25"/>
      <w:footerReference w:type="default" r:id="rId2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60E28" w14:textId="77777777" w:rsidR="00971ECC" w:rsidRDefault="00971ECC" w:rsidP="007E7997">
      <w:r>
        <w:separator/>
      </w:r>
    </w:p>
  </w:endnote>
  <w:endnote w:type="continuationSeparator" w:id="0">
    <w:p w14:paraId="453DA01E" w14:textId="77777777" w:rsidR="00971ECC" w:rsidRDefault="00971ECC" w:rsidP="007E7997">
      <w:r>
        <w:continuationSeparator/>
      </w:r>
    </w:p>
  </w:endnote>
  <w:endnote w:type="continuationNotice" w:id="1">
    <w:p w14:paraId="41226FA9" w14:textId="77777777" w:rsidR="00971ECC" w:rsidRDefault="00971E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3915" w14:textId="586194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5F51F" w14:textId="77777777" w:rsidR="00971ECC" w:rsidRDefault="00971ECC" w:rsidP="007E7997">
      <w:r>
        <w:separator/>
      </w:r>
    </w:p>
  </w:footnote>
  <w:footnote w:type="continuationSeparator" w:id="0">
    <w:p w14:paraId="1D2D0865" w14:textId="77777777" w:rsidR="00971ECC" w:rsidRDefault="00971ECC" w:rsidP="007E7997">
      <w:r>
        <w:continuationSeparator/>
      </w:r>
    </w:p>
  </w:footnote>
  <w:footnote w:type="continuationNotice" w:id="1">
    <w:p w14:paraId="34BBC5DC" w14:textId="77777777" w:rsidR="00971ECC" w:rsidRDefault="00971E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923F5" w14:textId="11D11F90" w:rsidR="00FA64BE" w:rsidRDefault="00FA64BE" w:rsidP="00FA64BE">
    <w:pPr>
      <w:pStyle w:val="Header"/>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 May 2025</w:t>
    </w:r>
    <w:r w:rsidR="00C00D4F">
      <w:rPr>
        <w:rFonts w:asciiTheme="minorHAnsi" w:eastAsiaTheme="minorEastAsia" w:hAnsiTheme="minorHAnsi" w:cstheme="minorBidi"/>
        <w:color w:val="000000" w:themeColor="text1" w:themeShade="80"/>
        <w:sz w:val="16"/>
        <w:szCs w:val="20"/>
        <w:lang w:eastAsia="en-US"/>
      </w:rPr>
      <w:br/>
    </w:r>
    <w:r w:rsidR="0013090E" w:rsidRPr="0013090E">
      <w:rPr>
        <w:rFonts w:asciiTheme="minorHAnsi" w:eastAsiaTheme="minorEastAsia" w:hAnsiTheme="minorHAnsi" w:cstheme="minorBidi"/>
        <w:color w:val="000000" w:themeColor="text1" w:themeShade="80"/>
        <w:sz w:val="16"/>
        <w:szCs w:val="20"/>
        <w:lang w:eastAsia="en-US"/>
      </w:rPr>
      <w:t>ESMA</w:t>
    </w:r>
    <w:r w:rsidR="00373AB8">
      <w:rPr>
        <w:rFonts w:asciiTheme="minorHAnsi" w:eastAsiaTheme="minorEastAsia" w:hAnsiTheme="minorHAnsi" w:cstheme="minorBidi"/>
        <w:color w:val="000000" w:themeColor="text1" w:themeShade="80"/>
        <w:sz w:val="16"/>
        <w:szCs w:val="20"/>
        <w:lang w:eastAsia="en-US"/>
      </w:rPr>
      <w:t>84</w:t>
    </w:r>
    <w:r w:rsidR="0013090E" w:rsidRPr="0013090E">
      <w:rPr>
        <w:rFonts w:asciiTheme="minorHAnsi" w:eastAsiaTheme="minorEastAsia" w:hAnsiTheme="minorHAnsi" w:cstheme="minorBidi"/>
        <w:color w:val="000000" w:themeColor="text1" w:themeShade="80"/>
        <w:sz w:val="16"/>
        <w:szCs w:val="20"/>
        <w:lang w:eastAsia="en-US"/>
      </w:rPr>
      <w:t>-</w:t>
    </w:r>
    <w:r w:rsidR="00373AB8">
      <w:rPr>
        <w:rFonts w:asciiTheme="minorHAnsi" w:eastAsiaTheme="minorEastAsia" w:hAnsiTheme="minorHAnsi" w:cstheme="minorBidi"/>
        <w:color w:val="000000" w:themeColor="text1" w:themeShade="80"/>
        <w:sz w:val="16"/>
        <w:szCs w:val="20"/>
        <w:lang w:eastAsia="en-US"/>
      </w:rPr>
      <w:t>858037815-6</w:t>
    </w:r>
    <w:r w:rsidR="006072C6">
      <w:rPr>
        <w:rFonts w:asciiTheme="minorHAnsi" w:eastAsiaTheme="minorEastAsia" w:hAnsiTheme="minorHAnsi" w:cstheme="minorBidi"/>
        <w:color w:val="000000" w:themeColor="text1" w:themeShade="80"/>
        <w:sz w:val="16"/>
        <w:szCs w:val="20"/>
        <w:lang w:eastAsia="en-US"/>
      </w:rPr>
      <w:t>83</w:t>
    </w:r>
  </w:p>
  <w:p w14:paraId="70391035" w14:textId="0FE57758" w:rsidR="00E36813" w:rsidRDefault="00FA64BE" w:rsidP="00FA64BE">
    <w:pPr>
      <w:pStyle w:val="Header"/>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236AFB6F"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6EC4" w14:textId="2AEFCC83" w:rsidR="00E36813" w:rsidRDefault="00FA64BE" w:rsidP="00B50534">
    <w:pPr>
      <w:pStyle w:val="Header"/>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Header"/>
      <w:jc w:val="right"/>
      <w:rPr>
        <w:rFonts w:asciiTheme="minorHAnsi" w:hAnsiTheme="minorHAnsi" w:cstheme="minorHAnsi"/>
        <w:color w:val="2F5496" w:themeColor="accent5" w:themeShade="BF"/>
        <w:sz w:val="20"/>
      </w:rPr>
    </w:pPr>
  </w:p>
  <w:p w14:paraId="3E983FE8" w14:textId="71D87355" w:rsidR="00FA64BE" w:rsidRDefault="00FA64BE" w:rsidP="00FA64BE">
    <w:pPr>
      <w:pStyle w:val="Header"/>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Header"/>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2"/>
  </w:num>
  <w:num w:numId="2" w16cid:durableId="1495532731">
    <w:abstractNumId w:val="2"/>
  </w:num>
  <w:num w:numId="3" w16cid:durableId="994409496">
    <w:abstractNumId w:val="24"/>
  </w:num>
  <w:num w:numId="4" w16cid:durableId="1880320868">
    <w:abstractNumId w:val="3"/>
  </w:num>
  <w:num w:numId="5" w16cid:durableId="290864581">
    <w:abstractNumId w:val="13"/>
  </w:num>
  <w:num w:numId="6" w16cid:durableId="952590553">
    <w:abstractNumId w:val="26"/>
  </w:num>
  <w:num w:numId="7" w16cid:durableId="1159686949">
    <w:abstractNumId w:val="12"/>
  </w:num>
  <w:num w:numId="8" w16cid:durableId="765269892">
    <w:abstractNumId w:val="5"/>
  </w:num>
  <w:num w:numId="9" w16cid:durableId="1301960395">
    <w:abstractNumId w:val="8"/>
  </w:num>
  <w:num w:numId="10" w16cid:durableId="1228616548">
    <w:abstractNumId w:val="7"/>
  </w:num>
  <w:num w:numId="11" w16cid:durableId="2051027016">
    <w:abstractNumId w:val="6"/>
  </w:num>
  <w:num w:numId="12" w16cid:durableId="83380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27"/>
  </w:num>
  <w:num w:numId="15" w16cid:durableId="986476960">
    <w:abstractNumId w:val="21"/>
  </w:num>
  <w:num w:numId="16" w16cid:durableId="398749299">
    <w:abstractNumId w:val="25"/>
  </w:num>
  <w:num w:numId="17" w16cid:durableId="14076118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22"/>
  </w:num>
  <w:num w:numId="19" w16cid:durableId="558588771">
    <w:abstractNumId w:val="26"/>
  </w:num>
  <w:num w:numId="20" w16cid:durableId="1306933315">
    <w:abstractNumId w:val="10"/>
  </w:num>
  <w:num w:numId="21" w16cid:durableId="1623876054">
    <w:abstractNumId w:val="23"/>
  </w:num>
  <w:num w:numId="22" w16cid:durableId="783383837">
    <w:abstractNumId w:val="14"/>
  </w:num>
  <w:num w:numId="23" w16cid:durableId="2112964618">
    <w:abstractNumId w:val="20"/>
  </w:num>
  <w:num w:numId="24" w16cid:durableId="1958565453">
    <w:abstractNumId w:val="0"/>
  </w:num>
  <w:num w:numId="25" w16cid:durableId="1372725395">
    <w:abstractNumId w:val="18"/>
  </w:num>
  <w:num w:numId="26" w16cid:durableId="1686445133">
    <w:abstractNumId w:val="16"/>
  </w:num>
  <w:num w:numId="27" w16cid:durableId="1247768697">
    <w:abstractNumId w:val="9"/>
  </w:num>
  <w:num w:numId="28" w16cid:durableId="954170948">
    <w:abstractNumId w:val="1"/>
  </w:num>
  <w:num w:numId="29" w16cid:durableId="837424337">
    <w:abstractNumId w:val="17"/>
  </w:num>
  <w:num w:numId="30" w16cid:durableId="299657983">
    <w:abstractNumId w:val="4"/>
  </w:num>
  <w:num w:numId="31" w16cid:durableId="699822250">
    <w:abstractNumId w:val="15"/>
  </w:num>
  <w:num w:numId="32" w16cid:durableId="730466929">
    <w:abstractNumId w:val="11"/>
    <w:lvlOverride w:ilvl="0">
      <w:startOverride w:val="1"/>
    </w:lvlOverride>
  </w:num>
  <w:num w:numId="33" w16cid:durableId="552498262">
    <w:abstractNumId w:val="19"/>
  </w:num>
  <w:num w:numId="34" w16cid:durableId="1829132647">
    <w:abstractNumId w:val="11"/>
    <w:lvlOverride w:ilvl="0">
      <w:startOverride w:val="1"/>
    </w:lvlOverride>
  </w:num>
  <w:num w:numId="35" w16cid:durableId="1915964461">
    <w:abstractNumId w:val="11"/>
    <w:lvlOverride w:ilvl="0">
      <w:startOverride w:val="1"/>
    </w:lvlOverride>
  </w:num>
  <w:num w:numId="36" w16cid:durableId="1385182617">
    <w:abstractNumId w:val="11"/>
    <w:lvlOverride w:ilvl="0">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US" w:vendorID="64" w:dllVersion="0" w:nlCheck="1" w:checkStyle="0"/>
  <w:activeWritingStyle w:appName="MSWord" w:lang="en-GB" w:vendorID="64" w:dllVersion="0" w:nlCheck="1" w:checkStyle="0"/>
  <w:proofState w:spelling="clean" w:grammar="clean"/>
  <w:attachedTemplate r:id="rId1"/>
  <w:documentProtection w:edit="readOnly" w:enforcement="0"/>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10AB"/>
    <w:rsid w:val="00033934"/>
    <w:rsid w:val="00036C09"/>
    <w:rsid w:val="000372BF"/>
    <w:rsid w:val="00040A52"/>
    <w:rsid w:val="00044C5A"/>
    <w:rsid w:val="00044E0A"/>
    <w:rsid w:val="00047C57"/>
    <w:rsid w:val="00054E00"/>
    <w:rsid w:val="00061B2B"/>
    <w:rsid w:val="000627C5"/>
    <w:rsid w:val="0006448C"/>
    <w:rsid w:val="0006449B"/>
    <w:rsid w:val="000655AD"/>
    <w:rsid w:val="00066FD1"/>
    <w:rsid w:val="00072BF9"/>
    <w:rsid w:val="00073DF9"/>
    <w:rsid w:val="0007767E"/>
    <w:rsid w:val="0007796D"/>
    <w:rsid w:val="000830DA"/>
    <w:rsid w:val="00083FBB"/>
    <w:rsid w:val="00086F71"/>
    <w:rsid w:val="000921E6"/>
    <w:rsid w:val="00092D6C"/>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406A"/>
    <w:rsid w:val="000C5032"/>
    <w:rsid w:val="000C5ACC"/>
    <w:rsid w:val="000D0293"/>
    <w:rsid w:val="000D0850"/>
    <w:rsid w:val="000D1038"/>
    <w:rsid w:val="000D11A9"/>
    <w:rsid w:val="000D2D7B"/>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90E"/>
    <w:rsid w:val="00130EF9"/>
    <w:rsid w:val="001319C7"/>
    <w:rsid w:val="001355E6"/>
    <w:rsid w:val="0013644A"/>
    <w:rsid w:val="00140762"/>
    <w:rsid w:val="00140BA6"/>
    <w:rsid w:val="00141946"/>
    <w:rsid w:val="00143DCA"/>
    <w:rsid w:val="00144AAD"/>
    <w:rsid w:val="001455E7"/>
    <w:rsid w:val="0014624E"/>
    <w:rsid w:val="001522DD"/>
    <w:rsid w:val="00155BAB"/>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97AAF"/>
    <w:rsid w:val="001A1EF4"/>
    <w:rsid w:val="001A7046"/>
    <w:rsid w:val="001A710D"/>
    <w:rsid w:val="001A7E6F"/>
    <w:rsid w:val="001B0A77"/>
    <w:rsid w:val="001B1727"/>
    <w:rsid w:val="001B1B48"/>
    <w:rsid w:val="001B2151"/>
    <w:rsid w:val="001B3CFF"/>
    <w:rsid w:val="001B4957"/>
    <w:rsid w:val="001B4996"/>
    <w:rsid w:val="001C0E59"/>
    <w:rsid w:val="001C432D"/>
    <w:rsid w:val="001C469E"/>
    <w:rsid w:val="001C56C3"/>
    <w:rsid w:val="001C5D8C"/>
    <w:rsid w:val="001C7E0A"/>
    <w:rsid w:val="001D0112"/>
    <w:rsid w:val="001D19F5"/>
    <w:rsid w:val="001D385A"/>
    <w:rsid w:val="001D3AC4"/>
    <w:rsid w:val="001D6B39"/>
    <w:rsid w:val="001E1ECD"/>
    <w:rsid w:val="001E3E0D"/>
    <w:rsid w:val="001E4A45"/>
    <w:rsid w:val="001E5AB7"/>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2E56"/>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802"/>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C76AE"/>
    <w:rsid w:val="002D2992"/>
    <w:rsid w:val="002D37A0"/>
    <w:rsid w:val="002D5AB5"/>
    <w:rsid w:val="002D6667"/>
    <w:rsid w:val="002D761A"/>
    <w:rsid w:val="002D79F3"/>
    <w:rsid w:val="002E1C11"/>
    <w:rsid w:val="002E3D0B"/>
    <w:rsid w:val="002E3E7D"/>
    <w:rsid w:val="002E6A8E"/>
    <w:rsid w:val="002F6279"/>
    <w:rsid w:val="00300F55"/>
    <w:rsid w:val="003013B7"/>
    <w:rsid w:val="00301993"/>
    <w:rsid w:val="00301E55"/>
    <w:rsid w:val="00307397"/>
    <w:rsid w:val="003101EF"/>
    <w:rsid w:val="00312BDD"/>
    <w:rsid w:val="00314117"/>
    <w:rsid w:val="00317EDF"/>
    <w:rsid w:val="00322B55"/>
    <w:rsid w:val="003279E7"/>
    <w:rsid w:val="00327B62"/>
    <w:rsid w:val="00331FE9"/>
    <w:rsid w:val="0033324D"/>
    <w:rsid w:val="0033587C"/>
    <w:rsid w:val="0033696D"/>
    <w:rsid w:val="00336BF9"/>
    <w:rsid w:val="003371E8"/>
    <w:rsid w:val="00337471"/>
    <w:rsid w:val="0034151D"/>
    <w:rsid w:val="00342B5B"/>
    <w:rsid w:val="00343532"/>
    <w:rsid w:val="00345469"/>
    <w:rsid w:val="003454ED"/>
    <w:rsid w:val="00345EB9"/>
    <w:rsid w:val="0035030F"/>
    <w:rsid w:val="003519DD"/>
    <w:rsid w:val="00351B68"/>
    <w:rsid w:val="00351F68"/>
    <w:rsid w:val="00353C4B"/>
    <w:rsid w:val="003545A6"/>
    <w:rsid w:val="00356C60"/>
    <w:rsid w:val="003578D1"/>
    <w:rsid w:val="00363639"/>
    <w:rsid w:val="00366D42"/>
    <w:rsid w:val="0036748C"/>
    <w:rsid w:val="00372615"/>
    <w:rsid w:val="00372EA3"/>
    <w:rsid w:val="0037311D"/>
    <w:rsid w:val="0037358E"/>
    <w:rsid w:val="00373A3C"/>
    <w:rsid w:val="00373AB8"/>
    <w:rsid w:val="00373FCF"/>
    <w:rsid w:val="00376233"/>
    <w:rsid w:val="00380B30"/>
    <w:rsid w:val="00381784"/>
    <w:rsid w:val="00381EB0"/>
    <w:rsid w:val="00382A72"/>
    <w:rsid w:val="00382EBA"/>
    <w:rsid w:val="0038331A"/>
    <w:rsid w:val="0039135B"/>
    <w:rsid w:val="003A34E7"/>
    <w:rsid w:val="003A3CB1"/>
    <w:rsid w:val="003A3D55"/>
    <w:rsid w:val="003A73A4"/>
    <w:rsid w:val="003B102E"/>
    <w:rsid w:val="003B26BA"/>
    <w:rsid w:val="003B4E3D"/>
    <w:rsid w:val="003C167E"/>
    <w:rsid w:val="003C481D"/>
    <w:rsid w:val="003C4EB5"/>
    <w:rsid w:val="003D1099"/>
    <w:rsid w:val="003D2CED"/>
    <w:rsid w:val="003D344A"/>
    <w:rsid w:val="003D3BB8"/>
    <w:rsid w:val="003D72F4"/>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4ED5"/>
    <w:rsid w:val="0040743A"/>
    <w:rsid w:val="00407623"/>
    <w:rsid w:val="00407A74"/>
    <w:rsid w:val="004114D5"/>
    <w:rsid w:val="00414210"/>
    <w:rsid w:val="004159DB"/>
    <w:rsid w:val="00420FD4"/>
    <w:rsid w:val="004242B3"/>
    <w:rsid w:val="00424A4F"/>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578B3"/>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2701"/>
    <w:rsid w:val="004950B7"/>
    <w:rsid w:val="0049534D"/>
    <w:rsid w:val="00497FEA"/>
    <w:rsid w:val="004A75F5"/>
    <w:rsid w:val="004B07B2"/>
    <w:rsid w:val="004B0955"/>
    <w:rsid w:val="004B143D"/>
    <w:rsid w:val="004B1842"/>
    <w:rsid w:val="004B25D0"/>
    <w:rsid w:val="004B3553"/>
    <w:rsid w:val="004B5E92"/>
    <w:rsid w:val="004B6859"/>
    <w:rsid w:val="004C0A30"/>
    <w:rsid w:val="004C357C"/>
    <w:rsid w:val="004C3D18"/>
    <w:rsid w:val="004D42B1"/>
    <w:rsid w:val="004D526F"/>
    <w:rsid w:val="004E0583"/>
    <w:rsid w:val="004E19C0"/>
    <w:rsid w:val="004E1C54"/>
    <w:rsid w:val="004E2C37"/>
    <w:rsid w:val="004E5285"/>
    <w:rsid w:val="004F0CF3"/>
    <w:rsid w:val="004F5740"/>
    <w:rsid w:val="004F58C9"/>
    <w:rsid w:val="005028B9"/>
    <w:rsid w:val="00503A3F"/>
    <w:rsid w:val="00505E17"/>
    <w:rsid w:val="00511A59"/>
    <w:rsid w:val="00511C3B"/>
    <w:rsid w:val="00513DA2"/>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664AB"/>
    <w:rsid w:val="005725BD"/>
    <w:rsid w:val="005730B0"/>
    <w:rsid w:val="00575DCC"/>
    <w:rsid w:val="005821B0"/>
    <w:rsid w:val="0059175F"/>
    <w:rsid w:val="00591AAC"/>
    <w:rsid w:val="00595F08"/>
    <w:rsid w:val="00595FBE"/>
    <w:rsid w:val="005A1C55"/>
    <w:rsid w:val="005B169D"/>
    <w:rsid w:val="005B467C"/>
    <w:rsid w:val="005B4ACA"/>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0AD"/>
    <w:rsid w:val="00604A25"/>
    <w:rsid w:val="00606683"/>
    <w:rsid w:val="006072C6"/>
    <w:rsid w:val="00613BF6"/>
    <w:rsid w:val="00616D27"/>
    <w:rsid w:val="006234FE"/>
    <w:rsid w:val="00623840"/>
    <w:rsid w:val="006255EC"/>
    <w:rsid w:val="00625A25"/>
    <w:rsid w:val="0062736A"/>
    <w:rsid w:val="0063565E"/>
    <w:rsid w:val="00636E02"/>
    <w:rsid w:val="006372FE"/>
    <w:rsid w:val="00640691"/>
    <w:rsid w:val="00641DB1"/>
    <w:rsid w:val="00642297"/>
    <w:rsid w:val="00644A34"/>
    <w:rsid w:val="00654824"/>
    <w:rsid w:val="00655791"/>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5E48"/>
    <w:rsid w:val="006A7A10"/>
    <w:rsid w:val="006B0DA4"/>
    <w:rsid w:val="006B1B6B"/>
    <w:rsid w:val="006B2C57"/>
    <w:rsid w:val="006B391B"/>
    <w:rsid w:val="006B79E0"/>
    <w:rsid w:val="006C0B2D"/>
    <w:rsid w:val="006C1633"/>
    <w:rsid w:val="006C5BF8"/>
    <w:rsid w:val="006C7CCB"/>
    <w:rsid w:val="006D3F14"/>
    <w:rsid w:val="006D3FDF"/>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19A9"/>
    <w:rsid w:val="00723BA1"/>
    <w:rsid w:val="00724A1B"/>
    <w:rsid w:val="0073173E"/>
    <w:rsid w:val="007319C3"/>
    <w:rsid w:val="0073454F"/>
    <w:rsid w:val="00735C00"/>
    <w:rsid w:val="007364C6"/>
    <w:rsid w:val="00740BF3"/>
    <w:rsid w:val="00741D5C"/>
    <w:rsid w:val="0074352F"/>
    <w:rsid w:val="00747C5E"/>
    <w:rsid w:val="00750210"/>
    <w:rsid w:val="0075162F"/>
    <w:rsid w:val="00754844"/>
    <w:rsid w:val="00754B57"/>
    <w:rsid w:val="0075671D"/>
    <w:rsid w:val="0076002F"/>
    <w:rsid w:val="0076038B"/>
    <w:rsid w:val="00761744"/>
    <w:rsid w:val="00764582"/>
    <w:rsid w:val="00765FA3"/>
    <w:rsid w:val="00766961"/>
    <w:rsid w:val="00766B5A"/>
    <w:rsid w:val="0077026A"/>
    <w:rsid w:val="00770C33"/>
    <w:rsid w:val="007741C3"/>
    <w:rsid w:val="00777BE0"/>
    <w:rsid w:val="00777CFF"/>
    <w:rsid w:val="00780923"/>
    <w:rsid w:val="00781265"/>
    <w:rsid w:val="0078131F"/>
    <w:rsid w:val="00781A6F"/>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47AC"/>
    <w:rsid w:val="007D7A59"/>
    <w:rsid w:val="007E0E75"/>
    <w:rsid w:val="007E53F5"/>
    <w:rsid w:val="007E6E9E"/>
    <w:rsid w:val="007E7637"/>
    <w:rsid w:val="007E7997"/>
    <w:rsid w:val="007F014A"/>
    <w:rsid w:val="007F04EF"/>
    <w:rsid w:val="007F0763"/>
    <w:rsid w:val="007F1DE9"/>
    <w:rsid w:val="007F25C2"/>
    <w:rsid w:val="007F4F88"/>
    <w:rsid w:val="007F5642"/>
    <w:rsid w:val="007F5822"/>
    <w:rsid w:val="007F5B86"/>
    <w:rsid w:val="00800A7F"/>
    <w:rsid w:val="0080285D"/>
    <w:rsid w:val="0081028F"/>
    <w:rsid w:val="008107D9"/>
    <w:rsid w:val="0081093B"/>
    <w:rsid w:val="008116D9"/>
    <w:rsid w:val="00811936"/>
    <w:rsid w:val="00812BE2"/>
    <w:rsid w:val="00813059"/>
    <w:rsid w:val="008157C8"/>
    <w:rsid w:val="00815C43"/>
    <w:rsid w:val="008173E2"/>
    <w:rsid w:val="008201C3"/>
    <w:rsid w:val="00820422"/>
    <w:rsid w:val="00820655"/>
    <w:rsid w:val="008227D7"/>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BF"/>
    <w:rsid w:val="00872209"/>
    <w:rsid w:val="008731EB"/>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28FD"/>
    <w:rsid w:val="008D59F9"/>
    <w:rsid w:val="008D5C28"/>
    <w:rsid w:val="008E00A6"/>
    <w:rsid w:val="008E2D26"/>
    <w:rsid w:val="008E3C8E"/>
    <w:rsid w:val="008E4076"/>
    <w:rsid w:val="008E7DBA"/>
    <w:rsid w:val="008F1993"/>
    <w:rsid w:val="008F3386"/>
    <w:rsid w:val="008F3AD9"/>
    <w:rsid w:val="008F4642"/>
    <w:rsid w:val="008F4C29"/>
    <w:rsid w:val="008F4E00"/>
    <w:rsid w:val="008F6163"/>
    <w:rsid w:val="008F761D"/>
    <w:rsid w:val="00900D44"/>
    <w:rsid w:val="00902520"/>
    <w:rsid w:val="00906DC4"/>
    <w:rsid w:val="00911A61"/>
    <w:rsid w:val="0091457F"/>
    <w:rsid w:val="0091729E"/>
    <w:rsid w:val="0093261E"/>
    <w:rsid w:val="0094008E"/>
    <w:rsid w:val="00941C0C"/>
    <w:rsid w:val="009437F2"/>
    <w:rsid w:val="0094528B"/>
    <w:rsid w:val="00960A8B"/>
    <w:rsid w:val="00965128"/>
    <w:rsid w:val="00967068"/>
    <w:rsid w:val="00971ECC"/>
    <w:rsid w:val="00973F43"/>
    <w:rsid w:val="0097785D"/>
    <w:rsid w:val="0098011D"/>
    <w:rsid w:val="00981912"/>
    <w:rsid w:val="009819C0"/>
    <w:rsid w:val="009835AD"/>
    <w:rsid w:val="00987A75"/>
    <w:rsid w:val="00990C72"/>
    <w:rsid w:val="00991A8A"/>
    <w:rsid w:val="00992611"/>
    <w:rsid w:val="00994303"/>
    <w:rsid w:val="0099526D"/>
    <w:rsid w:val="00996C8B"/>
    <w:rsid w:val="009A0054"/>
    <w:rsid w:val="009A0F6E"/>
    <w:rsid w:val="009A2D9C"/>
    <w:rsid w:val="009A38D9"/>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055DD"/>
    <w:rsid w:val="00A11D0C"/>
    <w:rsid w:val="00A16579"/>
    <w:rsid w:val="00A24843"/>
    <w:rsid w:val="00A25AB7"/>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299"/>
    <w:rsid w:val="00A73949"/>
    <w:rsid w:val="00A76707"/>
    <w:rsid w:val="00A7697E"/>
    <w:rsid w:val="00A76C98"/>
    <w:rsid w:val="00A76E20"/>
    <w:rsid w:val="00A8284E"/>
    <w:rsid w:val="00A870EE"/>
    <w:rsid w:val="00A91D91"/>
    <w:rsid w:val="00A96F81"/>
    <w:rsid w:val="00A9709D"/>
    <w:rsid w:val="00AA054E"/>
    <w:rsid w:val="00AA0A10"/>
    <w:rsid w:val="00AA2094"/>
    <w:rsid w:val="00AA2947"/>
    <w:rsid w:val="00AA7461"/>
    <w:rsid w:val="00AB1894"/>
    <w:rsid w:val="00AB22DF"/>
    <w:rsid w:val="00AB2C3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406"/>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29AA"/>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D4F"/>
    <w:rsid w:val="00C00F1C"/>
    <w:rsid w:val="00C0346D"/>
    <w:rsid w:val="00C0358F"/>
    <w:rsid w:val="00C03BB0"/>
    <w:rsid w:val="00C041CF"/>
    <w:rsid w:val="00C0696A"/>
    <w:rsid w:val="00C11CFA"/>
    <w:rsid w:val="00C12034"/>
    <w:rsid w:val="00C12E00"/>
    <w:rsid w:val="00C1396B"/>
    <w:rsid w:val="00C16775"/>
    <w:rsid w:val="00C1698A"/>
    <w:rsid w:val="00C17150"/>
    <w:rsid w:val="00C17E6C"/>
    <w:rsid w:val="00C249CC"/>
    <w:rsid w:val="00C24E5F"/>
    <w:rsid w:val="00C255B6"/>
    <w:rsid w:val="00C262E7"/>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00"/>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97F9B"/>
    <w:rsid w:val="00CA112D"/>
    <w:rsid w:val="00CA1F9F"/>
    <w:rsid w:val="00CA2179"/>
    <w:rsid w:val="00CA3D8A"/>
    <w:rsid w:val="00CA4A87"/>
    <w:rsid w:val="00CB0C0C"/>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59F5"/>
    <w:rsid w:val="00D117F5"/>
    <w:rsid w:val="00D11B30"/>
    <w:rsid w:val="00D13661"/>
    <w:rsid w:val="00D142BD"/>
    <w:rsid w:val="00D146DE"/>
    <w:rsid w:val="00D17FEC"/>
    <w:rsid w:val="00D200E7"/>
    <w:rsid w:val="00D21427"/>
    <w:rsid w:val="00D22164"/>
    <w:rsid w:val="00D22B86"/>
    <w:rsid w:val="00D22F2F"/>
    <w:rsid w:val="00D24194"/>
    <w:rsid w:val="00D2460F"/>
    <w:rsid w:val="00D2590F"/>
    <w:rsid w:val="00D26321"/>
    <w:rsid w:val="00D27150"/>
    <w:rsid w:val="00D27EB3"/>
    <w:rsid w:val="00D35E02"/>
    <w:rsid w:val="00D378C9"/>
    <w:rsid w:val="00D37B9F"/>
    <w:rsid w:val="00D41425"/>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65CEE"/>
    <w:rsid w:val="00D73338"/>
    <w:rsid w:val="00D775F3"/>
    <w:rsid w:val="00D77868"/>
    <w:rsid w:val="00D77F25"/>
    <w:rsid w:val="00D84C2A"/>
    <w:rsid w:val="00D9064B"/>
    <w:rsid w:val="00D95D17"/>
    <w:rsid w:val="00D978C6"/>
    <w:rsid w:val="00DA03F6"/>
    <w:rsid w:val="00DA134A"/>
    <w:rsid w:val="00DA1A2E"/>
    <w:rsid w:val="00DA3413"/>
    <w:rsid w:val="00DA426E"/>
    <w:rsid w:val="00DA4339"/>
    <w:rsid w:val="00DA462C"/>
    <w:rsid w:val="00DA4B1B"/>
    <w:rsid w:val="00DA4EFC"/>
    <w:rsid w:val="00DA648D"/>
    <w:rsid w:val="00DA6A7B"/>
    <w:rsid w:val="00DA726D"/>
    <w:rsid w:val="00DB1B8D"/>
    <w:rsid w:val="00DB2693"/>
    <w:rsid w:val="00DB3DEA"/>
    <w:rsid w:val="00DB40BD"/>
    <w:rsid w:val="00DB4B8E"/>
    <w:rsid w:val="00DB4F4B"/>
    <w:rsid w:val="00DC070F"/>
    <w:rsid w:val="00DC3462"/>
    <w:rsid w:val="00DC3858"/>
    <w:rsid w:val="00DC3A57"/>
    <w:rsid w:val="00DC7A95"/>
    <w:rsid w:val="00DD1DAF"/>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1A5B"/>
    <w:rsid w:val="00E333AC"/>
    <w:rsid w:val="00E3456B"/>
    <w:rsid w:val="00E35C16"/>
    <w:rsid w:val="00E36085"/>
    <w:rsid w:val="00E36813"/>
    <w:rsid w:val="00E42382"/>
    <w:rsid w:val="00E603DF"/>
    <w:rsid w:val="00E63745"/>
    <w:rsid w:val="00E6699F"/>
    <w:rsid w:val="00E67845"/>
    <w:rsid w:val="00E67B40"/>
    <w:rsid w:val="00E703AE"/>
    <w:rsid w:val="00E72373"/>
    <w:rsid w:val="00E74A40"/>
    <w:rsid w:val="00E76AF9"/>
    <w:rsid w:val="00E84EF0"/>
    <w:rsid w:val="00E8649C"/>
    <w:rsid w:val="00E87886"/>
    <w:rsid w:val="00E87CDE"/>
    <w:rsid w:val="00E91FC1"/>
    <w:rsid w:val="00E92D54"/>
    <w:rsid w:val="00E9323C"/>
    <w:rsid w:val="00E95FD8"/>
    <w:rsid w:val="00EA0283"/>
    <w:rsid w:val="00EA357E"/>
    <w:rsid w:val="00EA5DE1"/>
    <w:rsid w:val="00EB0C86"/>
    <w:rsid w:val="00EB0E16"/>
    <w:rsid w:val="00EB1A57"/>
    <w:rsid w:val="00EB236F"/>
    <w:rsid w:val="00EB237E"/>
    <w:rsid w:val="00EC1546"/>
    <w:rsid w:val="00EC15D5"/>
    <w:rsid w:val="00EC4D18"/>
    <w:rsid w:val="00EC5B23"/>
    <w:rsid w:val="00EC5DED"/>
    <w:rsid w:val="00EC6BD8"/>
    <w:rsid w:val="00ED0356"/>
    <w:rsid w:val="00ED0D71"/>
    <w:rsid w:val="00ED3DCD"/>
    <w:rsid w:val="00ED3DD5"/>
    <w:rsid w:val="00ED4FDB"/>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7236"/>
    <w:rsid w:val="00F44634"/>
    <w:rsid w:val="00F45473"/>
    <w:rsid w:val="00F505EC"/>
    <w:rsid w:val="00F5088F"/>
    <w:rsid w:val="00F51657"/>
    <w:rsid w:val="00F5223C"/>
    <w:rsid w:val="00F55F69"/>
    <w:rsid w:val="00F57787"/>
    <w:rsid w:val="00F61E82"/>
    <w:rsid w:val="00F6243A"/>
    <w:rsid w:val="00F63323"/>
    <w:rsid w:val="00F636FE"/>
    <w:rsid w:val="00F648B2"/>
    <w:rsid w:val="00F67EBD"/>
    <w:rsid w:val="00F70EA4"/>
    <w:rsid w:val="00F77851"/>
    <w:rsid w:val="00F80FAB"/>
    <w:rsid w:val="00F81AAC"/>
    <w:rsid w:val="00F81E3B"/>
    <w:rsid w:val="00F827E1"/>
    <w:rsid w:val="00F927B5"/>
    <w:rsid w:val="00F94BD0"/>
    <w:rsid w:val="00F95403"/>
    <w:rsid w:val="00F96705"/>
    <w:rsid w:val="00F96750"/>
    <w:rsid w:val="00F9704D"/>
    <w:rsid w:val="00FA0166"/>
    <w:rsid w:val="00FA2400"/>
    <w:rsid w:val="00FA33E9"/>
    <w:rsid w:val="00FA55C8"/>
    <w:rsid w:val="00FA64BE"/>
    <w:rsid w:val="00FA74C6"/>
    <w:rsid w:val="00FB24ED"/>
    <w:rsid w:val="00FB29AF"/>
    <w:rsid w:val="00FB313D"/>
    <w:rsid w:val="00FB4003"/>
    <w:rsid w:val="00FB4EBA"/>
    <w:rsid w:val="00FB7086"/>
    <w:rsid w:val="00FC1B94"/>
    <w:rsid w:val="00FC3B26"/>
    <w:rsid w:val="00FC6384"/>
    <w:rsid w:val="00FC6733"/>
    <w:rsid w:val="00FD2677"/>
    <w:rsid w:val="00FD28B8"/>
    <w:rsid w:val="00FD4D00"/>
    <w:rsid w:val="00FE0BD8"/>
    <w:rsid w:val="00FE1709"/>
    <w:rsid w:val="00FE1FC9"/>
    <w:rsid w:val="00FF32DE"/>
    <w:rsid w:val="00FF4205"/>
    <w:rsid w:val="00FF5858"/>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12FC402E-3C4A-4D9E-A44D-1C36B76C3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7E7997"/>
    <w:pPr>
      <w:tabs>
        <w:tab w:val="center" w:pos="4536"/>
        <w:tab w:val="right" w:pos="9072"/>
      </w:tabs>
    </w:pPr>
  </w:style>
  <w:style w:type="character" w:customStyle="1" w:styleId="HeaderChar">
    <w:name w:val="Header Char"/>
    <w:basedOn w:val="DefaultParagraphFont"/>
    <w:link w:val="Header"/>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Strong"/>
    <w:uiPriority w:val="1"/>
    <w:qFormat/>
    <w:rsid w:val="00FA64BE"/>
    <w:rPr>
      <w:b w:val="0"/>
      <w:bCs/>
      <w:caps/>
      <w:smallCaps w:val="0"/>
      <w:color w:val="70AD47" w:themeColor="accent6"/>
      <w:sz w:val="22"/>
    </w:rPr>
  </w:style>
  <w:style w:type="paragraph" w:customStyle="1" w:styleId="Paragraph">
    <w:name w:val="Paragraph"/>
    <w:basedOn w:val="ListParagraph"/>
    <w:link w:val="ParagraphChar"/>
    <w:qFormat/>
    <w:rsid w:val="00CB0C0C"/>
    <w:pPr>
      <w:numPr>
        <w:numId w:val="32"/>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DefaultParagraphFont"/>
    <w:link w:val="Paragraph"/>
    <w:rsid w:val="00CB0C0C"/>
    <w:rPr>
      <w:rFonts w:ascii="Arial" w:hAnsi="Arial" w:cs="Arial"/>
      <w:color w:val="1A1A1A" w:themeColor="background1" w:themeShade="1A"/>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papers.ssrn.com/sol3/papers.cfm?abstract_id=4468531"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jpe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2.jpg"/><Relationship Id="rId20" Type="http://schemas.openxmlformats.org/officeDocument/2006/relationships/hyperlink" Target="https://papers.ssrn.com/sol3/papers.cfm?abstract_id=4468531"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erm.com/insights/rate-the-raters-2023/"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www.investinassets.net/p/msci-the-financial-powerhouse-with"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s://climateimpact.edhec.edu/stakeholders-wary-market-consolidation-moodys-closes-esg"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Policy Document" ma:contentTypeID="0x01010027D61B08324E424895FDA0DDD821312D02001CC94A2DC0878047AC79B02E1A10AE02" ma:contentTypeVersion="26" ma:contentTypeDescription="" ma:contentTypeScope="" ma:versionID="6f488500bae95708088b3fc3aa0ff7d6">
  <xsd:schema xmlns:xsd="http://www.w3.org/2001/XMLSchema" xmlns:xs="http://www.w3.org/2001/XMLSchema" xmlns:p="http://schemas.microsoft.com/office/2006/metadata/properties" xmlns:ns2="d0fb0f98-34f9-4d57-9559-eb8efd17aa5e" xmlns:ns3="85a93b33-139e-46e0-b278-f2636ec41d6c" xmlns:ns4="http://schemas.microsoft.com/sharepoint/v4" targetNamespace="http://schemas.microsoft.com/office/2006/metadata/properties" ma:root="true" ma:fieldsID="3df2a5322de19772e33045280ac2c293" ns2:_="" ns3:_="" ns4:_="">
    <xsd:import namespace="d0fb0f98-34f9-4d57-9559-eb8efd17aa5e"/>
    <xsd:import namespace="85a93b33-139e-46e0-b278-f2636ec41d6c"/>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f289fbc384b1484ea5f6ff6b522b513c" minOccurs="0"/>
                <xsd:element ref="ns2:TaxCatchAllLabel" minOccurs="0"/>
                <xsd:element ref="ns2:dd0664d3f47447a8943f346211d0253e" minOccurs="0"/>
                <xsd:element ref="ns2:hb56520e44e642c88c7a09896d1bc2ee" minOccurs="0"/>
                <xsd:element ref="ns2:ab8b5864a6dc4f2ea5aeb44d6d375f74" minOccurs="0"/>
                <xsd:element ref="ns2:k47b2c662a4d451c94b6991b27ccdf61" minOccurs="0"/>
                <xsd:element ref="ns2:i3322e601ac8421cbd1b686355963f37"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4:IconOverla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5b907423-e2da-4975-b472-6afe0f796169}"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f289fbc384b1484ea5f6ff6b522b513c" ma:index="17" nillable="true" ma:taxonomy="true" ma:internalName="f289fbc384b1484ea5f6ff6b522b513c" ma:taxonomyFieldName="DocumentType" ma:displayName="Document Type" ma:readOnly="false" ma:default="-1;#Note|b9e1c92e-303a-4555-86f0-5c711c65937e" ma:fieldId="{f289fbc3-84b1-484e-a5f6-ff6b522b513c}"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5b907423-e2da-4975-b472-6afe0f796169}"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dd0664d3f47447a8943f346211d0253e" ma:index="19" ma:taxonomy="true" ma:internalName="dd0664d3f47447a8943f346211d0253e" ma:taxonomyFieldName="ConfidentialityLevel" ma:displayName="Confidentiality Level" ma:readOnly="false" ma:default="8;#Regular|07f1e362-856b-423d-bea6-a14079762141" ma:fieldId="{dd0664d3-f474-47a8-943f-346211d0253e}"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hb56520e44e642c88c7a09896d1bc2ee" ma:index="20" nillable="true" ma:taxonomy="true" ma:internalName="hb56520e44e642c88c7a09896d1bc2ee" ma:taxonomyFieldName="EsmaAudience" ma:displayName="Audience" ma:readOnly="false" ma:fieldId="{1b56520e-44e6-42c8-8c7a-09896d1bc2ee}"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ab8b5864a6dc4f2ea5aeb44d6d375f74" ma:index="21" nillable="true" ma:taxonomy="true" ma:internalName="ab8b5864a6dc4f2ea5aeb44d6d375f74" ma:taxonomyFieldName="Topic" ma:displayName="Topic" ma:readOnly="false" ma:default="" ma:fieldId="{ab8b5864-a6dc-4f2e-a5ae-b44d6d375f74}" ma:sspId="d4b01e31-ead0-4f68-a8e9-2aaca35f2e62" ma:termSetId="62b2e372-4427-4135-8089-e892b057348d" ma:anchorId="00000000-0000-0000-0000-000000000000" ma:open="true" ma:isKeyword="false">
      <xsd:complexType>
        <xsd:sequence>
          <xsd:element ref="pc:Terms" minOccurs="0" maxOccurs="1"/>
        </xsd:sequence>
      </xsd:complexType>
    </xsd:element>
    <xsd:element name="k47b2c662a4d451c94b6991b27ccdf61" ma:index="22" nillable="true" ma:taxonomy="true" ma:internalName="k47b2c662a4d451c94b6991b27ccdf61" ma:taxonomyFieldName="SubTopic" ma:displayName="Sub Topic" ma:readOnly="false" ma:default="" ma:fieldId="{447b2c66-2a4d-451c-94b6-991b27ccdf61}" ma:sspId="d4b01e31-ead0-4f68-a8e9-2aaca35f2e62" ma:termSetId="714f31ba-385c-4cd5-bfdf-fc4e6400a430" ma:anchorId="00000000-0000-0000-0000-000000000000" ma:open="true" ma:isKeyword="false">
      <xsd:complexType>
        <xsd:sequence>
          <xsd:element ref="pc:Terms" minOccurs="0" maxOccurs="1"/>
        </xsd:sequence>
      </xsd:complexType>
    </xsd:element>
    <xsd:element name="i3322e601ac8421cbd1b686355963f37" ma:index="23" nillable="true" ma:taxonomy="true" ma:internalName="i3322e601ac8421cbd1b686355963f37" ma:taxonomyFieldName="TeamName" ma:displayName="Team Name" ma:readOnly="false" ma:fieldId="{23322e60-1ac8-421c-bd1b-686355963f37}"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a93b33-139e-46e0-b278-f2636ec41d6c"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d0fb0f98-34f9-4d57-9559-eb8efd17aa5e">ESMA84-2037069784-2285</_dlc_DocId>
    <TaxCatchAll xmlns="d0fb0f98-34f9-4d57-9559-eb8efd17aa5e">
      <Value>425</Value>
      <Value>500</Value>
      <Value>9</Value>
      <Value>8</Value>
      <Value>86</Value>
    </TaxCatchAll>
    <_dlc_DocIdUrl xmlns="d0fb0f98-34f9-4d57-9559-eb8efd17aa5e">
      <Url>https://securitiesandmarketsauth.sharepoint.com/sites/sherpa-craunit/_layouts/15/DocIdRedir.aspx?ID=ESMA84-2037069784-2285</Url>
      <Description>ESMA84-2037069784-2285</Description>
    </_dlc_DocIdUrl>
    <Year xmlns="d0fb0f98-34f9-4d57-9559-eb8efd17aa5e">2024</Year>
    <MeetingDate xmlns="d0fb0f98-34f9-4d57-9559-eb8efd17aa5e" xsi:nil="true"/>
    <dd0664d3f47447a8943f346211d0253e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dd0664d3f47447a8943f346211d0253e>
    <f289fbc384b1484ea5f6ff6b522b513c xmlns="d0fb0f98-34f9-4d57-9559-eb8efd17aa5e">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f289fbc384b1484ea5f6ff6b522b513c>
    <ab8b5864a6dc4f2ea5aeb44d6d375f74 xmlns="d0fb0f98-34f9-4d57-9559-eb8efd17aa5e">
      <Terms xmlns="http://schemas.microsoft.com/office/infopath/2007/PartnerControls">
        <TermInfo xmlns="http://schemas.microsoft.com/office/infopath/2007/PartnerControls">
          <TermName xmlns="http://schemas.microsoft.com/office/infopath/2007/PartnerControls">European Green Bonds</TermName>
          <TermId xmlns="http://schemas.microsoft.com/office/infopath/2007/PartnerControls">f68cfe7f-8b0c-4445-b5d7-ad808afd8270</TermId>
        </TermInfo>
      </Terms>
    </ab8b5864a6dc4f2ea5aeb44d6d375f74>
    <i3322e601ac8421cbd1b686355963f37 xmlns="d0fb0f98-34f9-4d57-9559-eb8efd17aa5e">
      <Terms xmlns="http://schemas.microsoft.com/office/infopath/2007/PartnerControls">
        <TermInfo xmlns="http://schemas.microsoft.com/office/infopath/2007/PartnerControls">
          <TermName xmlns="http://schemas.microsoft.com/office/infopath/2007/PartnerControls">Credit Ratings Agency Unit</TermName>
          <TermId xmlns="http://schemas.microsoft.com/office/infopath/2007/PartnerControls">ac587c9e-f6a3-4205-8197-96cf16201777</TermId>
        </TermInfo>
      </Terms>
    </i3322e601ac8421cbd1b686355963f37>
    <k47b2c662a4d451c94b6991b27ccdf61 xmlns="d0fb0f98-34f9-4d57-9559-eb8efd17aa5e">
      <Terms xmlns="http://schemas.microsoft.com/office/infopath/2007/PartnerControls">
        <TermInfo xmlns="http://schemas.microsoft.com/office/infopath/2007/PartnerControls">
          <TermName xmlns="http://schemas.microsoft.com/office/infopath/2007/PartnerControls">Qualification of crypto-assets - ESMA Guidelines on classification</TermName>
          <TermId xmlns="http://schemas.microsoft.com/office/infopath/2007/PartnerControls">4332d316-c095-4f91-9af2-56426177b6b7</TermId>
        </TermInfo>
      </Terms>
    </k47b2c662a4d451c94b6991b27ccdf61>
    <hb56520e44e642c88c7a09896d1bc2ee xmlns="d0fb0f98-34f9-4d57-9559-eb8efd17aa5e">
      <Terms xmlns="http://schemas.microsoft.com/office/infopath/2007/PartnerControls"/>
    </hb56520e44e642c88c7a09896d1bc2ee>
    <IconOverlay xmlns="http://schemas.microsoft.com/sharepoint/v4"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2.xml><?xml version="1.0" encoding="utf-8"?>
<ds:datastoreItem xmlns:ds="http://schemas.openxmlformats.org/officeDocument/2006/customXml" ds:itemID="{E64FA6A0-161D-491E-A20C-FF2A62A7B680}">
  <ds:schemaRefs>
    <ds:schemaRef ds:uri="http://schemas.microsoft.com/sharepoint/events"/>
  </ds:schemaRefs>
</ds:datastoreItem>
</file>

<file path=customXml/itemProps3.xml><?xml version="1.0" encoding="utf-8"?>
<ds:datastoreItem xmlns:ds="http://schemas.openxmlformats.org/officeDocument/2006/customXml" ds:itemID="{A2427B20-4B54-4527-A38C-7303C74BA0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85a93b33-139e-46e0-b278-f2636ec41d6c"/>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d0fb0f98-34f9-4d57-9559-eb8efd17aa5e"/>
    <ds:schemaRef ds:uri="http://schemas.microsoft.com/sharepoint/v4"/>
  </ds:schemaRefs>
</ds:datastoreItem>
</file>

<file path=customXml/itemProps5.xml><?xml version="1.0" encoding="utf-8"?>
<ds:datastoreItem xmlns:ds="http://schemas.openxmlformats.org/officeDocument/2006/customXml" ds:itemID="{FC2455EB-3D3A-4C02-9873-6A72D376E4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1</TotalTime>
  <Pages>6</Pages>
  <Words>1220</Words>
  <Characters>6959</Characters>
  <Application>Microsoft Office Word</Application>
  <DocSecurity>0</DocSecurity>
  <Lines>57</Lines>
  <Paragraphs>16</Paragraphs>
  <ScaleCrop>false</ScaleCrop>
  <Company>ESMA</Company>
  <LinksUpToDate>false</LinksUpToDate>
  <CharactersWithSpaces>8163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Daniel Cash</cp:lastModifiedBy>
  <cp:revision>2</cp:revision>
  <cp:lastPrinted>2017-07-24T14:47:00Z</cp:lastPrinted>
  <dcterms:created xsi:type="dcterms:W3CDTF">2025-05-02T19:29:00Z</dcterms:created>
  <dcterms:modified xsi:type="dcterms:W3CDTF">2025-05-02T19:29:00Z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8;#Regular|07f1e362-856b-423d-bea6-a14079762141</vt:lpwstr>
  </property>
  <property fmtid="{D5CDD505-2E9C-101B-9397-08002B2CF9AE}" pid="4" name="ContentTypeId">
    <vt:lpwstr>0x01010027D61B08324E424895FDA0DDD821312D02001CC94A2DC0878047AC79B02E1A10AE02</vt:lpwstr>
  </property>
  <property fmtid="{D5CDD505-2E9C-101B-9397-08002B2CF9AE}" pid="5" name="_dlc_DocIdItemGuid">
    <vt:lpwstr>374eb300-0e59-42cf-be6a-f8786a7b085e</vt:lpwstr>
  </property>
  <property fmtid="{D5CDD505-2E9C-101B-9397-08002B2CF9AE}" pid="6" name="DocumentType">
    <vt:lpwstr>86;#Report|78753201-1e9e-4a21-a088-6ff602b5c999</vt:lpwstr>
  </property>
  <property fmtid="{D5CDD505-2E9C-101B-9397-08002B2CF9AE}" pid="7" name="Topic">
    <vt:lpwstr>425;#European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500;#Qualification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e5413819-eea3-48a9-a4ad-6a99e0a978e6_Enabled">
    <vt:lpwstr>True</vt:lpwstr>
  </property>
  <property fmtid="{D5CDD505-2E9C-101B-9397-08002B2CF9AE}" pid="22" name="MSIP_Label_e5413819-eea3-48a9-a4ad-6a99e0a978e6_SiteId">
    <vt:lpwstr>e406f268-4ae7-4c80-8994-02493da00c03</vt:lpwstr>
  </property>
  <property fmtid="{D5CDD505-2E9C-101B-9397-08002B2CF9AE}" pid="23" name="MSIP_Label_e5413819-eea3-48a9-a4ad-6a99e0a978e6_SetDate">
    <vt:lpwstr>2025-05-02T09:49:13Z</vt:lpwstr>
  </property>
  <property fmtid="{D5CDD505-2E9C-101B-9397-08002B2CF9AE}" pid="24" name="MSIP_Label_e5413819-eea3-48a9-a4ad-6a99e0a978e6_Name">
    <vt:lpwstr>Generic</vt:lpwstr>
  </property>
  <property fmtid="{D5CDD505-2E9C-101B-9397-08002B2CF9AE}" pid="25" name="MSIP_Label_e5413819-eea3-48a9-a4ad-6a99e0a978e6_ActionId">
    <vt:lpwstr>80c57b31-08da-4cb1-bed9-328fd72d4919</vt:lpwstr>
  </property>
  <property fmtid="{D5CDD505-2E9C-101B-9397-08002B2CF9AE}" pid="26" name="MSIP_Label_e5413819-eea3-48a9-a4ad-6a99e0a978e6_Removed">
    <vt:lpwstr>False</vt:lpwstr>
  </property>
  <property fmtid="{D5CDD505-2E9C-101B-9397-08002B2CF9AE}" pid="27" name="MSIP_Label_e5413819-eea3-48a9-a4ad-6a99e0a978e6_Parent">
    <vt:lpwstr/>
  </property>
  <property fmtid="{D5CDD505-2E9C-101B-9397-08002B2CF9AE}" pid="28" name="MSIP_Label_e5413819-eea3-48a9-a4ad-6a99e0a978e6_Extended_MSFT_Method">
    <vt:lpwstr>Standard</vt:lpwstr>
  </property>
  <property fmtid="{D5CDD505-2E9C-101B-9397-08002B2CF9AE}" pid="29" name="Sensitivity">
    <vt:lpwstr>Generic</vt:lpwstr>
  </property>
</Properties>
</file>