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w:t>
          </w:r>
          <w:proofErr w:type="gramStart"/>
          <w:r w:rsidRPr="00A409C2">
            <w:rPr>
              <w:rFonts w:eastAsiaTheme="minorEastAsia" w:cstheme="minorBidi"/>
              <w:sz w:val="18"/>
              <w:szCs w:val="16"/>
              <w:lang w:eastAsia="en-US"/>
            </w:rPr>
            <w:t>&gt;  Consultation</w:t>
          </w:r>
          <w:proofErr w:type="gramEnd"/>
          <w:r w:rsidRPr="00A409C2">
            <w:rPr>
              <w:rFonts w:eastAsiaTheme="minorEastAsia" w:cstheme="minorBidi"/>
              <w:sz w:val="18"/>
              <w:szCs w:val="16"/>
              <w:lang w:eastAsia="en-US"/>
            </w:rPr>
            <w:t xml:space="preserve">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All interested stakeholders are invited to respond to this Consultation Paper. In particular, ESMA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shd w:val="clear" w:color="auto" w:fill="auto"/>
              </w:tcPr>
              <w:p w14:paraId="1B67440D" w14:textId="2499C55B" w:rsidR="00C85C8B" w:rsidRPr="00B16706" w:rsidRDefault="004E7054" w:rsidP="00C85C8B">
                <w:pPr>
                  <w:rPr>
                    <w:rFonts w:ascii="Arial" w:hAnsi="Arial" w:cs="Arial"/>
                    <w:color w:val="808080"/>
                    <w:sz w:val="16"/>
                    <w:szCs w:val="20"/>
                    <w:lang w:eastAsia="de-DE"/>
                  </w:rPr>
                </w:pPr>
                <w:r>
                  <w:rPr>
                    <w:rFonts w:ascii="Arial" w:hAnsi="Arial" w:cs="Arial"/>
                    <w:color w:val="808080"/>
                    <w:sz w:val="16"/>
                    <w:szCs w:val="20"/>
                    <w:lang w:eastAsia="de-DE"/>
                  </w:rPr>
                  <w:t>Creative Investment Research</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7D3A43B4"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4E7054">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shd w:val="clear" w:color="auto" w:fill="auto"/>
              </w:tcPr>
              <w:p w14:paraId="6C4423E1" w14:textId="53B9B08F" w:rsidR="00C85C8B" w:rsidRPr="00B16706" w:rsidRDefault="004E7054"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691243BE" w:rsidR="00C85C8B" w:rsidRPr="00B16706" w:rsidRDefault="004E7054" w:rsidP="00C85C8B">
                <w:pPr>
                  <w:rPr>
                    <w:rFonts w:ascii="Arial" w:hAnsi="Arial" w:cs="Arial"/>
                    <w:sz w:val="16"/>
                    <w:szCs w:val="20"/>
                    <w:lang w:eastAsia="de-DE"/>
                  </w:rPr>
                </w:pPr>
                <w:r>
                  <w:rPr>
                    <w:rFonts w:ascii="Arial" w:hAnsi="Arial" w:cs="Arial"/>
                    <w:sz w:val="16"/>
                    <w:szCs w:val="20"/>
                    <w:lang w:eastAsia="de-DE"/>
                  </w:rPr>
                  <w:t>North-America</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proofErr w:type="gramStart"/>
      <w:r w:rsidRPr="009464EF">
        <w:rPr>
          <w:b/>
          <w:bCs/>
        </w:rPr>
        <w:t>Q1</w:t>
      </w:r>
      <w:proofErr w:type="gramEnd"/>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610072BF"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permStart w:id="1765354918" w:edGrp="everyone"/>
      <w:r w:rsidRPr="004E7054">
        <w:rPr>
          <w:rFonts w:ascii="Calibri" w:eastAsia="Calibri" w:hAnsi="Calibri"/>
          <w:b/>
          <w:bCs/>
          <w:kern w:val="2"/>
          <w:sz w:val="22"/>
          <w:szCs w:val="22"/>
          <w:lang w:val="en-US" w:eastAsia="en-US"/>
          <w14:ligatures w14:val="standardContextual"/>
        </w:rPr>
        <w:t>Templates under Articles 6(3) and 12(9): Authorization and Recognition</w:t>
      </w:r>
    </w:p>
    <w:p w14:paraId="693EFAE7"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 xml:space="preserve">Creative Investment Research broadly supports ESMA’s merged draft RTS under Articles 6(3) and 12(9). Combining the </w:t>
      </w:r>
      <w:proofErr w:type="spellStart"/>
      <w:r w:rsidRPr="004E7054">
        <w:rPr>
          <w:rFonts w:ascii="Calibri" w:eastAsia="Calibri" w:hAnsi="Calibri"/>
          <w:kern w:val="2"/>
          <w:sz w:val="22"/>
          <w:szCs w:val="22"/>
          <w:lang w:val="en-US" w:eastAsia="en-US"/>
          <w14:ligatures w14:val="standardContextual"/>
        </w:rPr>
        <w:t>authorisation</w:t>
      </w:r>
      <w:proofErr w:type="spellEnd"/>
      <w:r w:rsidRPr="004E7054">
        <w:rPr>
          <w:rFonts w:ascii="Calibri" w:eastAsia="Calibri" w:hAnsi="Calibri"/>
          <w:kern w:val="2"/>
          <w:sz w:val="22"/>
          <w:szCs w:val="22"/>
          <w:lang w:val="en-US" w:eastAsia="en-US"/>
          <w14:ligatures w14:val="standardContextual"/>
        </w:rPr>
        <w:t xml:space="preserve"> and recognition templates simplifies compliance while preserving investor protection — a principle we also advocated in our Green Bond response.</w:t>
      </w:r>
    </w:p>
    <w:p w14:paraId="302C50E0"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We recommend three refinements:</w:t>
      </w:r>
    </w:p>
    <w:p w14:paraId="2F277CDD" w14:textId="61BC8133" w:rsidR="004E7054" w:rsidRPr="004E7054" w:rsidRDefault="004E7054" w:rsidP="004E7054">
      <w:pPr>
        <w:numPr>
          <w:ilvl w:val="0"/>
          <w:numId w:val="37"/>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b/>
          <w:bCs/>
          <w:kern w:val="2"/>
          <w:sz w:val="22"/>
          <w:szCs w:val="22"/>
          <w:lang w:val="en-US" w:eastAsia="en-US"/>
          <w14:ligatures w14:val="standardContextual"/>
        </w:rPr>
        <w:t>Systemic-risk attestation</w:t>
      </w:r>
      <w:r w:rsidRPr="004E7054">
        <w:rPr>
          <w:rFonts w:ascii="Calibri" w:eastAsia="Calibri" w:hAnsi="Calibri"/>
          <w:kern w:val="2"/>
          <w:sz w:val="22"/>
          <w:szCs w:val="22"/>
          <w:lang w:val="en-US" w:eastAsia="en-US"/>
          <w14:ligatures w14:val="standardContextual"/>
        </w:rPr>
        <w:t xml:space="preserve"> – Applicants should include a signed statement on how their governance and data-quality controls mitigate potential systemic ESG-rating failures. This aligns with our 2006 SEC comment letter (File No. 4</w:t>
      </w:r>
      <w:r w:rsidRPr="004E7054">
        <w:rPr>
          <w:rFonts w:ascii="Calibri" w:eastAsia="Calibri" w:hAnsi="Calibri"/>
          <w:kern w:val="2"/>
          <w:sz w:val="22"/>
          <w:szCs w:val="22"/>
          <w:lang w:val="en-US" w:eastAsia="en-US"/>
          <w14:ligatures w14:val="standardContextual"/>
        </w:rPr>
        <w:noBreakHyphen/>
        <w:t>526), which documented defective and biased practices in financial markets.</w:t>
      </w:r>
      <w:r w:rsidR="00A22798">
        <w:rPr>
          <w:rFonts w:ascii="Calibri" w:eastAsia="Calibri" w:hAnsi="Calibri"/>
          <w:kern w:val="2"/>
          <w:sz w:val="22"/>
          <w:szCs w:val="22"/>
          <w:lang w:val="en-US" w:eastAsia="en-US"/>
          <w14:ligatures w14:val="standardContextual"/>
        </w:rPr>
        <w:t xml:space="preserve"> See: </w:t>
      </w:r>
      <w:hyperlink r:id="rId20" w:history="1">
        <w:r w:rsidR="00A22798" w:rsidRPr="00CD051B">
          <w:rPr>
            <w:rStyle w:val="Hyperlink"/>
            <w:rFonts w:ascii="Calibri" w:eastAsia="Calibri" w:hAnsi="Calibri"/>
            <w:kern w:val="2"/>
            <w:sz w:val="22"/>
            <w:szCs w:val="22"/>
            <w:lang w:val="en-US" w:eastAsia="en-US"/>
            <w14:ligatures w14:val="standardContextual"/>
          </w:rPr>
          <w:t>https://www.sec.gov/comments/4-526/4526-1.pdf</w:t>
        </w:r>
      </w:hyperlink>
      <w:r w:rsidR="00A22798">
        <w:rPr>
          <w:rFonts w:ascii="Calibri" w:eastAsia="Calibri" w:hAnsi="Calibri"/>
          <w:kern w:val="2"/>
          <w:sz w:val="22"/>
          <w:szCs w:val="22"/>
          <w:lang w:val="en-US" w:eastAsia="en-US"/>
          <w14:ligatures w14:val="standardContextual"/>
        </w:rPr>
        <w:t xml:space="preserve"> </w:t>
      </w:r>
    </w:p>
    <w:p w14:paraId="18EDFBCF" w14:textId="77777777" w:rsidR="004E7054" w:rsidRPr="004E7054" w:rsidRDefault="004E7054" w:rsidP="004E7054">
      <w:pPr>
        <w:numPr>
          <w:ilvl w:val="0"/>
          <w:numId w:val="37"/>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b/>
          <w:bCs/>
          <w:kern w:val="2"/>
          <w:sz w:val="22"/>
          <w:szCs w:val="22"/>
          <w:lang w:val="en-US" w:eastAsia="en-US"/>
          <w14:ligatures w14:val="standardContextual"/>
        </w:rPr>
        <w:t>Inclusive-data roadmap</w:t>
      </w:r>
      <w:r w:rsidRPr="004E7054">
        <w:rPr>
          <w:rFonts w:ascii="Calibri" w:eastAsia="Calibri" w:hAnsi="Calibri"/>
          <w:kern w:val="2"/>
          <w:sz w:val="22"/>
          <w:szCs w:val="22"/>
          <w:lang w:val="en-US" w:eastAsia="en-US"/>
          <w14:ligatures w14:val="standardContextual"/>
        </w:rPr>
        <w:t xml:space="preserve"> – Applications should describe how rating models incorporate data from SMEs and minority-owned issuers, supporting the social-equity goals embedded in our Energy Efficient Mortgage-Backed Securities (EEMBS) framework.</w:t>
      </w:r>
    </w:p>
    <w:p w14:paraId="7CE1FFA6" w14:textId="77777777" w:rsidR="004E7054" w:rsidRPr="004E7054" w:rsidRDefault="004E7054" w:rsidP="004E7054">
      <w:pPr>
        <w:numPr>
          <w:ilvl w:val="0"/>
          <w:numId w:val="37"/>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b/>
          <w:bCs/>
          <w:kern w:val="2"/>
          <w:sz w:val="22"/>
          <w:szCs w:val="22"/>
          <w:lang w:val="en-US" w:eastAsia="en-US"/>
          <w14:ligatures w14:val="standardContextual"/>
        </w:rPr>
        <w:t>Biennial public file update</w:t>
      </w:r>
      <w:r w:rsidRPr="004E7054">
        <w:rPr>
          <w:rFonts w:ascii="Calibri" w:eastAsia="Calibri" w:hAnsi="Calibri"/>
          <w:kern w:val="2"/>
          <w:sz w:val="22"/>
          <w:szCs w:val="22"/>
          <w:lang w:val="en-US" w:eastAsia="en-US"/>
          <w14:ligatures w14:val="standardContextual"/>
        </w:rPr>
        <w:t xml:space="preserve"> – To maintain transparency, </w:t>
      </w:r>
      <w:proofErr w:type="spellStart"/>
      <w:r w:rsidRPr="004E7054">
        <w:rPr>
          <w:rFonts w:ascii="Calibri" w:eastAsia="Calibri" w:hAnsi="Calibri"/>
          <w:kern w:val="2"/>
          <w:sz w:val="22"/>
          <w:szCs w:val="22"/>
          <w:lang w:val="en-US" w:eastAsia="en-US"/>
          <w14:ligatures w14:val="standardContextual"/>
        </w:rPr>
        <w:t>recognised</w:t>
      </w:r>
      <w:proofErr w:type="spellEnd"/>
      <w:r w:rsidRPr="004E7054">
        <w:rPr>
          <w:rFonts w:ascii="Calibri" w:eastAsia="Calibri" w:hAnsi="Calibri"/>
          <w:kern w:val="2"/>
          <w:sz w:val="22"/>
          <w:szCs w:val="22"/>
          <w:lang w:val="en-US" w:eastAsia="en-US"/>
          <w14:ligatures w14:val="standardContextual"/>
        </w:rPr>
        <w:t xml:space="preserve"> third-country providers should resubmit Annex III data every two years or upon any material change in ownership or methodology.</w:t>
      </w:r>
    </w:p>
    <w:p w14:paraId="05198024" w14:textId="42BE8F4D"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 xml:space="preserve">As one of the </w:t>
      </w:r>
      <w:r w:rsidR="00EF4AFA">
        <w:rPr>
          <w:rFonts w:ascii="Calibri" w:eastAsia="Calibri" w:hAnsi="Calibri"/>
          <w:kern w:val="2"/>
          <w:sz w:val="22"/>
          <w:szCs w:val="22"/>
          <w:lang w:val="en-US" w:eastAsia="en-US"/>
          <w14:ligatures w14:val="standardContextual"/>
        </w:rPr>
        <w:t xml:space="preserve">most experienced </w:t>
      </w:r>
      <w:r w:rsidRPr="004E7054">
        <w:rPr>
          <w:rFonts w:ascii="Calibri" w:eastAsia="Calibri" w:hAnsi="Calibri"/>
          <w:kern w:val="2"/>
          <w:sz w:val="22"/>
          <w:szCs w:val="22"/>
          <w:lang w:val="en-US" w:eastAsia="en-US"/>
          <w14:ligatures w14:val="standardContextual"/>
        </w:rPr>
        <w:t>firms in the ESG and impact investing field, Creative Investment Research has long emphasized the necessity of inclusive, forward-looking, and statistically rigorous methodologies in ESG evaluation. In our March 2019 commentary, we noted the shortcomings of many market participants in recognizing the need to assess impact from a community and social risk perspective — gaps that can distort ESG ratings and mislead investors.</w:t>
      </w:r>
      <w:r>
        <w:rPr>
          <w:rFonts w:ascii="Calibri" w:eastAsia="Calibri" w:hAnsi="Calibri"/>
          <w:kern w:val="2"/>
          <w:sz w:val="22"/>
          <w:szCs w:val="22"/>
          <w:lang w:val="en-US" w:eastAsia="en-US"/>
          <w14:ligatures w14:val="standardContextual"/>
        </w:rPr>
        <w:t xml:space="preserve"> See: </w:t>
      </w:r>
      <w:hyperlink r:id="rId21" w:history="1">
        <w:r w:rsidRPr="00CD051B">
          <w:rPr>
            <w:rStyle w:val="Hyperlink"/>
            <w:rFonts w:ascii="Calibri" w:eastAsia="Calibri" w:hAnsi="Calibri"/>
            <w:kern w:val="2"/>
            <w:sz w:val="22"/>
            <w:szCs w:val="22"/>
            <w:lang w:val="en-US" w:eastAsia="en-US"/>
            <w14:ligatures w14:val="standardContextual"/>
          </w:rPr>
          <w:t>https://www.impactinvesting.online/2019/03/we-are-one-of-premier-firms-in.html</w:t>
        </w:r>
      </w:hyperlink>
      <w:r>
        <w:rPr>
          <w:rFonts w:ascii="Calibri" w:eastAsia="Calibri" w:hAnsi="Calibri"/>
          <w:kern w:val="2"/>
          <w:sz w:val="22"/>
          <w:szCs w:val="22"/>
          <w:lang w:val="en-US" w:eastAsia="en-US"/>
          <w14:ligatures w14:val="standardContextual"/>
        </w:rPr>
        <w:t xml:space="preserve"> </w:t>
      </w:r>
    </w:p>
    <w:p w14:paraId="61ACAC13" w14:textId="352D4393"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ermEnd w:id="1765354918"/>
    <w:p w14:paraId="38524F57"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proofErr w:type="gramStart"/>
      <w:r w:rsidRPr="009464EF">
        <w:rPr>
          <w:b/>
          <w:bCs/>
        </w:rPr>
        <w:t>Q2</w:t>
      </w:r>
      <w:proofErr w:type="gramEnd"/>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0C2F41B2"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permStart w:id="1667529024" w:edGrp="everyone"/>
      <w:r>
        <w:rPr>
          <w:rFonts w:ascii="Calibri" w:eastAsia="Calibri" w:hAnsi="Calibri"/>
          <w:kern w:val="2"/>
          <w:sz w:val="22"/>
          <w:szCs w:val="22"/>
          <w:lang w:eastAsia="en-US"/>
          <w14:ligatures w14:val="standardContextual"/>
        </w:rPr>
        <w:t xml:space="preserve"> </w:t>
      </w:r>
      <w:r w:rsidRPr="004E7054">
        <w:rPr>
          <w:rFonts w:ascii="Calibri" w:eastAsia="Calibri" w:hAnsi="Calibri"/>
          <w:b/>
          <w:bCs/>
          <w:kern w:val="2"/>
          <w:sz w:val="22"/>
          <w:szCs w:val="22"/>
          <w:lang w:val="en-US" w:eastAsia="en-US"/>
          <w14:ligatures w14:val="standardContextual"/>
        </w:rPr>
        <w:t>Group Structures and Conflicts of Interest (Article 16(5))</w:t>
      </w:r>
    </w:p>
    <w:p w14:paraId="0BF7F859"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We support the proposed safeguards under Article 16(5) but urge ESMA to strengthen them in four areas, consistent with our Green Bond comments:</w:t>
      </w:r>
    </w:p>
    <w:p w14:paraId="42FF2807" w14:textId="77777777" w:rsidR="004E7054" w:rsidRPr="004E7054" w:rsidRDefault="004E7054" w:rsidP="004E7054">
      <w:pPr>
        <w:numPr>
          <w:ilvl w:val="0"/>
          <w:numId w:val="38"/>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b/>
          <w:bCs/>
          <w:kern w:val="2"/>
          <w:sz w:val="22"/>
          <w:szCs w:val="22"/>
          <w:lang w:val="en-US" w:eastAsia="en-US"/>
          <w14:ligatures w14:val="standardContextual"/>
        </w:rPr>
        <w:t>Physical &amp; digital “clean rooms”</w:t>
      </w:r>
      <w:r w:rsidRPr="004E7054">
        <w:rPr>
          <w:rFonts w:ascii="Calibri" w:eastAsia="Calibri" w:hAnsi="Calibri"/>
          <w:kern w:val="2"/>
          <w:sz w:val="22"/>
          <w:szCs w:val="22"/>
          <w:lang w:val="en-US" w:eastAsia="en-US"/>
          <w14:ligatures w14:val="standardContextual"/>
        </w:rPr>
        <w:t xml:space="preserve"> – ESG analysts within large financial groups should operate in access-controlled environments, physically and digitally separate from banking, insurance, or lobbying units.</w:t>
      </w:r>
    </w:p>
    <w:p w14:paraId="51AF6923" w14:textId="77777777" w:rsidR="004E7054" w:rsidRPr="004E7054" w:rsidRDefault="004E7054" w:rsidP="004E7054">
      <w:pPr>
        <w:numPr>
          <w:ilvl w:val="0"/>
          <w:numId w:val="38"/>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b/>
          <w:bCs/>
          <w:kern w:val="2"/>
          <w:sz w:val="22"/>
          <w:szCs w:val="22"/>
          <w:lang w:val="en-US" w:eastAsia="en-US"/>
          <w14:ligatures w14:val="standardContextual"/>
        </w:rPr>
        <w:t>Compensation firewall</w:t>
      </w:r>
      <w:r w:rsidRPr="004E7054">
        <w:rPr>
          <w:rFonts w:ascii="Calibri" w:eastAsia="Calibri" w:hAnsi="Calibri"/>
          <w:kern w:val="2"/>
          <w:sz w:val="22"/>
          <w:szCs w:val="22"/>
          <w:lang w:val="en-US" w:eastAsia="en-US"/>
          <w14:ligatures w14:val="standardContextual"/>
        </w:rPr>
        <w:t xml:space="preserve"> – Analyst pay should be tied solely to accuracy and rating integrity — not client revenues — and compliance officers should certify this annually.</w:t>
      </w:r>
    </w:p>
    <w:p w14:paraId="51614053" w14:textId="77777777" w:rsidR="004E7054" w:rsidRPr="004E7054" w:rsidRDefault="004E7054" w:rsidP="004E7054">
      <w:pPr>
        <w:numPr>
          <w:ilvl w:val="0"/>
          <w:numId w:val="38"/>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b/>
          <w:bCs/>
          <w:kern w:val="2"/>
          <w:sz w:val="22"/>
          <w:szCs w:val="22"/>
          <w:lang w:val="en-US" w:eastAsia="en-US"/>
          <w14:ligatures w14:val="standardContextual"/>
        </w:rPr>
        <w:t>Diversity &amp; ethics training</w:t>
      </w:r>
      <w:r w:rsidRPr="004E7054">
        <w:rPr>
          <w:rFonts w:ascii="Calibri" w:eastAsia="Calibri" w:hAnsi="Calibri"/>
          <w:kern w:val="2"/>
          <w:sz w:val="22"/>
          <w:szCs w:val="22"/>
          <w:lang w:val="en-US" w:eastAsia="en-US"/>
          <w14:ligatures w14:val="standardContextual"/>
        </w:rPr>
        <w:t xml:space="preserve"> – All separated entities must complete annual DEI and ethics training. In our 2006 SEC comment, we argued diverse teams help mitigate model and judgment bias.</w:t>
      </w:r>
    </w:p>
    <w:p w14:paraId="1AED9D7A" w14:textId="77777777" w:rsidR="004E7054" w:rsidRPr="004E7054" w:rsidRDefault="004E7054" w:rsidP="004E7054">
      <w:pPr>
        <w:numPr>
          <w:ilvl w:val="0"/>
          <w:numId w:val="38"/>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b/>
          <w:bCs/>
          <w:kern w:val="2"/>
          <w:sz w:val="22"/>
          <w:szCs w:val="22"/>
          <w:lang w:val="en-US" w:eastAsia="en-US"/>
          <w14:ligatures w14:val="standardContextual"/>
        </w:rPr>
        <w:t>Public disclosure of intra-group services</w:t>
      </w:r>
      <w:r w:rsidRPr="004E7054">
        <w:rPr>
          <w:rFonts w:ascii="Calibri" w:eastAsia="Calibri" w:hAnsi="Calibri"/>
          <w:kern w:val="2"/>
          <w:sz w:val="22"/>
          <w:szCs w:val="22"/>
          <w:lang w:val="en-US" w:eastAsia="en-US"/>
          <w14:ligatures w14:val="standardContextual"/>
        </w:rPr>
        <w:t xml:space="preserve"> – ESG rating providers operating within larger groups must disclose overlapping services and brand affiliations alongside methodology documents.</w:t>
      </w:r>
    </w:p>
    <w:p w14:paraId="28BF0553"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This view is consistent with our longstanding position, as stated in 2019, that ethical boundaries and analytical independence are essential to market credibility.</w:t>
      </w:r>
    </w:p>
    <w:p w14:paraId="6ACD0D93" w14:textId="433BF6E0"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06E7CB8A"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permStart w:id="669658389" w:edGrp="everyone"/>
      <w:r>
        <w:rPr>
          <w:rFonts w:ascii="Calibri" w:eastAsia="Calibri" w:hAnsi="Calibri"/>
          <w:kern w:val="2"/>
          <w:sz w:val="22"/>
          <w:szCs w:val="22"/>
          <w:lang w:eastAsia="en-US"/>
          <w14:ligatures w14:val="standardContextual"/>
        </w:rPr>
        <w:t xml:space="preserve"> </w:t>
      </w:r>
      <w:r w:rsidRPr="004E7054">
        <w:rPr>
          <w:rFonts w:ascii="Calibri" w:eastAsia="Calibri" w:hAnsi="Calibri"/>
          <w:b/>
          <w:bCs/>
          <w:kern w:val="2"/>
          <w:sz w:val="22"/>
          <w:szCs w:val="22"/>
          <w:lang w:val="en-US" w:eastAsia="en-US"/>
          <w14:ligatures w14:val="standardContextual"/>
        </w:rPr>
        <w:t>Methodology Transparency (Articles 23(4) and 24(3))</w:t>
      </w:r>
    </w:p>
    <w:p w14:paraId="057816B9"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We agree that the RTS under Articles 23(4) and 24(3) balances comparability and proportionality. Consistent with our Green Bond submission, we particularly endorse:</w:t>
      </w:r>
    </w:p>
    <w:p w14:paraId="6B0C636A" w14:textId="77777777" w:rsidR="004E7054" w:rsidRPr="004E7054" w:rsidRDefault="004E7054" w:rsidP="004E7054">
      <w:pPr>
        <w:numPr>
          <w:ilvl w:val="0"/>
          <w:numId w:val="39"/>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Mandatory publication of methodology summaries, data sources, weighting schemes, and confidence intervals.</w:t>
      </w:r>
    </w:p>
    <w:p w14:paraId="554EB9CA" w14:textId="77777777" w:rsidR="004E7054" w:rsidRPr="004E7054" w:rsidRDefault="004E7054" w:rsidP="004E7054">
      <w:pPr>
        <w:numPr>
          <w:ilvl w:val="0"/>
          <w:numId w:val="39"/>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Clear labelling of rating changes and model updates triggered by new data.</w:t>
      </w:r>
    </w:p>
    <w:p w14:paraId="483A63F5"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 xml:space="preserve">We recommend one enhancement: ESG raters should disclose, in machine-readable form, the </w:t>
      </w:r>
      <w:r w:rsidRPr="004E7054">
        <w:rPr>
          <w:rFonts w:ascii="Calibri" w:eastAsia="Calibri" w:hAnsi="Calibri"/>
          <w:b/>
          <w:bCs/>
          <w:kern w:val="2"/>
          <w:sz w:val="22"/>
          <w:szCs w:val="22"/>
          <w:lang w:val="en-US" w:eastAsia="en-US"/>
          <w14:ligatures w14:val="standardContextual"/>
        </w:rPr>
        <w:t>coverage ratio of verified versus estimated data</w:t>
      </w:r>
      <w:r w:rsidRPr="004E7054">
        <w:rPr>
          <w:rFonts w:ascii="Calibri" w:eastAsia="Calibri" w:hAnsi="Calibri"/>
          <w:kern w:val="2"/>
          <w:sz w:val="22"/>
          <w:szCs w:val="22"/>
          <w:lang w:val="en-US" w:eastAsia="en-US"/>
          <w14:ligatures w14:val="standardContextual"/>
        </w:rPr>
        <w:t xml:space="preserve"> per rating. This allows end users to gauge the reliability of each ESG score.</w:t>
      </w:r>
    </w:p>
    <w:p w14:paraId="03198539"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Our 2019 statement also emphasized that transparency in ESG ratings is not optional — it is fundamental to their utility.</w:t>
      </w:r>
    </w:p>
    <w:p w14:paraId="087B25C3" w14:textId="33144D6E" w:rsidR="001B1B48" w:rsidRPr="001B1B48" w:rsidRDefault="004E7054" w:rsidP="001B1B48">
      <w:pPr>
        <w:spacing w:after="16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Also see: </w:t>
      </w:r>
      <w:hyperlink r:id="rId22" w:history="1">
        <w:r w:rsidRPr="00CD051B">
          <w:rPr>
            <w:rStyle w:val="Hyperlink"/>
            <w:rFonts w:ascii="Calibri" w:eastAsia="Calibri" w:hAnsi="Calibri"/>
            <w:kern w:val="2"/>
            <w:sz w:val="22"/>
            <w:szCs w:val="22"/>
            <w:lang w:eastAsia="en-US"/>
            <w14:ligatures w14:val="standardContextual"/>
          </w:rPr>
          <w:t>https://www.prlog.org/13015813-creative-investment-research-unveils-groundbreaking-climate-financial-metrics.html</w:t>
        </w:r>
      </w:hyperlink>
      <w:r>
        <w:rPr>
          <w:rFonts w:ascii="Calibri" w:eastAsia="Calibri" w:hAnsi="Calibri"/>
          <w:kern w:val="2"/>
          <w:sz w:val="22"/>
          <w:szCs w:val="22"/>
          <w:lang w:eastAsia="en-US"/>
          <w14:ligatures w14:val="standardContextual"/>
        </w:rPr>
        <w:t xml:space="preserve"> </w:t>
      </w:r>
    </w:p>
    <w:permEnd w:id="669658389"/>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 xml:space="preserve">Do you consider that the draft technical standards under Articles 23(4) or 24(3) </w:t>
      </w:r>
      <w:proofErr w:type="gramStart"/>
      <w:r w:rsidR="00513DA2" w:rsidRPr="00513DA2">
        <w:rPr>
          <w:b/>
          <w:bCs/>
        </w:rPr>
        <w:t>should  instead</w:t>
      </w:r>
      <w:proofErr w:type="gramEnd"/>
      <w:r w:rsidR="00513DA2" w:rsidRPr="00513DA2">
        <w:rPr>
          <w:b/>
          <w:bCs/>
        </w:rPr>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6995E9B0"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permStart w:id="1645309941" w:edGrp="everyone"/>
      <w:r w:rsidRPr="004E7054">
        <w:rPr>
          <w:rFonts w:ascii="Calibri" w:eastAsia="Calibri" w:hAnsi="Calibri"/>
          <w:b/>
          <w:bCs/>
          <w:kern w:val="2"/>
          <w:sz w:val="22"/>
          <w:szCs w:val="22"/>
          <w:lang w:val="en-US" w:eastAsia="en-US"/>
          <w14:ligatures w14:val="standardContextual"/>
        </w:rPr>
        <w:t>Annex III Format Harmonization</w:t>
      </w:r>
    </w:p>
    <w:p w14:paraId="3732F628"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 xml:space="preserve">Yes. A </w:t>
      </w:r>
      <w:proofErr w:type="spellStart"/>
      <w:r w:rsidRPr="004E7054">
        <w:rPr>
          <w:rFonts w:ascii="Calibri" w:eastAsia="Calibri" w:hAnsi="Calibri"/>
          <w:kern w:val="2"/>
          <w:sz w:val="22"/>
          <w:szCs w:val="22"/>
          <w:lang w:val="en-US" w:eastAsia="en-US"/>
          <w14:ligatures w14:val="standardContextual"/>
        </w:rPr>
        <w:t>harmonised</w:t>
      </w:r>
      <w:proofErr w:type="spellEnd"/>
      <w:r w:rsidRPr="004E7054">
        <w:rPr>
          <w:rFonts w:ascii="Calibri" w:eastAsia="Calibri" w:hAnsi="Calibri"/>
          <w:kern w:val="2"/>
          <w:sz w:val="22"/>
          <w:szCs w:val="22"/>
          <w:lang w:val="en-US" w:eastAsia="en-US"/>
          <w14:ligatures w14:val="standardContextual"/>
        </w:rPr>
        <w:t xml:space="preserve"> annex table covering all required disclosures would:</w:t>
      </w:r>
    </w:p>
    <w:p w14:paraId="391A219E" w14:textId="77777777" w:rsidR="004E7054" w:rsidRPr="004E7054" w:rsidRDefault="004E7054" w:rsidP="004E7054">
      <w:pPr>
        <w:numPr>
          <w:ilvl w:val="0"/>
          <w:numId w:val="40"/>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Enable automated integration by institutional investors;</w:t>
      </w:r>
    </w:p>
    <w:p w14:paraId="3A887002" w14:textId="77777777" w:rsidR="004E7054" w:rsidRPr="004E7054" w:rsidRDefault="004E7054" w:rsidP="004E7054">
      <w:pPr>
        <w:numPr>
          <w:ilvl w:val="0"/>
          <w:numId w:val="40"/>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Standardize reporting and reduce comparability issues;</w:t>
      </w:r>
    </w:p>
    <w:p w14:paraId="1F3DCCC1" w14:textId="77777777" w:rsidR="004E7054" w:rsidRPr="004E7054" w:rsidRDefault="004E7054" w:rsidP="004E7054">
      <w:pPr>
        <w:numPr>
          <w:ilvl w:val="0"/>
          <w:numId w:val="40"/>
        </w:num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Align with the digital-first principle we championed in our Green Bond consultation.</w:t>
      </w:r>
    </w:p>
    <w:p w14:paraId="20E4BB4B" w14:textId="77777777" w:rsidR="004E7054" w:rsidRPr="004E7054" w:rsidRDefault="004E7054" w:rsidP="004E7054">
      <w:pPr>
        <w:spacing w:after="160" w:line="259" w:lineRule="auto"/>
        <w:rPr>
          <w:rFonts w:ascii="Calibri" w:eastAsia="Calibri" w:hAnsi="Calibri"/>
          <w:kern w:val="2"/>
          <w:sz w:val="22"/>
          <w:szCs w:val="22"/>
          <w:lang w:val="en-US" w:eastAsia="en-US"/>
          <w14:ligatures w14:val="standardContextual"/>
        </w:rPr>
      </w:pPr>
      <w:r w:rsidRPr="004E7054">
        <w:rPr>
          <w:rFonts w:ascii="Calibri" w:eastAsia="Calibri" w:hAnsi="Calibri"/>
          <w:kern w:val="2"/>
          <w:sz w:val="22"/>
          <w:szCs w:val="22"/>
          <w:lang w:val="en-US" w:eastAsia="en-US"/>
          <w14:ligatures w14:val="standardContextual"/>
        </w:rPr>
        <w:t>In our 2019 commentary, we encouraged open data formats and harmonization to support civic technology tools and financial innovation. ESMA could provide a machine-readable template (e.g., CSV/XBRL) alongside guidance for human-readable summary tables.</w:t>
      </w:r>
    </w:p>
    <w:p w14:paraId="5CBF3978" w14:textId="23D823E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proofErr w:type="gramStart"/>
      <w:r w:rsidRPr="00EA357E">
        <w:rPr>
          <w:b/>
          <w:bCs/>
        </w:rPr>
        <w:t>Q5</w:t>
      </w:r>
      <w:proofErr w:type="gramEnd"/>
      <w:r w:rsidRPr="00EA357E">
        <w:rPr>
          <w:b/>
          <w:bCs/>
        </w:rPr>
        <w:t xml:space="preserve">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CA73EF0" w14:textId="77777777" w:rsidR="00A22798" w:rsidRPr="00A22798" w:rsidRDefault="00A22798" w:rsidP="00A22798">
      <w:pPr>
        <w:spacing w:after="160" w:line="259" w:lineRule="auto"/>
        <w:rPr>
          <w:rFonts w:ascii="Calibri" w:eastAsia="Calibri" w:hAnsi="Calibri"/>
          <w:kern w:val="2"/>
          <w:sz w:val="22"/>
          <w:szCs w:val="22"/>
          <w:lang w:val="en-US" w:eastAsia="en-US"/>
          <w14:ligatures w14:val="standardContextual"/>
        </w:rPr>
      </w:pPr>
      <w:permStart w:id="159149139" w:edGrp="everyone"/>
      <w:r w:rsidRPr="00A22798">
        <w:rPr>
          <w:rFonts w:ascii="Calibri" w:eastAsia="Calibri" w:hAnsi="Calibri"/>
          <w:b/>
          <w:bCs/>
          <w:kern w:val="2"/>
          <w:sz w:val="22"/>
          <w:szCs w:val="22"/>
          <w:lang w:val="en-US" w:eastAsia="en-US"/>
          <w14:ligatures w14:val="standardContextual"/>
        </w:rPr>
        <w:t>Cost-Benefit Analysis</w:t>
      </w:r>
    </w:p>
    <w:p w14:paraId="572635C2" w14:textId="77777777" w:rsidR="00A22798" w:rsidRPr="00A22798" w:rsidRDefault="00A22798" w:rsidP="00A22798">
      <w:pPr>
        <w:spacing w:after="160" w:line="259" w:lineRule="auto"/>
        <w:rPr>
          <w:rFonts w:ascii="Calibri" w:eastAsia="Calibri" w:hAnsi="Calibri"/>
          <w:kern w:val="2"/>
          <w:sz w:val="22"/>
          <w:szCs w:val="22"/>
          <w:lang w:val="en-US" w:eastAsia="en-US"/>
          <w14:ligatures w14:val="standardContextual"/>
        </w:rPr>
      </w:pPr>
      <w:r w:rsidRPr="00A22798">
        <w:rPr>
          <w:rFonts w:ascii="Calibri" w:eastAsia="Calibri" w:hAnsi="Calibri"/>
          <w:kern w:val="2"/>
          <w:sz w:val="22"/>
          <w:szCs w:val="22"/>
          <w:lang w:val="en-US" w:eastAsia="en-US"/>
          <w14:ligatures w14:val="standardContextual"/>
        </w:rPr>
        <w:t>We generally agree with ESMA’s Cost-Benefit Analysis (CBA) but believe its benefits are significantly understated. The CBA should explicitly value:</w:t>
      </w:r>
    </w:p>
    <w:p w14:paraId="6FE932A2" w14:textId="77777777" w:rsidR="00A22798" w:rsidRPr="00A22798" w:rsidRDefault="00A22798" w:rsidP="00A22798">
      <w:pPr>
        <w:numPr>
          <w:ilvl w:val="0"/>
          <w:numId w:val="41"/>
        </w:numPr>
        <w:spacing w:after="160" w:line="259" w:lineRule="auto"/>
        <w:rPr>
          <w:rFonts w:ascii="Calibri" w:eastAsia="Calibri" w:hAnsi="Calibri"/>
          <w:kern w:val="2"/>
          <w:sz w:val="22"/>
          <w:szCs w:val="22"/>
          <w:lang w:val="en-US" w:eastAsia="en-US"/>
          <w14:ligatures w14:val="standardContextual"/>
        </w:rPr>
      </w:pPr>
      <w:r w:rsidRPr="00A22798">
        <w:rPr>
          <w:rFonts w:ascii="Calibri" w:eastAsia="Calibri" w:hAnsi="Calibri"/>
          <w:b/>
          <w:bCs/>
          <w:kern w:val="2"/>
          <w:sz w:val="22"/>
          <w:szCs w:val="22"/>
          <w:lang w:val="en-US" w:eastAsia="en-US"/>
          <w14:ligatures w14:val="standardContextual"/>
        </w:rPr>
        <w:t>Avoided misallocation of capital</w:t>
      </w:r>
      <w:r w:rsidRPr="00A22798">
        <w:rPr>
          <w:rFonts w:ascii="Calibri" w:eastAsia="Calibri" w:hAnsi="Calibri"/>
          <w:kern w:val="2"/>
          <w:sz w:val="22"/>
          <w:szCs w:val="22"/>
          <w:lang w:val="en-US" w:eastAsia="en-US"/>
          <w14:ligatures w14:val="standardContextual"/>
        </w:rPr>
        <w:t xml:space="preserve"> due to poor ESG ratings — a systemic risk we flagged in our 2006 SEC submission;</w:t>
      </w:r>
    </w:p>
    <w:p w14:paraId="604864EA" w14:textId="77777777" w:rsidR="00A22798" w:rsidRPr="00A22798" w:rsidRDefault="00A22798" w:rsidP="00A22798">
      <w:pPr>
        <w:numPr>
          <w:ilvl w:val="0"/>
          <w:numId w:val="41"/>
        </w:numPr>
        <w:spacing w:after="160" w:line="259" w:lineRule="auto"/>
        <w:rPr>
          <w:rFonts w:ascii="Calibri" w:eastAsia="Calibri" w:hAnsi="Calibri"/>
          <w:kern w:val="2"/>
          <w:sz w:val="22"/>
          <w:szCs w:val="22"/>
          <w:lang w:val="en-US" w:eastAsia="en-US"/>
          <w14:ligatures w14:val="standardContextual"/>
        </w:rPr>
      </w:pPr>
      <w:r w:rsidRPr="00A22798">
        <w:rPr>
          <w:rFonts w:ascii="Calibri" w:eastAsia="Calibri" w:hAnsi="Calibri"/>
          <w:b/>
          <w:bCs/>
          <w:kern w:val="2"/>
          <w:sz w:val="22"/>
          <w:szCs w:val="22"/>
          <w:lang w:val="en-US" w:eastAsia="en-US"/>
          <w14:ligatures w14:val="standardContextual"/>
        </w:rPr>
        <w:t>Reduced externalities</w:t>
      </w:r>
      <w:r w:rsidRPr="00A22798">
        <w:rPr>
          <w:rFonts w:ascii="Calibri" w:eastAsia="Calibri" w:hAnsi="Calibri"/>
          <w:kern w:val="2"/>
          <w:sz w:val="22"/>
          <w:szCs w:val="22"/>
          <w:lang w:val="en-US" w:eastAsia="en-US"/>
          <w14:ligatures w14:val="standardContextual"/>
        </w:rPr>
        <w:t xml:space="preserve"> from directing capital toward truly sustainable issuers;</w:t>
      </w:r>
    </w:p>
    <w:p w14:paraId="54544CC8" w14:textId="77777777" w:rsidR="00A22798" w:rsidRPr="00A22798" w:rsidRDefault="00A22798" w:rsidP="00A22798">
      <w:pPr>
        <w:numPr>
          <w:ilvl w:val="0"/>
          <w:numId w:val="41"/>
        </w:numPr>
        <w:spacing w:after="160" w:line="259" w:lineRule="auto"/>
        <w:rPr>
          <w:rFonts w:ascii="Calibri" w:eastAsia="Calibri" w:hAnsi="Calibri"/>
          <w:kern w:val="2"/>
          <w:sz w:val="22"/>
          <w:szCs w:val="22"/>
          <w:lang w:val="en-US" w:eastAsia="en-US"/>
          <w14:ligatures w14:val="standardContextual"/>
        </w:rPr>
      </w:pPr>
      <w:r w:rsidRPr="00A22798">
        <w:rPr>
          <w:rFonts w:ascii="Calibri" w:eastAsia="Calibri" w:hAnsi="Calibri"/>
          <w:b/>
          <w:bCs/>
          <w:kern w:val="2"/>
          <w:sz w:val="22"/>
          <w:szCs w:val="22"/>
          <w:lang w:val="en-US" w:eastAsia="en-US"/>
          <w14:ligatures w14:val="standardContextual"/>
        </w:rPr>
        <w:t>Improved access to capital for underrepresented and minority-owned firms</w:t>
      </w:r>
      <w:r w:rsidRPr="00A22798">
        <w:rPr>
          <w:rFonts w:ascii="Calibri" w:eastAsia="Calibri" w:hAnsi="Calibri"/>
          <w:kern w:val="2"/>
          <w:sz w:val="22"/>
          <w:szCs w:val="22"/>
          <w:lang w:val="en-US" w:eastAsia="en-US"/>
          <w14:ligatures w14:val="standardContextual"/>
        </w:rPr>
        <w:t xml:space="preserve"> through more transparent and equitable ESG methodologies — echoing our experience designing EEMBS.</w:t>
      </w:r>
    </w:p>
    <w:p w14:paraId="41128473" w14:textId="77777777" w:rsidR="00A22798" w:rsidRPr="00A22798" w:rsidRDefault="00A22798" w:rsidP="00A22798">
      <w:pPr>
        <w:spacing w:after="160" w:line="259" w:lineRule="auto"/>
        <w:rPr>
          <w:rFonts w:ascii="Calibri" w:eastAsia="Calibri" w:hAnsi="Calibri"/>
          <w:kern w:val="2"/>
          <w:sz w:val="22"/>
          <w:szCs w:val="22"/>
          <w:lang w:val="en-US" w:eastAsia="en-US"/>
          <w14:ligatures w14:val="standardContextual"/>
        </w:rPr>
      </w:pPr>
      <w:r w:rsidRPr="00A22798">
        <w:rPr>
          <w:rFonts w:ascii="Calibri" w:eastAsia="Calibri" w:hAnsi="Calibri"/>
          <w:kern w:val="2"/>
          <w:sz w:val="22"/>
          <w:szCs w:val="22"/>
          <w:lang w:val="en-US" w:eastAsia="en-US"/>
          <w14:ligatures w14:val="standardContextual"/>
        </w:rPr>
        <w:t>As we wrote in 2019, the long-term cost of inadequate ESG oversight far outweighs short-term compliance expenses. Capturing these long-term, broad-based benefits would more fully justify the modest incremental regulatory burden.</w:t>
      </w:r>
    </w:p>
    <w:p w14:paraId="1F375DC9" w14:textId="662461B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3"/>
      <w:footerReference w:type="default" r:id="rId2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F0A6A" w14:textId="77777777" w:rsidR="007E7BD8" w:rsidRDefault="007E7BD8" w:rsidP="007E7997">
      <w:r>
        <w:separator/>
      </w:r>
    </w:p>
  </w:endnote>
  <w:endnote w:type="continuationSeparator" w:id="0">
    <w:p w14:paraId="7F667EBD" w14:textId="77777777" w:rsidR="007E7BD8" w:rsidRDefault="007E7BD8" w:rsidP="007E7997">
      <w:r>
        <w:continuationSeparator/>
      </w:r>
    </w:p>
  </w:endnote>
  <w:endnote w:type="continuationNotice" w:id="1">
    <w:p w14:paraId="51A79357" w14:textId="77777777" w:rsidR="007E7BD8" w:rsidRDefault="007E7B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E7AA0" w14:textId="77777777" w:rsidR="007E7BD8" w:rsidRDefault="007E7BD8" w:rsidP="007E7997">
      <w:r>
        <w:separator/>
      </w:r>
    </w:p>
  </w:footnote>
  <w:footnote w:type="continuationSeparator" w:id="0">
    <w:p w14:paraId="21514B94" w14:textId="77777777" w:rsidR="007E7BD8" w:rsidRDefault="007E7BD8" w:rsidP="007E7997">
      <w:r>
        <w:continuationSeparator/>
      </w:r>
    </w:p>
  </w:footnote>
  <w:footnote w:type="continuationNotice" w:id="1">
    <w:p w14:paraId="47FE6950" w14:textId="77777777" w:rsidR="007E7BD8" w:rsidRDefault="007E7B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72D82"/>
    <w:multiLevelType w:val="multilevel"/>
    <w:tmpl w:val="3C284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145A7"/>
    <w:multiLevelType w:val="multilevel"/>
    <w:tmpl w:val="9704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155FE"/>
    <w:multiLevelType w:val="multilevel"/>
    <w:tmpl w:val="522CD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C197D68"/>
    <w:multiLevelType w:val="multilevel"/>
    <w:tmpl w:val="829C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C87679"/>
    <w:multiLevelType w:val="multilevel"/>
    <w:tmpl w:val="B592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5"/>
  </w:num>
  <w:num w:numId="2" w16cid:durableId="1495532731">
    <w:abstractNumId w:val="5"/>
  </w:num>
  <w:num w:numId="3" w16cid:durableId="994409496">
    <w:abstractNumId w:val="29"/>
  </w:num>
  <w:num w:numId="4" w16cid:durableId="1880320868">
    <w:abstractNumId w:val="6"/>
  </w:num>
  <w:num w:numId="5" w16cid:durableId="290864581">
    <w:abstractNumId w:val="17"/>
  </w:num>
  <w:num w:numId="6" w16cid:durableId="952590553">
    <w:abstractNumId w:val="31"/>
  </w:num>
  <w:num w:numId="7" w16cid:durableId="1159686949">
    <w:abstractNumId w:val="16"/>
  </w:num>
  <w:num w:numId="8" w16cid:durableId="765269892">
    <w:abstractNumId w:val="9"/>
  </w:num>
  <w:num w:numId="9" w16cid:durableId="1301960395">
    <w:abstractNumId w:val="12"/>
  </w:num>
  <w:num w:numId="10" w16cid:durableId="1228616548">
    <w:abstractNumId w:val="11"/>
  </w:num>
  <w:num w:numId="11" w16cid:durableId="2051027016">
    <w:abstractNumId w:val="10"/>
  </w:num>
  <w:num w:numId="12" w16cid:durableId="83380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2"/>
  </w:num>
  <w:num w:numId="15" w16cid:durableId="986476960">
    <w:abstractNumId w:val="25"/>
  </w:num>
  <w:num w:numId="16" w16cid:durableId="398749299">
    <w:abstractNumId w:val="30"/>
  </w:num>
  <w:num w:numId="17" w16cid:durableId="14076118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6"/>
  </w:num>
  <w:num w:numId="19" w16cid:durableId="558588771">
    <w:abstractNumId w:val="31"/>
  </w:num>
  <w:num w:numId="20" w16cid:durableId="1306933315">
    <w:abstractNumId w:val="14"/>
  </w:num>
  <w:num w:numId="21" w16cid:durableId="1623876054">
    <w:abstractNumId w:val="28"/>
  </w:num>
  <w:num w:numId="22" w16cid:durableId="783383837">
    <w:abstractNumId w:val="18"/>
  </w:num>
  <w:num w:numId="23" w16cid:durableId="2112964618">
    <w:abstractNumId w:val="24"/>
  </w:num>
  <w:num w:numId="24" w16cid:durableId="1958565453">
    <w:abstractNumId w:val="0"/>
  </w:num>
  <w:num w:numId="25" w16cid:durableId="1372725395">
    <w:abstractNumId w:val="22"/>
  </w:num>
  <w:num w:numId="26" w16cid:durableId="1686445133">
    <w:abstractNumId w:val="20"/>
  </w:num>
  <w:num w:numId="27" w16cid:durableId="1247768697">
    <w:abstractNumId w:val="13"/>
  </w:num>
  <w:num w:numId="28" w16cid:durableId="954170948">
    <w:abstractNumId w:val="4"/>
  </w:num>
  <w:num w:numId="29" w16cid:durableId="837424337">
    <w:abstractNumId w:val="21"/>
  </w:num>
  <w:num w:numId="30" w16cid:durableId="299657983">
    <w:abstractNumId w:val="8"/>
  </w:num>
  <w:num w:numId="31" w16cid:durableId="699822250">
    <w:abstractNumId w:val="19"/>
  </w:num>
  <w:num w:numId="32" w16cid:durableId="730466929">
    <w:abstractNumId w:val="15"/>
    <w:lvlOverride w:ilvl="0">
      <w:startOverride w:val="1"/>
    </w:lvlOverride>
  </w:num>
  <w:num w:numId="33" w16cid:durableId="552498262">
    <w:abstractNumId w:val="23"/>
  </w:num>
  <w:num w:numId="34" w16cid:durableId="1829132647">
    <w:abstractNumId w:val="15"/>
    <w:lvlOverride w:ilvl="0">
      <w:startOverride w:val="1"/>
    </w:lvlOverride>
  </w:num>
  <w:num w:numId="35" w16cid:durableId="1915964461">
    <w:abstractNumId w:val="15"/>
    <w:lvlOverride w:ilvl="0">
      <w:startOverride w:val="1"/>
    </w:lvlOverride>
  </w:num>
  <w:num w:numId="36" w16cid:durableId="1385182617">
    <w:abstractNumId w:val="15"/>
    <w:lvlOverride w:ilvl="0">
      <w:startOverride w:val="1"/>
    </w:lvlOverride>
  </w:num>
  <w:num w:numId="37" w16cid:durableId="901402747">
    <w:abstractNumId w:val="1"/>
  </w:num>
  <w:num w:numId="38" w16cid:durableId="1087461281">
    <w:abstractNumId w:val="7"/>
  </w:num>
  <w:num w:numId="39" w16cid:durableId="1489320580">
    <w:abstractNumId w:val="3"/>
  </w:num>
  <w:num w:numId="40" w16cid:durableId="455416363">
    <w:abstractNumId w:val="27"/>
  </w:num>
  <w:num w:numId="41" w16cid:durableId="1104379184">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documentProtection w:edit="readOnly" w:enforcement="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37582"/>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5F44"/>
    <w:rsid w:val="00497FEA"/>
    <w:rsid w:val="004A75F5"/>
    <w:rsid w:val="004B07B2"/>
    <w:rsid w:val="004B0955"/>
    <w:rsid w:val="004B143D"/>
    <w:rsid w:val="004B184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E7054"/>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139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44C6"/>
    <w:rsid w:val="00786DFA"/>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E7BD8"/>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1D0C"/>
    <w:rsid w:val="00A16579"/>
    <w:rsid w:val="00A22798"/>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4AFA"/>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 w:type="character" w:styleId="UnresolvedMention">
    <w:name w:val="Unresolved Mention"/>
    <w:basedOn w:val="DefaultParagraphFont"/>
    <w:uiPriority w:val="99"/>
    <w:semiHidden/>
    <w:unhideWhenUsed/>
    <w:rsid w:val="004E70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00004">
      <w:bodyDiv w:val="1"/>
      <w:marLeft w:val="0"/>
      <w:marRight w:val="0"/>
      <w:marTop w:val="0"/>
      <w:marBottom w:val="0"/>
      <w:divBdr>
        <w:top w:val="none" w:sz="0" w:space="0" w:color="auto"/>
        <w:left w:val="none" w:sz="0" w:space="0" w:color="auto"/>
        <w:bottom w:val="none" w:sz="0" w:space="0" w:color="auto"/>
        <w:right w:val="none" w:sz="0" w:space="0" w:color="auto"/>
      </w:divBdr>
    </w:div>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219443381">
      <w:bodyDiv w:val="1"/>
      <w:marLeft w:val="0"/>
      <w:marRight w:val="0"/>
      <w:marTop w:val="0"/>
      <w:marBottom w:val="0"/>
      <w:divBdr>
        <w:top w:val="none" w:sz="0" w:space="0" w:color="auto"/>
        <w:left w:val="none" w:sz="0" w:space="0" w:color="auto"/>
        <w:bottom w:val="none" w:sz="0" w:space="0" w:color="auto"/>
        <w:right w:val="none" w:sz="0" w:space="0" w:color="auto"/>
      </w:divBdr>
    </w:div>
    <w:div w:id="247885432">
      <w:bodyDiv w:val="1"/>
      <w:marLeft w:val="0"/>
      <w:marRight w:val="0"/>
      <w:marTop w:val="0"/>
      <w:marBottom w:val="0"/>
      <w:divBdr>
        <w:top w:val="none" w:sz="0" w:space="0" w:color="auto"/>
        <w:left w:val="none" w:sz="0" w:space="0" w:color="auto"/>
        <w:bottom w:val="none" w:sz="0" w:space="0" w:color="auto"/>
        <w:right w:val="none" w:sz="0" w:space="0" w:color="auto"/>
      </w:divBdr>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44416001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083657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33222259">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48250011">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78301289">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029625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15957418">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impactinvesting.online/2019/03/we-are-one-of-premier-firms-in.html"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yperlink" Target="https://www.sec.gov/comments/4-526/4526-1.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prlog.org/13015813-creative-investment-research-unveils-groundbreaking-climate-financial-metrics.htm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5.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1</TotalTime>
  <Pages>7</Pages>
  <Words>1409</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William Michael Cunningham</cp:lastModifiedBy>
  <cp:revision>2</cp:revision>
  <cp:lastPrinted>2017-07-24T14:47:00Z</cp:lastPrinted>
  <dcterms:created xsi:type="dcterms:W3CDTF">2025-06-13T08:26:00Z</dcterms:created>
  <dcterms:modified xsi:type="dcterms:W3CDTF">2025-06-13T08:26:00Z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