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le"/>
                  <w:rPr>
                    <w:sz w:val="48"/>
                    <w:szCs w:val="48"/>
                  </w:rPr>
                </w:pPr>
                <w:r w:rsidRPr="00FA64BE">
                  <w:rPr>
                    <w:sz w:val="48"/>
                    <w:szCs w:val="48"/>
                  </w:rPr>
                  <w:t xml:space="preserve">Reply form </w:t>
                </w:r>
              </w:p>
              <w:p w14:paraId="2F2A3347" w14:textId="77777777" w:rsidR="000310AB" w:rsidRPr="00FA64BE" w:rsidRDefault="000310AB" w:rsidP="000310AB"/>
              <w:p w14:paraId="00FE0097" w14:textId="77777777" w:rsidR="000310AB" w:rsidRPr="00FA64BE" w:rsidRDefault="000310AB" w:rsidP="000310AB">
                <w:pPr>
                  <w:pStyle w:val="Title"/>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the Consultation Paper</w:t>
                </w:r>
                <w:r>
                  <w:rPr>
                    <w:rFonts w:cs="Arial"/>
                    <w:bCs/>
                    <w:color w:val="auto"/>
                    <w:sz w:val="24"/>
                    <w:szCs w:val="24"/>
                  </w:rPr>
                  <w:t xml:space="preserve"> on Technical Standards under the Regulation on transparency and integrity of Environmental, Social and Governance (ESG) rating activities</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Heading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Heading2"/>
            <w:numPr>
              <w:ilvl w:val="0"/>
              <w:numId w:val="0"/>
            </w:num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6"/>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57849C"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79253B20"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proofErr w:type="gramStart"/>
          <w:r w:rsidRPr="00B16706">
            <w:rPr>
              <w:rFonts w:asciiTheme="minorHAnsi" w:eastAsiaTheme="minorEastAsia" w:hAnsiTheme="minorHAnsi" w:cstheme="minorBidi"/>
              <w:sz w:val="18"/>
              <w:szCs w:val="16"/>
              <w:u w:val="dottedHeavy" w:color="BF8F00" w:themeColor="accent4" w:themeShade="BF"/>
              <w:lang w:eastAsia="en-US"/>
            </w:rPr>
            <w:t>in particular on</w:t>
          </w:r>
          <w:proofErr w:type="gramEnd"/>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respond to the question </w:t>
          </w:r>
          <w:proofErr w:type="gramStart"/>
          <w:r w:rsidRPr="00B16706">
            <w:rPr>
              <w:rFonts w:asciiTheme="minorHAnsi" w:eastAsiaTheme="minorEastAsia" w:hAnsiTheme="minorHAnsi" w:cstheme="minorBidi"/>
              <w:sz w:val="18"/>
              <w:szCs w:val="16"/>
              <w:lang w:eastAsia="en-US"/>
            </w:rPr>
            <w:t>stated;</w:t>
          </w:r>
          <w:proofErr w:type="gramEnd"/>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indicate the specific question to which the comment </w:t>
          </w:r>
          <w:proofErr w:type="gramStart"/>
          <w:r w:rsidRPr="00B16706">
            <w:rPr>
              <w:rFonts w:asciiTheme="minorHAnsi" w:eastAsiaTheme="minorEastAsia" w:hAnsiTheme="minorHAnsi" w:cstheme="minorBidi"/>
              <w:sz w:val="18"/>
              <w:szCs w:val="16"/>
              <w:lang w:eastAsia="en-US"/>
            </w:rPr>
            <w:t>relates;</w:t>
          </w:r>
          <w:proofErr w:type="gramEnd"/>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701E1EA5"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D11B30">
            <w:rPr>
              <w:rFonts w:asciiTheme="minorHAnsi" w:eastAsiaTheme="minorEastAsia" w:hAnsiTheme="minorHAnsi" w:cstheme="minorBidi"/>
              <w:b/>
              <w:sz w:val="18"/>
              <w:szCs w:val="16"/>
              <w:lang w:eastAsia="en-US"/>
            </w:rPr>
            <w:t>20</w:t>
          </w:r>
          <w:r w:rsidR="00C17150">
            <w:rPr>
              <w:rFonts w:asciiTheme="minorHAnsi" w:eastAsiaTheme="minorEastAsia" w:hAnsiTheme="minorHAnsi" w:cstheme="minorBidi"/>
              <w:b/>
              <w:sz w:val="18"/>
              <w:szCs w:val="16"/>
              <w:lang w:eastAsia="en-US"/>
            </w:rPr>
            <w:t xml:space="preserve"> </w:t>
          </w:r>
          <w:r w:rsidR="00D11B30">
            <w:rPr>
              <w:rFonts w:asciiTheme="minorHAnsi" w:eastAsiaTheme="minorEastAsia" w:hAnsiTheme="minorHAnsi" w:cstheme="minorBidi"/>
              <w:b/>
              <w:sz w:val="18"/>
              <w:szCs w:val="16"/>
              <w:lang w:eastAsia="en-US"/>
            </w:rPr>
            <w:t>June</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proofErr w:type="gramStart"/>
          <w:r w:rsidRPr="00B16706">
            <w:rPr>
              <w:rFonts w:asciiTheme="minorHAnsi" w:eastAsiaTheme="minorEastAsia" w:hAnsiTheme="minorHAnsi" w:cstheme="minorBidi"/>
              <w:sz w:val="18"/>
              <w:szCs w:val="16"/>
              <w:lang w:eastAsia="en-US"/>
            </w:rPr>
            <w:t>In order to</w:t>
          </w:r>
          <w:proofErr w:type="gramEnd"/>
          <w:r w:rsidRPr="00B16706">
            <w:rPr>
              <w:rFonts w:asciiTheme="minorHAnsi" w:eastAsiaTheme="minorEastAsia" w:hAnsiTheme="minorHAnsi" w:cstheme="minorBidi"/>
              <w:sz w:val="18"/>
              <w:szCs w:val="16"/>
              <w:lang w:eastAsia="en-US"/>
            </w:rPr>
            <w:t xml:space="preserve"> facilitate analysis of responses to the Consultation Paper, respondents are requested to follow the below steps when preparing and submitting their response:</w:t>
          </w:r>
        </w:p>
        <w:p w14:paraId="7AAE3F58" w14:textId="1913ECC7" w:rsidR="00A409C2" w:rsidRPr="00A409C2" w:rsidRDefault="00B16706" w:rsidP="004A7AAC">
          <w:pPr>
            <w:pStyle w:val="ListParagraph"/>
            <w:numPr>
              <w:ilvl w:val="0"/>
              <w:numId w:val="29"/>
            </w:numPr>
            <w:rPr>
              <w:lang w:eastAsia="en-US"/>
            </w:rPr>
          </w:pPr>
          <w:r w:rsidRPr="00A409C2">
            <w:rPr>
              <w:lang w:eastAsia="en-US"/>
            </w:rPr>
            <w:t xml:space="preserve">Insert your responses to the questions in the Consultation Paper in the present response form. </w:t>
          </w:r>
        </w:p>
        <w:p w14:paraId="28D63108" w14:textId="0392516A" w:rsidR="00A409C2" w:rsidRPr="00871163" w:rsidRDefault="008279D3" w:rsidP="004A7AAC">
          <w:pPr>
            <w:pStyle w:val="ListParagraph"/>
            <w:numPr>
              <w:ilvl w:val="0"/>
              <w:numId w:val="29"/>
            </w:numPr>
            <w:rPr>
              <w:lang w:eastAsia="en-US"/>
            </w:rPr>
          </w:pPr>
          <w:r>
            <w:rPr>
              <w:lang w:eastAsia="en-US"/>
            </w:rPr>
            <w:t>U</w:t>
          </w:r>
          <w:r w:rsidR="00A409C2" w:rsidRPr="00A409C2">
            <w:rPr>
              <w:lang w:eastAsia="en-US"/>
            </w:rPr>
            <w:t>se this form and send your responses in Word format (</w:t>
          </w:r>
          <w:r w:rsidR="00A409C2" w:rsidRPr="00871163">
            <w:rPr>
              <w:b/>
              <w:bCs/>
              <w:lang w:eastAsia="en-US"/>
            </w:rPr>
            <w:t>pdf documents will not be considered except for annexes</w:t>
          </w:r>
          <w:proofErr w:type="gramStart"/>
          <w:r w:rsidR="00A409C2" w:rsidRPr="00871163">
            <w:rPr>
              <w:lang w:eastAsia="en-US"/>
            </w:rPr>
            <w:t>);</w:t>
          </w:r>
          <w:proofErr w:type="gramEnd"/>
        </w:p>
        <w:p w14:paraId="6692798E" w14:textId="1F3ED354" w:rsidR="00B16706" w:rsidRPr="00A409C2" w:rsidRDefault="00B16706" w:rsidP="004A7AAC">
          <w:pPr>
            <w:pStyle w:val="ListParagraph"/>
            <w:numPr>
              <w:ilvl w:val="0"/>
              <w:numId w:val="29"/>
            </w:numPr>
            <w:rPr>
              <w:lang w:eastAsia="en-US"/>
            </w:rPr>
          </w:pPr>
          <w:r w:rsidRPr="00A409C2">
            <w:rPr>
              <w:lang w:eastAsia="en-US"/>
            </w:rPr>
            <w:t>Please do not remove tags of the type &lt;ESMA_QUESTION</w:t>
          </w:r>
          <w:r w:rsidR="007148CC" w:rsidRPr="00A409C2">
            <w:rPr>
              <w:lang w:eastAsia="en-US"/>
            </w:rPr>
            <w:t xml:space="preserve"> </w:t>
          </w:r>
          <w:r w:rsidRPr="00A409C2">
            <w:rPr>
              <w:lang w:eastAsia="en-US"/>
            </w:rPr>
            <w:t>_</w:t>
          </w:r>
          <w:r w:rsidR="003B26BA">
            <w:rPr>
              <w:lang w:eastAsia="en-US"/>
            </w:rPr>
            <w:t>E</w:t>
          </w:r>
          <w:r w:rsidR="004578B3">
            <w:rPr>
              <w:lang w:eastAsia="en-US"/>
            </w:rPr>
            <w:t>SGR</w:t>
          </w:r>
          <w:r w:rsidRPr="00A409C2">
            <w:rPr>
              <w:lang w:eastAsia="en-US"/>
            </w:rPr>
            <w:t xml:space="preserve">_1&gt;. Your response to each question </w:t>
          </w:r>
          <w:proofErr w:type="gramStart"/>
          <w:r w:rsidRPr="00A409C2">
            <w:rPr>
              <w:lang w:eastAsia="en-US"/>
            </w:rPr>
            <w:t>has to</w:t>
          </w:r>
          <w:proofErr w:type="gramEnd"/>
          <w:r w:rsidRPr="00A409C2">
            <w:rPr>
              <w:lang w:eastAsia="en-US"/>
            </w:rPr>
            <w:t xml:space="preserve"> be framed by the two tags corresponding to the question.</w:t>
          </w:r>
        </w:p>
        <w:p w14:paraId="1C4E226A" w14:textId="1D43AA8A" w:rsidR="00B16706" w:rsidRPr="00A409C2" w:rsidRDefault="00B16706" w:rsidP="004A7AAC">
          <w:pPr>
            <w:pStyle w:val="ListParagraph"/>
            <w:numPr>
              <w:ilvl w:val="0"/>
              <w:numId w:val="29"/>
            </w:numPr>
            <w:rPr>
              <w:lang w:eastAsia="en-US"/>
            </w:rPr>
          </w:pPr>
          <w:r w:rsidRPr="00A409C2">
            <w:rPr>
              <w:lang w:eastAsia="en-US"/>
            </w:rPr>
            <w:t>If you do not wish to respond to a given question, please do not delete it but simply leave the text “TYPE YOUR TEXT HERE” between the tags.</w:t>
          </w:r>
        </w:p>
        <w:p w14:paraId="7C8B1093" w14:textId="5318C045" w:rsidR="00B16706" w:rsidRPr="00A409C2" w:rsidRDefault="00B16706" w:rsidP="004A7AAC">
          <w:pPr>
            <w:pStyle w:val="ListParagraph"/>
            <w:numPr>
              <w:ilvl w:val="0"/>
              <w:numId w:val="29"/>
            </w:numPr>
            <w:rPr>
              <w:lang w:eastAsia="en-US"/>
            </w:rPr>
          </w:pPr>
          <w:r w:rsidRPr="00A409C2">
            <w:rPr>
              <w:lang w:eastAsia="en-US"/>
            </w:rPr>
            <w:t xml:space="preserve">When you have drafted your response, name your response form according to the following convention: </w:t>
          </w:r>
          <w:proofErr w:type="spellStart"/>
          <w:r w:rsidRPr="00A409C2">
            <w:rPr>
              <w:lang w:eastAsia="en-US"/>
            </w:rPr>
            <w:t>ESMA_</w:t>
          </w:r>
          <w:r w:rsidR="003B26BA">
            <w:rPr>
              <w:lang w:eastAsia="en-US"/>
            </w:rPr>
            <w:t>EUGB</w:t>
          </w:r>
          <w:r w:rsidRPr="00A409C2">
            <w:rPr>
              <w:lang w:eastAsia="en-US"/>
            </w:rPr>
            <w:t>_nameofrespondent_RESPONSEFORM</w:t>
          </w:r>
          <w:proofErr w:type="spellEnd"/>
          <w:r w:rsidRPr="00A409C2">
            <w:rPr>
              <w:lang w:eastAsia="en-US"/>
            </w:rPr>
            <w:t>. For example, for a respondent named ABCD, the response form would be entitled ESMA_</w:t>
          </w:r>
          <w:r w:rsidR="0037311D">
            <w:rPr>
              <w:lang w:eastAsia="en-US"/>
            </w:rPr>
            <w:t>E</w:t>
          </w:r>
          <w:r w:rsidR="001522DD">
            <w:rPr>
              <w:lang w:eastAsia="en-US"/>
            </w:rPr>
            <w:t>SGR</w:t>
          </w:r>
          <w:r w:rsidRPr="00A409C2">
            <w:rPr>
              <w:lang w:eastAsia="en-US"/>
            </w:rPr>
            <w:t>_ABCD_RESPONSEFORM.</w:t>
          </w:r>
        </w:p>
        <w:p w14:paraId="28EEA743" w14:textId="2B8D6968" w:rsidR="00A02199" w:rsidRPr="00A409C2" w:rsidRDefault="00B16706" w:rsidP="004A7AAC">
          <w:pPr>
            <w:pStyle w:val="ListParagraph"/>
            <w:numPr>
              <w:ilvl w:val="0"/>
              <w:numId w:val="29"/>
            </w:numPr>
            <w:rPr>
              <w:lang w:eastAsia="en-US"/>
            </w:rPr>
          </w:pPr>
          <w:r w:rsidRPr="00A409C2">
            <w:rPr>
              <w:lang w:eastAsia="en-US"/>
            </w:rPr>
            <w:t xml:space="preserve">Upload the form containing your responses, </w:t>
          </w:r>
          <w:r w:rsidRPr="00A409C2">
            <w:rPr>
              <w:b/>
              <w:bCs/>
              <w:lang w:eastAsia="en-US"/>
            </w:rPr>
            <w:t>in Word format</w:t>
          </w:r>
          <w:r w:rsidRPr="00A409C2">
            <w:rPr>
              <w:lang w:eastAsia="en-US"/>
            </w:rPr>
            <w:t>, to ESMA’s website (www.esma.europa.eu under the heading “Your input – Open Consultations” -</w:t>
          </w:r>
          <w:proofErr w:type="gramStart"/>
          <w:r w:rsidRPr="00A409C2">
            <w:rPr>
              <w:lang w:eastAsia="en-US"/>
            </w:rPr>
            <w:t>&gt;  Consultation</w:t>
          </w:r>
          <w:proofErr w:type="gramEnd"/>
          <w:r w:rsidRPr="00A409C2">
            <w:rPr>
              <w:lang w:eastAsia="en-US"/>
            </w:rPr>
            <w:t xml:space="preserve"> Paper </w:t>
          </w:r>
          <w:r w:rsidR="003B26BA" w:rsidRPr="003B26BA">
            <w:rPr>
              <w:lang w:eastAsia="en-US"/>
            </w:rPr>
            <w:t>on technical standards on the European Green Bonds Regulation</w:t>
          </w:r>
          <w:r w:rsidR="00A409C2" w:rsidRPr="00A409C2">
            <w:rPr>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proofErr w:type="spellStart"/>
          <w:r w:rsidRPr="00B16706">
            <w:rPr>
              <w:rFonts w:asciiTheme="minorHAnsi" w:eastAsiaTheme="minorEastAsia" w:hAnsiTheme="minorHAnsi" w:cstheme="minorBidi"/>
              <w:sz w:val="18"/>
              <w:szCs w:val="16"/>
              <w:lang w:eastAsia="en-US"/>
            </w:rPr>
            <w:t>publically</w:t>
          </w:r>
          <w:proofErr w:type="spellEnd"/>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6C89F0D" w14:textId="77777777"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1F90B8D3" w14:textId="4C9C01EB" w:rsidR="00C85C8B" w:rsidRDefault="00C17150" w:rsidP="008279D3">
      <w:pPr>
        <w:pStyle w:val="Heading1"/>
        <w:numPr>
          <w:ilvl w:val="0"/>
          <w:numId w:val="0"/>
        </w:numPr>
        <w:spacing w:line="276" w:lineRule="auto"/>
        <w:rPr>
          <w:rFonts w:asciiTheme="minorHAnsi" w:hAnsiTheme="minorHAnsi" w:cstheme="minorHAnsi"/>
          <w:sz w:val="20"/>
          <w:szCs w:val="20"/>
        </w:rPr>
      </w:pPr>
      <w:r w:rsidRPr="00C17150">
        <w:rPr>
          <w:rFonts w:ascii="Arial" w:eastAsia="Times New Roman" w:hAnsi="Arial" w:cs="Arial"/>
          <w:b w:val="0"/>
          <w:sz w:val="18"/>
          <w:szCs w:val="18"/>
          <w:lang w:eastAsia="it-IT"/>
        </w:rPr>
        <w:t xml:space="preserve">All interested stakeholders are invited to respond to this Consultation Paper. </w:t>
      </w:r>
      <w:proofErr w:type="gramStart"/>
      <w:r w:rsidRPr="00C17150">
        <w:rPr>
          <w:rFonts w:ascii="Arial" w:eastAsia="Times New Roman" w:hAnsi="Arial" w:cs="Arial"/>
          <w:b w:val="0"/>
          <w:sz w:val="18"/>
          <w:szCs w:val="18"/>
          <w:lang w:eastAsia="it-IT"/>
        </w:rPr>
        <w:t>In particular, ESMA</w:t>
      </w:r>
      <w:proofErr w:type="gramEnd"/>
      <w:r w:rsidRPr="00C17150">
        <w:rPr>
          <w:rFonts w:ascii="Arial" w:eastAsia="Times New Roman" w:hAnsi="Arial" w:cs="Arial"/>
          <w:b w:val="0"/>
          <w:sz w:val="18"/>
          <w:szCs w:val="18"/>
          <w:lang w:eastAsia="it-IT"/>
        </w:rPr>
        <w:t xml:space="preserve"> encourages entities that intend to apply for registration as external reviewers of European Green Bonds, as well as financial market participants who have or intend to issue or invest in green bonds or sustainability-linked bonds, to participate</w:t>
      </w:r>
      <w:r w:rsidR="00FA64BE" w:rsidRPr="00FA64BE">
        <w:rPr>
          <w:rFonts w:ascii="Arial" w:eastAsia="Times New Roman" w:hAnsi="Arial" w:cs="Arial"/>
          <w:b w:val="0"/>
          <w:sz w:val="18"/>
          <w:szCs w:val="18"/>
          <w:lang w:eastAsia="it-IT"/>
        </w:rPr>
        <w:t xml:space="preserve">. </w:t>
      </w:r>
      <w:r w:rsidR="00AF2EF7"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tc>
          <w:tcPr>
            <w:tcW w:w="5595" w:type="dxa"/>
            <w:shd w:val="clear" w:color="auto" w:fill="auto"/>
          </w:tcPr>
          <w:p w14:paraId="1B67440D" w14:textId="5970F994" w:rsidR="00C85C8B" w:rsidRPr="00B16706" w:rsidRDefault="008027DC" w:rsidP="00C85C8B">
            <w:pPr>
              <w:rPr>
                <w:rFonts w:ascii="Arial" w:hAnsi="Arial" w:cs="Arial"/>
                <w:color w:val="808080"/>
                <w:sz w:val="16"/>
                <w:szCs w:val="20"/>
                <w:lang w:eastAsia="de-DE"/>
              </w:rPr>
            </w:pPr>
            <w:r>
              <w:rPr>
                <w:rFonts w:ascii="Arial" w:hAnsi="Arial" w:cs="Arial"/>
                <w:color w:val="808080"/>
                <w:sz w:val="16"/>
                <w:szCs w:val="20"/>
                <w:lang w:eastAsia="de-DE"/>
              </w:rPr>
              <w:t>European Association of Public Banks</w:t>
            </w:r>
          </w:p>
        </w:tc>
      </w:tr>
      <w:tr w:rsidR="00C85C8B" w:rsidRPr="00B16706" w14:paraId="216F3E57" w14:textId="77777777" w:rsidTr="00C16775">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4D18BB1E" w:rsidR="00C85C8B" w:rsidRPr="00B16706" w:rsidRDefault="0000000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8027DC">
                  <w:rPr>
                    <w:rFonts w:ascii="Arial" w:hAnsi="Arial" w:cs="Arial"/>
                    <w:sz w:val="16"/>
                    <w:szCs w:val="20"/>
                    <w:lang w:eastAsia="de-DE"/>
                  </w:rPr>
                  <w:t>Banking sector</w:t>
                </w:r>
              </w:sdtContent>
            </w:sdt>
          </w:p>
        </w:tc>
      </w:tr>
      <w:tr w:rsidR="00C85C8B" w:rsidRPr="00B16706" w14:paraId="0D216581" w14:textId="77777777" w:rsidTr="00C16775">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Content>
            <w:tc>
              <w:tcPr>
                <w:tcW w:w="5595" w:type="dxa"/>
                <w:shd w:val="clear" w:color="auto" w:fill="auto"/>
              </w:tcPr>
              <w:p w14:paraId="6C4423E1" w14:textId="1CDF3B4A" w:rsidR="00C85C8B" w:rsidRPr="00B16706" w:rsidRDefault="0010574A"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tc>
          <w:tcPr>
            <w:tcW w:w="5595" w:type="dxa"/>
            <w:shd w:val="clear" w:color="auto" w:fill="auto"/>
          </w:tcPr>
          <w:p w14:paraId="082656BF" w14:textId="4DA40DE4" w:rsidR="00C85C8B" w:rsidRPr="00B16706" w:rsidRDefault="009F5AAB" w:rsidP="00C85C8B">
            <w:pPr>
              <w:rPr>
                <w:rFonts w:ascii="Arial" w:hAnsi="Arial" w:cs="Arial"/>
                <w:sz w:val="16"/>
                <w:szCs w:val="20"/>
                <w:lang w:eastAsia="de-DE"/>
              </w:rPr>
            </w:pPr>
            <w:r>
              <w:rPr>
                <w:rFonts w:ascii="Arial" w:hAnsi="Arial" w:cs="Arial"/>
                <w:sz w:val="16"/>
                <w:szCs w:val="20"/>
                <w:lang w:eastAsia="de-DE"/>
              </w:rPr>
              <w:t>Belgium</w:t>
            </w:r>
          </w:p>
        </w:tc>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p w14:paraId="14C3989A" w14:textId="77777777" w:rsidR="001B1B48" w:rsidRDefault="001B1B48">
      <w:pPr>
        <w:spacing w:after="120" w:line="264" w:lineRule="auto"/>
        <w:rPr>
          <w:rFonts w:ascii="Arial" w:hAnsi="Arial" w:cs="Arial"/>
          <w:b/>
          <w:sz w:val="22"/>
          <w:szCs w:val="22"/>
          <w:lang w:val="en-US" w:eastAsia="en-US"/>
        </w:rPr>
      </w:pPr>
    </w:p>
    <w:bookmarkEnd w:id="0"/>
    <w:p w14:paraId="5B87C99A" w14:textId="6906B0B4" w:rsidR="001B1B48" w:rsidRPr="004578B3" w:rsidRDefault="00CB0C0C" w:rsidP="004A7AAC">
      <w:pPr>
        <w:pStyle w:val="Paragraph"/>
      </w:pPr>
      <w:proofErr w:type="gramStart"/>
      <w:r w:rsidRPr="009464EF">
        <w:t>Q1</w:t>
      </w:r>
      <w:proofErr w:type="gramEnd"/>
      <w:r w:rsidRPr="2E20FBB1">
        <w:t xml:space="preserve"> </w:t>
      </w:r>
      <w:r w:rsidR="004578B3">
        <w:tab/>
      </w:r>
      <w:r w:rsidRPr="004578B3">
        <w:rPr>
          <w:lang w:eastAsia="en-US"/>
        </w:rPr>
        <w:t>Do you agree with ESMA’s proposals for the draft technical standard under Articles 6(3) and 12(9)?</w:t>
      </w:r>
      <w:r w:rsidR="00BB29AA" w:rsidRPr="00BB29AA">
        <w:rPr>
          <w:lang w:eastAsia="en-US"/>
        </w:rPr>
        <w:t xml:space="preserve"> </w:t>
      </w:r>
    </w:p>
    <w:p w14:paraId="034DFB41" w14:textId="7ABA3DF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Pr>
          <w:rFonts w:ascii="Calibri" w:eastAsia="Calibri" w:hAnsi="Calibri"/>
          <w:kern w:val="2"/>
          <w:sz w:val="22"/>
          <w:szCs w:val="22"/>
          <w:lang w:eastAsia="en-US"/>
          <w14:ligatures w14:val="standardContextual"/>
        </w:rPr>
        <w:t>E</w:t>
      </w:r>
      <w:r w:rsidR="004578B3">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_1&gt;</w:t>
      </w:r>
    </w:p>
    <w:p w14:paraId="61ACAC13"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ermStart w:id="1765354918" w:edGrp="everyone"/>
      <w:r w:rsidRPr="001B1B48">
        <w:rPr>
          <w:rFonts w:ascii="Calibri" w:eastAsia="Calibri" w:hAnsi="Calibri"/>
          <w:kern w:val="2"/>
          <w:sz w:val="22"/>
          <w:szCs w:val="22"/>
          <w:lang w:eastAsia="en-US"/>
          <w14:ligatures w14:val="standardContextual"/>
        </w:rPr>
        <w:t>TYPE YOUR TEXT HERE</w:t>
      </w:r>
    </w:p>
    <w:permEnd w:id="1765354918"/>
    <w:p w14:paraId="38524F57" w14:textId="12DC62D2"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Pr>
          <w:rFonts w:ascii="Calibri" w:eastAsia="Calibri" w:hAnsi="Calibri"/>
          <w:kern w:val="2"/>
          <w:sz w:val="22"/>
          <w:szCs w:val="22"/>
          <w:lang w:eastAsia="en-US"/>
          <w14:ligatures w14:val="standardContextual"/>
        </w:rPr>
        <w:t>E</w:t>
      </w:r>
      <w:r w:rsidR="00AB2C3F">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_1&gt;</w:t>
      </w:r>
    </w:p>
    <w:p w14:paraId="48BA7F71"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35B7ECCA" w14:textId="6E65D552" w:rsidR="001B1B48" w:rsidRPr="00ED4FDB" w:rsidRDefault="00ED4FDB" w:rsidP="004A7AAC">
      <w:pPr>
        <w:pStyle w:val="Paragraph"/>
      </w:pPr>
      <w:proofErr w:type="gramStart"/>
      <w:r w:rsidRPr="009464EF">
        <w:t>Q2</w:t>
      </w:r>
      <w:proofErr w:type="gramEnd"/>
      <w:r w:rsidRPr="2E20FBB1">
        <w:t xml:space="preserve"> </w:t>
      </w:r>
      <w:r>
        <w:tab/>
      </w:r>
      <w:r w:rsidRPr="00ED4FDB">
        <w:t>Do you agree with ESMA’s proposals for the draft technical standard under Article 16(5)?</w:t>
      </w:r>
    </w:p>
    <w:p w14:paraId="6C03D9F2" w14:textId="65FA1CA4"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D4FDB">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_2&gt;</w:t>
      </w:r>
    </w:p>
    <w:p w14:paraId="6ACD0D93"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ermStart w:id="1667529024" w:edGrp="everyone"/>
      <w:r w:rsidRPr="001B1B48">
        <w:rPr>
          <w:rFonts w:ascii="Calibri" w:eastAsia="Calibri" w:hAnsi="Calibri"/>
          <w:kern w:val="2"/>
          <w:sz w:val="22"/>
          <w:szCs w:val="22"/>
          <w:lang w:eastAsia="en-US"/>
          <w14:ligatures w14:val="standardContextual"/>
        </w:rPr>
        <w:t>TYPE YOUR TEXT HERE</w:t>
      </w:r>
    </w:p>
    <w:permEnd w:id="1667529024"/>
    <w:p w14:paraId="578EB98F" w14:textId="459174C9"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AB2C3F">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_2&gt;</w:t>
      </w:r>
    </w:p>
    <w:p w14:paraId="19719837"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30B5FCEB" w14:textId="7A17AB27" w:rsidR="006372FE" w:rsidRPr="006372FE" w:rsidRDefault="006372FE" w:rsidP="004A7AAC">
      <w:pPr>
        <w:pStyle w:val="Paragraph"/>
      </w:pPr>
      <w:r>
        <w:t xml:space="preserve">Q3. </w:t>
      </w:r>
      <w:r w:rsidR="00FC3B26">
        <w:tab/>
      </w:r>
      <w:r w:rsidRPr="006372FE">
        <w:t>Do you agree with ESMA’s proposals for the draft technical standard under Articles 23(4) and 24(3)?</w:t>
      </w:r>
    </w:p>
    <w:p w14:paraId="4E720D75" w14:textId="47BCF34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322B55">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_3&gt;</w:t>
      </w:r>
    </w:p>
    <w:p w14:paraId="33B6CFAA" w14:textId="3F48D218" w:rsidR="0096240C" w:rsidRDefault="0027625E" w:rsidP="0096240C">
      <w:pPr>
        <w:rPr>
          <w:rFonts w:ascii="Arial" w:hAnsi="Arial" w:cs="Arial"/>
          <w:sz w:val="20"/>
          <w:szCs w:val="20"/>
          <w:lang w:val="en-US"/>
        </w:rPr>
      </w:pPr>
      <w:permStart w:id="669658389" w:edGrp="everyone"/>
      <w:r w:rsidRPr="0027625E">
        <w:rPr>
          <w:rFonts w:ascii="Arial" w:hAnsi="Arial" w:cs="Arial"/>
          <w:sz w:val="20"/>
          <w:szCs w:val="20"/>
          <w:lang w:val="en-US"/>
        </w:rPr>
        <w:t xml:space="preserve">ESMA's proposals </w:t>
      </w:r>
      <w:r w:rsidR="0070659D">
        <w:rPr>
          <w:rFonts w:ascii="Arial" w:hAnsi="Arial" w:cs="Arial"/>
          <w:sz w:val="20"/>
          <w:szCs w:val="20"/>
          <w:lang w:val="en-US"/>
        </w:rPr>
        <w:t>point</w:t>
      </w:r>
      <w:r w:rsidRPr="0027625E">
        <w:rPr>
          <w:rFonts w:ascii="Arial" w:hAnsi="Arial" w:cs="Arial"/>
          <w:sz w:val="20"/>
          <w:szCs w:val="20"/>
          <w:lang w:val="en-US"/>
        </w:rPr>
        <w:t xml:space="preserve"> in the right direction and represent an improvement </w:t>
      </w:r>
      <w:proofErr w:type="gramStart"/>
      <w:r w:rsidRPr="0027625E">
        <w:rPr>
          <w:rFonts w:ascii="Arial" w:hAnsi="Arial" w:cs="Arial"/>
          <w:sz w:val="20"/>
          <w:szCs w:val="20"/>
          <w:lang w:val="en-US"/>
        </w:rPr>
        <w:t>on</w:t>
      </w:r>
      <w:proofErr w:type="gramEnd"/>
      <w:r w:rsidRPr="0027625E">
        <w:rPr>
          <w:rFonts w:ascii="Arial" w:hAnsi="Arial" w:cs="Arial"/>
          <w:sz w:val="20"/>
          <w:szCs w:val="20"/>
          <w:lang w:val="en-US"/>
        </w:rPr>
        <w:t xml:space="preserve"> the status quo. </w:t>
      </w:r>
      <w:r w:rsidR="0070659D">
        <w:rPr>
          <w:rFonts w:ascii="Arial" w:hAnsi="Arial" w:cs="Arial"/>
          <w:sz w:val="20"/>
          <w:szCs w:val="20"/>
          <w:lang w:val="en-US"/>
        </w:rPr>
        <w:t xml:space="preserve">There is </w:t>
      </w:r>
      <w:r w:rsidRPr="0070659D">
        <w:rPr>
          <w:rFonts w:ascii="Arial" w:hAnsi="Arial" w:cs="Arial"/>
          <w:sz w:val="20"/>
          <w:szCs w:val="20"/>
          <w:lang w:val="en-US"/>
        </w:rPr>
        <w:t>still</w:t>
      </w:r>
      <w:r w:rsidR="0039196D" w:rsidRPr="0070659D">
        <w:rPr>
          <w:rFonts w:ascii="Arial" w:hAnsi="Arial" w:cs="Arial"/>
          <w:sz w:val="20"/>
          <w:szCs w:val="20"/>
          <w:lang w:val="en-US"/>
        </w:rPr>
        <w:t>, however,</w:t>
      </w:r>
      <w:r w:rsidRPr="0070659D">
        <w:rPr>
          <w:rFonts w:ascii="Arial" w:hAnsi="Arial" w:cs="Arial"/>
          <w:sz w:val="20"/>
          <w:szCs w:val="20"/>
          <w:lang w:val="en-US"/>
        </w:rPr>
        <w:t xml:space="preserve"> </w:t>
      </w:r>
      <w:r w:rsidR="0070659D">
        <w:rPr>
          <w:rFonts w:ascii="Arial" w:hAnsi="Arial" w:cs="Arial"/>
          <w:sz w:val="20"/>
          <w:szCs w:val="20"/>
          <w:lang w:val="en-US"/>
        </w:rPr>
        <w:t>a</w:t>
      </w:r>
      <w:r w:rsidRPr="0070659D">
        <w:rPr>
          <w:rFonts w:ascii="Arial" w:hAnsi="Arial" w:cs="Arial"/>
          <w:sz w:val="20"/>
          <w:szCs w:val="20"/>
          <w:lang w:val="en-US"/>
        </w:rPr>
        <w:t xml:space="preserve"> need for improvement:</w:t>
      </w:r>
    </w:p>
    <w:p w14:paraId="054DC863" w14:textId="77777777" w:rsidR="004A7AAC" w:rsidRPr="0070659D" w:rsidRDefault="004A7AAC" w:rsidP="0096240C">
      <w:pPr>
        <w:rPr>
          <w:rFonts w:ascii="Arial" w:hAnsi="Arial" w:cs="Arial"/>
          <w:sz w:val="20"/>
          <w:szCs w:val="20"/>
          <w:lang w:val="en-US"/>
        </w:rPr>
      </w:pPr>
    </w:p>
    <w:p w14:paraId="6537A808" w14:textId="6B47D38C" w:rsidR="008006E4" w:rsidRPr="004A7AAC" w:rsidRDefault="001860BF" w:rsidP="004A7AAC">
      <w:pPr>
        <w:pStyle w:val="ListParagraph"/>
      </w:pPr>
      <w:r w:rsidRPr="004A7AAC">
        <w:rPr>
          <w:b/>
          <w:bCs/>
        </w:rPr>
        <w:t>The specification that a weighting of the individual indicators within the respective ESG categories should at least be carried out with respect to users/</w:t>
      </w:r>
      <w:r w:rsidR="004456B0">
        <w:rPr>
          <w:b/>
          <w:bCs/>
        </w:rPr>
        <w:t xml:space="preserve">rated </w:t>
      </w:r>
      <w:proofErr w:type="spellStart"/>
      <w:proofErr w:type="gramStart"/>
      <w:r w:rsidR="004456B0">
        <w:rPr>
          <w:b/>
          <w:bCs/>
        </w:rPr>
        <w:t>item</w:t>
      </w:r>
      <w:r w:rsidR="00693710">
        <w:rPr>
          <w:b/>
          <w:bCs/>
        </w:rPr>
        <w:t>s</w:t>
      </w:r>
      <w:r w:rsidRPr="004A7AAC">
        <w:rPr>
          <w:b/>
          <w:bCs/>
        </w:rPr>
        <w:t>.</w:t>
      </w:r>
      <w:r w:rsidR="008006E4" w:rsidRPr="004A7AAC">
        <w:t>This</w:t>
      </w:r>
      <w:proofErr w:type="spellEnd"/>
      <w:proofErr w:type="gramEnd"/>
      <w:r w:rsidR="008006E4" w:rsidRPr="004A7AAC">
        <w:t xml:space="preserve"> is key. Annex III(1)</w:t>
      </w:r>
      <w:r w:rsidR="004A7AAC" w:rsidRPr="004A7AAC">
        <w:t>(</w:t>
      </w:r>
      <w:r w:rsidR="008006E4" w:rsidRPr="004A7AAC">
        <w:t xml:space="preserve">h) </w:t>
      </w:r>
      <w:r w:rsidR="004A7AAC" w:rsidRPr="004A7AAC">
        <w:t xml:space="preserve">of the ESGRR </w:t>
      </w:r>
      <w:r w:rsidR="0070659D" w:rsidRPr="004A7AAC">
        <w:t xml:space="preserve">is </w:t>
      </w:r>
      <w:r w:rsidR="008006E4" w:rsidRPr="004A7AAC">
        <w:t xml:space="preserve">only about the publication of the weighting of the (superordinate) E, S </w:t>
      </w:r>
      <w:r w:rsidR="0070659D" w:rsidRPr="004A7AAC">
        <w:t>and</w:t>
      </w:r>
      <w:r w:rsidR="008006E4" w:rsidRPr="004A7AAC">
        <w:t xml:space="preserve"> G categories. The RTS </w:t>
      </w:r>
      <w:r w:rsidR="004A7AAC" w:rsidRPr="004A7AAC">
        <w:t xml:space="preserve">[7.2.3.] </w:t>
      </w:r>
      <w:r w:rsidR="0070659D" w:rsidRPr="004A7AAC">
        <w:t>do</w:t>
      </w:r>
      <w:r w:rsidR="004A7AAC" w:rsidRPr="004A7AAC">
        <w:t>es</w:t>
      </w:r>
      <w:r w:rsidR="0070659D" w:rsidRPr="004A7AAC">
        <w:t xml:space="preserve"> not contain any</w:t>
      </w:r>
      <w:r w:rsidR="008006E4" w:rsidRPr="004A7AAC">
        <w:t xml:space="preserve"> specification</w:t>
      </w:r>
      <w:r w:rsidR="0070659D" w:rsidRPr="004A7AAC">
        <w:t xml:space="preserve"> in this regard</w:t>
      </w:r>
      <w:r w:rsidR="008006E4" w:rsidRPr="004A7AAC">
        <w:t xml:space="preserve">. </w:t>
      </w:r>
      <w:r w:rsidRPr="004A7AAC">
        <w:t>A</w:t>
      </w:r>
      <w:r w:rsidR="008006E4" w:rsidRPr="004A7AAC">
        <w:t xml:space="preserve"> specification</w:t>
      </w:r>
      <w:r w:rsidRPr="004A7AAC">
        <w:t xml:space="preserve">, along with explanations, </w:t>
      </w:r>
      <w:r w:rsidR="008006E4" w:rsidRPr="004A7AAC">
        <w:t>that the weighting must also be disclosed at indicator level, at least to the users, and preferably also to the public</w:t>
      </w:r>
      <w:r w:rsidRPr="004A7AAC">
        <w:t>, would be useful</w:t>
      </w:r>
      <w:r w:rsidR="008006E4" w:rsidRPr="004A7AAC">
        <w:t xml:space="preserve">. It makes sense to include this aspect for users in </w:t>
      </w:r>
      <w:r w:rsidR="004A7AAC" w:rsidRPr="004A7AAC">
        <w:t xml:space="preserve">[RTS 7.2.3] </w:t>
      </w:r>
      <w:r w:rsidR="008006E4" w:rsidRPr="004A7AAC">
        <w:t>Article 8</w:t>
      </w:r>
      <w:r w:rsidR="004A7AAC" w:rsidRPr="004A7AAC">
        <w:t>(1)</w:t>
      </w:r>
      <w:r w:rsidR="008006E4" w:rsidRPr="004A7AAC">
        <w:t xml:space="preserve"> as a further sub-item, and possibly also for the public in Article 3</w:t>
      </w:r>
      <w:r w:rsidR="004A7AAC" w:rsidRPr="004A7AAC">
        <w:t>(</w:t>
      </w:r>
      <w:r w:rsidR="008006E4" w:rsidRPr="004A7AAC">
        <w:t>2</w:t>
      </w:r>
      <w:r w:rsidR="004A7AAC" w:rsidRPr="004A7AAC">
        <w:t>)</w:t>
      </w:r>
      <w:r w:rsidR="008006E4" w:rsidRPr="004A7AAC">
        <w:t xml:space="preserve">. We recommend adding </w:t>
      </w:r>
      <w:r w:rsidR="004A7AAC" w:rsidRPr="004A7AAC">
        <w:t>it</w:t>
      </w:r>
      <w:r w:rsidR="008006E4" w:rsidRPr="004A7AAC">
        <w:t xml:space="preserve"> in both places.</w:t>
      </w:r>
    </w:p>
    <w:p w14:paraId="36538570" w14:textId="219B061B" w:rsidR="008006E4" w:rsidRPr="008006E4" w:rsidRDefault="008006E4" w:rsidP="008006E4">
      <w:pPr>
        <w:rPr>
          <w:rFonts w:ascii="Arial" w:hAnsi="Arial" w:cs="Arial"/>
          <w:sz w:val="20"/>
          <w:szCs w:val="20"/>
        </w:rPr>
      </w:pPr>
    </w:p>
    <w:p w14:paraId="415A2270" w14:textId="1654AFCE" w:rsidR="008006E4" w:rsidRPr="00652C60" w:rsidRDefault="008006E4" w:rsidP="00652C60">
      <w:pPr>
        <w:pStyle w:val="ListParagraph"/>
        <w:rPr>
          <w:lang w:val="en-US"/>
        </w:rPr>
      </w:pPr>
      <w:r w:rsidRPr="00FF7364">
        <w:rPr>
          <w:b/>
          <w:bCs/>
          <w:lang w:val="en-US"/>
        </w:rPr>
        <w:t>ESG rating agencies should provide information on whether and</w:t>
      </w:r>
      <w:r w:rsidR="00652C60">
        <w:rPr>
          <w:b/>
          <w:bCs/>
          <w:lang w:val="en-US"/>
        </w:rPr>
        <w:t xml:space="preserve"> </w:t>
      </w:r>
      <w:r w:rsidRPr="00FF7364">
        <w:rPr>
          <w:b/>
          <w:bCs/>
          <w:lang w:val="en-US"/>
        </w:rPr>
        <w:t>how industry-specific indicators and/or weightings are applied and which ones.</w:t>
      </w:r>
      <w:r w:rsidRPr="004A7AAC">
        <w:rPr>
          <w:lang w:val="en-US"/>
        </w:rPr>
        <w:t xml:space="preserve"> This concerns Annex III(1)</w:t>
      </w:r>
      <w:r w:rsidR="00FF7364">
        <w:rPr>
          <w:lang w:val="en-US"/>
        </w:rPr>
        <w:t>(</w:t>
      </w:r>
      <w:r w:rsidRPr="004A7AAC">
        <w:rPr>
          <w:lang w:val="en-US"/>
        </w:rPr>
        <w:t>a),</w:t>
      </w:r>
      <w:r w:rsidR="00693710">
        <w:rPr>
          <w:lang w:val="en-US"/>
        </w:rPr>
        <w:t xml:space="preserve"> </w:t>
      </w:r>
      <w:r w:rsidR="00FF7364">
        <w:rPr>
          <w:lang w:val="en-US"/>
        </w:rPr>
        <w:t>(</w:t>
      </w:r>
      <w:r w:rsidRPr="004A7AAC">
        <w:rPr>
          <w:lang w:val="en-US"/>
        </w:rPr>
        <w:t xml:space="preserve">b) and </w:t>
      </w:r>
      <w:r w:rsidR="00FF7364">
        <w:rPr>
          <w:lang w:val="en-US"/>
        </w:rPr>
        <w:t>(</w:t>
      </w:r>
      <w:r w:rsidRPr="004A7AAC">
        <w:rPr>
          <w:lang w:val="en-US"/>
        </w:rPr>
        <w:t>h)</w:t>
      </w:r>
      <w:r w:rsidR="00FF7364">
        <w:rPr>
          <w:lang w:val="en-US"/>
        </w:rPr>
        <w:t xml:space="preserve"> of the ESGRR</w:t>
      </w:r>
      <w:r w:rsidRPr="004A7AAC">
        <w:rPr>
          <w:lang w:val="en-US"/>
        </w:rPr>
        <w:t xml:space="preserve">. The RTS </w:t>
      </w:r>
      <w:r w:rsidR="00FF7364">
        <w:rPr>
          <w:lang w:val="en-US"/>
        </w:rPr>
        <w:t>contain</w:t>
      </w:r>
      <w:r w:rsidR="00693710">
        <w:rPr>
          <w:lang w:val="en-US"/>
        </w:rPr>
        <w:t>s</w:t>
      </w:r>
      <w:r w:rsidRPr="004A7AAC">
        <w:rPr>
          <w:lang w:val="en-US"/>
        </w:rPr>
        <w:t xml:space="preserve"> no specification </w:t>
      </w:r>
      <w:r w:rsidR="00FF7364">
        <w:rPr>
          <w:lang w:val="en-US"/>
        </w:rPr>
        <w:t>in this regard</w:t>
      </w:r>
      <w:r w:rsidR="00693710">
        <w:rPr>
          <w:lang w:val="en-US"/>
        </w:rPr>
        <w:t xml:space="preserve"> but </w:t>
      </w:r>
      <w:r w:rsidRPr="004A7AAC">
        <w:rPr>
          <w:lang w:val="en-US"/>
        </w:rPr>
        <w:t xml:space="preserve">would be useful. This aspect could be included in </w:t>
      </w:r>
      <w:r w:rsidR="00652C60">
        <w:rPr>
          <w:lang w:val="en-US"/>
        </w:rPr>
        <w:t>[</w:t>
      </w:r>
      <w:r w:rsidRPr="004A7AAC">
        <w:rPr>
          <w:lang w:val="en-US"/>
        </w:rPr>
        <w:t>RTS 7.2.3</w:t>
      </w:r>
      <w:r w:rsidR="00652C60">
        <w:rPr>
          <w:lang w:val="en-US"/>
        </w:rPr>
        <w:t>]</w:t>
      </w:r>
      <w:r w:rsidRPr="004A7AAC">
        <w:rPr>
          <w:lang w:val="en-US"/>
        </w:rPr>
        <w:t xml:space="preserve"> Article 4</w:t>
      </w:r>
      <w:r w:rsidRPr="00652C60">
        <w:rPr>
          <w:lang w:val="en-US"/>
        </w:rPr>
        <w:t>(1) or (2) or possibly in a new specification for Annex III (1)</w:t>
      </w:r>
      <w:r w:rsidR="00652C60">
        <w:rPr>
          <w:lang w:val="en-US"/>
        </w:rPr>
        <w:t>(</w:t>
      </w:r>
      <w:r w:rsidRPr="00652C60">
        <w:rPr>
          <w:lang w:val="en-US"/>
        </w:rPr>
        <w:t>h).</w:t>
      </w:r>
    </w:p>
    <w:p w14:paraId="47C09DBC" w14:textId="77777777" w:rsidR="008006E4" w:rsidRPr="008006E4" w:rsidRDefault="008006E4" w:rsidP="008006E4">
      <w:pPr>
        <w:rPr>
          <w:rFonts w:ascii="Arial" w:hAnsi="Arial" w:cs="Arial"/>
          <w:sz w:val="20"/>
          <w:szCs w:val="20"/>
          <w:lang w:val="en-US"/>
        </w:rPr>
      </w:pPr>
    </w:p>
    <w:p w14:paraId="70EBA875" w14:textId="1E5A235C" w:rsidR="008006E4" w:rsidRPr="005B6636" w:rsidRDefault="005B6636" w:rsidP="00C84949">
      <w:pPr>
        <w:pStyle w:val="ListParagraph"/>
        <w:rPr>
          <w:rFonts w:ascii="Arial" w:hAnsi="Arial" w:cs="Arial"/>
          <w:lang w:val="en-US"/>
        </w:rPr>
      </w:pPr>
      <w:r w:rsidRPr="005B6636">
        <w:rPr>
          <w:rFonts w:ascii="Arial" w:hAnsi="Arial" w:cs="Arial"/>
          <w:b/>
          <w:bCs/>
          <w:lang w:val="en-US"/>
        </w:rPr>
        <w:t>A</w:t>
      </w:r>
      <w:r w:rsidR="008006E4" w:rsidRPr="005B6636">
        <w:rPr>
          <w:rFonts w:ascii="Arial" w:hAnsi="Arial" w:cs="Arial"/>
          <w:b/>
          <w:bCs/>
          <w:lang w:val="en-US"/>
        </w:rPr>
        <w:t xml:space="preserve"> definition of the term ‘material’ in Annex III (2)</w:t>
      </w:r>
      <w:r w:rsidRPr="005B6636">
        <w:rPr>
          <w:rFonts w:ascii="Arial" w:hAnsi="Arial" w:cs="Arial"/>
          <w:b/>
          <w:bCs/>
          <w:lang w:val="en-US"/>
        </w:rPr>
        <w:t>(a)(</w:t>
      </w:r>
      <w:r w:rsidR="008006E4" w:rsidRPr="005B6636">
        <w:rPr>
          <w:rFonts w:ascii="Arial" w:hAnsi="Arial" w:cs="Arial"/>
          <w:b/>
          <w:bCs/>
          <w:lang w:val="en-US"/>
        </w:rPr>
        <w:t>vi)</w:t>
      </w:r>
      <w:r w:rsidRPr="005B6636">
        <w:rPr>
          <w:rFonts w:ascii="Arial" w:hAnsi="Arial" w:cs="Arial"/>
          <w:b/>
          <w:bCs/>
          <w:lang w:val="en-US"/>
        </w:rPr>
        <w:t xml:space="preserve"> of the ESGRR</w:t>
      </w:r>
      <w:r w:rsidR="008006E4" w:rsidRPr="005B6636">
        <w:rPr>
          <w:rFonts w:ascii="Arial" w:hAnsi="Arial" w:cs="Arial"/>
          <w:b/>
          <w:bCs/>
          <w:lang w:val="en-US"/>
        </w:rPr>
        <w:t>.</w:t>
      </w:r>
      <w:r w:rsidR="008006E4" w:rsidRPr="005B6636">
        <w:rPr>
          <w:rFonts w:ascii="Arial" w:hAnsi="Arial" w:cs="Arial"/>
          <w:lang w:val="en-US"/>
        </w:rPr>
        <w:t xml:space="preserve"> Accordingly, in the event of rating changes due to</w:t>
      </w:r>
      <w:r w:rsidRPr="005B6636">
        <w:rPr>
          <w:rFonts w:ascii="Arial" w:hAnsi="Arial" w:cs="Arial"/>
          <w:lang w:val="en-US"/>
        </w:rPr>
        <w:t xml:space="preserve"> any</w:t>
      </w:r>
      <w:r w:rsidR="008006E4" w:rsidRPr="005B6636">
        <w:rPr>
          <w:rFonts w:ascii="Arial" w:hAnsi="Arial" w:cs="Arial"/>
          <w:lang w:val="en-US"/>
        </w:rPr>
        <w:t xml:space="preserve"> </w:t>
      </w:r>
      <w:r w:rsidRPr="005B6636">
        <w:rPr>
          <w:rFonts w:ascii="Arial" w:hAnsi="Arial" w:cs="Arial"/>
          <w:lang w:val="en-US"/>
        </w:rPr>
        <w:t>material changes to rating methodologies, models, key rating assumptions or data sources (including estimates)</w:t>
      </w:r>
      <w:r w:rsidR="008006E4" w:rsidRPr="005B6636">
        <w:rPr>
          <w:rFonts w:ascii="Arial" w:hAnsi="Arial" w:cs="Arial"/>
          <w:lang w:val="en-US"/>
        </w:rPr>
        <w:t xml:space="preserve">, information about these must be made available to users. We see the risk that the word ‘material’ can be interpreted differently by ESG rating providers and users. There is no specification at all in </w:t>
      </w:r>
      <w:proofErr w:type="gramStart"/>
      <w:r w:rsidR="008006E4" w:rsidRPr="005B6636">
        <w:rPr>
          <w:rFonts w:ascii="Arial" w:hAnsi="Arial" w:cs="Arial"/>
          <w:lang w:val="en-US"/>
        </w:rPr>
        <w:t>the RTS</w:t>
      </w:r>
      <w:proofErr w:type="gramEnd"/>
      <w:r w:rsidR="008006E4" w:rsidRPr="005B6636">
        <w:rPr>
          <w:rFonts w:ascii="Arial" w:hAnsi="Arial" w:cs="Arial"/>
          <w:lang w:val="en-US"/>
        </w:rPr>
        <w:t xml:space="preserve"> </w:t>
      </w:r>
      <w:r w:rsidRPr="005B6636">
        <w:rPr>
          <w:rFonts w:ascii="Arial" w:hAnsi="Arial" w:cs="Arial"/>
          <w:lang w:val="en-US"/>
        </w:rPr>
        <w:t>in this regard</w:t>
      </w:r>
      <w:r w:rsidR="008006E4" w:rsidRPr="005B6636">
        <w:rPr>
          <w:rFonts w:ascii="Arial" w:hAnsi="Arial" w:cs="Arial"/>
          <w:lang w:val="en-US"/>
        </w:rPr>
        <w:t>.</w:t>
      </w:r>
    </w:p>
    <w:p w14:paraId="79F9DC03" w14:textId="77777777" w:rsidR="008006E4" w:rsidRPr="008006E4" w:rsidRDefault="008006E4" w:rsidP="008006E4">
      <w:pPr>
        <w:rPr>
          <w:rFonts w:ascii="Arial" w:hAnsi="Arial" w:cs="Arial"/>
          <w:sz w:val="20"/>
          <w:szCs w:val="20"/>
          <w:lang w:val="en-US"/>
        </w:rPr>
      </w:pPr>
    </w:p>
    <w:p w14:paraId="6ED4F7AA" w14:textId="08D664BE" w:rsidR="008006E4" w:rsidRPr="002D0066" w:rsidRDefault="009C747F" w:rsidP="007E1239">
      <w:pPr>
        <w:pStyle w:val="ListParagraph"/>
        <w:numPr>
          <w:ilvl w:val="0"/>
          <w:numId w:val="39"/>
        </w:numPr>
        <w:rPr>
          <w:rFonts w:ascii="Arial" w:hAnsi="Arial" w:cs="Arial"/>
        </w:rPr>
      </w:pPr>
      <w:r w:rsidRPr="002D0066">
        <w:rPr>
          <w:rFonts w:ascii="Arial" w:hAnsi="Arial" w:cs="Arial"/>
          <w:b/>
          <w:bCs/>
        </w:rPr>
        <w:lastRenderedPageBreak/>
        <w:t>I</w:t>
      </w:r>
      <w:r w:rsidR="008006E4" w:rsidRPr="002D0066">
        <w:rPr>
          <w:rFonts w:ascii="Arial" w:hAnsi="Arial" w:cs="Arial"/>
          <w:b/>
          <w:bCs/>
        </w:rPr>
        <w:t>n accordance with Annex III (2)</w:t>
      </w:r>
      <w:r w:rsidR="004456B0" w:rsidRPr="002D0066">
        <w:rPr>
          <w:rFonts w:ascii="Arial" w:hAnsi="Arial" w:cs="Arial"/>
          <w:b/>
          <w:bCs/>
        </w:rPr>
        <w:t>(</w:t>
      </w:r>
      <w:r w:rsidR="008006E4" w:rsidRPr="002D0066">
        <w:rPr>
          <w:rFonts w:ascii="Arial" w:hAnsi="Arial" w:cs="Arial"/>
          <w:b/>
          <w:bCs/>
        </w:rPr>
        <w:t>d)</w:t>
      </w:r>
      <w:r w:rsidR="004456B0" w:rsidRPr="002D0066">
        <w:rPr>
          <w:rFonts w:ascii="Arial" w:hAnsi="Arial" w:cs="Arial"/>
          <w:b/>
          <w:bCs/>
        </w:rPr>
        <w:t xml:space="preserve"> of the ESGRR</w:t>
      </w:r>
      <w:r w:rsidR="008006E4" w:rsidRPr="002D0066">
        <w:rPr>
          <w:rFonts w:ascii="Arial" w:hAnsi="Arial" w:cs="Arial"/>
          <w:b/>
          <w:bCs/>
        </w:rPr>
        <w:t xml:space="preserve">, in the case of unsolicited ESG ratings, only an indication of whether the rated </w:t>
      </w:r>
      <w:r w:rsidR="002D0066" w:rsidRPr="002D0066">
        <w:rPr>
          <w:rFonts w:ascii="Arial" w:hAnsi="Arial" w:cs="Arial"/>
          <w:b/>
          <w:bCs/>
        </w:rPr>
        <w:t>item</w:t>
      </w:r>
      <w:r w:rsidR="008006E4" w:rsidRPr="002D0066">
        <w:rPr>
          <w:rFonts w:ascii="Arial" w:hAnsi="Arial" w:cs="Arial"/>
          <w:b/>
          <w:bCs/>
        </w:rPr>
        <w:t xml:space="preserve"> has been included (or not) </w:t>
      </w:r>
      <w:r w:rsidR="00693710">
        <w:rPr>
          <w:rFonts w:ascii="Arial" w:hAnsi="Arial" w:cs="Arial"/>
          <w:b/>
          <w:bCs/>
        </w:rPr>
        <w:t xml:space="preserve">in the development </w:t>
      </w:r>
      <w:proofErr w:type="spellStart"/>
      <w:r w:rsidR="00693710">
        <w:rPr>
          <w:rFonts w:ascii="Arial" w:hAnsi="Arial" w:cs="Arial"/>
          <w:b/>
          <w:bCs/>
        </w:rPr>
        <w:t>o</w:t>
      </w:r>
      <w:proofErr w:type="spellEnd"/>
      <w:r w:rsidR="00693710">
        <w:rPr>
          <w:rFonts w:ascii="Arial" w:hAnsi="Arial" w:cs="Arial"/>
          <w:b/>
          <w:bCs/>
        </w:rPr>
        <w:t xml:space="preserve"> the rating </w:t>
      </w:r>
      <w:r w:rsidR="008006E4" w:rsidRPr="002D0066">
        <w:rPr>
          <w:rFonts w:ascii="Arial" w:hAnsi="Arial" w:cs="Arial"/>
          <w:b/>
          <w:bCs/>
        </w:rPr>
        <w:t>is required vis-à-vis users.</w:t>
      </w:r>
      <w:r w:rsidR="008006E4" w:rsidRPr="002D0066">
        <w:rPr>
          <w:rFonts w:ascii="Arial" w:hAnsi="Arial" w:cs="Arial"/>
        </w:rPr>
        <w:t xml:space="preserve"> This information is not required vis-à-vis the public (on the rating provider's website o</w:t>
      </w:r>
      <w:r w:rsidR="00693710">
        <w:rPr>
          <w:rFonts w:ascii="Arial" w:hAnsi="Arial" w:cs="Arial"/>
        </w:rPr>
        <w:t>r the</w:t>
      </w:r>
      <w:r w:rsidR="008006E4" w:rsidRPr="002D0066">
        <w:rPr>
          <w:rFonts w:ascii="Arial" w:hAnsi="Arial" w:cs="Arial"/>
        </w:rPr>
        <w:t xml:space="preserve"> access portal). We believe that this information should also be provided to the public.</w:t>
      </w:r>
    </w:p>
    <w:p w14:paraId="3625B987" w14:textId="77777777" w:rsidR="008006E4" w:rsidRPr="008006E4" w:rsidRDefault="008006E4" w:rsidP="008006E4">
      <w:pPr>
        <w:rPr>
          <w:rFonts w:ascii="Arial" w:hAnsi="Arial" w:cs="Arial"/>
          <w:sz w:val="20"/>
          <w:szCs w:val="20"/>
        </w:rPr>
      </w:pPr>
    </w:p>
    <w:p w14:paraId="2B4C95DA" w14:textId="13889C29" w:rsidR="008006E4" w:rsidRPr="0097536F" w:rsidRDefault="008006E4" w:rsidP="001578B8">
      <w:pPr>
        <w:pStyle w:val="ListParagraph"/>
        <w:numPr>
          <w:ilvl w:val="0"/>
          <w:numId w:val="39"/>
        </w:numPr>
        <w:rPr>
          <w:rFonts w:ascii="Arial" w:hAnsi="Arial" w:cs="Arial"/>
          <w:lang w:val="en-US"/>
        </w:rPr>
      </w:pPr>
      <w:r w:rsidRPr="0097536F">
        <w:rPr>
          <w:rFonts w:ascii="Arial" w:hAnsi="Arial" w:cs="Arial"/>
          <w:b/>
          <w:bCs/>
          <w:lang w:val="en-US"/>
        </w:rPr>
        <w:t xml:space="preserve">If rated </w:t>
      </w:r>
      <w:r w:rsidR="0097536F" w:rsidRPr="0097536F">
        <w:rPr>
          <w:rFonts w:ascii="Arial" w:hAnsi="Arial" w:cs="Arial"/>
          <w:b/>
          <w:bCs/>
          <w:lang w:val="en-US"/>
        </w:rPr>
        <w:t>items</w:t>
      </w:r>
      <w:r w:rsidRPr="0097536F">
        <w:rPr>
          <w:rFonts w:ascii="Arial" w:hAnsi="Arial" w:cs="Arial"/>
          <w:b/>
          <w:bCs/>
          <w:lang w:val="en-US"/>
        </w:rPr>
        <w:t xml:space="preserve"> are involved, their feedback should be </w:t>
      </w:r>
      <w:proofErr w:type="gramStart"/>
      <w:r w:rsidRPr="0097536F">
        <w:rPr>
          <w:rFonts w:ascii="Arial" w:hAnsi="Arial" w:cs="Arial"/>
          <w:b/>
          <w:bCs/>
          <w:lang w:val="en-US"/>
        </w:rPr>
        <w:t>taken into account</w:t>
      </w:r>
      <w:proofErr w:type="gramEnd"/>
      <w:r w:rsidRPr="0097536F">
        <w:rPr>
          <w:rFonts w:ascii="Arial" w:hAnsi="Arial" w:cs="Arial"/>
          <w:b/>
          <w:bCs/>
          <w:lang w:val="en-US"/>
        </w:rPr>
        <w:t>.</w:t>
      </w:r>
      <w:r w:rsidRPr="0097536F">
        <w:rPr>
          <w:rFonts w:ascii="Arial" w:hAnsi="Arial" w:cs="Arial"/>
          <w:lang w:val="en-US"/>
        </w:rPr>
        <w:t xml:space="preserve"> If the feedback is not </w:t>
      </w:r>
      <w:proofErr w:type="gramStart"/>
      <w:r w:rsidRPr="0097536F">
        <w:rPr>
          <w:rFonts w:ascii="Arial" w:hAnsi="Arial" w:cs="Arial"/>
          <w:lang w:val="en-US"/>
        </w:rPr>
        <w:t>taken into account</w:t>
      </w:r>
      <w:proofErr w:type="gramEnd"/>
      <w:r w:rsidRPr="0097536F">
        <w:rPr>
          <w:rFonts w:ascii="Arial" w:hAnsi="Arial" w:cs="Arial"/>
          <w:lang w:val="en-US"/>
        </w:rPr>
        <w:t xml:space="preserve">, the rating provider should have to explain to the rated </w:t>
      </w:r>
      <w:r w:rsidR="0097536F" w:rsidRPr="0097536F">
        <w:rPr>
          <w:rFonts w:ascii="Arial" w:hAnsi="Arial" w:cs="Arial"/>
          <w:lang w:val="en-US"/>
        </w:rPr>
        <w:t>item</w:t>
      </w:r>
      <w:r w:rsidRPr="0097536F">
        <w:rPr>
          <w:rFonts w:ascii="Arial" w:hAnsi="Arial" w:cs="Arial"/>
          <w:lang w:val="en-US"/>
        </w:rPr>
        <w:t xml:space="preserve"> which aspects and why these aspects were not </w:t>
      </w:r>
      <w:proofErr w:type="gramStart"/>
      <w:r w:rsidRPr="0097536F">
        <w:rPr>
          <w:rFonts w:ascii="Arial" w:hAnsi="Arial" w:cs="Arial"/>
          <w:lang w:val="en-US"/>
        </w:rPr>
        <w:t>taken into account</w:t>
      </w:r>
      <w:proofErr w:type="gramEnd"/>
      <w:r w:rsidRPr="0097536F">
        <w:rPr>
          <w:rFonts w:ascii="Arial" w:hAnsi="Arial" w:cs="Arial"/>
          <w:lang w:val="en-US"/>
        </w:rPr>
        <w:t xml:space="preserve">. </w:t>
      </w:r>
      <w:r w:rsidR="0097536F" w:rsidRPr="0097536F">
        <w:rPr>
          <w:rFonts w:ascii="Arial" w:hAnsi="Arial" w:cs="Arial"/>
          <w:lang w:val="en-US"/>
        </w:rPr>
        <w:t>T</w:t>
      </w:r>
      <w:r w:rsidRPr="0097536F">
        <w:rPr>
          <w:rFonts w:ascii="Arial" w:hAnsi="Arial" w:cs="Arial"/>
          <w:lang w:val="en-US"/>
        </w:rPr>
        <w:t>his c</w:t>
      </w:r>
      <w:r w:rsidR="0097536F" w:rsidRPr="0097536F">
        <w:rPr>
          <w:rFonts w:ascii="Arial" w:hAnsi="Arial" w:cs="Arial"/>
          <w:lang w:val="en-US"/>
        </w:rPr>
        <w:t xml:space="preserve">ould </w:t>
      </w:r>
      <w:r w:rsidRPr="0097536F">
        <w:rPr>
          <w:rFonts w:ascii="Arial" w:hAnsi="Arial" w:cs="Arial"/>
          <w:lang w:val="en-US"/>
        </w:rPr>
        <w:t xml:space="preserve">be included in </w:t>
      </w:r>
      <w:r w:rsidR="0097536F" w:rsidRPr="0097536F">
        <w:rPr>
          <w:rFonts w:ascii="Arial" w:hAnsi="Arial" w:cs="Arial"/>
          <w:lang w:val="en-US"/>
        </w:rPr>
        <w:t>[</w:t>
      </w:r>
      <w:r w:rsidRPr="0097536F">
        <w:rPr>
          <w:rFonts w:ascii="Arial" w:hAnsi="Arial" w:cs="Arial"/>
          <w:lang w:val="en-US"/>
        </w:rPr>
        <w:t>RTS 7.2.3</w:t>
      </w:r>
      <w:r w:rsidR="0097536F" w:rsidRPr="0097536F">
        <w:rPr>
          <w:rFonts w:ascii="Arial" w:hAnsi="Arial" w:cs="Arial"/>
          <w:lang w:val="en-US"/>
        </w:rPr>
        <w:t>]</w:t>
      </w:r>
      <w:r w:rsidRPr="0097536F">
        <w:rPr>
          <w:rFonts w:ascii="Arial" w:hAnsi="Arial" w:cs="Arial"/>
          <w:lang w:val="en-US"/>
        </w:rPr>
        <w:t xml:space="preserve"> Article 7</w:t>
      </w:r>
      <w:r w:rsidR="0097536F" w:rsidRPr="0097536F">
        <w:rPr>
          <w:rFonts w:ascii="Arial" w:hAnsi="Arial" w:cs="Arial"/>
          <w:lang w:val="en-US"/>
        </w:rPr>
        <w:t>(</w:t>
      </w:r>
      <w:r w:rsidRPr="0097536F">
        <w:rPr>
          <w:rFonts w:ascii="Arial" w:hAnsi="Arial" w:cs="Arial"/>
          <w:lang w:val="en-US"/>
        </w:rPr>
        <w:t>2</w:t>
      </w:r>
      <w:r w:rsidR="0097536F" w:rsidRPr="0097536F">
        <w:rPr>
          <w:rFonts w:ascii="Arial" w:hAnsi="Arial" w:cs="Arial"/>
          <w:lang w:val="en-US"/>
        </w:rPr>
        <w:t>)</w:t>
      </w:r>
      <w:r w:rsidRPr="0097536F">
        <w:rPr>
          <w:rFonts w:ascii="Arial" w:hAnsi="Arial" w:cs="Arial"/>
          <w:lang w:val="en-US"/>
        </w:rPr>
        <w:t>(c) or as a separate new point (d).</w:t>
      </w:r>
    </w:p>
    <w:p w14:paraId="6B8C7195" w14:textId="77777777" w:rsidR="008006E4" w:rsidRPr="008006E4" w:rsidRDefault="008006E4" w:rsidP="008006E4">
      <w:pPr>
        <w:rPr>
          <w:rFonts w:ascii="Arial" w:hAnsi="Arial" w:cs="Arial"/>
          <w:sz w:val="20"/>
          <w:szCs w:val="20"/>
          <w:lang w:val="en-US"/>
        </w:rPr>
      </w:pPr>
    </w:p>
    <w:p w14:paraId="03E693C0" w14:textId="77777777" w:rsidR="009F5AAB" w:rsidRPr="00E40CB7" w:rsidRDefault="009F5AAB" w:rsidP="009F5AAB">
      <w:pPr>
        <w:pStyle w:val="ListParagraph"/>
        <w:numPr>
          <w:ilvl w:val="0"/>
          <w:numId w:val="39"/>
        </w:numPr>
        <w:rPr>
          <w:rFonts w:ascii="Arial" w:hAnsi="Arial" w:cs="Arial"/>
          <w:lang w:val="en-US"/>
        </w:rPr>
      </w:pPr>
      <w:r w:rsidRPr="00E40CB7">
        <w:rPr>
          <w:rFonts w:ascii="Arial" w:hAnsi="Arial" w:cs="Arial"/>
          <w:b/>
          <w:bCs/>
          <w:lang w:val="en-US"/>
        </w:rPr>
        <w:t xml:space="preserve">ESG rating providers should disclose information about the standard quality control processes used for their sources. </w:t>
      </w:r>
      <w:r w:rsidRPr="00E40CB7">
        <w:rPr>
          <w:rFonts w:ascii="Arial" w:hAnsi="Arial" w:cs="Arial"/>
          <w:lang w:val="en-US"/>
        </w:rPr>
        <w:t>They should also be required to remove outdated information from ESG ratings after a certain period (e.g., a maximum of 3 months) and base their assessments only on current and reliable information</w:t>
      </w:r>
      <w:r>
        <w:rPr>
          <w:rFonts w:ascii="Arial" w:hAnsi="Arial" w:cs="Arial"/>
          <w:lang w:val="en-US"/>
        </w:rPr>
        <w:t xml:space="preserve"> and </w:t>
      </w:r>
      <w:r w:rsidRPr="008D38C8">
        <w:rPr>
          <w:rFonts w:ascii="Arial" w:hAnsi="Arial" w:cs="Arial"/>
          <w:lang w:val="en-US"/>
        </w:rPr>
        <w:t xml:space="preserve">give </w:t>
      </w:r>
      <w:r>
        <w:rPr>
          <w:rFonts w:ascii="Arial" w:hAnsi="Arial" w:cs="Arial"/>
          <w:lang w:val="en-US"/>
        </w:rPr>
        <w:t>rated items</w:t>
      </w:r>
      <w:r w:rsidRPr="008D38C8">
        <w:rPr>
          <w:rFonts w:ascii="Arial" w:hAnsi="Arial" w:cs="Arial"/>
          <w:lang w:val="en-US"/>
        </w:rPr>
        <w:t xml:space="preserve"> the opportunity to comment </w:t>
      </w:r>
      <w:proofErr w:type="gramStart"/>
      <w:r>
        <w:rPr>
          <w:rFonts w:ascii="Arial" w:hAnsi="Arial" w:cs="Arial"/>
          <w:lang w:val="en-US"/>
        </w:rPr>
        <w:t>to</w:t>
      </w:r>
      <w:proofErr w:type="gramEnd"/>
      <w:r>
        <w:rPr>
          <w:rFonts w:ascii="Arial" w:hAnsi="Arial" w:cs="Arial"/>
          <w:lang w:val="en-US"/>
        </w:rPr>
        <w:t xml:space="preserve"> controversies</w:t>
      </w:r>
      <w:r w:rsidRPr="00E40CB7">
        <w:rPr>
          <w:rFonts w:ascii="Arial" w:hAnsi="Arial" w:cs="Arial"/>
          <w:lang w:val="en-US"/>
        </w:rPr>
        <w:t>. We are particularly concerned with vague allegations made by third parties (e.g., “has financed fossil sector activities”). ESG rating providers often cite financial involvement in “project controversies” that are either significantly outdated or simply incorrect. In this context, it is often doubt</w:t>
      </w:r>
      <w:r>
        <w:rPr>
          <w:rFonts w:ascii="Arial" w:hAnsi="Arial" w:cs="Arial"/>
          <w:lang w:val="en-US"/>
        </w:rPr>
        <w:t>f</w:t>
      </w:r>
      <w:r w:rsidRPr="00E40CB7">
        <w:rPr>
          <w:rFonts w:ascii="Arial" w:hAnsi="Arial" w:cs="Arial"/>
          <w:lang w:val="en-US"/>
        </w:rPr>
        <w:t>ul whether a</w:t>
      </w:r>
      <w:r>
        <w:rPr>
          <w:rFonts w:ascii="Arial" w:hAnsi="Arial" w:cs="Arial"/>
          <w:lang w:val="en-US"/>
        </w:rPr>
        <w:t>n</w:t>
      </w:r>
      <w:r w:rsidRPr="00E40CB7">
        <w:rPr>
          <w:rFonts w:ascii="Arial" w:hAnsi="Arial" w:cs="Arial"/>
          <w:lang w:val="en-US"/>
        </w:rPr>
        <w:t xml:space="preserve"> ESG rating agency has even checked the accuracy and timeliness of such allegations. </w:t>
      </w:r>
      <w:r w:rsidRPr="008D38C8">
        <w:rPr>
          <w:rFonts w:ascii="Arial" w:hAnsi="Arial" w:cs="Arial"/>
          <w:lang w:val="en-US"/>
        </w:rPr>
        <w:t xml:space="preserve">ESG Rating providers should give the </w:t>
      </w:r>
      <w:r>
        <w:rPr>
          <w:rFonts w:ascii="Arial" w:hAnsi="Arial" w:cs="Arial"/>
          <w:lang w:val="en-US"/>
        </w:rPr>
        <w:t>rated item</w:t>
      </w:r>
      <w:r w:rsidRPr="008D38C8">
        <w:rPr>
          <w:rFonts w:ascii="Arial" w:hAnsi="Arial" w:cs="Arial"/>
          <w:lang w:val="en-US"/>
        </w:rPr>
        <w:t xml:space="preserve"> concerned the opportunity to comment before taking new controversies into account in the rating (by applying deductions due to a controversy). Thereby, identifying false allegations very quickly and avoiding the currently rather lengthy processes afterwards.</w:t>
      </w:r>
      <w:r>
        <w:rPr>
          <w:rFonts w:ascii="Arial" w:hAnsi="Arial" w:cs="Arial"/>
          <w:lang w:val="en-US"/>
        </w:rPr>
        <w:t xml:space="preserve"> </w:t>
      </w:r>
      <w:r w:rsidRPr="00E40CB7">
        <w:rPr>
          <w:rFonts w:ascii="Arial" w:hAnsi="Arial" w:cs="Arial"/>
          <w:lang w:val="en-US"/>
        </w:rPr>
        <w:t xml:space="preserve">In practice, project controversies that lead to point deductions often remain in the rating for an extended </w:t>
      </w:r>
      <w:proofErr w:type="gramStart"/>
      <w:r w:rsidRPr="00E40CB7">
        <w:rPr>
          <w:rFonts w:ascii="Arial" w:hAnsi="Arial" w:cs="Arial"/>
          <w:lang w:val="en-US"/>
        </w:rPr>
        <w:t>period</w:t>
      </w:r>
      <w:r>
        <w:rPr>
          <w:rFonts w:ascii="Arial" w:hAnsi="Arial" w:cs="Arial"/>
          <w:lang w:val="en-US"/>
        </w:rPr>
        <w:t xml:space="preserve"> of time</w:t>
      </w:r>
      <w:proofErr w:type="gramEnd"/>
      <w:r w:rsidRPr="00E40CB7">
        <w:rPr>
          <w:rFonts w:ascii="Arial" w:hAnsi="Arial" w:cs="Arial"/>
          <w:lang w:val="en-US"/>
        </w:rPr>
        <w:t xml:space="preserve"> (</w:t>
      </w:r>
      <w:r>
        <w:rPr>
          <w:rFonts w:ascii="Arial" w:hAnsi="Arial" w:cs="Arial"/>
          <w:lang w:val="en-US"/>
        </w:rPr>
        <w:t xml:space="preserve">sometimes </w:t>
      </w:r>
      <w:r w:rsidRPr="00E40CB7">
        <w:rPr>
          <w:rFonts w:ascii="Arial" w:hAnsi="Arial" w:cs="Arial"/>
          <w:lang w:val="en-US"/>
        </w:rPr>
        <w:t>even years) before being removed.</w:t>
      </w:r>
      <w:r>
        <w:rPr>
          <w:rFonts w:ascii="Arial" w:hAnsi="Arial" w:cs="Arial"/>
          <w:lang w:val="en-US"/>
        </w:rPr>
        <w:t xml:space="preserve"> T</w:t>
      </w:r>
      <w:r w:rsidRPr="00B81FCF">
        <w:rPr>
          <w:rFonts w:ascii="Arial" w:hAnsi="Arial" w:cs="Arial"/>
          <w:lang w:val="en-US"/>
        </w:rPr>
        <w:t>he limited period of financing (loans) should be considered, particularly for banks. In the case of financing controversies, the conclusion or termination of financing</w:t>
      </w:r>
      <w:r>
        <w:rPr>
          <w:rFonts w:ascii="Arial" w:hAnsi="Arial" w:cs="Arial"/>
          <w:lang w:val="en-US"/>
        </w:rPr>
        <w:t xml:space="preserve"> (loans)</w:t>
      </w:r>
      <w:r w:rsidRPr="00B81FCF">
        <w:rPr>
          <w:rFonts w:ascii="Arial" w:hAnsi="Arial" w:cs="Arial"/>
          <w:lang w:val="en-US"/>
        </w:rPr>
        <w:t xml:space="preserve"> should result in the immediate and complete removal of the controversy instead of a 3-year delayed removal. </w:t>
      </w:r>
      <w:r w:rsidRPr="00E40CB7">
        <w:rPr>
          <w:rFonts w:ascii="Arial" w:hAnsi="Arial" w:cs="Arial"/>
          <w:lang w:val="en-US"/>
        </w:rPr>
        <w:t>Including this aspect is possible under [RTS 7.2.3] Article 7(1) or Article 8(1)(e).</w:t>
      </w:r>
    </w:p>
    <w:p w14:paraId="58C92905" w14:textId="77777777" w:rsidR="008006E4" w:rsidRPr="008006E4" w:rsidRDefault="008006E4" w:rsidP="008006E4">
      <w:pPr>
        <w:rPr>
          <w:rFonts w:ascii="Arial" w:hAnsi="Arial" w:cs="Arial"/>
          <w:sz w:val="20"/>
          <w:szCs w:val="20"/>
          <w:lang w:val="en-US"/>
        </w:rPr>
      </w:pPr>
    </w:p>
    <w:p w14:paraId="1CB21E0A" w14:textId="0728F724" w:rsidR="008006E4" w:rsidRPr="00436CAE" w:rsidRDefault="008006E4" w:rsidP="00F33392">
      <w:pPr>
        <w:pStyle w:val="ListParagraph"/>
        <w:numPr>
          <w:ilvl w:val="0"/>
          <w:numId w:val="39"/>
        </w:numPr>
        <w:spacing w:after="160" w:line="259" w:lineRule="auto"/>
        <w:rPr>
          <w:rFonts w:ascii="Calibri" w:eastAsia="Calibri" w:hAnsi="Calibri"/>
          <w:kern w:val="2"/>
          <w:lang w:val="en-US" w:eastAsia="en-US"/>
          <w14:ligatures w14:val="standardContextual"/>
        </w:rPr>
      </w:pPr>
      <w:r w:rsidRPr="00436CAE">
        <w:rPr>
          <w:b/>
          <w:bCs/>
          <w:lang w:val="en-US"/>
        </w:rPr>
        <w:t xml:space="preserve">Improvement of communication through mandatory feedback </w:t>
      </w:r>
      <w:r w:rsidR="00436CAE" w:rsidRPr="00436CAE">
        <w:rPr>
          <w:b/>
          <w:bCs/>
          <w:lang w:val="en-US"/>
        </w:rPr>
        <w:t>and</w:t>
      </w:r>
      <w:r w:rsidRPr="00436CAE">
        <w:rPr>
          <w:b/>
          <w:bCs/>
          <w:lang w:val="en-US"/>
        </w:rPr>
        <w:t xml:space="preserve"> feedback deadlines for ESG rating agencies for enquiries from rated </w:t>
      </w:r>
      <w:r w:rsidR="00436CAE" w:rsidRPr="00436CAE">
        <w:rPr>
          <w:b/>
          <w:bCs/>
          <w:lang w:val="en-US"/>
        </w:rPr>
        <w:t>items</w:t>
      </w:r>
      <w:r w:rsidRPr="00436CAE">
        <w:rPr>
          <w:b/>
          <w:bCs/>
          <w:lang w:val="en-US"/>
        </w:rPr>
        <w:t xml:space="preserve"> </w:t>
      </w:r>
      <w:r w:rsidRPr="00436CAE">
        <w:rPr>
          <w:lang w:val="en-US"/>
        </w:rPr>
        <w:t>(e.g. max. 14 days)</w:t>
      </w:r>
      <w:r w:rsidRPr="00436CAE">
        <w:rPr>
          <w:b/>
          <w:bCs/>
          <w:lang w:val="en-US"/>
        </w:rPr>
        <w:t xml:space="preserve"> </w:t>
      </w:r>
      <w:r w:rsidR="00436CAE" w:rsidRPr="00436CAE">
        <w:rPr>
          <w:b/>
          <w:bCs/>
          <w:lang w:val="en-US"/>
        </w:rPr>
        <w:t>and</w:t>
      </w:r>
      <w:r w:rsidRPr="00436CAE">
        <w:rPr>
          <w:b/>
          <w:bCs/>
          <w:lang w:val="en-US"/>
        </w:rPr>
        <w:t xml:space="preserve"> sufficient feedback deadlines for rated </w:t>
      </w:r>
      <w:r w:rsidR="00436CAE" w:rsidRPr="00436CAE">
        <w:rPr>
          <w:b/>
          <w:bCs/>
          <w:lang w:val="en-US"/>
        </w:rPr>
        <w:t>items</w:t>
      </w:r>
      <w:r w:rsidRPr="00436CAE">
        <w:rPr>
          <w:b/>
          <w:bCs/>
          <w:lang w:val="en-US"/>
        </w:rPr>
        <w:t xml:space="preserve"> for enquiries from rating agencies </w:t>
      </w:r>
      <w:r w:rsidRPr="00436CAE">
        <w:rPr>
          <w:lang w:val="en-US"/>
        </w:rPr>
        <w:t>(rather 14 days instead of 24 hours)</w:t>
      </w:r>
      <w:r w:rsidRPr="00436CAE">
        <w:rPr>
          <w:b/>
          <w:bCs/>
          <w:lang w:val="en-US"/>
        </w:rPr>
        <w:t>.</w:t>
      </w:r>
      <w:r w:rsidRPr="00436CAE">
        <w:rPr>
          <w:lang w:val="en-US"/>
        </w:rPr>
        <w:t xml:space="preserve"> In </w:t>
      </w:r>
      <w:r w:rsidR="00436CAE" w:rsidRPr="00436CAE">
        <w:rPr>
          <w:lang w:val="en-US"/>
        </w:rPr>
        <w:t>several</w:t>
      </w:r>
      <w:r w:rsidRPr="00436CAE">
        <w:rPr>
          <w:lang w:val="en-US"/>
        </w:rPr>
        <w:t xml:space="preserve"> cases, </w:t>
      </w:r>
      <w:r w:rsidR="00436CAE" w:rsidRPr="00436CAE">
        <w:rPr>
          <w:lang w:val="en-US"/>
        </w:rPr>
        <w:t xml:space="preserve">(repeated) </w:t>
      </w:r>
      <w:r w:rsidRPr="00436CAE">
        <w:rPr>
          <w:lang w:val="en-US"/>
        </w:rPr>
        <w:t xml:space="preserve">enquiries to ESG rating providers </w:t>
      </w:r>
      <w:proofErr w:type="gramStart"/>
      <w:r w:rsidR="00436CAE" w:rsidRPr="00436CAE">
        <w:rPr>
          <w:lang w:val="en-US"/>
        </w:rPr>
        <w:t>had</w:t>
      </w:r>
      <w:proofErr w:type="gramEnd"/>
      <w:r w:rsidR="00436CAE" w:rsidRPr="00436CAE">
        <w:rPr>
          <w:lang w:val="en-US"/>
        </w:rPr>
        <w:t xml:space="preserve"> not</w:t>
      </w:r>
      <w:r w:rsidRPr="00436CAE">
        <w:rPr>
          <w:lang w:val="en-US"/>
        </w:rPr>
        <w:t xml:space="preserve"> received a</w:t>
      </w:r>
      <w:r w:rsidR="00436CAE" w:rsidRPr="00436CAE">
        <w:rPr>
          <w:lang w:val="en-US"/>
        </w:rPr>
        <w:t>ny</w:t>
      </w:r>
      <w:r w:rsidRPr="00436CAE">
        <w:rPr>
          <w:lang w:val="en-US"/>
        </w:rPr>
        <w:t xml:space="preserve"> response </w:t>
      </w:r>
      <w:r w:rsidR="00436CAE" w:rsidRPr="00436CAE">
        <w:rPr>
          <w:lang w:val="en-US"/>
        </w:rPr>
        <w:t>months after having been handed in</w:t>
      </w:r>
      <w:r w:rsidRPr="00436CAE">
        <w:rPr>
          <w:lang w:val="en-US"/>
        </w:rPr>
        <w:t xml:space="preserve">. </w:t>
      </w:r>
      <w:r w:rsidR="00436CAE" w:rsidRPr="00436CAE">
        <w:rPr>
          <w:lang w:val="en-US"/>
        </w:rPr>
        <w:t>By contrast</w:t>
      </w:r>
      <w:r w:rsidRPr="00436CAE">
        <w:rPr>
          <w:lang w:val="en-US"/>
        </w:rPr>
        <w:t xml:space="preserve">, when an ESG rating agency submits an enquiry to </w:t>
      </w:r>
      <w:r w:rsidR="00436CAE" w:rsidRPr="00436CAE">
        <w:rPr>
          <w:lang w:val="en-US"/>
        </w:rPr>
        <w:t>a rated item</w:t>
      </w:r>
      <w:r w:rsidRPr="00436CAE">
        <w:rPr>
          <w:lang w:val="en-US"/>
        </w:rPr>
        <w:t>,</w:t>
      </w:r>
      <w:r w:rsidR="00436CAE" w:rsidRPr="00436CAE">
        <w:rPr>
          <w:lang w:val="en-US"/>
        </w:rPr>
        <w:t xml:space="preserve"> </w:t>
      </w:r>
      <w:proofErr w:type="gramStart"/>
      <w:r w:rsidRPr="00436CAE">
        <w:rPr>
          <w:lang w:val="en-US"/>
        </w:rPr>
        <w:t>time window</w:t>
      </w:r>
      <w:r w:rsidR="00436CAE" w:rsidRPr="00436CAE">
        <w:rPr>
          <w:lang w:val="en-US"/>
        </w:rPr>
        <w:t>s</w:t>
      </w:r>
      <w:r w:rsidRPr="00436CAE">
        <w:rPr>
          <w:lang w:val="en-US"/>
        </w:rPr>
        <w:t xml:space="preserve"> of 24 hours</w:t>
      </w:r>
      <w:proofErr w:type="gramEnd"/>
      <w:r w:rsidR="00436CAE" w:rsidRPr="00436CAE">
        <w:rPr>
          <w:lang w:val="en-US"/>
        </w:rPr>
        <w:t xml:space="preserve"> are given</w:t>
      </w:r>
      <w:r w:rsidRPr="00436CAE">
        <w:rPr>
          <w:lang w:val="en-US"/>
        </w:rPr>
        <w:t xml:space="preserve"> to respond. </w:t>
      </w:r>
      <w:r w:rsidR="00436CAE" w:rsidRPr="00436CAE">
        <w:rPr>
          <w:lang w:val="en-US"/>
        </w:rPr>
        <w:t>A</w:t>
      </w:r>
      <w:r w:rsidRPr="00436CAE">
        <w:rPr>
          <w:lang w:val="en-US"/>
        </w:rPr>
        <w:t xml:space="preserve"> </w:t>
      </w:r>
      <w:r w:rsidR="00436CAE" w:rsidRPr="00436CAE">
        <w:rPr>
          <w:lang w:val="en-US"/>
        </w:rPr>
        <w:t xml:space="preserve">specific </w:t>
      </w:r>
      <w:r w:rsidRPr="00436CAE">
        <w:rPr>
          <w:lang w:val="en-US"/>
        </w:rPr>
        <w:t>new article</w:t>
      </w:r>
      <w:r w:rsidR="00436CAE" w:rsidRPr="00436CAE">
        <w:rPr>
          <w:lang w:val="en-US"/>
        </w:rPr>
        <w:t xml:space="preserve"> should be included</w:t>
      </w:r>
      <w:r w:rsidRPr="00436CAE">
        <w:rPr>
          <w:lang w:val="en-US"/>
        </w:rPr>
        <w:t xml:space="preserve"> in the RTS for this purpose.</w:t>
      </w:r>
    </w:p>
    <w:permEnd w:id="669658389"/>
    <w:p w14:paraId="77645EA9" w14:textId="67311EC5"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322B55">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_3&gt;</w:t>
      </w:r>
    </w:p>
    <w:p w14:paraId="374EDE5B" w14:textId="29DF36F2" w:rsidR="00513DA2" w:rsidRPr="00513DA2" w:rsidRDefault="00655791" w:rsidP="004A7AAC">
      <w:pPr>
        <w:pStyle w:val="Paragraph"/>
      </w:pPr>
      <w:r>
        <w:t>Q4.</w:t>
      </w:r>
      <w:r>
        <w:tab/>
      </w:r>
      <w:r w:rsidR="00513DA2" w:rsidRPr="00513DA2">
        <w:t xml:space="preserve">Do you consider that the draft technical standards under Articles 23(4) or 24(3) </w:t>
      </w:r>
      <w:proofErr w:type="gramStart"/>
      <w:r w:rsidR="00513DA2" w:rsidRPr="00513DA2">
        <w:t>should  instead</w:t>
      </w:r>
      <w:proofErr w:type="gramEnd"/>
      <w:r w:rsidR="00513DA2" w:rsidRPr="00513DA2">
        <w:t xml:space="preserve"> provide an expanded table in Annex proposing a sequence and structure for all disclosures to be made under parts 1 and 2 of Annex III? If yes, please explain the benefits of such an approach.</w:t>
      </w:r>
    </w:p>
    <w:p w14:paraId="052AF9D6" w14:textId="43D4216A" w:rsidR="001B1B48" w:rsidRPr="00693710" w:rsidRDefault="001B1B48" w:rsidP="001B1B48">
      <w:pPr>
        <w:spacing w:after="160" w:line="259" w:lineRule="auto"/>
        <w:rPr>
          <w:rFonts w:ascii="Calibri" w:eastAsia="Calibri" w:hAnsi="Calibri"/>
          <w:kern w:val="2"/>
          <w:sz w:val="22"/>
          <w:szCs w:val="22"/>
          <w:lang w:val="en-US" w:eastAsia="en-US"/>
          <w14:ligatures w14:val="standardContextual"/>
        </w:rPr>
      </w:pPr>
      <w:r w:rsidRPr="00693710">
        <w:rPr>
          <w:rFonts w:ascii="Calibri" w:eastAsia="Calibri" w:hAnsi="Calibri"/>
          <w:kern w:val="2"/>
          <w:sz w:val="22"/>
          <w:szCs w:val="22"/>
          <w:lang w:val="en-US" w:eastAsia="en-US"/>
          <w14:ligatures w14:val="standardContextual"/>
        </w:rPr>
        <w:t>&lt;ESMA_QUESTION_</w:t>
      </w:r>
      <w:r w:rsidR="0037311D" w:rsidRPr="00693710">
        <w:rPr>
          <w:rFonts w:ascii="Calibri" w:eastAsia="Calibri" w:hAnsi="Calibri"/>
          <w:kern w:val="2"/>
          <w:sz w:val="22"/>
          <w:szCs w:val="22"/>
          <w:lang w:val="en-US" w:eastAsia="en-US"/>
          <w14:ligatures w14:val="standardContextual"/>
        </w:rPr>
        <w:t xml:space="preserve"> E</w:t>
      </w:r>
      <w:r w:rsidR="00655791" w:rsidRPr="00693710">
        <w:rPr>
          <w:rFonts w:ascii="Calibri" w:eastAsia="Calibri" w:hAnsi="Calibri"/>
          <w:kern w:val="2"/>
          <w:sz w:val="22"/>
          <w:szCs w:val="22"/>
          <w:lang w:val="en-US" w:eastAsia="en-US"/>
          <w14:ligatures w14:val="standardContextual"/>
        </w:rPr>
        <w:t>SGR</w:t>
      </w:r>
      <w:r w:rsidRPr="00693710">
        <w:rPr>
          <w:rFonts w:ascii="Calibri" w:eastAsia="Calibri" w:hAnsi="Calibri"/>
          <w:kern w:val="2"/>
          <w:sz w:val="22"/>
          <w:szCs w:val="22"/>
          <w:lang w:val="en-US" w:eastAsia="en-US"/>
          <w14:ligatures w14:val="standardContextual"/>
        </w:rPr>
        <w:t>_4&gt;</w:t>
      </w:r>
    </w:p>
    <w:p w14:paraId="14E631D6" w14:textId="485CFB5C" w:rsidR="0039196D" w:rsidRPr="001771C9" w:rsidRDefault="0039196D" w:rsidP="00436CAE">
      <w:pPr>
        <w:pStyle w:val="ListParagraph"/>
        <w:numPr>
          <w:ilvl w:val="0"/>
          <w:numId w:val="0"/>
        </w:numPr>
        <w:ind w:left="360"/>
        <w:rPr>
          <w:lang w:val="en-US"/>
        </w:rPr>
      </w:pPr>
      <w:permStart w:id="1645309941" w:edGrp="everyone"/>
      <w:r w:rsidRPr="001771C9">
        <w:rPr>
          <w:lang w:val="en-US"/>
        </w:rPr>
        <w:t xml:space="preserve">Table 1 in </w:t>
      </w:r>
      <w:r w:rsidR="001771C9">
        <w:rPr>
          <w:lang w:val="en-US"/>
        </w:rPr>
        <w:t xml:space="preserve">the Annex to </w:t>
      </w:r>
      <w:r w:rsidRPr="001771C9">
        <w:rPr>
          <w:lang w:val="en-US"/>
        </w:rPr>
        <w:t xml:space="preserve">RTS 7.2.3 should not only cover </w:t>
      </w:r>
      <w:r w:rsidR="001771C9" w:rsidRPr="001771C9">
        <w:rPr>
          <w:lang w:val="en-US"/>
        </w:rPr>
        <w:t>po</w:t>
      </w:r>
      <w:r w:rsidR="001771C9">
        <w:rPr>
          <w:lang w:val="en-US"/>
        </w:rPr>
        <w:t>int</w:t>
      </w:r>
      <w:r w:rsidRPr="001771C9">
        <w:rPr>
          <w:lang w:val="en-US"/>
        </w:rPr>
        <w:t xml:space="preserve"> 1 of Annex III (refers to Article 23 of the </w:t>
      </w:r>
      <w:r w:rsidR="001771C9">
        <w:rPr>
          <w:lang w:val="en-US"/>
        </w:rPr>
        <w:t>ESGRR</w:t>
      </w:r>
      <w:r w:rsidRPr="001771C9">
        <w:rPr>
          <w:lang w:val="en-US"/>
        </w:rPr>
        <w:t xml:space="preserve">), but also </w:t>
      </w:r>
      <w:r w:rsidR="001771C9">
        <w:rPr>
          <w:lang w:val="en-US"/>
        </w:rPr>
        <w:t>point</w:t>
      </w:r>
      <w:r w:rsidRPr="001771C9">
        <w:rPr>
          <w:lang w:val="en-US"/>
        </w:rPr>
        <w:t xml:space="preserve"> 2 of Annex III (refers to Article 24 of the </w:t>
      </w:r>
      <w:r w:rsidR="001771C9">
        <w:rPr>
          <w:lang w:val="en-US"/>
        </w:rPr>
        <w:t>ESGRR</w:t>
      </w:r>
      <w:r w:rsidRPr="001771C9">
        <w:rPr>
          <w:lang w:val="en-US"/>
        </w:rPr>
        <w:t xml:space="preserve">), as this is helpful for users and rated </w:t>
      </w:r>
      <w:r w:rsidR="001771C9">
        <w:rPr>
          <w:lang w:val="en-US"/>
        </w:rPr>
        <w:t>items</w:t>
      </w:r>
      <w:r w:rsidRPr="001771C9">
        <w:rPr>
          <w:lang w:val="en-US"/>
        </w:rPr>
        <w:t xml:space="preserve">, in particular because it allows rated </w:t>
      </w:r>
      <w:r w:rsidR="001771C9">
        <w:rPr>
          <w:lang w:val="en-US"/>
        </w:rPr>
        <w:t>items</w:t>
      </w:r>
      <w:r w:rsidRPr="001771C9">
        <w:rPr>
          <w:lang w:val="en-US"/>
        </w:rPr>
        <w:t xml:space="preserve"> to better understand whether rating agencies have fully complied with their additional disclosure obligations.</w:t>
      </w:r>
    </w:p>
    <w:permEnd w:id="1645309941"/>
    <w:p w14:paraId="2F0C894F" w14:textId="7301DC4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655791">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_4&gt;</w:t>
      </w:r>
    </w:p>
    <w:p w14:paraId="0EFC77F0"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0691FCAC" w14:textId="5B24CD2A" w:rsidR="001B1B48" w:rsidRPr="00EA357E" w:rsidRDefault="00EA357E" w:rsidP="004A7AAC">
      <w:pPr>
        <w:pStyle w:val="Paragraph"/>
      </w:pPr>
      <w:proofErr w:type="gramStart"/>
      <w:r w:rsidRPr="00EA357E">
        <w:t>Q5</w:t>
      </w:r>
      <w:proofErr w:type="gramEnd"/>
      <w:r w:rsidRPr="00EA357E">
        <w:t xml:space="preserve"> </w:t>
      </w:r>
      <w:r w:rsidRPr="00EA357E">
        <w:tab/>
        <w:t>Do you agree with ESMA’s proposed cost benefit analysis? If not, please explain.</w:t>
      </w:r>
    </w:p>
    <w:p w14:paraId="2996F4BA" w14:textId="36938C88"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A357E">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_5&gt;</w:t>
      </w:r>
    </w:p>
    <w:p w14:paraId="1F375DC9"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ermStart w:id="159149139" w:edGrp="everyone"/>
      <w:r w:rsidRPr="001B1B48">
        <w:rPr>
          <w:rFonts w:ascii="Calibri" w:eastAsia="Calibri" w:hAnsi="Calibri"/>
          <w:kern w:val="2"/>
          <w:sz w:val="22"/>
          <w:szCs w:val="22"/>
          <w:lang w:eastAsia="en-US"/>
          <w14:ligatures w14:val="standardContextual"/>
        </w:rPr>
        <w:t>TYPE YOUR TEXT HERE</w:t>
      </w:r>
    </w:p>
    <w:permEnd w:id="159149139"/>
    <w:p w14:paraId="2A15B62C" w14:textId="1A40E171"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A357E">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_5&gt;</w:t>
      </w:r>
    </w:p>
    <w:sectPr w:rsidR="001B1B48" w:rsidRPr="001B1B48"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1B849" w14:textId="77777777" w:rsidR="00AA54E0" w:rsidRDefault="00AA54E0" w:rsidP="007E7997">
      <w:r>
        <w:separator/>
      </w:r>
    </w:p>
  </w:endnote>
  <w:endnote w:type="continuationSeparator" w:id="0">
    <w:p w14:paraId="61D0D494" w14:textId="77777777" w:rsidR="00AA54E0" w:rsidRDefault="00AA54E0" w:rsidP="007E7997">
      <w:r>
        <w:continuationSeparator/>
      </w:r>
    </w:p>
  </w:endnote>
  <w:endnote w:type="continuationNotice" w:id="1">
    <w:p w14:paraId="4FF4A462" w14:textId="77777777" w:rsidR="00AA54E0" w:rsidRDefault="00AA54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A1AD7" w14:textId="77777777" w:rsidR="00AA54E0" w:rsidRDefault="00AA54E0" w:rsidP="007E7997">
      <w:r>
        <w:separator/>
      </w:r>
    </w:p>
  </w:footnote>
  <w:footnote w:type="continuationSeparator" w:id="0">
    <w:p w14:paraId="01E65BB9" w14:textId="77777777" w:rsidR="00AA54E0" w:rsidRDefault="00AA54E0" w:rsidP="007E7997">
      <w:r>
        <w:continuationSeparator/>
      </w:r>
    </w:p>
  </w:footnote>
  <w:footnote w:type="continuationNotice" w:id="1">
    <w:p w14:paraId="6A5E379A" w14:textId="77777777" w:rsidR="00AA54E0" w:rsidRDefault="00AA54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11D11F90" w:rsidR="00FA64BE" w:rsidRDefault="00FA64BE" w:rsidP="00FA64BE">
    <w:pPr>
      <w:pStyle w:val="Header"/>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 May 2025</w:t>
    </w:r>
    <w:r w:rsidR="00C00D4F">
      <w:rPr>
        <w:rFonts w:asciiTheme="minorHAnsi" w:eastAsiaTheme="minorEastAsia" w:hAnsiTheme="minorHAnsi" w:cstheme="minorBidi"/>
        <w:color w:val="000000" w:themeColor="text1" w:themeShade="80"/>
        <w:sz w:val="16"/>
        <w:szCs w:val="20"/>
        <w:lang w:eastAsia="en-US"/>
      </w:rPr>
      <w:br/>
    </w:r>
    <w:r w:rsidR="0013090E" w:rsidRPr="0013090E">
      <w:rPr>
        <w:rFonts w:asciiTheme="minorHAnsi" w:eastAsiaTheme="minorEastAsia" w:hAnsiTheme="minorHAnsi" w:cstheme="minorBidi"/>
        <w:color w:val="000000" w:themeColor="text1" w:themeShade="80"/>
        <w:sz w:val="16"/>
        <w:szCs w:val="20"/>
        <w:lang w:eastAsia="en-US"/>
      </w:rPr>
      <w:t>ESMA</w:t>
    </w:r>
    <w:r w:rsidR="00373AB8">
      <w:rPr>
        <w:rFonts w:asciiTheme="minorHAnsi" w:eastAsiaTheme="minorEastAsia" w:hAnsiTheme="minorHAnsi" w:cstheme="minorBidi"/>
        <w:color w:val="000000" w:themeColor="text1" w:themeShade="80"/>
        <w:sz w:val="16"/>
        <w:szCs w:val="20"/>
        <w:lang w:eastAsia="en-US"/>
      </w:rPr>
      <w:t>84</w:t>
    </w:r>
    <w:r w:rsidR="0013090E" w:rsidRPr="0013090E">
      <w:rPr>
        <w:rFonts w:asciiTheme="minorHAnsi" w:eastAsiaTheme="minorEastAsia" w:hAnsiTheme="minorHAnsi" w:cstheme="minorBidi"/>
        <w:color w:val="000000" w:themeColor="text1" w:themeShade="80"/>
        <w:sz w:val="16"/>
        <w:szCs w:val="20"/>
        <w:lang w:eastAsia="en-US"/>
      </w:rPr>
      <w:t>-</w:t>
    </w:r>
    <w:r w:rsidR="00373AB8">
      <w:rPr>
        <w:rFonts w:asciiTheme="minorHAnsi" w:eastAsiaTheme="minorEastAsia" w:hAnsiTheme="minorHAnsi" w:cstheme="minorBidi"/>
        <w:color w:val="000000" w:themeColor="text1" w:themeShade="80"/>
        <w:sz w:val="16"/>
        <w:szCs w:val="20"/>
        <w:lang w:eastAsia="en-US"/>
      </w:rPr>
      <w:t>858037815-6</w:t>
    </w:r>
    <w:r w:rsidR="006072C6">
      <w:rPr>
        <w:rFonts w:asciiTheme="minorHAnsi" w:eastAsiaTheme="minorEastAsia" w:hAnsiTheme="minorHAnsi" w:cstheme="minorBidi"/>
        <w:color w:val="000000" w:themeColor="text1" w:themeShade="80"/>
        <w:sz w:val="16"/>
        <w:szCs w:val="20"/>
        <w:lang w:eastAsia="en-US"/>
      </w:rPr>
      <w:t>83</w:t>
    </w:r>
  </w:p>
  <w:p w14:paraId="70391035" w14:textId="0FE57758" w:rsidR="00E36813" w:rsidRDefault="00FA64BE" w:rsidP="00FA64BE">
    <w:pPr>
      <w:pStyle w:val="Header"/>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6AFB6F"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Header"/>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Header"/>
      <w:jc w:val="right"/>
      <w:rPr>
        <w:rFonts w:asciiTheme="minorHAnsi" w:hAnsiTheme="minorHAnsi" w:cstheme="minorHAnsi"/>
        <w:color w:val="2F5496" w:themeColor="accent5" w:themeShade="BF"/>
        <w:sz w:val="20"/>
      </w:rPr>
    </w:pPr>
  </w:p>
  <w:p w14:paraId="3E983FE8" w14:textId="71D87355" w:rsidR="00FA64BE" w:rsidRDefault="00FA64BE" w:rsidP="00FA64BE">
    <w:pPr>
      <w:pStyle w:val="Header"/>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Header"/>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2245"/>
    <w:multiLevelType w:val="multilevel"/>
    <w:tmpl w:val="140A45D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181D69"/>
    <w:multiLevelType w:val="hybridMultilevel"/>
    <w:tmpl w:val="0A189E10"/>
    <w:lvl w:ilvl="0" w:tplc="52DE78C0">
      <w:start w:val="1"/>
      <w:numFmt w:val="upp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7"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4"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EBB2258"/>
    <w:multiLevelType w:val="multilevel"/>
    <w:tmpl w:val="0F629336"/>
    <w:lvl w:ilvl="0">
      <w:start w:val="1"/>
      <w:numFmt w:val="decimal"/>
      <w:pStyle w:val="ListParagraph"/>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9"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61E9697E"/>
    <w:multiLevelType w:val="multilevel"/>
    <w:tmpl w:val="B130F2EA"/>
    <w:lvl w:ilvl="0">
      <w:start w:val="4"/>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5"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8"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3"/>
  </w:num>
  <w:num w:numId="2" w16cid:durableId="1495532731">
    <w:abstractNumId w:val="3"/>
  </w:num>
  <w:num w:numId="3" w16cid:durableId="994409496">
    <w:abstractNumId w:val="27"/>
  </w:num>
  <w:num w:numId="4" w16cid:durableId="1880320868">
    <w:abstractNumId w:val="4"/>
  </w:num>
  <w:num w:numId="5" w16cid:durableId="290864581">
    <w:abstractNumId w:val="14"/>
  </w:num>
  <w:num w:numId="6" w16cid:durableId="952590553">
    <w:abstractNumId w:val="29"/>
  </w:num>
  <w:num w:numId="7" w16cid:durableId="1159686949">
    <w:abstractNumId w:val="13"/>
  </w:num>
  <w:num w:numId="8" w16cid:durableId="765269892">
    <w:abstractNumId w:val="6"/>
  </w:num>
  <w:num w:numId="9" w16cid:durableId="1301960395">
    <w:abstractNumId w:val="9"/>
  </w:num>
  <w:num w:numId="10" w16cid:durableId="1228616548">
    <w:abstractNumId w:val="8"/>
  </w:num>
  <w:num w:numId="11" w16cid:durableId="2051027016">
    <w:abstractNumId w:val="7"/>
  </w:num>
  <w:num w:numId="12" w16cid:durableId="83380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30"/>
  </w:num>
  <w:num w:numId="15" w16cid:durableId="986476960">
    <w:abstractNumId w:val="23"/>
  </w:num>
  <w:num w:numId="16" w16cid:durableId="398749299">
    <w:abstractNumId w:val="28"/>
  </w:num>
  <w:num w:numId="17" w16cid:durableId="14076118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5"/>
  </w:num>
  <w:num w:numId="19" w16cid:durableId="558588771">
    <w:abstractNumId w:val="29"/>
  </w:num>
  <w:num w:numId="20" w16cid:durableId="1306933315">
    <w:abstractNumId w:val="11"/>
  </w:num>
  <w:num w:numId="21" w16cid:durableId="1623876054">
    <w:abstractNumId w:val="26"/>
  </w:num>
  <w:num w:numId="22" w16cid:durableId="783383837">
    <w:abstractNumId w:val="15"/>
  </w:num>
  <w:num w:numId="23" w16cid:durableId="2112964618">
    <w:abstractNumId w:val="22"/>
  </w:num>
  <w:num w:numId="24" w16cid:durableId="1958565453">
    <w:abstractNumId w:val="1"/>
  </w:num>
  <w:num w:numId="25" w16cid:durableId="1372725395">
    <w:abstractNumId w:val="20"/>
  </w:num>
  <w:num w:numId="26" w16cid:durableId="1686445133">
    <w:abstractNumId w:val="17"/>
  </w:num>
  <w:num w:numId="27" w16cid:durableId="1247768697">
    <w:abstractNumId w:val="10"/>
  </w:num>
  <w:num w:numId="28" w16cid:durableId="954170948">
    <w:abstractNumId w:val="2"/>
  </w:num>
  <w:num w:numId="29" w16cid:durableId="837424337">
    <w:abstractNumId w:val="19"/>
  </w:num>
  <w:num w:numId="30" w16cid:durableId="299657983">
    <w:abstractNumId w:val="5"/>
  </w:num>
  <w:num w:numId="31" w16cid:durableId="699822250">
    <w:abstractNumId w:val="16"/>
  </w:num>
  <w:num w:numId="32" w16cid:durableId="730466929">
    <w:abstractNumId w:val="12"/>
    <w:lvlOverride w:ilvl="0">
      <w:startOverride w:val="1"/>
    </w:lvlOverride>
  </w:num>
  <w:num w:numId="33" w16cid:durableId="552498262">
    <w:abstractNumId w:val="21"/>
  </w:num>
  <w:num w:numId="34" w16cid:durableId="1829132647">
    <w:abstractNumId w:val="12"/>
    <w:lvlOverride w:ilvl="0">
      <w:startOverride w:val="1"/>
    </w:lvlOverride>
  </w:num>
  <w:num w:numId="35" w16cid:durableId="1915964461">
    <w:abstractNumId w:val="12"/>
    <w:lvlOverride w:ilvl="0">
      <w:startOverride w:val="1"/>
    </w:lvlOverride>
  </w:num>
  <w:num w:numId="36" w16cid:durableId="1385182617">
    <w:abstractNumId w:val="12"/>
    <w:lvlOverride w:ilvl="0">
      <w:startOverride w:val="1"/>
    </w:lvlOverride>
  </w:num>
  <w:num w:numId="37" w16cid:durableId="36910988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618703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63847730">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0574198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6622355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US" w:vendorID="64" w:dllVersion="0" w:nlCheck="1" w:checkStyle="0"/>
  <w:activeWritingStyle w:appName="MSWord" w:lang="en-GB" w:vendorID="64" w:dllVersion="0" w:nlCheck="1" w:checkStyle="0"/>
  <w:activeWritingStyle w:appName="MSWord" w:lang="de-DE" w:vendorID="64" w:dllVersion="0" w:nlCheck="1" w:checkStyle="0"/>
  <w:proofState w:spelling="clean" w:grammar="clean"/>
  <w:attachedTemplate r:id="rId1"/>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378C"/>
    <w:rsid w:val="00026327"/>
    <w:rsid w:val="00027EC9"/>
    <w:rsid w:val="00030F9C"/>
    <w:rsid w:val="000310AB"/>
    <w:rsid w:val="00033934"/>
    <w:rsid w:val="00036C09"/>
    <w:rsid w:val="000372BF"/>
    <w:rsid w:val="00040A52"/>
    <w:rsid w:val="00044C5A"/>
    <w:rsid w:val="00044E0A"/>
    <w:rsid w:val="00047C57"/>
    <w:rsid w:val="00054E00"/>
    <w:rsid w:val="00061B2B"/>
    <w:rsid w:val="000627C5"/>
    <w:rsid w:val="0006448C"/>
    <w:rsid w:val="0006449B"/>
    <w:rsid w:val="000655AD"/>
    <w:rsid w:val="00066FD1"/>
    <w:rsid w:val="00072BF9"/>
    <w:rsid w:val="00073DF9"/>
    <w:rsid w:val="0007767E"/>
    <w:rsid w:val="0007796D"/>
    <w:rsid w:val="000830DA"/>
    <w:rsid w:val="00083FBB"/>
    <w:rsid w:val="00086F71"/>
    <w:rsid w:val="000921E6"/>
    <w:rsid w:val="00092D6C"/>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406A"/>
    <w:rsid w:val="000C5032"/>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574A"/>
    <w:rsid w:val="001075EC"/>
    <w:rsid w:val="00113D82"/>
    <w:rsid w:val="00120F0D"/>
    <w:rsid w:val="001214DA"/>
    <w:rsid w:val="0012722A"/>
    <w:rsid w:val="0013090E"/>
    <w:rsid w:val="00130EF9"/>
    <w:rsid w:val="001319C7"/>
    <w:rsid w:val="001355E6"/>
    <w:rsid w:val="0013644A"/>
    <w:rsid w:val="00140762"/>
    <w:rsid w:val="00140BA6"/>
    <w:rsid w:val="00141946"/>
    <w:rsid w:val="00143DCA"/>
    <w:rsid w:val="00144AAD"/>
    <w:rsid w:val="001455E7"/>
    <w:rsid w:val="0014624E"/>
    <w:rsid w:val="001522DD"/>
    <w:rsid w:val="00155BAB"/>
    <w:rsid w:val="001608B2"/>
    <w:rsid w:val="00160FE0"/>
    <w:rsid w:val="00163AB3"/>
    <w:rsid w:val="00165047"/>
    <w:rsid w:val="00165FF8"/>
    <w:rsid w:val="0016669F"/>
    <w:rsid w:val="00170AD6"/>
    <w:rsid w:val="001735B8"/>
    <w:rsid w:val="00174613"/>
    <w:rsid w:val="001771C9"/>
    <w:rsid w:val="00177AA7"/>
    <w:rsid w:val="00180917"/>
    <w:rsid w:val="00180E53"/>
    <w:rsid w:val="00181CB7"/>
    <w:rsid w:val="001828CE"/>
    <w:rsid w:val="001860BF"/>
    <w:rsid w:val="001862A5"/>
    <w:rsid w:val="00186A70"/>
    <w:rsid w:val="00191035"/>
    <w:rsid w:val="001918E5"/>
    <w:rsid w:val="00192A7A"/>
    <w:rsid w:val="00197AAF"/>
    <w:rsid w:val="001A1EF4"/>
    <w:rsid w:val="001A7046"/>
    <w:rsid w:val="001A710D"/>
    <w:rsid w:val="001A7E6F"/>
    <w:rsid w:val="001B0A77"/>
    <w:rsid w:val="001B1727"/>
    <w:rsid w:val="001B1B48"/>
    <w:rsid w:val="001B2151"/>
    <w:rsid w:val="001B3CFF"/>
    <w:rsid w:val="001B4957"/>
    <w:rsid w:val="001B4996"/>
    <w:rsid w:val="001C0E59"/>
    <w:rsid w:val="001C432D"/>
    <w:rsid w:val="001C469E"/>
    <w:rsid w:val="001C56C3"/>
    <w:rsid w:val="001C5D8C"/>
    <w:rsid w:val="001C7E0A"/>
    <w:rsid w:val="001D0112"/>
    <w:rsid w:val="001D19F5"/>
    <w:rsid w:val="001D385A"/>
    <w:rsid w:val="001D3AC4"/>
    <w:rsid w:val="001D6B39"/>
    <w:rsid w:val="001E1ECD"/>
    <w:rsid w:val="001E3E0D"/>
    <w:rsid w:val="001E4A45"/>
    <w:rsid w:val="001E5AB7"/>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7625E"/>
    <w:rsid w:val="00282B3A"/>
    <w:rsid w:val="00282D38"/>
    <w:rsid w:val="00282FBE"/>
    <w:rsid w:val="00284802"/>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B5F3D"/>
    <w:rsid w:val="002C03FD"/>
    <w:rsid w:val="002C044D"/>
    <w:rsid w:val="002C1AA5"/>
    <w:rsid w:val="002C2A46"/>
    <w:rsid w:val="002C3048"/>
    <w:rsid w:val="002C76AE"/>
    <w:rsid w:val="002D0066"/>
    <w:rsid w:val="002D2992"/>
    <w:rsid w:val="002D37A0"/>
    <w:rsid w:val="002D5AB5"/>
    <w:rsid w:val="002D6667"/>
    <w:rsid w:val="002D761A"/>
    <w:rsid w:val="002D79F3"/>
    <w:rsid w:val="002E1C11"/>
    <w:rsid w:val="002E3D0B"/>
    <w:rsid w:val="002E3E7D"/>
    <w:rsid w:val="002E5857"/>
    <w:rsid w:val="002E6A8E"/>
    <w:rsid w:val="002F6279"/>
    <w:rsid w:val="00300F55"/>
    <w:rsid w:val="003013B7"/>
    <w:rsid w:val="00301993"/>
    <w:rsid w:val="00301E55"/>
    <w:rsid w:val="00307397"/>
    <w:rsid w:val="003101EF"/>
    <w:rsid w:val="00312BDD"/>
    <w:rsid w:val="00314117"/>
    <w:rsid w:val="00317EDF"/>
    <w:rsid w:val="00322B55"/>
    <w:rsid w:val="003279E7"/>
    <w:rsid w:val="00327B62"/>
    <w:rsid w:val="00331FE9"/>
    <w:rsid w:val="0033324D"/>
    <w:rsid w:val="0033587C"/>
    <w:rsid w:val="0033696D"/>
    <w:rsid w:val="00336BF9"/>
    <w:rsid w:val="003371E8"/>
    <w:rsid w:val="00337471"/>
    <w:rsid w:val="0034151D"/>
    <w:rsid w:val="00342B5B"/>
    <w:rsid w:val="00343532"/>
    <w:rsid w:val="00345469"/>
    <w:rsid w:val="003454ED"/>
    <w:rsid w:val="00345EB9"/>
    <w:rsid w:val="00346AF3"/>
    <w:rsid w:val="0035030F"/>
    <w:rsid w:val="003519DD"/>
    <w:rsid w:val="00351B68"/>
    <w:rsid w:val="00351F68"/>
    <w:rsid w:val="00353C4B"/>
    <w:rsid w:val="003545A6"/>
    <w:rsid w:val="00356C60"/>
    <w:rsid w:val="003578D1"/>
    <w:rsid w:val="00363639"/>
    <w:rsid w:val="00366D42"/>
    <w:rsid w:val="0036748C"/>
    <w:rsid w:val="00372615"/>
    <w:rsid w:val="00372EA3"/>
    <w:rsid w:val="0037311D"/>
    <w:rsid w:val="0037358E"/>
    <w:rsid w:val="00373A3C"/>
    <w:rsid w:val="00373AB8"/>
    <w:rsid w:val="00373FCF"/>
    <w:rsid w:val="00376233"/>
    <w:rsid w:val="00380B30"/>
    <w:rsid w:val="00381784"/>
    <w:rsid w:val="00381EB0"/>
    <w:rsid w:val="00382A72"/>
    <w:rsid w:val="00382EBA"/>
    <w:rsid w:val="0038331A"/>
    <w:rsid w:val="0039135B"/>
    <w:rsid w:val="0039196D"/>
    <w:rsid w:val="003A34E7"/>
    <w:rsid w:val="003A3CB1"/>
    <w:rsid w:val="003A3D55"/>
    <w:rsid w:val="003A73A4"/>
    <w:rsid w:val="003B102E"/>
    <w:rsid w:val="003B26BA"/>
    <w:rsid w:val="003B4E3D"/>
    <w:rsid w:val="003C167E"/>
    <w:rsid w:val="003C481D"/>
    <w:rsid w:val="003C4EB5"/>
    <w:rsid w:val="003D1099"/>
    <w:rsid w:val="003D2CED"/>
    <w:rsid w:val="003D344A"/>
    <w:rsid w:val="003D3BB8"/>
    <w:rsid w:val="003D72F4"/>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4ED5"/>
    <w:rsid w:val="0040743A"/>
    <w:rsid w:val="00407623"/>
    <w:rsid w:val="00407A74"/>
    <w:rsid w:val="004114D5"/>
    <w:rsid w:val="00414210"/>
    <w:rsid w:val="004159DB"/>
    <w:rsid w:val="00420FD4"/>
    <w:rsid w:val="004242B3"/>
    <w:rsid w:val="00424A4F"/>
    <w:rsid w:val="00426D62"/>
    <w:rsid w:val="00427A89"/>
    <w:rsid w:val="00430C5B"/>
    <w:rsid w:val="00431968"/>
    <w:rsid w:val="00433936"/>
    <w:rsid w:val="0043475E"/>
    <w:rsid w:val="00435FE9"/>
    <w:rsid w:val="00436279"/>
    <w:rsid w:val="00436CAE"/>
    <w:rsid w:val="0044199E"/>
    <w:rsid w:val="0044206D"/>
    <w:rsid w:val="00444803"/>
    <w:rsid w:val="00445696"/>
    <w:rsid w:val="004456B0"/>
    <w:rsid w:val="00446E5F"/>
    <w:rsid w:val="00450C4E"/>
    <w:rsid w:val="00455577"/>
    <w:rsid w:val="00456795"/>
    <w:rsid w:val="004578B3"/>
    <w:rsid w:val="0046150E"/>
    <w:rsid w:val="00461CC8"/>
    <w:rsid w:val="00462B2F"/>
    <w:rsid w:val="00462E09"/>
    <w:rsid w:val="00465EAA"/>
    <w:rsid w:val="004708CA"/>
    <w:rsid w:val="004709E7"/>
    <w:rsid w:val="00470ADE"/>
    <w:rsid w:val="004712C7"/>
    <w:rsid w:val="004759EB"/>
    <w:rsid w:val="00477919"/>
    <w:rsid w:val="00482611"/>
    <w:rsid w:val="00482A27"/>
    <w:rsid w:val="0048775E"/>
    <w:rsid w:val="00487DCE"/>
    <w:rsid w:val="00492701"/>
    <w:rsid w:val="004950B7"/>
    <w:rsid w:val="0049534D"/>
    <w:rsid w:val="00497FEA"/>
    <w:rsid w:val="004A75F5"/>
    <w:rsid w:val="004A7AAC"/>
    <w:rsid w:val="004B07B2"/>
    <w:rsid w:val="004B0955"/>
    <w:rsid w:val="004B143D"/>
    <w:rsid w:val="004B1842"/>
    <w:rsid w:val="004B25D0"/>
    <w:rsid w:val="004B3553"/>
    <w:rsid w:val="004B5E92"/>
    <w:rsid w:val="004B6859"/>
    <w:rsid w:val="004C0A30"/>
    <w:rsid w:val="004C357C"/>
    <w:rsid w:val="004C3D18"/>
    <w:rsid w:val="004D42B1"/>
    <w:rsid w:val="004D526F"/>
    <w:rsid w:val="004E0583"/>
    <w:rsid w:val="004E19C0"/>
    <w:rsid w:val="004E1C54"/>
    <w:rsid w:val="004E2C37"/>
    <w:rsid w:val="004E5285"/>
    <w:rsid w:val="004F0CF3"/>
    <w:rsid w:val="004F5740"/>
    <w:rsid w:val="004F58C9"/>
    <w:rsid w:val="004F6824"/>
    <w:rsid w:val="005028B9"/>
    <w:rsid w:val="00503A3F"/>
    <w:rsid w:val="00505E17"/>
    <w:rsid w:val="00511A59"/>
    <w:rsid w:val="00511C3B"/>
    <w:rsid w:val="00513DA2"/>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664AB"/>
    <w:rsid w:val="005725BD"/>
    <w:rsid w:val="005730B0"/>
    <w:rsid w:val="00575DCC"/>
    <w:rsid w:val="005821B0"/>
    <w:rsid w:val="00585F2C"/>
    <w:rsid w:val="0059175F"/>
    <w:rsid w:val="00591AAC"/>
    <w:rsid w:val="00595F08"/>
    <w:rsid w:val="00595FBE"/>
    <w:rsid w:val="005A1C55"/>
    <w:rsid w:val="005B169D"/>
    <w:rsid w:val="005B467C"/>
    <w:rsid w:val="005B4ACA"/>
    <w:rsid w:val="005B6636"/>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34FE"/>
    <w:rsid w:val="00623840"/>
    <w:rsid w:val="006255EC"/>
    <w:rsid w:val="00625A25"/>
    <w:rsid w:val="0062736A"/>
    <w:rsid w:val="0063565E"/>
    <w:rsid w:val="00636E02"/>
    <w:rsid w:val="006372FE"/>
    <w:rsid w:val="00640691"/>
    <w:rsid w:val="00641DB1"/>
    <w:rsid w:val="00642297"/>
    <w:rsid w:val="00644A34"/>
    <w:rsid w:val="00652C60"/>
    <w:rsid w:val="00654824"/>
    <w:rsid w:val="00655791"/>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3710"/>
    <w:rsid w:val="00695AF2"/>
    <w:rsid w:val="00696A2B"/>
    <w:rsid w:val="00696BD5"/>
    <w:rsid w:val="006A04AE"/>
    <w:rsid w:val="006A0AE4"/>
    <w:rsid w:val="006A23F3"/>
    <w:rsid w:val="006A2CF3"/>
    <w:rsid w:val="006A5047"/>
    <w:rsid w:val="006A5E48"/>
    <w:rsid w:val="006A7A10"/>
    <w:rsid w:val="006B0DA4"/>
    <w:rsid w:val="006B1B6B"/>
    <w:rsid w:val="006B2C57"/>
    <w:rsid w:val="006B391B"/>
    <w:rsid w:val="006B79E0"/>
    <w:rsid w:val="006C0B2D"/>
    <w:rsid w:val="006C1633"/>
    <w:rsid w:val="006C5BF8"/>
    <w:rsid w:val="006C7CCB"/>
    <w:rsid w:val="006D3F14"/>
    <w:rsid w:val="006D3FDF"/>
    <w:rsid w:val="006D6009"/>
    <w:rsid w:val="006D7D41"/>
    <w:rsid w:val="006E2F4D"/>
    <w:rsid w:val="006E3FDD"/>
    <w:rsid w:val="006E58FB"/>
    <w:rsid w:val="006E5D82"/>
    <w:rsid w:val="006E66B2"/>
    <w:rsid w:val="006E6C50"/>
    <w:rsid w:val="006E7A69"/>
    <w:rsid w:val="006E7DE4"/>
    <w:rsid w:val="006F53E8"/>
    <w:rsid w:val="006F5FB8"/>
    <w:rsid w:val="006F668E"/>
    <w:rsid w:val="0070017B"/>
    <w:rsid w:val="0070427E"/>
    <w:rsid w:val="00704D53"/>
    <w:rsid w:val="007056C3"/>
    <w:rsid w:val="00706072"/>
    <w:rsid w:val="0070659D"/>
    <w:rsid w:val="00713644"/>
    <w:rsid w:val="007148CC"/>
    <w:rsid w:val="00721256"/>
    <w:rsid w:val="007217AD"/>
    <w:rsid w:val="007219A9"/>
    <w:rsid w:val="00723BA1"/>
    <w:rsid w:val="00724A1B"/>
    <w:rsid w:val="0073173E"/>
    <w:rsid w:val="007319C3"/>
    <w:rsid w:val="0073454F"/>
    <w:rsid w:val="00735C00"/>
    <w:rsid w:val="007364C6"/>
    <w:rsid w:val="00740BF3"/>
    <w:rsid w:val="00741D5C"/>
    <w:rsid w:val="0074352F"/>
    <w:rsid w:val="00747C5E"/>
    <w:rsid w:val="00750210"/>
    <w:rsid w:val="0075162F"/>
    <w:rsid w:val="00754844"/>
    <w:rsid w:val="00754B57"/>
    <w:rsid w:val="0075671D"/>
    <w:rsid w:val="0076002F"/>
    <w:rsid w:val="0076038B"/>
    <w:rsid w:val="00761744"/>
    <w:rsid w:val="00764582"/>
    <w:rsid w:val="00765FA3"/>
    <w:rsid w:val="00766961"/>
    <w:rsid w:val="00766B5A"/>
    <w:rsid w:val="0077026A"/>
    <w:rsid w:val="00770C33"/>
    <w:rsid w:val="007741C3"/>
    <w:rsid w:val="00777BE0"/>
    <w:rsid w:val="00777CFF"/>
    <w:rsid w:val="00780923"/>
    <w:rsid w:val="00781265"/>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642"/>
    <w:rsid w:val="007F5822"/>
    <w:rsid w:val="007F5B86"/>
    <w:rsid w:val="008006E4"/>
    <w:rsid w:val="00800A7F"/>
    <w:rsid w:val="008027DC"/>
    <w:rsid w:val="0080285D"/>
    <w:rsid w:val="00805B7C"/>
    <w:rsid w:val="0081028F"/>
    <w:rsid w:val="008107D9"/>
    <w:rsid w:val="0081093B"/>
    <w:rsid w:val="008116D9"/>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BF"/>
    <w:rsid w:val="00872209"/>
    <w:rsid w:val="008731EB"/>
    <w:rsid w:val="00873656"/>
    <w:rsid w:val="00880140"/>
    <w:rsid w:val="008842F7"/>
    <w:rsid w:val="00885B94"/>
    <w:rsid w:val="0089075A"/>
    <w:rsid w:val="00890F80"/>
    <w:rsid w:val="00892BFD"/>
    <w:rsid w:val="0089338A"/>
    <w:rsid w:val="00894199"/>
    <w:rsid w:val="008948BE"/>
    <w:rsid w:val="00894D4D"/>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28FD"/>
    <w:rsid w:val="008D59F9"/>
    <w:rsid w:val="008D5C28"/>
    <w:rsid w:val="008E00A6"/>
    <w:rsid w:val="008E2D26"/>
    <w:rsid w:val="008E3C8E"/>
    <w:rsid w:val="008E4076"/>
    <w:rsid w:val="008E7DBA"/>
    <w:rsid w:val="008F1993"/>
    <w:rsid w:val="008F3386"/>
    <w:rsid w:val="008F3AD9"/>
    <w:rsid w:val="008F4642"/>
    <w:rsid w:val="008F4C29"/>
    <w:rsid w:val="008F4E00"/>
    <w:rsid w:val="008F6163"/>
    <w:rsid w:val="008F761D"/>
    <w:rsid w:val="00900D44"/>
    <w:rsid w:val="00902520"/>
    <w:rsid w:val="00906DC4"/>
    <w:rsid w:val="00911A61"/>
    <w:rsid w:val="0091457F"/>
    <w:rsid w:val="0091729E"/>
    <w:rsid w:val="0093261E"/>
    <w:rsid w:val="0094008E"/>
    <w:rsid w:val="00941C0C"/>
    <w:rsid w:val="009437F2"/>
    <w:rsid w:val="0094528B"/>
    <w:rsid w:val="00960A8B"/>
    <w:rsid w:val="0096240C"/>
    <w:rsid w:val="00965128"/>
    <w:rsid w:val="00967068"/>
    <w:rsid w:val="00973F43"/>
    <w:rsid w:val="0097536F"/>
    <w:rsid w:val="0097785D"/>
    <w:rsid w:val="0098011D"/>
    <w:rsid w:val="00981912"/>
    <w:rsid w:val="009819C0"/>
    <w:rsid w:val="009835AD"/>
    <w:rsid w:val="00987A75"/>
    <w:rsid w:val="00990C72"/>
    <w:rsid w:val="00991A8A"/>
    <w:rsid w:val="00992611"/>
    <w:rsid w:val="00994303"/>
    <w:rsid w:val="0099526D"/>
    <w:rsid w:val="00996C8B"/>
    <w:rsid w:val="009A0054"/>
    <w:rsid w:val="009A0F6E"/>
    <w:rsid w:val="009A2D9C"/>
    <w:rsid w:val="009A38D9"/>
    <w:rsid w:val="009A5548"/>
    <w:rsid w:val="009B25C1"/>
    <w:rsid w:val="009B7B79"/>
    <w:rsid w:val="009C0383"/>
    <w:rsid w:val="009C145B"/>
    <w:rsid w:val="009C3E04"/>
    <w:rsid w:val="009C4FB0"/>
    <w:rsid w:val="009C747F"/>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9F5AAB"/>
    <w:rsid w:val="00A02199"/>
    <w:rsid w:val="00A026A4"/>
    <w:rsid w:val="00A04044"/>
    <w:rsid w:val="00A055DD"/>
    <w:rsid w:val="00A11D0C"/>
    <w:rsid w:val="00A16579"/>
    <w:rsid w:val="00A24843"/>
    <w:rsid w:val="00A25AB7"/>
    <w:rsid w:val="00A26D48"/>
    <w:rsid w:val="00A31C7C"/>
    <w:rsid w:val="00A367AA"/>
    <w:rsid w:val="00A378DF"/>
    <w:rsid w:val="00A37AC6"/>
    <w:rsid w:val="00A409C2"/>
    <w:rsid w:val="00A410CC"/>
    <w:rsid w:val="00A42B43"/>
    <w:rsid w:val="00A42BD0"/>
    <w:rsid w:val="00A433DC"/>
    <w:rsid w:val="00A460CD"/>
    <w:rsid w:val="00A50761"/>
    <w:rsid w:val="00A51DF2"/>
    <w:rsid w:val="00A53601"/>
    <w:rsid w:val="00A53AF0"/>
    <w:rsid w:val="00A54ED7"/>
    <w:rsid w:val="00A61561"/>
    <w:rsid w:val="00A63249"/>
    <w:rsid w:val="00A6691F"/>
    <w:rsid w:val="00A67E6A"/>
    <w:rsid w:val="00A70F49"/>
    <w:rsid w:val="00A72203"/>
    <w:rsid w:val="00A7281F"/>
    <w:rsid w:val="00A73299"/>
    <w:rsid w:val="00A73949"/>
    <w:rsid w:val="00A76707"/>
    <w:rsid w:val="00A7697E"/>
    <w:rsid w:val="00A76C98"/>
    <w:rsid w:val="00A76E20"/>
    <w:rsid w:val="00A8284E"/>
    <w:rsid w:val="00A870EE"/>
    <w:rsid w:val="00A91D91"/>
    <w:rsid w:val="00A96F81"/>
    <w:rsid w:val="00A9709D"/>
    <w:rsid w:val="00AA054E"/>
    <w:rsid w:val="00AA0A10"/>
    <w:rsid w:val="00AA2094"/>
    <w:rsid w:val="00AA2947"/>
    <w:rsid w:val="00AA54E0"/>
    <w:rsid w:val="00AA7461"/>
    <w:rsid w:val="00AB1894"/>
    <w:rsid w:val="00AB22DF"/>
    <w:rsid w:val="00AB2C3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2C38"/>
    <w:rsid w:val="00B14406"/>
    <w:rsid w:val="00B14F01"/>
    <w:rsid w:val="00B15525"/>
    <w:rsid w:val="00B15C0B"/>
    <w:rsid w:val="00B16706"/>
    <w:rsid w:val="00B174BA"/>
    <w:rsid w:val="00B17AF3"/>
    <w:rsid w:val="00B202D6"/>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3FF2"/>
    <w:rsid w:val="00B74CBA"/>
    <w:rsid w:val="00B74ED3"/>
    <w:rsid w:val="00B768CF"/>
    <w:rsid w:val="00B80FAC"/>
    <w:rsid w:val="00B81A44"/>
    <w:rsid w:val="00B86BB5"/>
    <w:rsid w:val="00B91072"/>
    <w:rsid w:val="00B91B6E"/>
    <w:rsid w:val="00B94B2C"/>
    <w:rsid w:val="00B96F7D"/>
    <w:rsid w:val="00B970D0"/>
    <w:rsid w:val="00BA49F4"/>
    <w:rsid w:val="00BA5C41"/>
    <w:rsid w:val="00BA6ACA"/>
    <w:rsid w:val="00BA7232"/>
    <w:rsid w:val="00BA7809"/>
    <w:rsid w:val="00BB29AA"/>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D4F"/>
    <w:rsid w:val="00C00F1C"/>
    <w:rsid w:val="00C0346D"/>
    <w:rsid w:val="00C0358F"/>
    <w:rsid w:val="00C03BB0"/>
    <w:rsid w:val="00C041CF"/>
    <w:rsid w:val="00C0696A"/>
    <w:rsid w:val="00C11CFA"/>
    <w:rsid w:val="00C12034"/>
    <w:rsid w:val="00C1396B"/>
    <w:rsid w:val="00C16775"/>
    <w:rsid w:val="00C1698A"/>
    <w:rsid w:val="00C17150"/>
    <w:rsid w:val="00C17E6C"/>
    <w:rsid w:val="00C23EE3"/>
    <w:rsid w:val="00C249CC"/>
    <w:rsid w:val="00C24E5F"/>
    <w:rsid w:val="00C255B6"/>
    <w:rsid w:val="00C262E7"/>
    <w:rsid w:val="00C26F3A"/>
    <w:rsid w:val="00C2770B"/>
    <w:rsid w:val="00C30296"/>
    <w:rsid w:val="00C3170E"/>
    <w:rsid w:val="00C31947"/>
    <w:rsid w:val="00C35586"/>
    <w:rsid w:val="00C40053"/>
    <w:rsid w:val="00C4294D"/>
    <w:rsid w:val="00C42E0E"/>
    <w:rsid w:val="00C444C8"/>
    <w:rsid w:val="00C452DD"/>
    <w:rsid w:val="00C45856"/>
    <w:rsid w:val="00C46603"/>
    <w:rsid w:val="00C54316"/>
    <w:rsid w:val="00C55208"/>
    <w:rsid w:val="00C5527D"/>
    <w:rsid w:val="00C61B1A"/>
    <w:rsid w:val="00C62A53"/>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97F9B"/>
    <w:rsid w:val="00CA112D"/>
    <w:rsid w:val="00CA1F9F"/>
    <w:rsid w:val="00CA2179"/>
    <w:rsid w:val="00CA3D8A"/>
    <w:rsid w:val="00CA4A87"/>
    <w:rsid w:val="00CB0C0C"/>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5E02"/>
    <w:rsid w:val="00D378C9"/>
    <w:rsid w:val="00D37B9F"/>
    <w:rsid w:val="00D41425"/>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4C2A"/>
    <w:rsid w:val="00D9064B"/>
    <w:rsid w:val="00D95D17"/>
    <w:rsid w:val="00D978C6"/>
    <w:rsid w:val="00D97F28"/>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3DEA"/>
    <w:rsid w:val="00DB40BD"/>
    <w:rsid w:val="00DB4B8E"/>
    <w:rsid w:val="00DB4F4B"/>
    <w:rsid w:val="00DC070F"/>
    <w:rsid w:val="00DC3462"/>
    <w:rsid w:val="00DC3858"/>
    <w:rsid w:val="00DC3A57"/>
    <w:rsid w:val="00DC7A95"/>
    <w:rsid w:val="00DD1DAF"/>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1A5B"/>
    <w:rsid w:val="00E333AC"/>
    <w:rsid w:val="00E3456B"/>
    <w:rsid w:val="00E35690"/>
    <w:rsid w:val="00E35C16"/>
    <w:rsid w:val="00E36085"/>
    <w:rsid w:val="00E36813"/>
    <w:rsid w:val="00E40CB7"/>
    <w:rsid w:val="00E42382"/>
    <w:rsid w:val="00E603DF"/>
    <w:rsid w:val="00E63745"/>
    <w:rsid w:val="00E6699F"/>
    <w:rsid w:val="00E67845"/>
    <w:rsid w:val="00E67B40"/>
    <w:rsid w:val="00E703AE"/>
    <w:rsid w:val="00E72373"/>
    <w:rsid w:val="00E74A40"/>
    <w:rsid w:val="00E76AF9"/>
    <w:rsid w:val="00E84EF0"/>
    <w:rsid w:val="00E8649C"/>
    <w:rsid w:val="00E87886"/>
    <w:rsid w:val="00E87CDE"/>
    <w:rsid w:val="00E91FC1"/>
    <w:rsid w:val="00E92D54"/>
    <w:rsid w:val="00E9323C"/>
    <w:rsid w:val="00E95FD8"/>
    <w:rsid w:val="00EA0283"/>
    <w:rsid w:val="00EA357E"/>
    <w:rsid w:val="00EA5DE1"/>
    <w:rsid w:val="00EB0C86"/>
    <w:rsid w:val="00EB0E16"/>
    <w:rsid w:val="00EB1A57"/>
    <w:rsid w:val="00EB236F"/>
    <w:rsid w:val="00EB237E"/>
    <w:rsid w:val="00EC1546"/>
    <w:rsid w:val="00EC15D5"/>
    <w:rsid w:val="00EC4D18"/>
    <w:rsid w:val="00EC5B23"/>
    <w:rsid w:val="00EC5DED"/>
    <w:rsid w:val="00EC6BD8"/>
    <w:rsid w:val="00EC6F3E"/>
    <w:rsid w:val="00ED0356"/>
    <w:rsid w:val="00ED0D71"/>
    <w:rsid w:val="00ED3DCD"/>
    <w:rsid w:val="00ED3DD5"/>
    <w:rsid w:val="00ED4FDB"/>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7236"/>
    <w:rsid w:val="00F44634"/>
    <w:rsid w:val="00F45473"/>
    <w:rsid w:val="00F505EC"/>
    <w:rsid w:val="00F5088F"/>
    <w:rsid w:val="00F51657"/>
    <w:rsid w:val="00F5223C"/>
    <w:rsid w:val="00F55F69"/>
    <w:rsid w:val="00F57787"/>
    <w:rsid w:val="00F61E82"/>
    <w:rsid w:val="00F6243A"/>
    <w:rsid w:val="00F63323"/>
    <w:rsid w:val="00F636FE"/>
    <w:rsid w:val="00F648B2"/>
    <w:rsid w:val="00F67EBD"/>
    <w:rsid w:val="00F70EA4"/>
    <w:rsid w:val="00F77851"/>
    <w:rsid w:val="00F80F6A"/>
    <w:rsid w:val="00F80FAB"/>
    <w:rsid w:val="00F81AAC"/>
    <w:rsid w:val="00F81E3B"/>
    <w:rsid w:val="00F827E1"/>
    <w:rsid w:val="00F927B5"/>
    <w:rsid w:val="00F94BD0"/>
    <w:rsid w:val="00F95403"/>
    <w:rsid w:val="00F96705"/>
    <w:rsid w:val="00F96750"/>
    <w:rsid w:val="00F9704D"/>
    <w:rsid w:val="00FA0166"/>
    <w:rsid w:val="00FA2400"/>
    <w:rsid w:val="00FA33E9"/>
    <w:rsid w:val="00FA55C8"/>
    <w:rsid w:val="00FA64BE"/>
    <w:rsid w:val="00FA74C6"/>
    <w:rsid w:val="00FB24ED"/>
    <w:rsid w:val="00FB29AF"/>
    <w:rsid w:val="00FB313D"/>
    <w:rsid w:val="00FB4003"/>
    <w:rsid w:val="00FB4EBA"/>
    <w:rsid w:val="00FB7086"/>
    <w:rsid w:val="00FC1B94"/>
    <w:rsid w:val="00FC3B26"/>
    <w:rsid w:val="00FC6384"/>
    <w:rsid w:val="00FC6733"/>
    <w:rsid w:val="00FD2677"/>
    <w:rsid w:val="00FD28B8"/>
    <w:rsid w:val="00FD4D00"/>
    <w:rsid w:val="00FE0BD8"/>
    <w:rsid w:val="00FE1709"/>
    <w:rsid w:val="00FE1FC9"/>
    <w:rsid w:val="00FF32DE"/>
    <w:rsid w:val="00FF4205"/>
    <w:rsid w:val="00FF5858"/>
    <w:rsid w:val="00FF6930"/>
    <w:rsid w:val="00FF7364"/>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12FC402E-3C4A-4D9E-A44D-1C36B76C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4A7AAC"/>
    <w:pPr>
      <w:numPr>
        <w:numId w:val="37"/>
      </w:numPr>
      <w:autoSpaceDE w:val="0"/>
      <w:autoSpaceDN w:val="0"/>
      <w:adjustRightInd w:val="0"/>
      <w:spacing w:line="264" w:lineRule="auto"/>
      <w:jc w:val="both"/>
    </w:pPr>
    <w:rPr>
      <w:rFonts w:asciiTheme="minorHAnsi" w:eastAsiaTheme="majorEastAsia" w:hAnsiTheme="minorHAnsi" w:cstheme="minorHAnsi"/>
      <w:sz w:val="20"/>
      <w:szCs w:val="20"/>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7E7997"/>
    <w:pPr>
      <w:tabs>
        <w:tab w:val="center" w:pos="4536"/>
        <w:tab w:val="right" w:pos="9072"/>
      </w:tabs>
    </w:pPr>
  </w:style>
  <w:style w:type="character" w:customStyle="1" w:styleId="HeaderChar">
    <w:name w:val="Header Char"/>
    <w:basedOn w:val="DefaultParagraphFont"/>
    <w:link w:val="Header"/>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4A7AAC"/>
    <w:rPr>
      <w:rFonts w:eastAsiaTheme="majorEastAsia" w:cstheme="minorHAnsi"/>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FA64BE"/>
    <w:rPr>
      <w:b w:val="0"/>
      <w:bCs/>
      <w:caps/>
      <w:smallCaps w:val="0"/>
      <w:color w:val="70AD47" w:themeColor="accent6"/>
      <w:sz w:val="22"/>
    </w:rPr>
  </w:style>
  <w:style w:type="paragraph" w:customStyle="1" w:styleId="Paragraph">
    <w:name w:val="Paragraph"/>
    <w:basedOn w:val="ListParagraph"/>
    <w:link w:val="ParagraphChar"/>
    <w:qFormat/>
    <w:rsid w:val="00CB0C0C"/>
    <w:pPr>
      <w:numPr>
        <w:numId w:val="32"/>
      </w:numPr>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DefaultParagraphFont"/>
    <w:link w:val="Paragraph"/>
    <w:rsid w:val="00CB0C0C"/>
    <w:rPr>
      <w:rFonts w:ascii="Arial" w:hAnsi="Arial" w:cs="Arial"/>
      <w:color w:val="1A1A1A" w:themeColor="background1" w:themeShade="1A"/>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Policy Document" ma:contentTypeID="0x01010027D61B08324E424895FDA0DDD821312D02001CC94A2DC0878047AC79B02E1A10AE02" ma:contentTypeVersion="26" ma:contentTypeDescription="" ma:contentTypeScope="" ma:versionID="6f488500bae95708088b3fc3aa0ff7d6">
  <xsd:schema xmlns:xsd="http://www.w3.org/2001/XMLSchema" xmlns:xs="http://www.w3.org/2001/XMLSchema" xmlns:p="http://schemas.microsoft.com/office/2006/metadata/properties" xmlns:ns2="d0fb0f98-34f9-4d57-9559-eb8efd17aa5e" xmlns:ns3="85a93b33-139e-46e0-b278-f2636ec41d6c" xmlns:ns4="http://schemas.microsoft.com/sharepoint/v4" targetNamespace="http://schemas.microsoft.com/office/2006/metadata/properties" ma:root="true" ma:fieldsID="3df2a5322de19772e33045280ac2c293" ns2:_="" ns3:_="" ns4:_="">
    <xsd:import namespace="d0fb0f98-34f9-4d57-9559-eb8efd17aa5e"/>
    <xsd:import namespace="85a93b33-139e-46e0-b278-f2636ec41d6c"/>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f289fbc384b1484ea5f6ff6b522b513c" minOccurs="0"/>
                <xsd:element ref="ns2:TaxCatchAllLabel" minOccurs="0"/>
                <xsd:element ref="ns2:dd0664d3f47447a8943f346211d0253e" minOccurs="0"/>
                <xsd:element ref="ns2:hb56520e44e642c88c7a09896d1bc2ee" minOccurs="0"/>
                <xsd:element ref="ns2:ab8b5864a6dc4f2ea5aeb44d6d375f74" minOccurs="0"/>
                <xsd:element ref="ns2:k47b2c662a4d451c94b6991b27ccdf61" minOccurs="0"/>
                <xsd:element ref="ns2:i3322e601ac8421cbd1b686355963f37"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4:IconOverla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5b907423-e2da-4975-b472-6afe0f796169}"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f289fbc384b1484ea5f6ff6b522b513c" ma:index="17" nillable="true" ma:taxonomy="true" ma:internalName="f289fbc384b1484ea5f6ff6b522b513c" ma:taxonomyFieldName="DocumentType" ma:displayName="Document Type" ma:readOnly="false" ma:default="-1;#Note|b9e1c92e-303a-4555-86f0-5c711c65937e" ma:fieldId="{f289fbc3-84b1-484e-a5f6-ff6b522b513c}"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5b907423-e2da-4975-b472-6afe0f796169}"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dd0664d3f47447a8943f346211d0253e" ma:index="19" ma:taxonomy="true" ma:internalName="dd0664d3f47447a8943f346211d0253e" ma:taxonomyFieldName="ConfidentialityLevel" ma:displayName="Confidentiality Level" ma:readOnly="false" ma:default="8;#Regular|07f1e362-856b-423d-bea6-a14079762141" ma:fieldId="{dd0664d3-f474-47a8-943f-346211d0253e}"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hb56520e44e642c88c7a09896d1bc2ee" ma:index="20" nillable="true" ma:taxonomy="true" ma:internalName="hb56520e44e642c88c7a09896d1bc2ee" ma:taxonomyFieldName="EsmaAudience" ma:displayName="Audience" ma:readOnly="false" ma:fieldId="{1b56520e-44e6-42c8-8c7a-09896d1bc2ee}"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ab8b5864a6dc4f2ea5aeb44d6d375f74" ma:index="21" nillable="true" ma:taxonomy="true" ma:internalName="ab8b5864a6dc4f2ea5aeb44d6d375f74" ma:taxonomyFieldName="Topic" ma:displayName="Topic" ma:readOnly="false" ma:default="" ma:fieldId="{ab8b5864-a6dc-4f2e-a5ae-b44d6d375f74}" ma:sspId="d4b01e31-ead0-4f68-a8e9-2aaca35f2e62" ma:termSetId="62b2e372-4427-4135-8089-e892b057348d" ma:anchorId="00000000-0000-0000-0000-000000000000" ma:open="true" ma:isKeyword="false">
      <xsd:complexType>
        <xsd:sequence>
          <xsd:element ref="pc:Terms" minOccurs="0" maxOccurs="1"/>
        </xsd:sequence>
      </xsd:complexType>
    </xsd:element>
    <xsd:element name="k47b2c662a4d451c94b6991b27ccdf61" ma:index="22" nillable="true" ma:taxonomy="true" ma:internalName="k47b2c662a4d451c94b6991b27ccdf61" ma:taxonomyFieldName="SubTopic" ma:displayName="Sub Topic" ma:readOnly="false" ma:default="" ma:fieldId="{447b2c66-2a4d-451c-94b6-991b27ccdf61}" ma:sspId="d4b01e31-ead0-4f68-a8e9-2aaca35f2e62" ma:termSetId="714f31ba-385c-4cd5-bfdf-fc4e6400a430" ma:anchorId="00000000-0000-0000-0000-000000000000" ma:open="true" ma:isKeyword="false">
      <xsd:complexType>
        <xsd:sequence>
          <xsd:element ref="pc:Terms" minOccurs="0" maxOccurs="1"/>
        </xsd:sequence>
      </xsd:complexType>
    </xsd:element>
    <xsd:element name="i3322e601ac8421cbd1b686355963f37" ma:index="23" nillable="true" ma:taxonomy="true" ma:internalName="i3322e601ac8421cbd1b686355963f37" ma:taxonomyFieldName="TeamName" ma:displayName="Team Name" ma:readOnly="false" ma:fieldId="{23322e60-1ac8-421c-bd1b-686355963f37}"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a93b33-139e-46e0-b278-f2636ec41d6c"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d0fb0f98-34f9-4d57-9559-eb8efd17aa5e">ESMA84-2037069784-2285</_dlc_DocId>
    <TaxCatchAll xmlns="d0fb0f98-34f9-4d57-9559-eb8efd17aa5e">
      <Value>425</Value>
      <Value>500</Value>
      <Value>9</Value>
      <Value>8</Value>
      <Value>86</Value>
    </TaxCatchAll>
    <_dlc_DocIdUrl xmlns="d0fb0f98-34f9-4d57-9559-eb8efd17aa5e">
      <Url>https://securitiesandmarketsauth.sharepoint.com/sites/sherpa-craunit/_layouts/15/DocIdRedir.aspx?ID=ESMA84-2037069784-2285</Url>
      <Description>ESMA84-2037069784-2285</Description>
    </_dlc_DocIdUrl>
    <Year xmlns="d0fb0f98-34f9-4d57-9559-eb8efd17aa5e">2024</Year>
    <MeetingDate xmlns="d0fb0f98-34f9-4d57-9559-eb8efd17aa5e" xsi:nil="true"/>
    <dd0664d3f47447a8943f346211d0253e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dd0664d3f47447a8943f346211d0253e>
    <f289fbc384b1484ea5f6ff6b522b513c xmlns="d0fb0f98-34f9-4d57-9559-eb8efd17aa5e">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f289fbc384b1484ea5f6ff6b522b513c>
    <ab8b5864a6dc4f2ea5aeb44d6d375f74 xmlns="d0fb0f98-34f9-4d57-9559-eb8efd17aa5e">
      <Terms xmlns="http://schemas.microsoft.com/office/infopath/2007/PartnerControls">
        <TermInfo xmlns="http://schemas.microsoft.com/office/infopath/2007/PartnerControls">
          <TermName xmlns="http://schemas.microsoft.com/office/infopath/2007/PartnerControls">European Green Bonds</TermName>
          <TermId xmlns="http://schemas.microsoft.com/office/infopath/2007/PartnerControls">f68cfe7f-8b0c-4445-b5d7-ad808afd8270</TermId>
        </TermInfo>
      </Terms>
    </ab8b5864a6dc4f2ea5aeb44d6d375f74>
    <i3322e601ac8421cbd1b686355963f37 xmlns="d0fb0f98-34f9-4d57-9559-eb8efd17aa5e">
      <Terms xmlns="http://schemas.microsoft.com/office/infopath/2007/PartnerControls">
        <TermInfo xmlns="http://schemas.microsoft.com/office/infopath/2007/PartnerControls">
          <TermName xmlns="http://schemas.microsoft.com/office/infopath/2007/PartnerControls">Credit Ratings Agency Unit</TermName>
          <TermId xmlns="http://schemas.microsoft.com/office/infopath/2007/PartnerControls">ac587c9e-f6a3-4205-8197-96cf16201777</TermId>
        </TermInfo>
      </Terms>
    </i3322e601ac8421cbd1b686355963f37>
    <k47b2c662a4d451c94b6991b27ccdf61 xmlns="d0fb0f98-34f9-4d57-9559-eb8efd17aa5e">
      <Terms xmlns="http://schemas.microsoft.com/office/infopath/2007/PartnerControls">
        <TermInfo xmlns="http://schemas.microsoft.com/office/infopath/2007/PartnerControls">
          <TermName xmlns="http://schemas.microsoft.com/office/infopath/2007/PartnerControls">Qualification of crypto-assets - ESMA Guidelines on classification</TermName>
          <TermId xmlns="http://schemas.microsoft.com/office/infopath/2007/PartnerControls">4332d316-c095-4f91-9af2-56426177b6b7</TermId>
        </TermInfo>
      </Terms>
    </k47b2c662a4d451c94b6991b27ccdf61>
    <hb56520e44e642c88c7a09896d1bc2ee xmlns="d0fb0f98-34f9-4d57-9559-eb8efd17aa5e">
      <Terms xmlns="http://schemas.microsoft.com/office/infopath/2007/PartnerControls"/>
    </hb56520e44e642c88c7a09896d1bc2ee>
    <IconOverlay xmlns="http://schemas.microsoft.com/sharepoint/v4" xsi:nil="true"/>
  </documentManagement>
</p:properties>
</file>

<file path=customXml/itemProps1.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2.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3.xml><?xml version="1.0" encoding="utf-8"?>
<ds:datastoreItem xmlns:ds="http://schemas.openxmlformats.org/officeDocument/2006/customXml" ds:itemID="{E64FA6A0-161D-491E-A20C-FF2A62A7B680}">
  <ds:schemaRefs>
    <ds:schemaRef ds:uri="http://schemas.microsoft.com/sharepoint/events"/>
  </ds:schemaRefs>
</ds:datastoreItem>
</file>

<file path=customXml/itemProps4.xml><?xml version="1.0" encoding="utf-8"?>
<ds:datastoreItem xmlns:ds="http://schemas.openxmlformats.org/officeDocument/2006/customXml" ds:itemID="{A2427B20-4B54-4527-A38C-7303C74BA0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85a93b33-139e-46e0-b278-f2636ec41d6c"/>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d0fb0f98-34f9-4d57-9559-eb8efd17aa5e"/>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0</TotalTime>
  <Pages>7</Pages>
  <Words>1383</Words>
  <Characters>7886</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ESMA</Company>
  <LinksUpToDate>false</LinksUpToDate>
  <CharactersWithSpaces>9251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Ernesto López Vallet</cp:lastModifiedBy>
  <cp:revision>2</cp:revision>
  <cp:lastPrinted>2017-07-24T14:47:00Z</cp:lastPrinted>
  <dcterms:created xsi:type="dcterms:W3CDTF">2025-06-11T06:33:00Z</dcterms:created>
  <dcterms:modified xsi:type="dcterms:W3CDTF">2025-06-11T06:33:00Z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8;#Regular|07f1e362-856b-423d-bea6-a14079762141</vt:lpwstr>
  </property>
  <property fmtid="{D5CDD505-2E9C-101B-9397-08002B2CF9AE}" pid="4" name="ContentTypeId">
    <vt:lpwstr>0x01010027D61B08324E424895FDA0DDD821312D02001CC94A2DC0878047AC79B02E1A10AE02</vt:lpwstr>
  </property>
  <property fmtid="{D5CDD505-2E9C-101B-9397-08002B2CF9AE}" pid="5" name="_dlc_DocIdItemGuid">
    <vt:lpwstr>374eb300-0e59-42cf-be6a-f8786a7b085e</vt:lpwstr>
  </property>
  <property fmtid="{D5CDD505-2E9C-101B-9397-08002B2CF9AE}" pid="6" name="DocumentType">
    <vt:lpwstr>86;#Report|78753201-1e9e-4a21-a088-6ff602b5c999</vt:lpwstr>
  </property>
  <property fmtid="{D5CDD505-2E9C-101B-9397-08002B2CF9AE}" pid="7" name="Topic">
    <vt:lpwstr>425;#European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500;#Qualification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e5413819-eea3-48a9-a4ad-6a99e0a978e6_Enabled">
    <vt:lpwstr>True</vt:lpwstr>
  </property>
  <property fmtid="{D5CDD505-2E9C-101B-9397-08002B2CF9AE}" pid="22" name="MSIP_Label_e5413819-eea3-48a9-a4ad-6a99e0a978e6_SiteId">
    <vt:lpwstr>e406f268-4ae7-4c80-8994-02493da00c03</vt:lpwstr>
  </property>
  <property fmtid="{D5CDD505-2E9C-101B-9397-08002B2CF9AE}" pid="23" name="MSIP_Label_e5413819-eea3-48a9-a4ad-6a99e0a978e6_SetDate">
    <vt:lpwstr>2025-05-02T09:49:13Z</vt:lpwstr>
  </property>
  <property fmtid="{D5CDD505-2E9C-101B-9397-08002B2CF9AE}" pid="24" name="MSIP_Label_e5413819-eea3-48a9-a4ad-6a99e0a978e6_Name">
    <vt:lpwstr>Generic</vt:lpwstr>
  </property>
  <property fmtid="{D5CDD505-2E9C-101B-9397-08002B2CF9AE}" pid="25" name="MSIP_Label_e5413819-eea3-48a9-a4ad-6a99e0a978e6_ActionId">
    <vt:lpwstr>80c57b31-08da-4cb1-bed9-328fd72d4919</vt:lpwstr>
  </property>
  <property fmtid="{D5CDD505-2E9C-101B-9397-08002B2CF9AE}" pid="26" name="MSIP_Label_e5413819-eea3-48a9-a4ad-6a99e0a978e6_Removed">
    <vt:lpwstr>False</vt:lpwstr>
  </property>
  <property fmtid="{D5CDD505-2E9C-101B-9397-08002B2CF9AE}" pid="27" name="MSIP_Label_e5413819-eea3-48a9-a4ad-6a99e0a978e6_Parent">
    <vt:lpwstr/>
  </property>
  <property fmtid="{D5CDD505-2E9C-101B-9397-08002B2CF9AE}" pid="28" name="MSIP_Label_e5413819-eea3-48a9-a4ad-6a99e0a978e6_Extended_MSFT_Method">
    <vt:lpwstr>Standard</vt:lpwstr>
  </property>
  <property fmtid="{D5CDD505-2E9C-101B-9397-08002B2CF9AE}" pid="29" name="Sensitivity">
    <vt:lpwstr>Generic</vt:lpwstr>
  </property>
</Properties>
</file>