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FC038"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6CEA1887" w:rsidR="00C85C8B" w:rsidRPr="00B16706" w:rsidRDefault="005A1E89" w:rsidP="00C85C8B">
                <w:pPr>
                  <w:rPr>
                    <w:rFonts w:ascii="Arial" w:hAnsi="Arial" w:cs="Arial"/>
                    <w:color w:val="808080"/>
                    <w:sz w:val="16"/>
                    <w:szCs w:val="20"/>
                    <w:lang w:eastAsia="de-DE"/>
                  </w:rPr>
                </w:pPr>
                <w:r>
                  <w:rPr>
                    <w:rFonts w:ascii="Arial" w:hAnsi="Arial" w:cs="Arial"/>
                    <w:color w:val="808080"/>
                    <w:sz w:val="16"/>
                    <w:szCs w:val="20"/>
                    <w:lang w:eastAsia="de-DE"/>
                  </w:rPr>
                  <w:t>KBC Asset Management NV</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2D6FBA4"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5A1E89">
                  <w:rPr>
                    <w:rFonts w:ascii="Arial" w:hAnsi="Arial" w:cs="Arial"/>
                    <w:sz w:val="16"/>
                    <w:szCs w:val="20"/>
                    <w:lang w:eastAsia="de-DE"/>
                  </w:rPr>
                  <w:t>Investment Services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0201F880" w:rsidR="00C85C8B" w:rsidRPr="00B16706" w:rsidRDefault="005A1E89"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1B915CD8" w:rsidR="00C85C8B" w:rsidRPr="00B16706" w:rsidRDefault="005A1E89"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r w:rsidRPr="009464EF">
        <w:rPr>
          <w:b/>
          <w:bCs/>
        </w:rPr>
        <w:t>Q1</w:t>
      </w:r>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1ACAC1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765354918" w:edGrp="everyone"/>
      <w:r w:rsidRPr="001B1B48">
        <w:rPr>
          <w:rFonts w:ascii="Calibri" w:eastAsia="Calibri" w:hAnsi="Calibri"/>
          <w:kern w:val="2"/>
          <w:sz w:val="22"/>
          <w:szCs w:val="22"/>
          <w:lang w:eastAsia="en-US"/>
          <w14:ligatures w14:val="standardContextual"/>
        </w:rPr>
        <w:t>TYPE YOUR TEXT HERE</w:t>
      </w: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r w:rsidRPr="009464EF">
        <w:rPr>
          <w:b/>
          <w:bCs/>
        </w:rPr>
        <w:t>Q2</w:t>
      </w:r>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ACD0D9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67529024" w:edGrp="everyone"/>
      <w:r w:rsidRPr="001B1B48">
        <w:rPr>
          <w:rFonts w:ascii="Calibri" w:eastAsia="Calibri" w:hAnsi="Calibri"/>
          <w:kern w:val="2"/>
          <w:sz w:val="22"/>
          <w:szCs w:val="22"/>
          <w:lang w:eastAsia="en-US"/>
          <w14:ligatures w14:val="standardContextual"/>
        </w:rPr>
        <w:t>TYPE YOUR TEXT HERE</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455B538" w14:textId="77777777" w:rsidR="005A1E89" w:rsidRPr="005A1E89" w:rsidRDefault="005A1E89" w:rsidP="005A1E89">
      <w:pPr>
        <w:spacing w:after="160" w:line="259" w:lineRule="auto"/>
        <w:rPr>
          <w:rFonts w:ascii="Calibri" w:eastAsia="Calibri" w:hAnsi="Calibri"/>
          <w:kern w:val="2"/>
          <w:sz w:val="22"/>
          <w:szCs w:val="22"/>
          <w:lang w:eastAsia="en-US"/>
          <w14:ligatures w14:val="standardContextual"/>
        </w:rPr>
      </w:pPr>
      <w:permStart w:id="669658389" w:edGrp="everyone"/>
      <w:r>
        <w:rPr>
          <w:rFonts w:ascii="Calibri" w:eastAsia="Calibri" w:hAnsi="Calibri"/>
          <w:kern w:val="2"/>
          <w:sz w:val="22"/>
          <w:szCs w:val="22"/>
          <w:lang w:eastAsia="en-US"/>
          <w14:ligatures w14:val="standardContextual"/>
        </w:rPr>
        <w:t xml:space="preserve"> </w:t>
      </w:r>
      <w:r w:rsidRPr="005A1E89">
        <w:rPr>
          <w:rFonts w:ascii="Calibri" w:eastAsia="Calibri" w:hAnsi="Calibri"/>
          <w:kern w:val="2"/>
          <w:sz w:val="22"/>
          <w:szCs w:val="22"/>
          <w:lang w:eastAsia="en-US"/>
          <w14:ligatures w14:val="standardContextual"/>
        </w:rPr>
        <w:t>The question of whether we can agree to this proposal is preceded by the question of applicability of these technical standards to internal ratings of financial market participants in the context of art. 49 of the ESG Rating Regulation. Article 49 of the ESG Rating Regulation states the following:</w:t>
      </w:r>
    </w:p>
    <w:p w14:paraId="571604E0" w14:textId="77777777" w:rsidR="005A1E89" w:rsidRPr="005A1E89" w:rsidRDefault="005A1E89" w:rsidP="005A1E89">
      <w:pPr>
        <w:spacing w:after="160" w:line="259" w:lineRule="auto"/>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 </w:t>
      </w:r>
    </w:p>
    <w:p w14:paraId="02C5F5EC" w14:textId="77777777" w:rsidR="005A1E89" w:rsidRPr="005A1E89" w:rsidRDefault="005A1E89" w:rsidP="00B040D6">
      <w:pPr>
        <w:spacing w:after="160" w:line="259" w:lineRule="auto"/>
        <w:ind w:firstLine="708"/>
        <w:rPr>
          <w:rFonts w:ascii="Calibri" w:eastAsia="Calibri" w:hAnsi="Calibri"/>
          <w:kern w:val="2"/>
          <w:sz w:val="22"/>
          <w:szCs w:val="22"/>
          <w:lang w:eastAsia="en-US"/>
          <w14:ligatures w14:val="standardContextual"/>
        </w:rPr>
      </w:pPr>
      <w:r w:rsidRPr="005A1E89">
        <w:rPr>
          <w:rFonts w:ascii="Calibri" w:eastAsia="Calibri" w:hAnsi="Calibri"/>
          <w:i/>
          <w:iCs/>
          <w:kern w:val="2"/>
          <w:sz w:val="22"/>
          <w:szCs w:val="22"/>
          <w:lang w:eastAsia="en-US"/>
          <w14:ligatures w14:val="standardContextual"/>
        </w:rPr>
        <w:t>In Article 13 of Regulation (EU) 2019/2088, the following paragraph is added:</w:t>
      </w:r>
    </w:p>
    <w:p w14:paraId="7F780B77" w14:textId="77777777" w:rsidR="005A1E89" w:rsidRPr="005A1E89" w:rsidRDefault="005A1E89" w:rsidP="005A1E89">
      <w:pPr>
        <w:spacing w:after="160" w:line="259" w:lineRule="auto"/>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 </w:t>
      </w:r>
    </w:p>
    <w:p w14:paraId="3B5CBEEE"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i/>
          <w:iCs/>
          <w:kern w:val="2"/>
          <w:sz w:val="22"/>
          <w:szCs w:val="22"/>
          <w:lang w:eastAsia="en-US"/>
          <w14:ligatures w14:val="standardContextual"/>
        </w:rPr>
        <w:t>‘3.   Where a financial market participant or a financial adviser issues and discloses to third parties an ESG rating, as defined in Article 3, point (1), of Regulation (EU) 2024/3005 of the European Parliament and of the Council (*1), as part of its marketing communications, it shall include on its website the same information as that required by point 1 of Annex III to that Regulation and it shall disclose in those marketing communications a link to those website disclosures.</w:t>
      </w:r>
    </w:p>
    <w:p w14:paraId="70159430"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 </w:t>
      </w:r>
    </w:p>
    <w:p w14:paraId="06E2EC94"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i/>
          <w:iCs/>
          <w:kern w:val="2"/>
          <w:sz w:val="22"/>
          <w:szCs w:val="22"/>
          <w:u w:val="single"/>
          <w:lang w:eastAsia="en-US"/>
          <w14:ligatures w14:val="standardContextual"/>
        </w:rPr>
        <w:t>The ESAs shall, through the Joint Committee, develop draft regulatory technical standards to specify the information referred to in the first subparagraph of this paragraph, taking into account the information already disclosed pursuant to Article 10 of this Regulation.</w:t>
      </w:r>
    </w:p>
    <w:p w14:paraId="4A9A960C"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lastRenderedPageBreak/>
        <w:t> </w:t>
      </w:r>
    </w:p>
    <w:p w14:paraId="277B319D"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i/>
          <w:iCs/>
          <w:kern w:val="2"/>
          <w:sz w:val="22"/>
          <w:szCs w:val="22"/>
          <w:lang w:eastAsia="en-US"/>
          <w14:ligatures w14:val="standardContextual"/>
        </w:rPr>
        <w:t>The ESAs shall submit the draft regulatory technical standards referred to in the second subparagraph to the Commission.</w:t>
      </w:r>
    </w:p>
    <w:p w14:paraId="3C2B130D"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 </w:t>
      </w:r>
    </w:p>
    <w:p w14:paraId="5B86AA58" w14:textId="77777777" w:rsidR="005A1E89" w:rsidRPr="005A1E89" w:rsidRDefault="005A1E89" w:rsidP="00B040D6">
      <w:pPr>
        <w:spacing w:after="160" w:line="259" w:lineRule="auto"/>
        <w:ind w:left="708"/>
        <w:rPr>
          <w:rFonts w:ascii="Calibri" w:eastAsia="Calibri" w:hAnsi="Calibri"/>
          <w:kern w:val="2"/>
          <w:sz w:val="22"/>
          <w:szCs w:val="22"/>
          <w:lang w:eastAsia="en-US"/>
          <w14:ligatures w14:val="standardContextual"/>
        </w:rPr>
      </w:pPr>
      <w:r w:rsidRPr="005A1E89">
        <w:rPr>
          <w:rFonts w:ascii="Calibri" w:eastAsia="Calibri" w:hAnsi="Calibri"/>
          <w:i/>
          <w:iCs/>
          <w:kern w:val="2"/>
          <w:sz w:val="22"/>
          <w:szCs w:val="22"/>
          <w:lang w:eastAsia="en-US"/>
          <w14:ligatures w14:val="standardContextual"/>
        </w:rPr>
        <w:t>Power is delegated to the Commission to supplement this Regulation by adopting the regulatory technical standards referred to in the second subparagraph of this paragraph, in accordance with Articles 10 to 14 of Regulations (EU) No 1093/2010, (EU) No 1094/2010 and (EU) No 1095/2010.</w:t>
      </w:r>
    </w:p>
    <w:p w14:paraId="5841DCE4" w14:textId="77777777" w:rsidR="005A1E89" w:rsidRPr="005A1E89" w:rsidRDefault="005A1E89" w:rsidP="005A1E89">
      <w:pPr>
        <w:spacing w:after="160" w:line="259" w:lineRule="auto"/>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 </w:t>
      </w:r>
    </w:p>
    <w:p w14:paraId="087B25C3" w14:textId="4EBF26B0" w:rsidR="001B1B48" w:rsidRPr="001B1B48" w:rsidRDefault="005A1E89" w:rsidP="001B1B48">
      <w:pPr>
        <w:spacing w:after="160" w:line="259" w:lineRule="auto"/>
        <w:rPr>
          <w:rFonts w:ascii="Calibri" w:eastAsia="Calibri" w:hAnsi="Calibri"/>
          <w:kern w:val="2"/>
          <w:sz w:val="22"/>
          <w:szCs w:val="22"/>
          <w:lang w:eastAsia="en-US"/>
          <w14:ligatures w14:val="standardContextual"/>
        </w:rPr>
      </w:pPr>
      <w:r w:rsidRPr="005A1E89">
        <w:rPr>
          <w:rFonts w:ascii="Calibri" w:eastAsia="Calibri" w:hAnsi="Calibri"/>
          <w:kern w:val="2"/>
          <w:sz w:val="22"/>
          <w:szCs w:val="22"/>
          <w:lang w:eastAsia="en-US"/>
          <w14:ligatures w14:val="standardContextual"/>
        </w:rPr>
        <w:t>Does this mean that financial market participants that launch and/or manage products that require additional information disclosures under the SFDR can expect specific RTS as mentioned in art. 49 of the ESG Rating Regulation, taking into account the information that is already disclosed under SFDR? Or should they comply with the RTS under Articles 23(4) and 24(3)?</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45309941" w:edGrp="everyone"/>
      <w:r w:rsidRPr="001B1B48">
        <w:rPr>
          <w:rFonts w:ascii="Calibri" w:eastAsia="Calibri" w:hAnsi="Calibri"/>
          <w:kern w:val="2"/>
          <w:sz w:val="22"/>
          <w:szCs w:val="22"/>
          <w:lang w:eastAsia="en-US"/>
          <w14:ligatures w14:val="standardContextual"/>
        </w:rPr>
        <w:t>TYPE YOUR TEXT HERE</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A4011" w14:textId="77777777" w:rsidR="00FB0596" w:rsidRDefault="00FB0596" w:rsidP="007E7997">
      <w:r>
        <w:separator/>
      </w:r>
    </w:p>
  </w:endnote>
  <w:endnote w:type="continuationSeparator" w:id="0">
    <w:p w14:paraId="2807D80D" w14:textId="77777777" w:rsidR="00FB0596" w:rsidRDefault="00FB0596" w:rsidP="007E7997">
      <w:r>
        <w:continuationSeparator/>
      </w:r>
    </w:p>
  </w:endnote>
  <w:endnote w:type="continuationNotice" w:id="1">
    <w:p w14:paraId="0179A4DA" w14:textId="77777777" w:rsidR="00FB0596" w:rsidRDefault="00FB05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F937B" w14:textId="77777777" w:rsidR="00FB0596" w:rsidRDefault="00FB0596" w:rsidP="007E7997">
      <w:r>
        <w:separator/>
      </w:r>
    </w:p>
  </w:footnote>
  <w:footnote w:type="continuationSeparator" w:id="0">
    <w:p w14:paraId="630254F8" w14:textId="77777777" w:rsidR="00FB0596" w:rsidRDefault="00FB0596" w:rsidP="007E7997">
      <w:r>
        <w:continuationSeparator/>
      </w:r>
    </w:p>
  </w:footnote>
  <w:footnote w:type="continuationNotice" w:id="1">
    <w:p w14:paraId="0C93EBBF" w14:textId="77777777" w:rsidR="00FB0596" w:rsidRDefault="00FB05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E431D"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3C2"/>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2313"/>
    <w:rsid w:val="004A75F5"/>
    <w:rsid w:val="004B07B2"/>
    <w:rsid w:val="004B0955"/>
    <w:rsid w:val="004B143D"/>
    <w:rsid w:val="004B1842"/>
    <w:rsid w:val="004B25D0"/>
    <w:rsid w:val="004B3553"/>
    <w:rsid w:val="004B5E92"/>
    <w:rsid w:val="004B6859"/>
    <w:rsid w:val="004C0A30"/>
    <w:rsid w:val="004C357C"/>
    <w:rsid w:val="004C3D18"/>
    <w:rsid w:val="004C40D1"/>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A1E89"/>
    <w:rsid w:val="005A4936"/>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4972"/>
    <w:rsid w:val="00A055DD"/>
    <w:rsid w:val="00A11D0C"/>
    <w:rsid w:val="00A16579"/>
    <w:rsid w:val="00A24843"/>
    <w:rsid w:val="00A25AB7"/>
    <w:rsid w:val="00A26D48"/>
    <w:rsid w:val="00A31C7C"/>
    <w:rsid w:val="00A35FCF"/>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0D6"/>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3925"/>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059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491F16DB-E2F8-4958-A2D7-AFFA1B7A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616">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44410186">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62061256">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83097357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E64FA6A0-161D-491E-A20C-FF2A62A7B68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6</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dc:description/>
  <cp:lastModifiedBy>Karel Eeckhout</cp:lastModifiedBy>
  <cp:revision>2</cp:revision>
  <cp:lastPrinted>2017-07-24T14:47:00Z</cp:lastPrinted>
  <dcterms:created xsi:type="dcterms:W3CDTF">2025-05-02T09:06:00Z</dcterms:created>
  <dcterms:modified xsi:type="dcterms:W3CDTF">2025-06-19T12:19:00Z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MSIP_Label_5a152a60-a03f-46dd-a35f-1efe6981cb6f_Enabled">
    <vt:lpwstr>true</vt:lpwstr>
  </property>
  <property fmtid="{D5CDD505-2E9C-101B-9397-08002B2CF9AE}" pid="30" name="MSIP_Label_5a152a60-a03f-46dd-a35f-1efe6981cb6f_SetDate">
    <vt:lpwstr>2025-06-19T08:47:17Z</vt:lpwstr>
  </property>
  <property fmtid="{D5CDD505-2E9C-101B-9397-08002B2CF9AE}" pid="31" name="MSIP_Label_5a152a60-a03f-46dd-a35f-1efe6981cb6f_Method">
    <vt:lpwstr>Privileged</vt:lpwstr>
  </property>
  <property fmtid="{D5CDD505-2E9C-101B-9397-08002B2CF9AE}" pid="32" name="MSIP_Label_5a152a60-a03f-46dd-a35f-1efe6981cb6f_Name">
    <vt:lpwstr>5a152a60-a03f-46dd-a35f-1efe6981cb6f</vt:lpwstr>
  </property>
  <property fmtid="{D5CDD505-2E9C-101B-9397-08002B2CF9AE}" pid="33" name="MSIP_Label_5a152a60-a03f-46dd-a35f-1efe6981cb6f_SiteId">
    <vt:lpwstr>64af2aee-7d6c-49ac-a409-192d3fee73b8</vt:lpwstr>
  </property>
  <property fmtid="{D5CDD505-2E9C-101B-9397-08002B2CF9AE}" pid="34" name="MSIP_Label_5a152a60-a03f-46dd-a35f-1efe6981cb6f_ActionId">
    <vt:lpwstr>3c88cfe1-2fd5-4667-ba2f-e35424f8999e</vt:lpwstr>
  </property>
  <property fmtid="{D5CDD505-2E9C-101B-9397-08002B2CF9AE}" pid="35" name="MSIP_Label_5a152a60-a03f-46dd-a35f-1efe6981cb6f_ContentBits">
    <vt:lpwstr>0</vt:lpwstr>
  </property>
</Properties>
</file>