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A5388" w14:textId="77777777" w:rsidR="00F50038" w:rsidRDefault="00F50038" w:rsidP="003D5F9F">
      <w:pPr>
        <w:pStyle w:val="Heading1"/>
        <w:rPr>
          <w:lang w:val="fr-FR"/>
        </w:rPr>
      </w:pPr>
    </w:p>
    <w:p w14:paraId="4E236765" w14:textId="04AD9595" w:rsidR="003D5F9F" w:rsidRPr="00DE273C" w:rsidRDefault="491E3643" w:rsidP="00E24809">
      <w:pPr>
        <w:pStyle w:val="Heading1"/>
        <w:rPr>
          <w:rFonts w:asciiTheme="minorHAnsi" w:hAnsiTheme="minorHAnsi" w:cs="Arial"/>
          <w:b/>
          <w:bCs/>
          <w:color w:val="A02B93" w:themeColor="accent5"/>
          <w:sz w:val="24"/>
          <w:szCs w:val="24"/>
          <w:lang w:val="en-GB"/>
        </w:rPr>
      </w:pPr>
      <w:r w:rsidRPr="00DE273C">
        <w:rPr>
          <w:rFonts w:asciiTheme="minorHAnsi" w:hAnsiTheme="minorHAnsi" w:cs="Arial"/>
          <w:b/>
          <w:bCs/>
          <w:color w:val="A02B93" w:themeColor="accent5"/>
          <w:sz w:val="24"/>
          <w:szCs w:val="24"/>
          <w:lang w:val="en-GB"/>
        </w:rPr>
        <w:t>IOGP Europe</w:t>
      </w:r>
      <w:r w:rsidR="00D143F6" w:rsidRPr="00DE273C">
        <w:rPr>
          <w:rFonts w:asciiTheme="minorHAnsi" w:hAnsiTheme="minorHAnsi" w:cs="Arial"/>
          <w:b/>
          <w:bCs/>
          <w:color w:val="A02B93" w:themeColor="accent5"/>
          <w:sz w:val="24"/>
          <w:szCs w:val="24"/>
          <w:lang w:val="en-GB"/>
        </w:rPr>
        <w:t xml:space="preserve"> response to ESMA Consultation on the draft technical standards under the ESG Ratings Regulation</w:t>
      </w:r>
    </w:p>
    <w:p w14:paraId="37572C0D" w14:textId="6E243A45" w:rsidR="00AF2A0F" w:rsidRPr="004C0BB9" w:rsidRDefault="376AB859" w:rsidP="004C0BB9">
      <w:pPr>
        <w:rPr>
          <w:sz w:val="20"/>
          <w:szCs w:val="20"/>
        </w:rPr>
      </w:pPr>
      <w:r w:rsidRPr="004C0BB9">
        <w:rPr>
          <w:b/>
          <w:bCs/>
          <w:sz w:val="20"/>
          <w:szCs w:val="20"/>
        </w:rPr>
        <w:t>Executive Summary</w:t>
      </w:r>
    </w:p>
    <w:p w14:paraId="55CAFCE9" w14:textId="5C6BC21E" w:rsidR="00AF2A0F" w:rsidRPr="004C0BB9" w:rsidRDefault="376AB859" w:rsidP="004C0BB9">
      <w:pPr>
        <w:rPr>
          <w:sz w:val="20"/>
          <w:szCs w:val="20"/>
        </w:rPr>
      </w:pPr>
      <w:r w:rsidRPr="1982609F">
        <w:rPr>
          <w:sz w:val="20"/>
          <w:szCs w:val="20"/>
        </w:rPr>
        <w:t xml:space="preserve">IOGP Europe welcomes the opportunity to contribute to ESMA’s consultation on the draft </w:t>
      </w:r>
      <w:r w:rsidR="1596286A" w:rsidRPr="1982609F">
        <w:rPr>
          <w:sz w:val="20"/>
          <w:szCs w:val="20"/>
        </w:rPr>
        <w:t>R</w:t>
      </w:r>
      <w:r w:rsidRPr="1982609F">
        <w:rPr>
          <w:sz w:val="20"/>
          <w:szCs w:val="20"/>
        </w:rPr>
        <w:t xml:space="preserve">egulatory </w:t>
      </w:r>
      <w:r w:rsidR="5A88FF5D" w:rsidRPr="1982609F">
        <w:rPr>
          <w:sz w:val="20"/>
          <w:szCs w:val="20"/>
        </w:rPr>
        <w:t>T</w:t>
      </w:r>
      <w:r w:rsidRPr="1982609F">
        <w:rPr>
          <w:sz w:val="20"/>
          <w:szCs w:val="20"/>
        </w:rPr>
        <w:t xml:space="preserve">echnical </w:t>
      </w:r>
      <w:r w:rsidR="414F946D" w:rsidRPr="1982609F">
        <w:rPr>
          <w:sz w:val="20"/>
          <w:szCs w:val="20"/>
        </w:rPr>
        <w:t>S</w:t>
      </w:r>
      <w:r w:rsidRPr="1982609F">
        <w:rPr>
          <w:sz w:val="20"/>
          <w:szCs w:val="20"/>
        </w:rPr>
        <w:t>tandards (RTS) under the ESG Ratings Regulation</w:t>
      </w:r>
      <w:r w:rsidR="00E129CE" w:rsidRPr="1982609F">
        <w:rPr>
          <w:sz w:val="20"/>
          <w:szCs w:val="20"/>
        </w:rPr>
        <w:t>.</w:t>
      </w:r>
      <w:r w:rsidR="1492318C" w:rsidRPr="1982609F">
        <w:rPr>
          <w:sz w:val="20"/>
          <w:szCs w:val="20"/>
        </w:rPr>
        <w:t xml:space="preserve"> </w:t>
      </w:r>
    </w:p>
    <w:p w14:paraId="7E6AC129" w14:textId="11876548" w:rsidR="00AF2A0F" w:rsidRPr="004C0BB9" w:rsidRDefault="1492318C" w:rsidP="004C0BB9">
      <w:pPr>
        <w:rPr>
          <w:sz w:val="20"/>
          <w:szCs w:val="20"/>
        </w:rPr>
      </w:pPr>
      <w:r w:rsidRPr="1982609F">
        <w:rPr>
          <w:sz w:val="20"/>
          <w:szCs w:val="20"/>
        </w:rPr>
        <w:t xml:space="preserve">We strongly support ESMA’s objective to enhance transparency, </w:t>
      </w:r>
      <w:r w:rsidR="0C5BCD6D" w:rsidRPr="1982609F">
        <w:rPr>
          <w:sz w:val="20"/>
          <w:szCs w:val="20"/>
        </w:rPr>
        <w:t>comparability,</w:t>
      </w:r>
      <w:r w:rsidRPr="1982609F">
        <w:rPr>
          <w:sz w:val="20"/>
          <w:szCs w:val="20"/>
        </w:rPr>
        <w:t xml:space="preserve"> and accountability in ESG rating practices. While the draft RTS </w:t>
      </w:r>
      <w:r w:rsidR="00DD2134" w:rsidRPr="1982609F">
        <w:rPr>
          <w:sz w:val="20"/>
          <w:szCs w:val="20"/>
        </w:rPr>
        <w:t>is</w:t>
      </w:r>
      <w:r w:rsidRPr="1982609F">
        <w:rPr>
          <w:sz w:val="20"/>
          <w:szCs w:val="20"/>
        </w:rPr>
        <w:t xml:space="preserve"> a step in the right direction, several areas require further strengthening to ensure that ESG ratings are fit for purpose and aligned with broader EU sustainable finance goals. </w:t>
      </w:r>
    </w:p>
    <w:p w14:paraId="5886E592" w14:textId="7301EF8C" w:rsidR="00AF2A0F" w:rsidRPr="004C0BB9" w:rsidRDefault="737AADEA" w:rsidP="004C0BB9">
      <w:pPr>
        <w:rPr>
          <w:b/>
          <w:bCs/>
          <w:sz w:val="20"/>
          <w:szCs w:val="20"/>
        </w:rPr>
      </w:pPr>
      <w:r w:rsidRPr="004C0BB9">
        <w:rPr>
          <w:b/>
          <w:bCs/>
          <w:sz w:val="20"/>
          <w:szCs w:val="20"/>
        </w:rPr>
        <w:t>Key recommendations</w:t>
      </w:r>
    </w:p>
    <w:p w14:paraId="4325030B" w14:textId="77777777" w:rsidR="00D96F46" w:rsidRPr="004C0BB9" w:rsidRDefault="00D96F46" w:rsidP="004C0BB9">
      <w:pPr>
        <w:pStyle w:val="ListParagraph"/>
        <w:numPr>
          <w:ilvl w:val="0"/>
          <w:numId w:val="21"/>
        </w:numPr>
        <w:rPr>
          <w:b/>
          <w:bCs/>
          <w:sz w:val="20"/>
          <w:szCs w:val="20"/>
        </w:rPr>
      </w:pPr>
      <w:r w:rsidRPr="004C0BB9">
        <w:rPr>
          <w:b/>
          <w:bCs/>
          <w:sz w:val="20"/>
          <w:szCs w:val="20"/>
        </w:rPr>
        <w:t>Address divergence and opacity</w:t>
      </w:r>
    </w:p>
    <w:p w14:paraId="7DF287FF" w14:textId="0A9D3A16" w:rsidR="00D96F46" w:rsidRPr="004C0BB9" w:rsidRDefault="6E455FBB" w:rsidP="004C0BB9">
      <w:pPr>
        <w:pStyle w:val="ListParagraph"/>
        <w:numPr>
          <w:ilvl w:val="0"/>
          <w:numId w:val="16"/>
        </w:numPr>
        <w:rPr>
          <w:sz w:val="20"/>
          <w:szCs w:val="20"/>
        </w:rPr>
      </w:pPr>
      <w:r w:rsidRPr="5B457106">
        <w:rPr>
          <w:sz w:val="20"/>
          <w:szCs w:val="20"/>
        </w:rPr>
        <w:t>Rating p</w:t>
      </w:r>
      <w:r w:rsidR="00D96F46" w:rsidRPr="5B457106">
        <w:rPr>
          <w:sz w:val="20"/>
          <w:szCs w:val="20"/>
        </w:rPr>
        <w:t>roviders</w:t>
      </w:r>
      <w:r w:rsidR="00D96F46" w:rsidRPr="004C0BB9">
        <w:rPr>
          <w:sz w:val="20"/>
          <w:szCs w:val="20"/>
        </w:rPr>
        <w:t xml:space="preserve"> should transparently disclose key normative judgments embedded in their methodologies, especially where these relate to sectoral or policy expectations (e.g. energy transition timelines).</w:t>
      </w:r>
    </w:p>
    <w:p w14:paraId="5C583B05" w14:textId="77777777" w:rsidR="00D96F46" w:rsidRPr="004C0BB9" w:rsidRDefault="00D96F46" w:rsidP="004C0BB9">
      <w:pPr>
        <w:pStyle w:val="ListParagraph"/>
        <w:numPr>
          <w:ilvl w:val="0"/>
          <w:numId w:val="21"/>
        </w:numPr>
        <w:rPr>
          <w:b/>
          <w:bCs/>
          <w:sz w:val="20"/>
          <w:szCs w:val="20"/>
        </w:rPr>
      </w:pPr>
      <w:r w:rsidRPr="004C0BB9">
        <w:rPr>
          <w:b/>
          <w:bCs/>
          <w:sz w:val="20"/>
          <w:szCs w:val="20"/>
        </w:rPr>
        <w:t>Ensure procedural transparency and issuer engagement</w:t>
      </w:r>
    </w:p>
    <w:p w14:paraId="3FDD128C" w14:textId="77777777" w:rsidR="00D96F46" w:rsidRPr="004C0BB9" w:rsidRDefault="00D96F46" w:rsidP="004C0BB9">
      <w:pPr>
        <w:pStyle w:val="ListParagraph"/>
        <w:numPr>
          <w:ilvl w:val="0"/>
          <w:numId w:val="20"/>
        </w:numPr>
        <w:rPr>
          <w:sz w:val="20"/>
          <w:szCs w:val="20"/>
        </w:rPr>
      </w:pPr>
      <w:r w:rsidRPr="004C0BB9">
        <w:rPr>
          <w:sz w:val="20"/>
          <w:szCs w:val="20"/>
        </w:rPr>
        <w:t>ESMA should require rating providers to disclose whether and how they engage with rated companies.</w:t>
      </w:r>
    </w:p>
    <w:p w14:paraId="1F1D55A2" w14:textId="114F6522" w:rsidR="00D96F46" w:rsidRPr="004C0BB9" w:rsidRDefault="008539F5" w:rsidP="004C0BB9">
      <w:pPr>
        <w:pStyle w:val="ListParagraph"/>
        <w:numPr>
          <w:ilvl w:val="0"/>
          <w:numId w:val="20"/>
        </w:numPr>
        <w:rPr>
          <w:sz w:val="20"/>
          <w:szCs w:val="20"/>
        </w:rPr>
      </w:pPr>
      <w:r w:rsidRPr="004C0BB9">
        <w:rPr>
          <w:sz w:val="20"/>
          <w:szCs w:val="20"/>
        </w:rPr>
        <w:t>Upon issuer request, p</w:t>
      </w:r>
      <w:r w:rsidR="00D96F46" w:rsidRPr="004C0BB9">
        <w:rPr>
          <w:sz w:val="20"/>
          <w:szCs w:val="20"/>
        </w:rPr>
        <w:t>roviders should be required to engage with minimum procedural standards to ensure fair and meaningful dialogue.</w:t>
      </w:r>
    </w:p>
    <w:p w14:paraId="436AFA59" w14:textId="77777777" w:rsidR="00D96F46" w:rsidRPr="004C0BB9" w:rsidRDefault="00D96F46" w:rsidP="004C0BB9">
      <w:pPr>
        <w:pStyle w:val="ListParagraph"/>
        <w:numPr>
          <w:ilvl w:val="0"/>
          <w:numId w:val="21"/>
        </w:numPr>
        <w:rPr>
          <w:b/>
          <w:bCs/>
          <w:sz w:val="20"/>
          <w:szCs w:val="20"/>
        </w:rPr>
      </w:pPr>
      <w:r w:rsidRPr="004C0BB9">
        <w:rPr>
          <w:b/>
          <w:bCs/>
          <w:sz w:val="20"/>
          <w:szCs w:val="20"/>
        </w:rPr>
        <w:t>Standardize controversy assessment process</w:t>
      </w:r>
    </w:p>
    <w:p w14:paraId="7A1301A5" w14:textId="75DF87BC" w:rsidR="00D96F46" w:rsidRPr="004C0BB9" w:rsidRDefault="00D96F46" w:rsidP="004C0BB9">
      <w:pPr>
        <w:pStyle w:val="ListParagraph"/>
        <w:numPr>
          <w:ilvl w:val="0"/>
          <w:numId w:val="19"/>
        </w:numPr>
        <w:rPr>
          <w:sz w:val="20"/>
          <w:szCs w:val="20"/>
        </w:rPr>
      </w:pPr>
      <w:r w:rsidRPr="1982609F">
        <w:rPr>
          <w:sz w:val="20"/>
          <w:szCs w:val="20"/>
        </w:rPr>
        <w:t xml:space="preserve">Baseline criteria for the inclusion, </w:t>
      </w:r>
      <w:r w:rsidR="1CCFD9D1" w:rsidRPr="1982609F">
        <w:rPr>
          <w:sz w:val="20"/>
          <w:szCs w:val="20"/>
        </w:rPr>
        <w:t>review,</w:t>
      </w:r>
      <w:r w:rsidRPr="1982609F">
        <w:rPr>
          <w:sz w:val="20"/>
          <w:szCs w:val="20"/>
        </w:rPr>
        <w:t xml:space="preserve"> and removal of controversies should be defined.</w:t>
      </w:r>
    </w:p>
    <w:p w14:paraId="46330490" w14:textId="03D4114E" w:rsidR="00D96F46" w:rsidRPr="004C0BB9" w:rsidRDefault="00D96F46" w:rsidP="004C0BB9">
      <w:pPr>
        <w:pStyle w:val="ListParagraph"/>
        <w:numPr>
          <w:ilvl w:val="0"/>
          <w:numId w:val="19"/>
        </w:numPr>
        <w:rPr>
          <w:sz w:val="20"/>
          <w:szCs w:val="20"/>
        </w:rPr>
      </w:pPr>
      <w:r w:rsidRPr="1982609F">
        <w:rPr>
          <w:sz w:val="20"/>
          <w:szCs w:val="20"/>
        </w:rPr>
        <w:t>Clear thresholds, timelines and transparency around the impact of controversies on ratings are necessary.</w:t>
      </w:r>
      <w:r w:rsidR="6902D457" w:rsidRPr="1982609F">
        <w:rPr>
          <w:sz w:val="20"/>
          <w:szCs w:val="20"/>
        </w:rPr>
        <w:t xml:space="preserve"> Otherwise battling the risk of badly impacting listed companies. </w:t>
      </w:r>
    </w:p>
    <w:p w14:paraId="2E42D843" w14:textId="7FA52AD8" w:rsidR="00D96F46" w:rsidRPr="004C0BB9" w:rsidRDefault="00D96F46" w:rsidP="004C0BB9">
      <w:pPr>
        <w:pStyle w:val="ListParagraph"/>
        <w:numPr>
          <w:ilvl w:val="0"/>
          <w:numId w:val="21"/>
        </w:numPr>
        <w:rPr>
          <w:b/>
          <w:bCs/>
          <w:sz w:val="20"/>
          <w:szCs w:val="20"/>
        </w:rPr>
      </w:pPr>
      <w:r w:rsidRPr="004C0BB9">
        <w:rPr>
          <w:b/>
          <w:bCs/>
          <w:sz w:val="20"/>
          <w:szCs w:val="20"/>
        </w:rPr>
        <w:t>Promote alignment with reported disclosures</w:t>
      </w:r>
      <w:r w:rsidR="00481C10" w:rsidRPr="004C0BB9">
        <w:rPr>
          <w:b/>
          <w:bCs/>
          <w:sz w:val="20"/>
          <w:szCs w:val="20"/>
        </w:rPr>
        <w:t xml:space="preserve"> and prioritize use of reported data</w:t>
      </w:r>
    </w:p>
    <w:p w14:paraId="556F54E9" w14:textId="60DBEAC9" w:rsidR="00D96F46" w:rsidRPr="004C0BB9" w:rsidRDefault="00D96F46" w:rsidP="004C0BB9">
      <w:pPr>
        <w:pStyle w:val="ListParagraph"/>
        <w:numPr>
          <w:ilvl w:val="0"/>
          <w:numId w:val="18"/>
        </w:numPr>
        <w:rPr>
          <w:sz w:val="20"/>
          <w:szCs w:val="20"/>
        </w:rPr>
      </w:pPr>
      <w:r w:rsidRPr="004C0BB9">
        <w:rPr>
          <w:sz w:val="20"/>
          <w:szCs w:val="20"/>
        </w:rPr>
        <w:t xml:space="preserve">The RTS should promote alignment with globally recognized </w:t>
      </w:r>
      <w:r w:rsidR="00DB39ED" w:rsidRPr="004C0BB9">
        <w:rPr>
          <w:sz w:val="20"/>
          <w:szCs w:val="20"/>
        </w:rPr>
        <w:t xml:space="preserve">standards and </w:t>
      </w:r>
      <w:r w:rsidRPr="004C0BB9">
        <w:rPr>
          <w:sz w:val="20"/>
          <w:szCs w:val="20"/>
        </w:rPr>
        <w:t xml:space="preserve">frameworks, including </w:t>
      </w:r>
      <w:r w:rsidR="00544DBA" w:rsidRPr="004C0BB9">
        <w:rPr>
          <w:sz w:val="20"/>
          <w:szCs w:val="20"/>
        </w:rPr>
        <w:t xml:space="preserve">the </w:t>
      </w:r>
      <w:r w:rsidRPr="004C0BB9">
        <w:rPr>
          <w:sz w:val="20"/>
          <w:szCs w:val="20"/>
        </w:rPr>
        <w:t xml:space="preserve">Corporate Sustainability Reporting Directive (CSRD), where applicable, and </w:t>
      </w:r>
      <w:r w:rsidR="00D172CA" w:rsidRPr="004C0BB9">
        <w:rPr>
          <w:sz w:val="20"/>
          <w:szCs w:val="20"/>
        </w:rPr>
        <w:t xml:space="preserve">the </w:t>
      </w:r>
      <w:r w:rsidRPr="004C0BB9">
        <w:rPr>
          <w:sz w:val="20"/>
          <w:szCs w:val="20"/>
        </w:rPr>
        <w:t>International Sustainability Standards Board (ISSB), where relevant.</w:t>
      </w:r>
    </w:p>
    <w:p w14:paraId="2B194EEE" w14:textId="58F4DB30" w:rsidR="00D96F46" w:rsidRPr="004C0BB9" w:rsidRDefault="00D96F46" w:rsidP="004C0BB9">
      <w:pPr>
        <w:pStyle w:val="ListParagraph"/>
        <w:numPr>
          <w:ilvl w:val="0"/>
          <w:numId w:val="18"/>
        </w:numPr>
        <w:rPr>
          <w:sz w:val="20"/>
          <w:szCs w:val="20"/>
        </w:rPr>
      </w:pPr>
      <w:r w:rsidRPr="1982609F">
        <w:rPr>
          <w:sz w:val="20"/>
          <w:szCs w:val="20"/>
        </w:rPr>
        <w:t>Providers should be required to prioritize the use of audited, publicly reported data over proprietary surveys and to facilitate its efficient use across assessments</w:t>
      </w:r>
      <w:r w:rsidR="259B3AAF" w:rsidRPr="1982609F">
        <w:rPr>
          <w:sz w:val="20"/>
          <w:szCs w:val="20"/>
        </w:rPr>
        <w:t xml:space="preserve">. When using proprietary </w:t>
      </w:r>
      <w:r w:rsidR="68F15528" w:rsidRPr="1982609F">
        <w:rPr>
          <w:sz w:val="20"/>
          <w:szCs w:val="20"/>
        </w:rPr>
        <w:t>surveys</w:t>
      </w:r>
      <w:r w:rsidR="259B3AAF" w:rsidRPr="1982609F">
        <w:rPr>
          <w:sz w:val="20"/>
          <w:szCs w:val="20"/>
        </w:rPr>
        <w:t xml:space="preserve">, it should be clearly indicated. </w:t>
      </w:r>
    </w:p>
    <w:p w14:paraId="04F5C39A" w14:textId="3DD0F93C" w:rsidR="00D96F46" w:rsidRPr="004C0BB9" w:rsidRDefault="00486F98" w:rsidP="004C0BB9">
      <w:pPr>
        <w:pStyle w:val="ListParagraph"/>
        <w:numPr>
          <w:ilvl w:val="0"/>
          <w:numId w:val="21"/>
        </w:numPr>
        <w:rPr>
          <w:b/>
          <w:bCs/>
          <w:sz w:val="20"/>
          <w:szCs w:val="20"/>
        </w:rPr>
      </w:pPr>
      <w:r w:rsidRPr="004C0BB9">
        <w:rPr>
          <w:b/>
          <w:bCs/>
          <w:sz w:val="20"/>
          <w:szCs w:val="20"/>
        </w:rPr>
        <w:t>Recognize forward</w:t>
      </w:r>
      <w:r w:rsidR="00D96F46" w:rsidRPr="004C0BB9">
        <w:rPr>
          <w:b/>
          <w:bCs/>
          <w:sz w:val="20"/>
          <w:szCs w:val="20"/>
        </w:rPr>
        <w:t>-looking strategies</w:t>
      </w:r>
    </w:p>
    <w:p w14:paraId="635D94D4" w14:textId="77777777" w:rsidR="00D96F46" w:rsidRPr="004C0BB9" w:rsidRDefault="00D96F46" w:rsidP="004C0BB9">
      <w:pPr>
        <w:pStyle w:val="ListParagraph"/>
        <w:numPr>
          <w:ilvl w:val="0"/>
          <w:numId w:val="17"/>
        </w:numPr>
        <w:rPr>
          <w:sz w:val="20"/>
          <w:szCs w:val="20"/>
        </w:rPr>
      </w:pPr>
      <w:r w:rsidRPr="004C0BB9">
        <w:rPr>
          <w:sz w:val="20"/>
          <w:szCs w:val="20"/>
        </w:rPr>
        <w:t>ESG methodologies should distinguish between static performance (e.g. current emissions) and forward-looking strategies (e.g. capex commitments).</w:t>
      </w:r>
    </w:p>
    <w:p w14:paraId="18237776" w14:textId="77777777" w:rsidR="00D96F46" w:rsidRPr="004C0BB9" w:rsidRDefault="00D96F46" w:rsidP="004C0BB9">
      <w:pPr>
        <w:pStyle w:val="ListParagraph"/>
        <w:numPr>
          <w:ilvl w:val="0"/>
          <w:numId w:val="17"/>
        </w:numPr>
        <w:rPr>
          <w:sz w:val="20"/>
          <w:szCs w:val="20"/>
        </w:rPr>
      </w:pPr>
      <w:r w:rsidRPr="004C0BB9">
        <w:rPr>
          <w:sz w:val="20"/>
          <w:szCs w:val="20"/>
        </w:rPr>
        <w:t>Sectors engaged in long-term decarbonization efforts must be assessed on both present and future metrics.</w:t>
      </w:r>
    </w:p>
    <w:p w14:paraId="23AAB9AB" w14:textId="77777777" w:rsidR="00D96F46" w:rsidRPr="004C0BB9" w:rsidRDefault="00D96F46" w:rsidP="004C0BB9">
      <w:pPr>
        <w:pStyle w:val="ListParagraph"/>
        <w:numPr>
          <w:ilvl w:val="0"/>
          <w:numId w:val="21"/>
        </w:numPr>
        <w:rPr>
          <w:b/>
          <w:bCs/>
          <w:sz w:val="20"/>
          <w:szCs w:val="20"/>
        </w:rPr>
      </w:pPr>
      <w:r w:rsidRPr="004C0BB9">
        <w:rPr>
          <w:b/>
          <w:bCs/>
          <w:sz w:val="20"/>
          <w:szCs w:val="20"/>
        </w:rPr>
        <w:t>Clarify treatment of non-public data</w:t>
      </w:r>
    </w:p>
    <w:p w14:paraId="67A199C1" w14:textId="192F0E56" w:rsidR="00D96F46" w:rsidRPr="004C0BB9" w:rsidRDefault="00D96F46" w:rsidP="004C0BB9">
      <w:pPr>
        <w:pStyle w:val="ListParagraph"/>
        <w:numPr>
          <w:ilvl w:val="0"/>
          <w:numId w:val="22"/>
        </w:numPr>
        <w:rPr>
          <w:sz w:val="20"/>
          <w:szCs w:val="20"/>
        </w:rPr>
      </w:pPr>
      <w:r w:rsidRPr="1982609F">
        <w:rPr>
          <w:sz w:val="20"/>
          <w:szCs w:val="20"/>
        </w:rPr>
        <w:t xml:space="preserve">ESMA should assess whether non-public </w:t>
      </w:r>
      <w:r w:rsidR="201F0431" w:rsidRPr="1982609F">
        <w:rPr>
          <w:sz w:val="20"/>
          <w:szCs w:val="20"/>
        </w:rPr>
        <w:t>input</w:t>
      </w:r>
      <w:r w:rsidRPr="1982609F">
        <w:rPr>
          <w:sz w:val="20"/>
          <w:szCs w:val="20"/>
        </w:rPr>
        <w:t xml:space="preserve"> should be allowed or subject to strict restrictions.</w:t>
      </w:r>
    </w:p>
    <w:p w14:paraId="3D9469A4" w14:textId="54BAF3D2" w:rsidR="00D96F46" w:rsidRPr="004C0BB9" w:rsidRDefault="00D96F46" w:rsidP="004C0BB9">
      <w:pPr>
        <w:pStyle w:val="ListParagraph"/>
        <w:numPr>
          <w:ilvl w:val="0"/>
          <w:numId w:val="22"/>
        </w:numPr>
        <w:rPr>
          <w:sz w:val="20"/>
          <w:szCs w:val="20"/>
        </w:rPr>
      </w:pPr>
      <w:r w:rsidRPr="1982609F">
        <w:rPr>
          <w:sz w:val="20"/>
          <w:szCs w:val="20"/>
        </w:rPr>
        <w:t xml:space="preserve">Where permitted, non-public inputs should be transparently </w:t>
      </w:r>
      <w:r w:rsidR="2A2E741B" w:rsidRPr="1982609F">
        <w:rPr>
          <w:sz w:val="20"/>
          <w:szCs w:val="20"/>
        </w:rPr>
        <w:t>disclosed,</w:t>
      </w:r>
      <w:r w:rsidRPr="1982609F">
        <w:rPr>
          <w:sz w:val="20"/>
          <w:szCs w:val="20"/>
        </w:rPr>
        <w:t xml:space="preserve"> and their influence clearly indicated. </w:t>
      </w:r>
    </w:p>
    <w:p w14:paraId="219863A7" w14:textId="77777777" w:rsidR="00D96F46" w:rsidRDefault="00D96F46" w:rsidP="00AF2A0F"/>
    <w:p w14:paraId="7BD99E16" w14:textId="77777777" w:rsidR="002D6F20" w:rsidRDefault="002D6F20" w:rsidP="00AF2A0F">
      <w:pPr>
        <w:rPr>
          <w:b/>
          <w:bCs/>
          <w:sz w:val="24"/>
          <w:szCs w:val="24"/>
        </w:rPr>
      </w:pPr>
    </w:p>
    <w:p w14:paraId="2E27C2DE" w14:textId="77777777" w:rsidR="00674B91" w:rsidRDefault="002D6F20" w:rsidP="00AF2A0F">
      <w:pPr>
        <w:rPr>
          <w:b/>
          <w:bCs/>
          <w:color w:val="A02B93" w:themeColor="accent5"/>
          <w:sz w:val="24"/>
          <w:szCs w:val="24"/>
        </w:rPr>
      </w:pPr>
      <w:r w:rsidRPr="00AD0869">
        <w:rPr>
          <w:b/>
          <w:bCs/>
          <w:color w:val="A02B93" w:themeColor="accent5"/>
          <w:sz w:val="24"/>
          <w:szCs w:val="24"/>
        </w:rPr>
        <w:lastRenderedPageBreak/>
        <w:br/>
      </w:r>
    </w:p>
    <w:p w14:paraId="243C7955" w14:textId="77777777" w:rsidR="00674B91" w:rsidRDefault="00674B91" w:rsidP="00AF2A0F">
      <w:pPr>
        <w:rPr>
          <w:b/>
          <w:bCs/>
          <w:color w:val="A02B93" w:themeColor="accent5"/>
          <w:sz w:val="24"/>
          <w:szCs w:val="24"/>
        </w:rPr>
      </w:pPr>
    </w:p>
    <w:p w14:paraId="07024DE5" w14:textId="466B7A37" w:rsidR="000B2D65" w:rsidRDefault="00F04C7A" w:rsidP="00AF2A0F">
      <w:pPr>
        <w:rPr>
          <w:b/>
          <w:color w:val="A02B93" w:themeColor="accent5"/>
          <w:sz w:val="24"/>
          <w:szCs w:val="24"/>
        </w:rPr>
      </w:pPr>
      <w:r w:rsidRPr="00AD0869">
        <w:rPr>
          <w:b/>
          <w:bCs/>
          <w:color w:val="A02B93" w:themeColor="accent5"/>
          <w:sz w:val="24"/>
          <w:szCs w:val="24"/>
        </w:rPr>
        <w:t>Toward transparent</w:t>
      </w:r>
      <w:r w:rsidR="003B702C" w:rsidRPr="00AD0869">
        <w:rPr>
          <w:b/>
          <w:color w:val="A02B93" w:themeColor="accent5"/>
          <w:sz w:val="24"/>
          <w:szCs w:val="24"/>
        </w:rPr>
        <w:t xml:space="preserve"> and </w:t>
      </w:r>
      <w:r w:rsidRPr="00AD0869">
        <w:rPr>
          <w:b/>
          <w:bCs/>
          <w:color w:val="A02B93" w:themeColor="accent5"/>
          <w:sz w:val="24"/>
          <w:szCs w:val="24"/>
        </w:rPr>
        <w:t>reliable</w:t>
      </w:r>
      <w:r w:rsidR="003B702C" w:rsidRPr="00AD0869">
        <w:rPr>
          <w:b/>
          <w:color w:val="A02B93" w:themeColor="accent5"/>
          <w:sz w:val="24"/>
          <w:szCs w:val="24"/>
        </w:rPr>
        <w:t xml:space="preserve"> ESG </w:t>
      </w:r>
      <w:r w:rsidRPr="00AD0869">
        <w:rPr>
          <w:b/>
          <w:bCs/>
          <w:color w:val="A02B93" w:themeColor="accent5"/>
          <w:sz w:val="24"/>
          <w:szCs w:val="24"/>
        </w:rPr>
        <w:t>Ratings</w:t>
      </w:r>
      <w:r w:rsidR="003B702C" w:rsidRPr="00AD0869">
        <w:rPr>
          <w:b/>
          <w:color w:val="A02B93" w:themeColor="accent5"/>
          <w:sz w:val="24"/>
          <w:szCs w:val="24"/>
        </w:rPr>
        <w:t xml:space="preserve">: IOGP Europe's </w:t>
      </w:r>
      <w:r w:rsidRPr="00AD0869">
        <w:rPr>
          <w:b/>
          <w:bCs/>
          <w:color w:val="A02B93" w:themeColor="accent5"/>
          <w:sz w:val="24"/>
          <w:szCs w:val="24"/>
        </w:rPr>
        <w:t>r</w:t>
      </w:r>
      <w:r w:rsidR="003B702C" w:rsidRPr="00AD0869">
        <w:rPr>
          <w:b/>
          <w:bCs/>
          <w:color w:val="A02B93" w:themeColor="accent5"/>
          <w:sz w:val="24"/>
          <w:szCs w:val="24"/>
        </w:rPr>
        <w:t>esponse</w:t>
      </w:r>
      <w:r w:rsidR="003B702C" w:rsidRPr="00AD0869">
        <w:rPr>
          <w:b/>
          <w:color w:val="A02B93" w:themeColor="accent5"/>
          <w:sz w:val="24"/>
          <w:szCs w:val="24"/>
        </w:rPr>
        <w:t xml:space="preserve"> to ESMA's RTS </w:t>
      </w:r>
      <w:r w:rsidRPr="00AD0869">
        <w:rPr>
          <w:b/>
          <w:bCs/>
          <w:color w:val="A02B93" w:themeColor="accent5"/>
          <w:sz w:val="24"/>
          <w:szCs w:val="24"/>
        </w:rPr>
        <w:t>c</w:t>
      </w:r>
      <w:r w:rsidR="003B702C" w:rsidRPr="00AD0869">
        <w:rPr>
          <w:b/>
          <w:bCs/>
          <w:color w:val="A02B93" w:themeColor="accent5"/>
          <w:sz w:val="24"/>
          <w:szCs w:val="24"/>
        </w:rPr>
        <w:t>onsultation</w:t>
      </w:r>
    </w:p>
    <w:p w14:paraId="3BA70A84" w14:textId="4BF6B588" w:rsidR="00AF2A0F" w:rsidRPr="000B2D65" w:rsidRDefault="00AF2A0F" w:rsidP="004C0BB9">
      <w:r>
        <w:t xml:space="preserve">ESG investing has seen </w:t>
      </w:r>
      <w:r w:rsidR="00DD2134">
        <w:t>a rapid</w:t>
      </w:r>
      <w:r>
        <w:t xml:space="preserve"> institutional uptake, with ESG rated funds attracting significant inflows despite methodological inconsistency across ratings</w:t>
      </w:r>
      <w:r w:rsidRPr="1982609F">
        <w:rPr>
          <w:i/>
          <w:iCs/>
        </w:rPr>
        <w:t xml:space="preserve">. </w:t>
      </w:r>
      <w:r>
        <w:t xml:space="preserve">This paradox - high reliance coupled with high variability </w:t>
      </w:r>
      <w:r w:rsidR="36ABA636">
        <w:t xml:space="preserve">and opacity </w:t>
      </w:r>
      <w:r>
        <w:t xml:space="preserve">- underscores the urgency of strengthening oversight of ESG rating activities, </w:t>
      </w:r>
      <w:r w:rsidR="13719ACE">
        <w:t>as</w:t>
      </w:r>
      <w:r>
        <w:t xml:space="preserve"> noted in the </w:t>
      </w:r>
      <w:hyperlink r:id="rId11">
        <w:r w:rsidRPr="1982609F">
          <w:rPr>
            <w:rStyle w:val="Hyperlink"/>
          </w:rPr>
          <w:t>OECD (2024)</w:t>
        </w:r>
      </w:hyperlink>
      <w:r>
        <w:t xml:space="preserve"> and </w:t>
      </w:r>
      <w:hyperlink r:id="rId12">
        <w:r w:rsidRPr="1982609F">
          <w:rPr>
            <w:rStyle w:val="Hyperlink"/>
          </w:rPr>
          <w:t>IOSCO (2023) assessments</w:t>
        </w:r>
      </w:hyperlink>
      <w:r>
        <w:t xml:space="preserve"> of ESG data reliability and investor trust.</w:t>
      </w:r>
    </w:p>
    <w:p w14:paraId="414F80F9" w14:textId="79A6AEBC" w:rsidR="00DB39ED" w:rsidRDefault="00AF2A0F" w:rsidP="004C0BB9">
      <w:r>
        <w:t xml:space="preserve">As an industry that is directly impacted by ESG ratings and actively engaged </w:t>
      </w:r>
      <w:r w:rsidR="38287C9E">
        <w:t xml:space="preserve">energy transition activities </w:t>
      </w:r>
      <w:r>
        <w:t xml:space="preserve">in sustainable finance markets, we support the overarching aim of the regulation to increase transparency, consistency and reliability in ESG rating practices. These objectives are essential to improving investor confidence and ensuring that ESG ratings meaningfully reflect sustainability performance realities. </w:t>
      </w:r>
    </w:p>
    <w:p w14:paraId="3AAE8BB4" w14:textId="14E0B5AE" w:rsidR="005C2AD6" w:rsidRPr="005C2AD6" w:rsidRDefault="005C2AD6" w:rsidP="004C0BB9">
      <w:pPr>
        <w:rPr>
          <w:b/>
          <w:bCs/>
        </w:rPr>
      </w:pPr>
      <w:r>
        <w:rPr>
          <w:b/>
          <w:bCs/>
        </w:rPr>
        <w:t>The problem: divergence, opacity and inconsistency</w:t>
      </w:r>
    </w:p>
    <w:p w14:paraId="6B779FCC" w14:textId="1CC7C963" w:rsidR="00AF2A0F" w:rsidRDefault="00AF2A0F" w:rsidP="004C0BB9">
      <w:r>
        <w:t>However, several challenges must be addressed</w:t>
      </w:r>
      <w:r w:rsidR="005C2AD6">
        <w:t xml:space="preserve"> to ensure the RTS delivers a balanced and effective outcome</w:t>
      </w:r>
      <w:r>
        <w:t xml:space="preserve">. A key concern is the significant divergence in ESG ratings assigned by different providers. In a study by </w:t>
      </w:r>
      <w:hyperlink r:id="rId13">
        <w:r w:rsidRPr="1982609F">
          <w:rPr>
            <w:rStyle w:val="Hyperlink"/>
          </w:rPr>
          <w:t>Berg et al.</w:t>
        </w:r>
      </w:hyperlink>
      <w:r>
        <w:t>, which analyzed ESG ratings from six major agencies, the authors found substantial discrepancies, with correlations between ratings ranging from as</w:t>
      </w:r>
      <w:r w:rsidR="657B271F">
        <w:t xml:space="preserve"> high as 0.71 and</w:t>
      </w:r>
      <w:r>
        <w:t xml:space="preserve"> low as 0.38. </w:t>
      </w:r>
      <w:r w:rsidR="009569C8">
        <w:t xml:space="preserve">Such divergence </w:t>
      </w:r>
      <w:r>
        <w:t xml:space="preserve">stems from notable inconsistencies in the scope of ESG factors assessed, methodological differences in how factors are measured, and the varying weightings applied to environmental, </w:t>
      </w:r>
      <w:r w:rsidR="760EFF31">
        <w:t>social,</w:t>
      </w:r>
      <w:r>
        <w:t xml:space="preserve"> and governance dimensions. </w:t>
      </w:r>
      <w:r>
        <w:br/>
      </w:r>
      <w:r w:rsidR="00726E8A">
        <w:t>But these inconsistencies are also shaped by underlying normative assumptions</w:t>
      </w:r>
      <w:r w:rsidR="0018258C">
        <w:t xml:space="preserve">. </w:t>
      </w:r>
      <w:r w:rsidR="00E534E7">
        <w:t>R</w:t>
      </w:r>
      <w:r>
        <w:t xml:space="preserve">esearch by the </w:t>
      </w:r>
      <w:hyperlink r:id="rId14">
        <w:r w:rsidRPr="1982609F">
          <w:rPr>
            <w:rStyle w:val="Hyperlink"/>
          </w:rPr>
          <w:t>Centre for European Policy Studies (CEPS)</w:t>
        </w:r>
      </w:hyperlink>
      <w:r>
        <w:t xml:space="preserve"> and the </w:t>
      </w:r>
      <w:hyperlink r:id="rId15">
        <w:r w:rsidRPr="1982609F">
          <w:rPr>
            <w:rStyle w:val="Hyperlink"/>
          </w:rPr>
          <w:t>Harvard Law School Forum</w:t>
        </w:r>
      </w:hyperlink>
      <w:r>
        <w:t xml:space="preserve"> on Corporate Governance </w:t>
      </w:r>
      <w:r w:rsidR="005C2AD6">
        <w:t>shows</w:t>
      </w:r>
      <w:r>
        <w:t xml:space="preserve"> that divergence is also</w:t>
      </w:r>
      <w:r w:rsidR="0018258C">
        <w:t xml:space="preserve"> driven</w:t>
      </w:r>
      <w:r>
        <w:t xml:space="preserve"> by opacity around normative assumptions embedded within methodologies, particularly concerning transition pathways and sectoral priorities.</w:t>
      </w:r>
    </w:p>
    <w:p w14:paraId="75ADE7AC" w14:textId="2147632A" w:rsidR="005C2AD6" w:rsidRDefault="00AF2A0F" w:rsidP="004C0BB9">
      <w:r>
        <w:t xml:space="preserve">These inconsistencies </w:t>
      </w:r>
      <w:r w:rsidR="002C2407">
        <w:t>undermine</w:t>
      </w:r>
      <w:r>
        <w:t xml:space="preserve"> comparability across ratings and reduce confidence in the overall reliability of ESG assessments. </w:t>
      </w:r>
      <w:r w:rsidR="005C2AD6">
        <w:t xml:space="preserve">A lack of methodological transparency further limits the ability of rated entities to understand or challenge </w:t>
      </w:r>
      <w:r w:rsidR="2136FF7A">
        <w:t xml:space="preserve">or support </w:t>
      </w:r>
      <w:r w:rsidR="005C2AD6">
        <w:t xml:space="preserve">how scores are </w:t>
      </w:r>
      <w:r w:rsidR="5C3BFF61">
        <w:t>calculated,</w:t>
      </w:r>
      <w:r w:rsidR="005C2AD6">
        <w:t xml:space="preserve"> or which data points influenced the outcome.</w:t>
      </w:r>
    </w:p>
    <w:p w14:paraId="11AE8798" w14:textId="659A7DA0" w:rsidR="00674B91" w:rsidRDefault="005C2AD6" w:rsidP="004C0BB9">
      <w:r>
        <w:t>To support this, the RTS should promote the effective reuse of existing globally recognized reporting standards and frameworks to help avoid duplicative reporting and unnecessary burden on companies</w:t>
      </w:r>
      <w:r w:rsidR="6136B602">
        <w:t xml:space="preserve"> depending on which jurisdiction they operate in, and to be able to compare apples with apples across different jurisdictions. </w:t>
      </w:r>
    </w:p>
    <w:p w14:paraId="673A3FE1" w14:textId="4C98818B" w:rsidR="00AF2A0F" w:rsidRDefault="009E581A" w:rsidP="004C0BB9">
      <w:r>
        <w:t>While transparency is essential</w:t>
      </w:r>
      <w:r w:rsidR="00B176D3">
        <w:t xml:space="preserve">, </w:t>
      </w:r>
      <w:r w:rsidR="002E6C9D">
        <w:t xml:space="preserve">a </w:t>
      </w:r>
      <w:r w:rsidR="00CF7768">
        <w:t>minimum level</w:t>
      </w:r>
      <w:r w:rsidR="002E6C9D">
        <w:t xml:space="preserve"> of </w:t>
      </w:r>
      <w:r w:rsidR="00CF7768">
        <w:t>methodological</w:t>
      </w:r>
      <w:r w:rsidR="002E6C9D">
        <w:t xml:space="preserve"> standardization is </w:t>
      </w:r>
      <w:r w:rsidR="00B176D3">
        <w:t>also required</w:t>
      </w:r>
      <w:r w:rsidR="002E6C9D">
        <w:t xml:space="preserve"> </w:t>
      </w:r>
      <w:r w:rsidR="1F554B3D">
        <w:t xml:space="preserve">to improve baseline </w:t>
      </w:r>
      <w:r w:rsidR="00BE735E">
        <w:t>consistency</w:t>
      </w:r>
      <w:r w:rsidR="1F554B3D">
        <w:t xml:space="preserve"> across providers and mitigate the most problematic divergencies.</w:t>
      </w:r>
    </w:p>
    <w:p w14:paraId="0E7164C6" w14:textId="77777777" w:rsidR="00FE18BC" w:rsidRDefault="00FE18BC" w:rsidP="004C0BB9">
      <w:pPr>
        <w:rPr>
          <w:b/>
          <w:bCs/>
        </w:rPr>
      </w:pPr>
      <w:r>
        <w:rPr>
          <w:b/>
          <w:bCs/>
        </w:rPr>
        <w:br/>
      </w:r>
      <w:r>
        <w:rPr>
          <w:b/>
          <w:bCs/>
        </w:rPr>
        <w:br/>
      </w:r>
      <w:r>
        <w:rPr>
          <w:b/>
          <w:bCs/>
        </w:rPr>
        <w:lastRenderedPageBreak/>
        <w:br/>
      </w:r>
    </w:p>
    <w:p w14:paraId="70C9482C" w14:textId="77777777" w:rsidR="00FE18BC" w:rsidRDefault="00FE18BC" w:rsidP="004C0BB9">
      <w:pPr>
        <w:rPr>
          <w:b/>
          <w:bCs/>
        </w:rPr>
      </w:pPr>
    </w:p>
    <w:p w14:paraId="47A2719B" w14:textId="40D2BFB1" w:rsidR="1982609F" w:rsidRDefault="1982609F" w:rsidP="1982609F">
      <w:pPr>
        <w:rPr>
          <w:b/>
          <w:bCs/>
        </w:rPr>
      </w:pPr>
    </w:p>
    <w:p w14:paraId="7A9355E7" w14:textId="77777777" w:rsidR="00FE18BC" w:rsidRDefault="005C2AD6" w:rsidP="004C0BB9">
      <w:pPr>
        <w:rPr>
          <w:b/>
          <w:bCs/>
        </w:rPr>
      </w:pPr>
      <w:r>
        <w:rPr>
          <w:b/>
          <w:bCs/>
        </w:rPr>
        <w:t>Consequences for Industry and the Market</w:t>
      </w:r>
    </w:p>
    <w:p w14:paraId="7193837E" w14:textId="617C59F1" w:rsidR="00674B91" w:rsidRPr="00FE18BC" w:rsidRDefault="00AF2A0F" w:rsidP="004C0BB9">
      <w:pPr>
        <w:rPr>
          <w:b/>
          <w:bCs/>
        </w:rPr>
      </w:pPr>
      <w:r>
        <w:t>For companies operating across complex international value chains, th</w:t>
      </w:r>
      <w:r w:rsidR="002E7241">
        <w:t xml:space="preserve">e current gaps </w:t>
      </w:r>
      <w:r>
        <w:t xml:space="preserve">in rating practices pose operational and reputational risks. </w:t>
      </w:r>
      <w:r w:rsidR="0077272C">
        <w:t>They</w:t>
      </w:r>
      <w:r>
        <w:t xml:space="preserve"> conflate the </w:t>
      </w:r>
      <w:r w:rsidR="004026F0">
        <w:t>exposure</w:t>
      </w:r>
      <w:r>
        <w:t xml:space="preserve"> of high profile ESG controversies with non-compliance, without proper</w:t>
      </w:r>
      <w:r w:rsidR="000B2D65">
        <w:t xml:space="preserve"> </w:t>
      </w:r>
      <w:r>
        <w:t>consideration of a company’s risk management systems, mitigation measures, or due diligence efforts.</w:t>
      </w:r>
    </w:p>
    <w:p w14:paraId="4D976787" w14:textId="69ED9DE1" w:rsidR="005C2AD6" w:rsidRDefault="00AF2A0F" w:rsidP="004C0BB9">
      <w:r>
        <w:t>These flaws are harmful in sectors like energy and chemicals</w:t>
      </w:r>
      <w:r w:rsidR="43F13BAA">
        <w:t xml:space="preserve"> inter alia</w:t>
      </w:r>
      <w:r>
        <w:t xml:space="preserve">, where investment decisions and stakeholder perception </w:t>
      </w:r>
      <w:r w:rsidR="00524032">
        <w:t xml:space="preserve">may be </w:t>
      </w:r>
      <w:r>
        <w:t xml:space="preserve">shaped by ESG ratings. Studies published in </w:t>
      </w:r>
      <w:hyperlink r:id="rId16">
        <w:r w:rsidRPr="1982609F">
          <w:rPr>
            <w:rStyle w:val="Hyperlink"/>
          </w:rPr>
          <w:t>"ScienceDirect"</w:t>
        </w:r>
      </w:hyperlink>
      <w:r>
        <w:t xml:space="preserve"> and by the </w:t>
      </w:r>
      <w:hyperlink r:id="rId17">
        <w:r w:rsidRPr="1982609F">
          <w:rPr>
            <w:rStyle w:val="Hyperlink"/>
          </w:rPr>
          <w:t>EU’s Joint Research Centre (JRC)</w:t>
        </w:r>
      </w:hyperlink>
      <w:r>
        <w:t xml:space="preserve"> highlight how ESG metrics may undervalue complex transition efforts by failing to distinguish between</w:t>
      </w:r>
      <w:r w:rsidR="005C2AD6">
        <w:t>:</w:t>
      </w:r>
    </w:p>
    <w:p w14:paraId="26C0E026" w14:textId="77777777" w:rsidR="005C2AD6" w:rsidRDefault="00AF2A0F" w:rsidP="004C0BB9">
      <w:pPr>
        <w:pStyle w:val="ListParagraph"/>
        <w:numPr>
          <w:ilvl w:val="0"/>
          <w:numId w:val="22"/>
        </w:numPr>
      </w:pPr>
      <w:r w:rsidRPr="00516FEA">
        <w:t>static</w:t>
      </w:r>
      <w:r w:rsidRPr="00350463">
        <w:t xml:space="preserve"> performance (e.g., current emissions) </w:t>
      </w:r>
    </w:p>
    <w:p w14:paraId="77A62BD3" w14:textId="24608C15" w:rsidR="00AF2A0F" w:rsidRPr="00350463" w:rsidRDefault="005C2AD6" w:rsidP="004C0BB9">
      <w:pPr>
        <w:pStyle w:val="ListParagraph"/>
        <w:numPr>
          <w:ilvl w:val="0"/>
          <w:numId w:val="22"/>
        </w:numPr>
      </w:pPr>
      <w:r>
        <w:t>f</w:t>
      </w:r>
      <w:r w:rsidR="00AF2A0F">
        <w:t xml:space="preserve">orward-looking metrics (e.g., </w:t>
      </w:r>
      <w:r w:rsidR="001D6845">
        <w:t>decarbonization</w:t>
      </w:r>
      <w:r w:rsidR="00AF2A0F">
        <w:t xml:space="preserve"> roadmaps or capital </w:t>
      </w:r>
      <w:r w:rsidR="30A47337">
        <w:t>expenditures</w:t>
      </w:r>
      <w:r w:rsidR="00AF2A0F">
        <w:t xml:space="preserve"> plans</w:t>
      </w:r>
      <w:r w:rsidR="62B36E1B">
        <w:t xml:space="preserve"> (</w:t>
      </w:r>
      <w:proofErr w:type="spellStart"/>
      <w:r w:rsidR="62B36E1B">
        <w:t>CapEx</w:t>
      </w:r>
      <w:proofErr w:type="spellEnd"/>
      <w:r w:rsidR="62B36E1B">
        <w:t>)</w:t>
      </w:r>
      <w:r w:rsidR="00AF2A0F">
        <w:t>).</w:t>
      </w:r>
    </w:p>
    <w:p w14:paraId="7702A55A" w14:textId="77777777" w:rsidR="005C2AD6" w:rsidRDefault="00AF2A0F" w:rsidP="004C0BB9">
      <w:r>
        <w:t>Adding to these concerns</w:t>
      </w:r>
      <w:r w:rsidR="00422CA6">
        <w:t xml:space="preserve">, companies face an increasing </w:t>
      </w:r>
      <w:r>
        <w:t xml:space="preserve">administrative burden associated with ESG ratings. </w:t>
      </w:r>
      <w:r w:rsidR="005C2AD6">
        <w:t>They</w:t>
      </w:r>
      <w:r>
        <w:t xml:space="preserve"> are frequently required to respond to questionnaires from multiple rating agencies, often involving</w:t>
      </w:r>
      <w:r w:rsidR="005C2AD6">
        <w:t>:</w:t>
      </w:r>
    </w:p>
    <w:p w14:paraId="6EB6C5F2" w14:textId="77777777" w:rsidR="005C2AD6" w:rsidRDefault="00AF2A0F" w:rsidP="004C0BB9">
      <w:pPr>
        <w:pStyle w:val="ListParagraph"/>
        <w:numPr>
          <w:ilvl w:val="0"/>
          <w:numId w:val="22"/>
        </w:numPr>
      </w:pPr>
      <w:r>
        <w:t xml:space="preserve"> redundant or inconsistent requests for information</w:t>
      </w:r>
    </w:p>
    <w:p w14:paraId="54357E8D" w14:textId="77777777" w:rsidR="005C2AD6" w:rsidRDefault="005C2AD6" w:rsidP="004C0BB9">
      <w:pPr>
        <w:pStyle w:val="ListParagraph"/>
        <w:numPr>
          <w:ilvl w:val="0"/>
          <w:numId w:val="22"/>
        </w:numPr>
      </w:pPr>
      <w:r>
        <w:t>Inefficient processes</w:t>
      </w:r>
    </w:p>
    <w:p w14:paraId="6FEA21FD" w14:textId="77777777" w:rsidR="005C2AD6" w:rsidRDefault="005C2AD6" w:rsidP="004C0BB9">
      <w:pPr>
        <w:pStyle w:val="ListParagraph"/>
        <w:numPr>
          <w:ilvl w:val="0"/>
          <w:numId w:val="22"/>
        </w:numPr>
      </w:pPr>
      <w:r>
        <w:t>Reporting fatigue</w:t>
      </w:r>
    </w:p>
    <w:p w14:paraId="70031171" w14:textId="77777777" w:rsidR="005C2AD6" w:rsidRDefault="005C2AD6" w:rsidP="004C0BB9">
      <w:pPr>
        <w:pStyle w:val="ListParagraph"/>
        <w:numPr>
          <w:ilvl w:val="0"/>
          <w:numId w:val="22"/>
        </w:numPr>
      </w:pPr>
      <w:r>
        <w:t>Limited-value engagement</w:t>
      </w:r>
    </w:p>
    <w:p w14:paraId="3CEC3610" w14:textId="5C155C13" w:rsidR="00AF2A0F" w:rsidRDefault="00481C10" w:rsidP="002A3C94">
      <w:r>
        <w:t>The absence of</w:t>
      </w:r>
      <w:r w:rsidR="0083610F" w:rsidRPr="0083610F">
        <w:t xml:space="preserve"> data review or feedback mechanisms</w:t>
      </w:r>
      <w:r w:rsidR="0083610F">
        <w:t xml:space="preserve">, </w:t>
      </w:r>
      <w:r w:rsidR="0083610F" w:rsidRPr="0083610F">
        <w:t>combined with confusing presentation of inputs</w:t>
      </w:r>
      <w:r w:rsidR="0083610F">
        <w:t>,</w:t>
      </w:r>
      <w:r w:rsidR="0083610F" w:rsidRPr="0083610F">
        <w:t xml:space="preserve"> can make it difficult for issuers to verify or correct data. </w:t>
      </w:r>
      <w:r w:rsidR="00F04C7A">
        <w:br/>
      </w:r>
      <w:r w:rsidR="0083610F" w:rsidRPr="0083610F">
        <w:t>This contributes to inconsistencies across ratings and undermines clarity on how performance is measured or weighted, leaving companies unsure how to improve or respond to stakeholder concerns.</w:t>
      </w:r>
      <w:r w:rsidR="0083610F">
        <w:t xml:space="preserve"> </w:t>
      </w:r>
      <w:r w:rsidR="002C2407">
        <w:t>Greater</w:t>
      </w:r>
      <w:r w:rsidR="00EB23F9">
        <w:t xml:space="preserve"> alignment around calculations and methodologies for data points that are common across multiple ESG raters would be helpful to issuers. </w:t>
      </w:r>
    </w:p>
    <w:p w14:paraId="66B83C76" w14:textId="77777777" w:rsidR="00481C10" w:rsidRDefault="00481C10" w:rsidP="002A3C94">
      <w:pPr>
        <w:rPr>
          <w:b/>
          <w:bCs/>
        </w:rPr>
      </w:pPr>
      <w:r>
        <w:rPr>
          <w:b/>
          <w:bCs/>
        </w:rPr>
        <w:t xml:space="preserve">Gaps in process and engagement </w:t>
      </w:r>
    </w:p>
    <w:p w14:paraId="6EA71B4D" w14:textId="6AFE5FB7" w:rsidR="00481C10" w:rsidRDefault="00B54AA3" w:rsidP="002A3C94">
      <w:r>
        <w:t xml:space="preserve">The lack of structured engagement further weakens the ratings process. </w:t>
      </w:r>
      <w:r w:rsidR="00AF2A0F">
        <w:t xml:space="preserve">Some providers </w:t>
      </w:r>
      <w:r w:rsidR="00A7789E">
        <w:t xml:space="preserve">like </w:t>
      </w:r>
      <w:proofErr w:type="spellStart"/>
      <w:r w:rsidR="001F5041">
        <w:t>RepRisk</w:t>
      </w:r>
      <w:proofErr w:type="spellEnd"/>
      <w:r w:rsidR="00AB69B3">
        <w:t xml:space="preserve"> rely</w:t>
      </w:r>
      <w:r w:rsidR="00AF2A0F">
        <w:t xml:space="preserve"> primarily on publicly available data to identify and assess material risks, citing concerns over the reliability of self-reported information. </w:t>
      </w:r>
      <w:r w:rsidR="00AF2A0F" w:rsidRPr="00EC7845">
        <w:t xml:space="preserve">While this may improve perceived independence, it also introduces risks of omission or misinterpretation, particularly where providers operate without structured engagement protocols. </w:t>
      </w:r>
    </w:p>
    <w:p w14:paraId="3094DA5D" w14:textId="44F463D7" w:rsidR="00AB0B2D" w:rsidRDefault="009C5ED8" w:rsidP="002A3C94">
      <w:r>
        <w:t>ESMA stakeholder consultations and academic publications have flagged this concern, calling for minimum standards of issuer interaction and data verification. The absence of engagement increases the risk of factual inaccuracies and prevents issuers from clarifying complex sustainability issues</w:t>
      </w:r>
      <w:r w:rsidR="00AB0B2D">
        <w:t>, particularly when companies are unable to clarify or contextualize the information being used.</w:t>
      </w:r>
    </w:p>
    <w:p w14:paraId="1806832E" w14:textId="77777777" w:rsidR="00FE18BC" w:rsidRDefault="00FE18BC" w:rsidP="004C0BB9"/>
    <w:p w14:paraId="438D4AFD" w14:textId="77777777" w:rsidR="00FE18BC" w:rsidRDefault="00FE18BC" w:rsidP="004C0BB9"/>
    <w:p w14:paraId="13AD98FB" w14:textId="77777777" w:rsidR="00FE18BC" w:rsidRDefault="00FE18BC" w:rsidP="004C0BB9"/>
    <w:p w14:paraId="2EAAC2F9" w14:textId="323DF9E4" w:rsidR="00481C10" w:rsidRDefault="00FE18BC" w:rsidP="004C0BB9">
      <w:r>
        <w:br/>
      </w:r>
      <w:r w:rsidR="00481C10">
        <w:t>C</w:t>
      </w:r>
      <w:r w:rsidR="002A3525">
        <w:t xml:space="preserve">ompanies </w:t>
      </w:r>
      <w:r w:rsidR="00481C10">
        <w:t xml:space="preserve">also </w:t>
      </w:r>
      <w:r w:rsidR="002A3525">
        <w:t>face</w:t>
      </w:r>
      <w:r w:rsidR="00AF2A0F">
        <w:t xml:space="preserve"> difficulties in correcting controversies. There is often</w:t>
      </w:r>
      <w:r w:rsidR="00481C10">
        <w:t>:</w:t>
      </w:r>
    </w:p>
    <w:p w14:paraId="5C477D1D" w14:textId="1CA216C5" w:rsidR="00674B91" w:rsidRDefault="00AF2A0F" w:rsidP="00674B91">
      <w:pPr>
        <w:pStyle w:val="ListParagraph"/>
        <w:numPr>
          <w:ilvl w:val="0"/>
          <w:numId w:val="22"/>
        </w:numPr>
      </w:pPr>
      <w:r>
        <w:t>no clear threshold or standard for inclusion</w:t>
      </w:r>
    </w:p>
    <w:p w14:paraId="4D19CDD8" w14:textId="19AEC072" w:rsidR="00481C10" w:rsidRDefault="00481C10" w:rsidP="004C0BB9">
      <w:pPr>
        <w:pStyle w:val="ListParagraph"/>
        <w:numPr>
          <w:ilvl w:val="0"/>
          <w:numId w:val="22"/>
        </w:numPr>
      </w:pPr>
      <w:r>
        <w:t xml:space="preserve">limited opportunity to challenge or update incorrect assessments </w:t>
      </w:r>
    </w:p>
    <w:p w14:paraId="01B667F2" w14:textId="77777777" w:rsidR="00481C10" w:rsidRDefault="00481C10" w:rsidP="004C0BB9">
      <w:pPr>
        <w:pStyle w:val="ListParagraph"/>
        <w:numPr>
          <w:ilvl w:val="0"/>
          <w:numId w:val="22"/>
        </w:numPr>
      </w:pPr>
      <w:r>
        <w:t>no clear procedure for removing outdated or disproved items</w:t>
      </w:r>
    </w:p>
    <w:p w14:paraId="6B0B9D8E" w14:textId="6B87CAB3" w:rsidR="00481C10" w:rsidRDefault="00481C10" w:rsidP="004C0BB9">
      <w:pPr>
        <w:pStyle w:val="ListParagraph"/>
        <w:numPr>
          <w:ilvl w:val="0"/>
          <w:numId w:val="22"/>
        </w:numPr>
      </w:pPr>
      <w:r w:rsidRPr="00481C10">
        <w:t>and even after providing credible evidence to refute inaccurate claims, it remains challenging to have these items amended or removed in a timely manner</w:t>
      </w:r>
      <w:r>
        <w:t xml:space="preserve"> </w:t>
      </w:r>
    </w:p>
    <w:p w14:paraId="25F26875" w14:textId="730730AE" w:rsidR="00534DD6" w:rsidRDefault="00AF2A0F" w:rsidP="004C0BB9">
      <w:r>
        <w:t xml:space="preserve">To provide an </w:t>
      </w:r>
      <w:r w:rsidR="002B1337">
        <w:t>example, we</w:t>
      </w:r>
      <w:r>
        <w:t xml:space="preserve"> observed that data submitted through a structured questionnaire was later reassessed without explanation, resulting in discrepancies that could not be reconciled. The lack of formal timelines, structured engagement </w:t>
      </w:r>
      <w:r w:rsidR="00456654">
        <w:t xml:space="preserve">opportunities </w:t>
      </w:r>
      <w:r w:rsidR="005C2AD6">
        <w:t>and</w:t>
      </w:r>
      <w:r>
        <w:t xml:space="preserve"> due process for such reviews undermines trust </w:t>
      </w:r>
      <w:r w:rsidR="58022C1A">
        <w:t xml:space="preserve">and introduces flaws </w:t>
      </w:r>
      <w:r>
        <w:t>in the rating process.</w:t>
      </w:r>
      <w:r w:rsidR="4340F3F7">
        <w:t xml:space="preserve"> </w:t>
      </w:r>
    </w:p>
    <w:p w14:paraId="6DE45DAE" w14:textId="1EAD422B" w:rsidR="00AF2A0F" w:rsidRDefault="4340F3F7" w:rsidP="004C0BB9">
      <w:r>
        <w:t xml:space="preserve">Another challenge is that controversies often remain part of an issuer’s rating for a fixed period, even after they have been </w:t>
      </w:r>
      <w:r w:rsidR="004244F4">
        <w:t>disproved</w:t>
      </w:r>
      <w:r>
        <w:t xml:space="preserve"> or after a significant amount of time has passed. </w:t>
      </w:r>
    </w:p>
    <w:p w14:paraId="79E22DDC" w14:textId="220DD726" w:rsidR="2A8EFB17" w:rsidRDefault="00481C10" w:rsidP="004C0BB9">
      <w:r>
        <w:t>Separately, s</w:t>
      </w:r>
      <w:r w:rsidR="2A8EFB17">
        <w:t xml:space="preserve">ome rating providers also permit the submission of non-public data, which can lead to asymmetries between companies that do and do not provide such information. </w:t>
      </w:r>
      <w:r w:rsidR="3FAD85CE">
        <w:t>This raise</w:t>
      </w:r>
      <w:r w:rsidR="2A8EFB17">
        <w:t xml:space="preserve"> concerns around fairness and consistency in the rating process. </w:t>
      </w:r>
    </w:p>
    <w:p w14:paraId="5F0238B2" w14:textId="3A23D5E3" w:rsidR="005D7A7F" w:rsidRDefault="005D7A7F" w:rsidP="004C0BB9">
      <w:r>
        <w:t>We also note a growing trend whereby companies and investors are turning to their own internal ESG assessment methodologies, citing limitations and inconsistencies across commercial ESG ratings. This shift reflects broader concerns about the reliability of third-party ESG scores and</w:t>
      </w:r>
      <w:r w:rsidR="00715BA2">
        <w:t xml:space="preserve"> </w:t>
      </w:r>
      <w:r w:rsidR="005F6B1A">
        <w:br/>
      </w:r>
      <w:r>
        <w:t xml:space="preserve">highlights the need for the regulatory framework to improve confidence in the ESG rating ecosystem. </w:t>
      </w:r>
    </w:p>
    <w:p w14:paraId="0AB3D01B" w14:textId="3BBE2E11" w:rsidR="00481C10" w:rsidRPr="00481C10" w:rsidRDefault="00481C10" w:rsidP="004C0BB9">
      <w:pPr>
        <w:rPr>
          <w:b/>
          <w:bCs/>
        </w:rPr>
      </w:pPr>
      <w:r>
        <w:rPr>
          <w:b/>
          <w:bCs/>
        </w:rPr>
        <w:t>Recommendations for a stronger RTS</w:t>
      </w:r>
    </w:p>
    <w:p w14:paraId="046DB5DB" w14:textId="5C5FBB6A" w:rsidR="00AF2A0F" w:rsidRDefault="00AF2A0F" w:rsidP="004C0BB9">
      <w:r>
        <w:t xml:space="preserve">We believe the draft </w:t>
      </w:r>
      <w:r w:rsidR="00666B6F">
        <w:t>RTS</w:t>
      </w:r>
      <w:r>
        <w:t xml:space="preserve"> </w:t>
      </w:r>
      <w:r w:rsidR="283C803A">
        <w:t xml:space="preserve">proposal </w:t>
      </w:r>
      <w:r w:rsidR="00726CF6">
        <w:t>represents</w:t>
      </w:r>
      <w:r>
        <w:t xml:space="preserve"> a positive step toward resolving many of these issues, particularly through </w:t>
      </w:r>
      <w:r w:rsidR="005C2AD6">
        <w:t>its</w:t>
      </w:r>
      <w:r>
        <w:t xml:space="preserve"> emphasis on increased transparency around methodologies, key assumptions and data sources. </w:t>
      </w:r>
    </w:p>
    <w:p w14:paraId="7FE6358C" w14:textId="342F1D43" w:rsidR="00AF2A0F" w:rsidRDefault="00AF2A0F" w:rsidP="004C0BB9">
      <w:r>
        <w:t>While this direction is welcome, we encourage ESMA to go further in several key areas</w:t>
      </w:r>
      <w:r w:rsidR="00737F7A">
        <w:t>, to</w:t>
      </w:r>
      <w:r>
        <w:t xml:space="preserve"> ensure that ESG ratings are transparent, reliable and aligned with broader EU sustainability objectives</w:t>
      </w:r>
      <w:r w:rsidR="005C2AD6">
        <w:t>. W</w:t>
      </w:r>
      <w:r>
        <w:t>e propose</w:t>
      </w:r>
      <w:r w:rsidR="005C2AD6">
        <w:t xml:space="preserve"> the following</w:t>
      </w:r>
      <w:r>
        <w:t>:</w:t>
      </w:r>
    </w:p>
    <w:p w14:paraId="1367E5FF" w14:textId="2441C868" w:rsidR="00E707FC" w:rsidRPr="00E707FC" w:rsidRDefault="00E707FC" w:rsidP="004C0BB9">
      <w:pPr>
        <w:pStyle w:val="ListParagraph"/>
        <w:numPr>
          <w:ilvl w:val="0"/>
          <w:numId w:val="10"/>
        </w:numPr>
      </w:pPr>
      <w:r>
        <w:t xml:space="preserve">While methodological diversity is welcome, </w:t>
      </w:r>
      <w:r>
        <w:rPr>
          <w:b/>
          <w:bCs/>
        </w:rPr>
        <w:t xml:space="preserve">we </w:t>
      </w:r>
      <w:r w:rsidR="00134C57">
        <w:rPr>
          <w:b/>
          <w:bCs/>
        </w:rPr>
        <w:t>call for</w:t>
      </w:r>
      <w:r>
        <w:rPr>
          <w:b/>
          <w:bCs/>
        </w:rPr>
        <w:t xml:space="preserve"> ESMA</w:t>
      </w:r>
      <w:r w:rsidR="00134C57">
        <w:rPr>
          <w:b/>
          <w:bCs/>
        </w:rPr>
        <w:t xml:space="preserve"> to</w:t>
      </w:r>
      <w:r>
        <w:rPr>
          <w:b/>
          <w:bCs/>
        </w:rPr>
        <w:t xml:space="preserve"> ensure that ESG rating providers transparently disclose normative judgements </w:t>
      </w:r>
      <w:r>
        <w:t xml:space="preserve">(e.g. energy transition timelines, policy expectations) </w:t>
      </w:r>
      <w:r>
        <w:rPr>
          <w:b/>
          <w:bCs/>
        </w:rPr>
        <w:t>that could influence sectoral assessments.</w:t>
      </w:r>
    </w:p>
    <w:p w14:paraId="3DA13565" w14:textId="05BDB78C" w:rsidR="00AF2A0F" w:rsidRDefault="00AF2A0F" w:rsidP="004C0BB9">
      <w:pPr>
        <w:pStyle w:val="ListParagraph"/>
        <w:numPr>
          <w:ilvl w:val="0"/>
          <w:numId w:val="10"/>
        </w:numPr>
      </w:pPr>
      <w:r w:rsidRPr="00996E1B">
        <w:rPr>
          <w:b/>
          <w:bCs/>
        </w:rPr>
        <w:t xml:space="preserve">We </w:t>
      </w:r>
      <w:r w:rsidR="00134C57">
        <w:rPr>
          <w:b/>
          <w:bCs/>
        </w:rPr>
        <w:t>propose</w:t>
      </w:r>
      <w:r w:rsidRPr="00996E1B">
        <w:rPr>
          <w:b/>
          <w:bCs/>
        </w:rPr>
        <w:t xml:space="preserve"> that the </w:t>
      </w:r>
      <w:r>
        <w:rPr>
          <w:b/>
          <w:bCs/>
        </w:rPr>
        <w:t>draft RTS</w:t>
      </w:r>
      <w:r w:rsidRPr="00996E1B">
        <w:rPr>
          <w:b/>
          <w:bCs/>
        </w:rPr>
        <w:t xml:space="preserve"> should explicitly require rating providers to disclose whether and how they engage with rated companies</w:t>
      </w:r>
      <w:r w:rsidR="00AC5B3D">
        <w:rPr>
          <w:b/>
          <w:bCs/>
        </w:rPr>
        <w:t xml:space="preserve"> and to require engagement following a request from issuers</w:t>
      </w:r>
      <w:r>
        <w:rPr>
          <w:b/>
          <w:bCs/>
        </w:rPr>
        <w:t xml:space="preserve">. </w:t>
      </w:r>
      <w:r w:rsidR="00A0540D">
        <w:rPr>
          <w:b/>
          <w:bCs/>
        </w:rPr>
        <w:br/>
      </w:r>
      <w:r>
        <w:t xml:space="preserve">Transparency about issuer engagement and responsiveness is important to ensure procedural fairness and to give companies a meaningful opportunity to clarify or correct material findings. </w:t>
      </w:r>
      <w:r w:rsidR="00FE18BC">
        <w:br/>
      </w:r>
      <w:r w:rsidR="00FE18BC">
        <w:br/>
      </w:r>
      <w:r w:rsidR="00FE18BC">
        <w:lastRenderedPageBreak/>
        <w:br/>
      </w:r>
      <w:r w:rsidR="00FE18BC">
        <w:br/>
      </w:r>
      <w:r w:rsidR="00FE18BC">
        <w:br/>
      </w:r>
      <w:r w:rsidR="00FE18BC">
        <w:br/>
      </w:r>
    </w:p>
    <w:p w14:paraId="52D129C8" w14:textId="0D40B072" w:rsidR="00674B91" w:rsidRDefault="00AF2A0F" w:rsidP="00674B91">
      <w:pPr>
        <w:pStyle w:val="ListParagraph"/>
        <w:numPr>
          <w:ilvl w:val="0"/>
          <w:numId w:val="10"/>
        </w:numPr>
      </w:pPr>
      <w:r>
        <w:rPr>
          <w:b/>
          <w:bCs/>
        </w:rPr>
        <w:t xml:space="preserve">We </w:t>
      </w:r>
      <w:r w:rsidR="00134C57">
        <w:rPr>
          <w:b/>
          <w:bCs/>
        </w:rPr>
        <w:t>recommend</w:t>
      </w:r>
      <w:r>
        <w:rPr>
          <w:b/>
          <w:bCs/>
        </w:rPr>
        <w:t xml:space="preserve"> that the RTS should establish baseline requirements for how providers assess, verify and reassess ESG controversies.</w:t>
      </w:r>
      <w:r>
        <w:t xml:space="preserve"> </w:t>
      </w:r>
      <w:r w:rsidR="00A0540D">
        <w:br/>
      </w:r>
      <w:r>
        <w:t>These should include clear thresholds, response timelines, and disclosure of the controversy’s material impact on ratings.</w:t>
      </w:r>
    </w:p>
    <w:p w14:paraId="0C3F74EA" w14:textId="144C3A5A" w:rsidR="00AF2A0F" w:rsidRPr="00F04C7A" w:rsidRDefault="00AF2A0F" w:rsidP="004C0BB9">
      <w:pPr>
        <w:pStyle w:val="ListParagraph"/>
        <w:numPr>
          <w:ilvl w:val="0"/>
          <w:numId w:val="10"/>
        </w:numPr>
      </w:pPr>
      <w:r w:rsidRPr="00F04C7A">
        <w:rPr>
          <w:b/>
        </w:rPr>
        <w:t xml:space="preserve">We </w:t>
      </w:r>
      <w:r w:rsidR="00F72591">
        <w:rPr>
          <w:b/>
        </w:rPr>
        <w:t>suggest</w:t>
      </w:r>
      <w:r w:rsidRPr="00F04C7A">
        <w:rPr>
          <w:b/>
        </w:rPr>
        <w:t xml:space="preserve"> that the regulation </w:t>
      </w:r>
      <w:r w:rsidR="006B740D" w:rsidRPr="00F04C7A">
        <w:rPr>
          <w:b/>
        </w:rPr>
        <w:t xml:space="preserve">looks at interoperability to </w:t>
      </w:r>
      <w:r w:rsidRPr="00F04C7A">
        <w:rPr>
          <w:b/>
        </w:rPr>
        <w:t>promote closer alignment with established framework</w:t>
      </w:r>
      <w:r w:rsidR="00132A23" w:rsidRPr="00F04C7A">
        <w:rPr>
          <w:b/>
        </w:rPr>
        <w:t>s.</w:t>
      </w:r>
      <w:r w:rsidR="0055004D" w:rsidRPr="00F04C7A">
        <w:rPr>
          <w:b/>
        </w:rPr>
        <w:t xml:space="preserve"> </w:t>
      </w:r>
      <w:r w:rsidR="00A0540D">
        <w:rPr>
          <w:b/>
          <w:bCs/>
        </w:rPr>
        <w:br/>
      </w:r>
      <w:r w:rsidR="00D20B6C" w:rsidRPr="00F04C7A">
        <w:t xml:space="preserve">This will enhance </w:t>
      </w:r>
      <w:r w:rsidR="00836056" w:rsidRPr="00F04C7A">
        <w:t>consistency and comparability of ESG assessments while minimizing duplicative requests.</w:t>
      </w:r>
      <w:r w:rsidR="00B03EF9" w:rsidRPr="00F04C7A">
        <w:rPr>
          <w:b/>
        </w:rPr>
        <w:t xml:space="preserve"> </w:t>
      </w:r>
      <w:r w:rsidR="00B03EF9" w:rsidRPr="00F04C7A">
        <w:t>In the EU context, ESG rating providers</w:t>
      </w:r>
      <w:r w:rsidR="00B03EF9" w:rsidRPr="00F04C7A">
        <w:rPr>
          <w:b/>
        </w:rPr>
        <w:t xml:space="preserve"> </w:t>
      </w:r>
      <w:r w:rsidR="00B03EF9" w:rsidRPr="00F04C7A">
        <w:t xml:space="preserve">should </w:t>
      </w:r>
      <w:r w:rsidR="000A15AA" w:rsidRPr="00F04C7A">
        <w:t>prioritize</w:t>
      </w:r>
      <w:r w:rsidR="00D83851" w:rsidRPr="00F04C7A">
        <w:t xml:space="preserve"> the use of mandatory, audited disclosures under the CSRD</w:t>
      </w:r>
      <w:r w:rsidR="00223616" w:rsidRPr="00F04C7A">
        <w:t>,</w:t>
      </w:r>
      <w:r w:rsidR="00D83851" w:rsidRPr="00F04C7A">
        <w:t xml:space="preserve"> where relevant.</w:t>
      </w:r>
      <w:r w:rsidR="00836056" w:rsidRPr="00F04C7A">
        <w:t xml:space="preserve"> </w:t>
      </w:r>
      <w:r w:rsidR="00650980" w:rsidRPr="00F04C7A">
        <w:t xml:space="preserve">However, </w:t>
      </w:r>
      <w:r w:rsidR="00A0540D" w:rsidRPr="00F04C7A">
        <w:t>considering</w:t>
      </w:r>
      <w:r w:rsidR="00650980" w:rsidRPr="00F04C7A">
        <w:t xml:space="preserve"> the ongoing revision of the European Sustainability Reporting Standards (ESRS) and the Commission’s stated objective of </w:t>
      </w:r>
      <w:r w:rsidR="0090119C" w:rsidRPr="00F04C7A">
        <w:t>improving</w:t>
      </w:r>
      <w:r w:rsidR="00650980" w:rsidRPr="00F04C7A">
        <w:t xml:space="preserve"> </w:t>
      </w:r>
      <w:r w:rsidR="0090119C" w:rsidRPr="00F04C7A">
        <w:t xml:space="preserve">interoperability with the ISSB baseline, we caution against prescribing rigid reliance on CSRD specific inputs at this stage. </w:t>
      </w:r>
      <w:r w:rsidR="00A0540D">
        <w:br/>
      </w:r>
      <w:r w:rsidR="0090119C" w:rsidRPr="00F04C7A">
        <w:t xml:space="preserve">Rating providers should instead be guided to draw on high quality, publicly available data from established frameworks, including ISSB or equivalent regimes, and to facilitate its efficient reuse. </w:t>
      </w:r>
      <w:r w:rsidR="0055004D" w:rsidRPr="00F04C7A">
        <w:t>W</w:t>
      </w:r>
      <w:r w:rsidRPr="00F04C7A">
        <w:t xml:space="preserve">here </w:t>
      </w:r>
      <w:r w:rsidR="002C1C73" w:rsidRPr="00F04C7A">
        <w:t xml:space="preserve">such </w:t>
      </w:r>
      <w:r w:rsidRPr="00F04C7A">
        <w:t xml:space="preserve">data is already reported, rating providers should </w:t>
      </w:r>
      <w:r w:rsidR="009E39F1" w:rsidRPr="00F04C7A">
        <w:t xml:space="preserve">be required to </w:t>
      </w:r>
      <w:r w:rsidR="000A15AA" w:rsidRPr="00F04C7A">
        <w:t>prioritize</w:t>
      </w:r>
      <w:r w:rsidRPr="00F04C7A">
        <w:t xml:space="preserve"> it</w:t>
      </w:r>
      <w:r w:rsidR="00E30A22" w:rsidRPr="00F04C7A">
        <w:t>s use</w:t>
      </w:r>
      <w:r w:rsidRPr="00F04C7A">
        <w:t xml:space="preserve"> </w:t>
      </w:r>
      <w:r w:rsidR="009E39F1" w:rsidRPr="00F04C7A">
        <w:t xml:space="preserve">over </w:t>
      </w:r>
      <w:r w:rsidRPr="00F04C7A">
        <w:t>proprietary surveys.</w:t>
      </w:r>
      <w:r w:rsidR="009E39F1" w:rsidRPr="00F04C7A">
        <w:t xml:space="preserve"> </w:t>
      </w:r>
      <w:r w:rsidR="009D00CA" w:rsidRPr="00F04C7A">
        <w:t>This would strengthen</w:t>
      </w:r>
      <w:r w:rsidR="005F6B1A">
        <w:t xml:space="preserve"> </w:t>
      </w:r>
      <w:r w:rsidR="009D00CA" w:rsidRPr="00F04C7A">
        <w:t>the EU supervisory framework while supporting broader global coherence and reducing unnecessary reporting burdens.</w:t>
      </w:r>
    </w:p>
    <w:p w14:paraId="12D44812" w14:textId="1B42B95D" w:rsidR="00AF2A0F" w:rsidRPr="00AE0E87" w:rsidRDefault="00AF2A0F" w:rsidP="004C0BB9">
      <w:pPr>
        <w:pStyle w:val="ListParagraph"/>
        <w:numPr>
          <w:ilvl w:val="0"/>
          <w:numId w:val="10"/>
        </w:numPr>
      </w:pPr>
      <w:r w:rsidRPr="00996E1B">
        <w:rPr>
          <w:b/>
          <w:bCs/>
        </w:rPr>
        <w:t xml:space="preserve">We </w:t>
      </w:r>
      <w:r w:rsidR="00F72591">
        <w:rPr>
          <w:b/>
          <w:bCs/>
        </w:rPr>
        <w:t>recommend</w:t>
      </w:r>
      <w:r w:rsidRPr="00996E1B">
        <w:rPr>
          <w:b/>
          <w:bCs/>
        </w:rPr>
        <w:t xml:space="preserve"> that ESG rating methodologies distinguish between static performance indicators and forward-looking </w:t>
      </w:r>
      <w:r w:rsidR="00CC32B3">
        <w:rPr>
          <w:b/>
          <w:bCs/>
        </w:rPr>
        <w:t>strategies</w:t>
      </w:r>
      <w:r>
        <w:t xml:space="preserve">. </w:t>
      </w:r>
      <w:r w:rsidR="00A0540D">
        <w:br/>
      </w:r>
      <w:r>
        <w:t xml:space="preserve">For industries engaged in long term </w:t>
      </w:r>
      <w:r w:rsidR="000A15AA">
        <w:t xml:space="preserve">decarbonization </w:t>
      </w:r>
      <w:r w:rsidR="00454535">
        <w:t>efforts</w:t>
      </w:r>
      <w:r>
        <w:t>, ratings that focus solely on</w:t>
      </w:r>
      <w:r w:rsidR="00DB39ED">
        <w:t xml:space="preserve"> </w:t>
      </w:r>
      <w:r>
        <w:t xml:space="preserve">present emissions or policy disclosures may fail to capture meaningful progress or investment in future outcomes. </w:t>
      </w:r>
    </w:p>
    <w:p w14:paraId="4DE9D015" w14:textId="038C3B94" w:rsidR="00F70B23" w:rsidRDefault="00AE0E87" w:rsidP="004C0BB9">
      <w:pPr>
        <w:pStyle w:val="ListParagraph"/>
        <w:numPr>
          <w:ilvl w:val="0"/>
          <w:numId w:val="10"/>
        </w:numPr>
      </w:pPr>
      <w:r>
        <w:rPr>
          <w:b/>
          <w:bCs/>
        </w:rPr>
        <w:t xml:space="preserve">We </w:t>
      </w:r>
      <w:r w:rsidR="0033354B">
        <w:rPr>
          <w:b/>
          <w:bCs/>
        </w:rPr>
        <w:t>urge</w:t>
      </w:r>
      <w:r>
        <w:rPr>
          <w:b/>
          <w:bCs/>
        </w:rPr>
        <w:t xml:space="preserve"> </w:t>
      </w:r>
      <w:r w:rsidR="005803C5">
        <w:rPr>
          <w:b/>
          <w:bCs/>
        </w:rPr>
        <w:t xml:space="preserve">ESMA </w:t>
      </w:r>
      <w:r w:rsidR="0033354B">
        <w:rPr>
          <w:b/>
          <w:bCs/>
        </w:rPr>
        <w:t xml:space="preserve">to </w:t>
      </w:r>
      <w:r w:rsidR="005803C5">
        <w:rPr>
          <w:b/>
          <w:bCs/>
        </w:rPr>
        <w:t xml:space="preserve">assess whether the use of non-public inputs should be </w:t>
      </w:r>
      <w:r w:rsidR="0096045D">
        <w:rPr>
          <w:b/>
          <w:bCs/>
        </w:rPr>
        <w:t>permitted or</w:t>
      </w:r>
      <w:r w:rsidR="005803C5">
        <w:rPr>
          <w:b/>
          <w:bCs/>
        </w:rPr>
        <w:t xml:space="preserve"> </w:t>
      </w:r>
      <w:r w:rsidR="00820238">
        <w:rPr>
          <w:b/>
          <w:bCs/>
        </w:rPr>
        <w:t>instead be</w:t>
      </w:r>
      <w:r w:rsidR="005803C5">
        <w:rPr>
          <w:b/>
          <w:bCs/>
        </w:rPr>
        <w:t xml:space="preserve"> subject to strict conditions. </w:t>
      </w:r>
      <w:r w:rsidR="00A0540D">
        <w:rPr>
          <w:b/>
          <w:bCs/>
        </w:rPr>
        <w:br/>
      </w:r>
      <w:r w:rsidR="005803C5" w:rsidRPr="00954DC0">
        <w:t>Where permitted,</w:t>
      </w:r>
      <w:r w:rsidR="0096045D" w:rsidRPr="00954DC0">
        <w:t xml:space="preserve"> such</w:t>
      </w:r>
      <w:r w:rsidR="005803C5" w:rsidRPr="00954DC0">
        <w:t xml:space="preserve"> non-public inputs should be transparently disclosed</w:t>
      </w:r>
      <w:r w:rsidR="0096045D" w:rsidRPr="00954DC0">
        <w:t>, including their relevance and weighting in the final rating</w:t>
      </w:r>
      <w:r w:rsidR="005803C5" w:rsidRPr="00954DC0">
        <w:t xml:space="preserve">. </w:t>
      </w:r>
    </w:p>
    <w:p w14:paraId="18A42486" w14:textId="491FB6FC" w:rsidR="00301E34" w:rsidRPr="00CD3B37" w:rsidRDefault="00AF2A0F" w:rsidP="1982609F">
      <w:pPr>
        <w:rPr>
          <w:b/>
          <w:bCs/>
        </w:rPr>
      </w:pPr>
      <w:r>
        <w:t>IOGP Europe supports the overarching objectives of the ESG Ratings Regulation and supports the direction of the draft RTS proposed by ESMA. Enhancing transparency, consistency and accountability across ESG ratings is essential to ensure fair and meaningful assessments of sustainability performance</w:t>
      </w:r>
      <w:r w:rsidR="001458DD">
        <w:t>.</w:t>
      </w:r>
      <w:r>
        <w:t xml:space="preserve"> </w:t>
      </w:r>
      <w:r>
        <w:br/>
      </w:r>
      <w:r w:rsidR="001458DD">
        <w:t xml:space="preserve">Ratings must </w:t>
      </w:r>
      <w:r>
        <w:t xml:space="preserve">serve their intended purpose of contributing to the smooth functioning of the internal market while achieving a high level of consumer and investor protection and preventing greenwashing and </w:t>
      </w:r>
      <w:r w:rsidR="00AC4A77">
        <w:t>misleading information</w:t>
      </w:r>
      <w:r>
        <w:t xml:space="preserve">. </w:t>
      </w:r>
      <w:r>
        <w:br/>
        <w:t>By fostering alignment with existing regulatory frameworks and encouraging proportionate</w:t>
      </w:r>
      <w:r w:rsidR="001C0AD9">
        <w:t>,</w:t>
      </w:r>
      <w:r>
        <w:t xml:space="preserve"> reliable and outcome-oriented methodologies, these standards have the potential to significantly improve the credibility of ESG ratings</w:t>
      </w:r>
      <w:r w:rsidR="32406F5F">
        <w:t xml:space="preserve"> and therefore EU’s sustainability objectives. </w:t>
      </w:r>
    </w:p>
    <w:p w14:paraId="3BD1439A" w14:textId="03180703" w:rsidR="00301E34" w:rsidRPr="00CD3B37" w:rsidRDefault="00AF2A0F" w:rsidP="004C0BB9">
      <w:pPr>
        <w:rPr>
          <w:b/>
          <w:bCs/>
        </w:rPr>
      </w:pPr>
      <w:r>
        <w:br/>
        <w:t>We remain committed to constructive engagement with ESMA and other stakeholders to ensure that the final standards are implementable in practice and support the long-term goals of the EU’s sustainable finance agenda.</w:t>
      </w:r>
    </w:p>
    <w:sectPr w:rsidR="00301E34" w:rsidRPr="00CD3B37" w:rsidSect="00176B0D">
      <w:headerReference w:type="default" r:id="rId18"/>
      <w:footerReference w:type="default" r:id="rId19"/>
      <w:pgSz w:w="11906" w:h="16838"/>
      <w:pgMar w:top="1440" w:right="1440"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960A1" w14:textId="77777777" w:rsidR="00767AA2" w:rsidRDefault="00767AA2" w:rsidP="00CE0CFF">
      <w:pPr>
        <w:spacing w:after="0" w:line="240" w:lineRule="auto"/>
      </w:pPr>
      <w:r>
        <w:separator/>
      </w:r>
    </w:p>
  </w:endnote>
  <w:endnote w:type="continuationSeparator" w:id="0">
    <w:p w14:paraId="72262E6B" w14:textId="77777777" w:rsidR="00767AA2" w:rsidRDefault="00767AA2" w:rsidP="00CE0CFF">
      <w:pPr>
        <w:spacing w:after="0" w:line="240" w:lineRule="auto"/>
      </w:pPr>
      <w:r>
        <w:continuationSeparator/>
      </w:r>
    </w:p>
  </w:endnote>
  <w:endnote w:type="continuationNotice" w:id="1">
    <w:p w14:paraId="615E81A3" w14:textId="77777777" w:rsidR="00767AA2" w:rsidRDefault="00767A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77246"/>
      <w:docPartObj>
        <w:docPartGallery w:val="Page Numbers (Bottom of Page)"/>
        <w:docPartUnique/>
      </w:docPartObj>
    </w:sdtPr>
    <w:sdtEndPr>
      <w:rPr>
        <w:noProof/>
      </w:rPr>
    </w:sdtEndPr>
    <w:sdtContent>
      <w:p w14:paraId="7FC804A1" w14:textId="6FA0B27E" w:rsidR="00176B0D" w:rsidRDefault="00176B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98D433" w14:textId="022A4E2E" w:rsidR="00F1520E" w:rsidRDefault="00F1520E" w:rsidP="007D61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69F1B" w14:textId="77777777" w:rsidR="00767AA2" w:rsidRDefault="00767AA2" w:rsidP="00CE0CFF">
      <w:pPr>
        <w:spacing w:after="0" w:line="240" w:lineRule="auto"/>
      </w:pPr>
      <w:r>
        <w:separator/>
      </w:r>
    </w:p>
  </w:footnote>
  <w:footnote w:type="continuationSeparator" w:id="0">
    <w:p w14:paraId="15EA8653" w14:textId="77777777" w:rsidR="00767AA2" w:rsidRDefault="00767AA2" w:rsidP="00CE0CFF">
      <w:pPr>
        <w:spacing w:after="0" w:line="240" w:lineRule="auto"/>
      </w:pPr>
      <w:r>
        <w:continuationSeparator/>
      </w:r>
    </w:p>
  </w:footnote>
  <w:footnote w:type="continuationNotice" w:id="1">
    <w:p w14:paraId="03B1F1D8" w14:textId="77777777" w:rsidR="00767AA2" w:rsidRDefault="00767A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B7C0" w14:textId="78310423" w:rsidR="0095055D" w:rsidRDefault="0095055D">
    <w:pPr>
      <w:pStyle w:val="Header"/>
    </w:pPr>
    <w:r w:rsidRPr="009C6A1F">
      <w:rPr>
        <w:noProof/>
        <w:lang w:val="en-GB" w:eastAsia="en-GB"/>
      </w:rPr>
      <w:drawing>
        <wp:anchor distT="0" distB="0" distL="114300" distR="114300" simplePos="0" relativeHeight="251658240" behindDoc="1" locked="0" layoutInCell="1" allowOverlap="1" wp14:anchorId="0B78B71E" wp14:editId="505CD6F5">
          <wp:simplePos x="0" y="0"/>
          <wp:positionH relativeFrom="page">
            <wp:align>left</wp:align>
          </wp:positionH>
          <wp:positionV relativeFrom="page">
            <wp:posOffset>-93980</wp:posOffset>
          </wp:positionV>
          <wp:extent cx="7766050" cy="1212151"/>
          <wp:effectExtent l="0" t="0" r="0" b="7620"/>
          <wp:wrapNone/>
          <wp:docPr id="208303415" name="Picture 208303415" descr="Une image contenant texte, capture d’écran, Police, carte de visi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 image contenant texte, capture d’écran, Police, carte de visite&#10;&#10;Description générée automatiquement"/>
                  <pic:cNvPicPr/>
                </pic:nvPicPr>
                <pic:blipFill>
                  <a:blip r:embed="rId1"/>
                  <a:srcRect t="18242" b="18242"/>
                  <a:stretch>
                    <a:fillRect/>
                  </a:stretch>
                </pic:blipFill>
                <pic:spPr bwMode="auto">
                  <a:xfrm>
                    <a:off x="0" y="0"/>
                    <a:ext cx="7766050" cy="12121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22A"/>
    <w:multiLevelType w:val="hybridMultilevel"/>
    <w:tmpl w:val="096CCABA"/>
    <w:lvl w:ilvl="0" w:tplc="BCEE9B22">
      <w:numFmt w:val="bullet"/>
      <w:lvlText w:val=""/>
      <w:lvlJc w:val="left"/>
      <w:pPr>
        <w:ind w:left="720" w:hanging="360"/>
      </w:pPr>
      <w:rPr>
        <w:rFonts w:ascii="Symbol" w:eastAsiaTheme="minorEastAsia"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55F44EB"/>
    <w:multiLevelType w:val="hybridMultilevel"/>
    <w:tmpl w:val="61B84580"/>
    <w:lvl w:ilvl="0" w:tplc="0409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191903EE"/>
    <w:multiLevelType w:val="hybridMultilevel"/>
    <w:tmpl w:val="60EA7C7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1BD56B62"/>
    <w:multiLevelType w:val="hybridMultilevel"/>
    <w:tmpl w:val="9BBC126E"/>
    <w:lvl w:ilvl="0" w:tplc="4D8AF8AE">
      <w:start w:val="1"/>
      <w:numFmt w:val="bullet"/>
      <w:lvlText w:val=""/>
      <w:lvlJc w:val="left"/>
      <w:pPr>
        <w:ind w:left="1440" w:hanging="360"/>
      </w:pPr>
      <w:rPr>
        <w:rFonts w:ascii="Symbol" w:hAnsi="Symbol"/>
      </w:rPr>
    </w:lvl>
    <w:lvl w:ilvl="1" w:tplc="D9AAE384">
      <w:start w:val="1"/>
      <w:numFmt w:val="bullet"/>
      <w:lvlText w:val=""/>
      <w:lvlJc w:val="left"/>
      <w:pPr>
        <w:ind w:left="1440" w:hanging="360"/>
      </w:pPr>
      <w:rPr>
        <w:rFonts w:ascii="Symbol" w:hAnsi="Symbol"/>
      </w:rPr>
    </w:lvl>
    <w:lvl w:ilvl="2" w:tplc="BA24988E">
      <w:start w:val="1"/>
      <w:numFmt w:val="bullet"/>
      <w:lvlText w:val=""/>
      <w:lvlJc w:val="left"/>
      <w:pPr>
        <w:ind w:left="1440" w:hanging="360"/>
      </w:pPr>
      <w:rPr>
        <w:rFonts w:ascii="Symbol" w:hAnsi="Symbol"/>
      </w:rPr>
    </w:lvl>
    <w:lvl w:ilvl="3" w:tplc="135C2D90">
      <w:start w:val="1"/>
      <w:numFmt w:val="bullet"/>
      <w:lvlText w:val=""/>
      <w:lvlJc w:val="left"/>
      <w:pPr>
        <w:ind w:left="1440" w:hanging="360"/>
      </w:pPr>
      <w:rPr>
        <w:rFonts w:ascii="Symbol" w:hAnsi="Symbol"/>
      </w:rPr>
    </w:lvl>
    <w:lvl w:ilvl="4" w:tplc="4664CE80">
      <w:start w:val="1"/>
      <w:numFmt w:val="bullet"/>
      <w:lvlText w:val=""/>
      <w:lvlJc w:val="left"/>
      <w:pPr>
        <w:ind w:left="1440" w:hanging="360"/>
      </w:pPr>
      <w:rPr>
        <w:rFonts w:ascii="Symbol" w:hAnsi="Symbol"/>
      </w:rPr>
    </w:lvl>
    <w:lvl w:ilvl="5" w:tplc="94621502">
      <w:start w:val="1"/>
      <w:numFmt w:val="bullet"/>
      <w:lvlText w:val=""/>
      <w:lvlJc w:val="left"/>
      <w:pPr>
        <w:ind w:left="1440" w:hanging="360"/>
      </w:pPr>
      <w:rPr>
        <w:rFonts w:ascii="Symbol" w:hAnsi="Symbol"/>
      </w:rPr>
    </w:lvl>
    <w:lvl w:ilvl="6" w:tplc="58702766">
      <w:start w:val="1"/>
      <w:numFmt w:val="bullet"/>
      <w:lvlText w:val=""/>
      <w:lvlJc w:val="left"/>
      <w:pPr>
        <w:ind w:left="1440" w:hanging="360"/>
      </w:pPr>
      <w:rPr>
        <w:rFonts w:ascii="Symbol" w:hAnsi="Symbol"/>
      </w:rPr>
    </w:lvl>
    <w:lvl w:ilvl="7" w:tplc="FA146148">
      <w:start w:val="1"/>
      <w:numFmt w:val="bullet"/>
      <w:lvlText w:val=""/>
      <w:lvlJc w:val="left"/>
      <w:pPr>
        <w:ind w:left="1440" w:hanging="360"/>
      </w:pPr>
      <w:rPr>
        <w:rFonts w:ascii="Symbol" w:hAnsi="Symbol"/>
      </w:rPr>
    </w:lvl>
    <w:lvl w:ilvl="8" w:tplc="795410C4">
      <w:start w:val="1"/>
      <w:numFmt w:val="bullet"/>
      <w:lvlText w:val=""/>
      <w:lvlJc w:val="left"/>
      <w:pPr>
        <w:ind w:left="1440" w:hanging="360"/>
      </w:pPr>
      <w:rPr>
        <w:rFonts w:ascii="Symbol" w:hAnsi="Symbol"/>
      </w:rPr>
    </w:lvl>
  </w:abstractNum>
  <w:abstractNum w:abstractNumId="4" w15:restartNumberingAfterBreak="0">
    <w:nsid w:val="27F8F885"/>
    <w:multiLevelType w:val="hybridMultilevel"/>
    <w:tmpl w:val="FFFFFFFF"/>
    <w:lvl w:ilvl="0" w:tplc="DCECE7FC">
      <w:start w:val="1"/>
      <w:numFmt w:val="bullet"/>
      <w:lvlText w:val=""/>
      <w:lvlJc w:val="left"/>
      <w:pPr>
        <w:ind w:left="1080" w:hanging="360"/>
      </w:pPr>
      <w:rPr>
        <w:rFonts w:ascii="Symbol" w:hAnsi="Symbol" w:hint="default"/>
      </w:rPr>
    </w:lvl>
    <w:lvl w:ilvl="1" w:tplc="44BAE340">
      <w:start w:val="1"/>
      <w:numFmt w:val="bullet"/>
      <w:lvlText w:val="o"/>
      <w:lvlJc w:val="left"/>
      <w:pPr>
        <w:ind w:left="1800" w:hanging="360"/>
      </w:pPr>
      <w:rPr>
        <w:rFonts w:ascii="Courier New" w:hAnsi="Courier New" w:hint="default"/>
      </w:rPr>
    </w:lvl>
    <w:lvl w:ilvl="2" w:tplc="CA64EFA0">
      <w:start w:val="1"/>
      <w:numFmt w:val="bullet"/>
      <w:lvlText w:val=""/>
      <w:lvlJc w:val="left"/>
      <w:pPr>
        <w:ind w:left="2520" w:hanging="360"/>
      </w:pPr>
      <w:rPr>
        <w:rFonts w:ascii="Wingdings" w:hAnsi="Wingdings" w:hint="default"/>
      </w:rPr>
    </w:lvl>
    <w:lvl w:ilvl="3" w:tplc="8C2E42A8">
      <w:start w:val="1"/>
      <w:numFmt w:val="bullet"/>
      <w:lvlText w:val=""/>
      <w:lvlJc w:val="left"/>
      <w:pPr>
        <w:ind w:left="3240" w:hanging="360"/>
      </w:pPr>
      <w:rPr>
        <w:rFonts w:ascii="Symbol" w:hAnsi="Symbol" w:hint="default"/>
      </w:rPr>
    </w:lvl>
    <w:lvl w:ilvl="4" w:tplc="9D24DAAC">
      <w:start w:val="1"/>
      <w:numFmt w:val="bullet"/>
      <w:lvlText w:val="o"/>
      <w:lvlJc w:val="left"/>
      <w:pPr>
        <w:ind w:left="3960" w:hanging="360"/>
      </w:pPr>
      <w:rPr>
        <w:rFonts w:ascii="Courier New" w:hAnsi="Courier New" w:hint="default"/>
      </w:rPr>
    </w:lvl>
    <w:lvl w:ilvl="5" w:tplc="9C7609B4">
      <w:start w:val="1"/>
      <w:numFmt w:val="bullet"/>
      <w:lvlText w:val=""/>
      <w:lvlJc w:val="left"/>
      <w:pPr>
        <w:ind w:left="4680" w:hanging="360"/>
      </w:pPr>
      <w:rPr>
        <w:rFonts w:ascii="Wingdings" w:hAnsi="Wingdings" w:hint="default"/>
      </w:rPr>
    </w:lvl>
    <w:lvl w:ilvl="6" w:tplc="91284FD2">
      <w:start w:val="1"/>
      <w:numFmt w:val="bullet"/>
      <w:lvlText w:val=""/>
      <w:lvlJc w:val="left"/>
      <w:pPr>
        <w:ind w:left="5400" w:hanging="360"/>
      </w:pPr>
      <w:rPr>
        <w:rFonts w:ascii="Symbol" w:hAnsi="Symbol" w:hint="default"/>
      </w:rPr>
    </w:lvl>
    <w:lvl w:ilvl="7" w:tplc="B46ACDB6">
      <w:start w:val="1"/>
      <w:numFmt w:val="bullet"/>
      <w:lvlText w:val="o"/>
      <w:lvlJc w:val="left"/>
      <w:pPr>
        <w:ind w:left="6120" w:hanging="360"/>
      </w:pPr>
      <w:rPr>
        <w:rFonts w:ascii="Courier New" w:hAnsi="Courier New" w:hint="default"/>
      </w:rPr>
    </w:lvl>
    <w:lvl w:ilvl="8" w:tplc="42CAB3A8">
      <w:start w:val="1"/>
      <w:numFmt w:val="bullet"/>
      <w:lvlText w:val=""/>
      <w:lvlJc w:val="left"/>
      <w:pPr>
        <w:ind w:left="6840" w:hanging="360"/>
      </w:pPr>
      <w:rPr>
        <w:rFonts w:ascii="Wingdings" w:hAnsi="Wingdings" w:hint="default"/>
      </w:rPr>
    </w:lvl>
  </w:abstractNum>
  <w:abstractNum w:abstractNumId="5" w15:restartNumberingAfterBreak="0">
    <w:nsid w:val="286020B1"/>
    <w:multiLevelType w:val="multilevel"/>
    <w:tmpl w:val="D34A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E1486"/>
    <w:multiLevelType w:val="multilevel"/>
    <w:tmpl w:val="33EA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C3FA6"/>
    <w:multiLevelType w:val="hybridMultilevel"/>
    <w:tmpl w:val="1780CB8A"/>
    <w:lvl w:ilvl="0" w:tplc="0409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304440D5"/>
    <w:multiLevelType w:val="hybridMultilevel"/>
    <w:tmpl w:val="FFFFFFFF"/>
    <w:lvl w:ilvl="0" w:tplc="E82C7168">
      <w:start w:val="1"/>
      <w:numFmt w:val="bullet"/>
      <w:lvlText w:val=""/>
      <w:lvlJc w:val="left"/>
      <w:pPr>
        <w:ind w:left="1080" w:hanging="360"/>
      </w:pPr>
      <w:rPr>
        <w:rFonts w:ascii="Symbol" w:hAnsi="Symbol" w:hint="default"/>
      </w:rPr>
    </w:lvl>
    <w:lvl w:ilvl="1" w:tplc="2E443C18">
      <w:start w:val="1"/>
      <w:numFmt w:val="bullet"/>
      <w:lvlText w:val="o"/>
      <w:lvlJc w:val="left"/>
      <w:pPr>
        <w:ind w:left="1800" w:hanging="360"/>
      </w:pPr>
      <w:rPr>
        <w:rFonts w:ascii="Courier New" w:hAnsi="Courier New" w:hint="default"/>
      </w:rPr>
    </w:lvl>
    <w:lvl w:ilvl="2" w:tplc="C1A46D2E">
      <w:start w:val="1"/>
      <w:numFmt w:val="bullet"/>
      <w:lvlText w:val=""/>
      <w:lvlJc w:val="left"/>
      <w:pPr>
        <w:ind w:left="2520" w:hanging="360"/>
      </w:pPr>
      <w:rPr>
        <w:rFonts w:ascii="Wingdings" w:hAnsi="Wingdings" w:hint="default"/>
      </w:rPr>
    </w:lvl>
    <w:lvl w:ilvl="3" w:tplc="F6469858">
      <w:start w:val="1"/>
      <w:numFmt w:val="bullet"/>
      <w:lvlText w:val=""/>
      <w:lvlJc w:val="left"/>
      <w:pPr>
        <w:ind w:left="3240" w:hanging="360"/>
      </w:pPr>
      <w:rPr>
        <w:rFonts w:ascii="Symbol" w:hAnsi="Symbol" w:hint="default"/>
      </w:rPr>
    </w:lvl>
    <w:lvl w:ilvl="4" w:tplc="EDB255AC">
      <w:start w:val="1"/>
      <w:numFmt w:val="bullet"/>
      <w:lvlText w:val="o"/>
      <w:lvlJc w:val="left"/>
      <w:pPr>
        <w:ind w:left="3960" w:hanging="360"/>
      </w:pPr>
      <w:rPr>
        <w:rFonts w:ascii="Courier New" w:hAnsi="Courier New" w:hint="default"/>
      </w:rPr>
    </w:lvl>
    <w:lvl w:ilvl="5" w:tplc="3D2E5D6C">
      <w:start w:val="1"/>
      <w:numFmt w:val="bullet"/>
      <w:lvlText w:val=""/>
      <w:lvlJc w:val="left"/>
      <w:pPr>
        <w:ind w:left="4680" w:hanging="360"/>
      </w:pPr>
      <w:rPr>
        <w:rFonts w:ascii="Wingdings" w:hAnsi="Wingdings" w:hint="default"/>
      </w:rPr>
    </w:lvl>
    <w:lvl w:ilvl="6" w:tplc="8ED8646C">
      <w:start w:val="1"/>
      <w:numFmt w:val="bullet"/>
      <w:lvlText w:val=""/>
      <w:lvlJc w:val="left"/>
      <w:pPr>
        <w:ind w:left="5400" w:hanging="360"/>
      </w:pPr>
      <w:rPr>
        <w:rFonts w:ascii="Symbol" w:hAnsi="Symbol" w:hint="default"/>
      </w:rPr>
    </w:lvl>
    <w:lvl w:ilvl="7" w:tplc="203CE188">
      <w:start w:val="1"/>
      <w:numFmt w:val="bullet"/>
      <w:lvlText w:val="o"/>
      <w:lvlJc w:val="left"/>
      <w:pPr>
        <w:ind w:left="6120" w:hanging="360"/>
      </w:pPr>
      <w:rPr>
        <w:rFonts w:ascii="Courier New" w:hAnsi="Courier New" w:hint="default"/>
      </w:rPr>
    </w:lvl>
    <w:lvl w:ilvl="8" w:tplc="B23C3F24">
      <w:start w:val="1"/>
      <w:numFmt w:val="bullet"/>
      <w:lvlText w:val=""/>
      <w:lvlJc w:val="left"/>
      <w:pPr>
        <w:ind w:left="6840" w:hanging="360"/>
      </w:pPr>
      <w:rPr>
        <w:rFonts w:ascii="Wingdings" w:hAnsi="Wingdings" w:hint="default"/>
      </w:rPr>
    </w:lvl>
  </w:abstractNum>
  <w:abstractNum w:abstractNumId="9" w15:restartNumberingAfterBreak="0">
    <w:nsid w:val="433758FE"/>
    <w:multiLevelType w:val="hybridMultilevel"/>
    <w:tmpl w:val="97006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C227D"/>
    <w:multiLevelType w:val="hybridMultilevel"/>
    <w:tmpl w:val="A6663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9D22BC"/>
    <w:multiLevelType w:val="hybridMultilevel"/>
    <w:tmpl w:val="58BCB5E2"/>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2" w15:restartNumberingAfterBreak="0">
    <w:nsid w:val="555C7246"/>
    <w:multiLevelType w:val="hybridMultilevel"/>
    <w:tmpl w:val="FFFFFFFF"/>
    <w:lvl w:ilvl="0" w:tplc="708ACB40">
      <w:start w:val="1"/>
      <w:numFmt w:val="bullet"/>
      <w:lvlText w:val=""/>
      <w:lvlJc w:val="left"/>
      <w:pPr>
        <w:ind w:left="1080" w:hanging="360"/>
      </w:pPr>
      <w:rPr>
        <w:rFonts w:ascii="Symbol" w:hAnsi="Symbol" w:hint="default"/>
      </w:rPr>
    </w:lvl>
    <w:lvl w:ilvl="1" w:tplc="14020834">
      <w:start w:val="1"/>
      <w:numFmt w:val="bullet"/>
      <w:lvlText w:val="o"/>
      <w:lvlJc w:val="left"/>
      <w:pPr>
        <w:ind w:left="1800" w:hanging="360"/>
      </w:pPr>
      <w:rPr>
        <w:rFonts w:ascii="Courier New" w:hAnsi="Courier New" w:hint="default"/>
      </w:rPr>
    </w:lvl>
    <w:lvl w:ilvl="2" w:tplc="02A83C54">
      <w:start w:val="1"/>
      <w:numFmt w:val="bullet"/>
      <w:lvlText w:val=""/>
      <w:lvlJc w:val="left"/>
      <w:pPr>
        <w:ind w:left="2520" w:hanging="360"/>
      </w:pPr>
      <w:rPr>
        <w:rFonts w:ascii="Wingdings" w:hAnsi="Wingdings" w:hint="default"/>
      </w:rPr>
    </w:lvl>
    <w:lvl w:ilvl="3" w:tplc="F02E970C">
      <w:start w:val="1"/>
      <w:numFmt w:val="bullet"/>
      <w:lvlText w:val=""/>
      <w:lvlJc w:val="left"/>
      <w:pPr>
        <w:ind w:left="3240" w:hanging="360"/>
      </w:pPr>
      <w:rPr>
        <w:rFonts w:ascii="Symbol" w:hAnsi="Symbol" w:hint="default"/>
      </w:rPr>
    </w:lvl>
    <w:lvl w:ilvl="4" w:tplc="1F9E33F2">
      <w:start w:val="1"/>
      <w:numFmt w:val="bullet"/>
      <w:lvlText w:val="o"/>
      <w:lvlJc w:val="left"/>
      <w:pPr>
        <w:ind w:left="3960" w:hanging="360"/>
      </w:pPr>
      <w:rPr>
        <w:rFonts w:ascii="Courier New" w:hAnsi="Courier New" w:hint="default"/>
      </w:rPr>
    </w:lvl>
    <w:lvl w:ilvl="5" w:tplc="2DAA45E2">
      <w:start w:val="1"/>
      <w:numFmt w:val="bullet"/>
      <w:lvlText w:val=""/>
      <w:lvlJc w:val="left"/>
      <w:pPr>
        <w:ind w:left="4680" w:hanging="360"/>
      </w:pPr>
      <w:rPr>
        <w:rFonts w:ascii="Wingdings" w:hAnsi="Wingdings" w:hint="default"/>
      </w:rPr>
    </w:lvl>
    <w:lvl w:ilvl="6" w:tplc="6C4E5374">
      <w:start w:val="1"/>
      <w:numFmt w:val="bullet"/>
      <w:lvlText w:val=""/>
      <w:lvlJc w:val="left"/>
      <w:pPr>
        <w:ind w:left="5400" w:hanging="360"/>
      </w:pPr>
      <w:rPr>
        <w:rFonts w:ascii="Symbol" w:hAnsi="Symbol" w:hint="default"/>
      </w:rPr>
    </w:lvl>
    <w:lvl w:ilvl="7" w:tplc="F6FE1E48">
      <w:start w:val="1"/>
      <w:numFmt w:val="bullet"/>
      <w:lvlText w:val="o"/>
      <w:lvlJc w:val="left"/>
      <w:pPr>
        <w:ind w:left="6120" w:hanging="360"/>
      </w:pPr>
      <w:rPr>
        <w:rFonts w:ascii="Courier New" w:hAnsi="Courier New" w:hint="default"/>
      </w:rPr>
    </w:lvl>
    <w:lvl w:ilvl="8" w:tplc="0652C7A2">
      <w:start w:val="1"/>
      <w:numFmt w:val="bullet"/>
      <w:lvlText w:val=""/>
      <w:lvlJc w:val="left"/>
      <w:pPr>
        <w:ind w:left="6840" w:hanging="360"/>
      </w:pPr>
      <w:rPr>
        <w:rFonts w:ascii="Wingdings" w:hAnsi="Wingdings" w:hint="default"/>
      </w:rPr>
    </w:lvl>
  </w:abstractNum>
  <w:abstractNum w:abstractNumId="13" w15:restartNumberingAfterBreak="0">
    <w:nsid w:val="63F62FA9"/>
    <w:multiLevelType w:val="hybridMultilevel"/>
    <w:tmpl w:val="293A08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46DF011"/>
    <w:multiLevelType w:val="hybridMultilevel"/>
    <w:tmpl w:val="FFFFFFFF"/>
    <w:lvl w:ilvl="0" w:tplc="1BC01C30">
      <w:start w:val="1"/>
      <w:numFmt w:val="bullet"/>
      <w:lvlText w:val=""/>
      <w:lvlJc w:val="left"/>
      <w:pPr>
        <w:ind w:left="1080" w:hanging="360"/>
      </w:pPr>
      <w:rPr>
        <w:rFonts w:ascii="Symbol" w:hAnsi="Symbol" w:hint="default"/>
      </w:rPr>
    </w:lvl>
    <w:lvl w:ilvl="1" w:tplc="A44C5F78">
      <w:start w:val="1"/>
      <w:numFmt w:val="bullet"/>
      <w:lvlText w:val="o"/>
      <w:lvlJc w:val="left"/>
      <w:pPr>
        <w:ind w:left="1800" w:hanging="360"/>
      </w:pPr>
      <w:rPr>
        <w:rFonts w:ascii="Courier New" w:hAnsi="Courier New" w:hint="default"/>
      </w:rPr>
    </w:lvl>
    <w:lvl w:ilvl="2" w:tplc="E3606BEC">
      <w:start w:val="1"/>
      <w:numFmt w:val="bullet"/>
      <w:lvlText w:val=""/>
      <w:lvlJc w:val="left"/>
      <w:pPr>
        <w:ind w:left="2520" w:hanging="360"/>
      </w:pPr>
      <w:rPr>
        <w:rFonts w:ascii="Wingdings" w:hAnsi="Wingdings" w:hint="default"/>
      </w:rPr>
    </w:lvl>
    <w:lvl w:ilvl="3" w:tplc="B3D8F4B2">
      <w:start w:val="1"/>
      <w:numFmt w:val="bullet"/>
      <w:lvlText w:val=""/>
      <w:lvlJc w:val="left"/>
      <w:pPr>
        <w:ind w:left="3240" w:hanging="360"/>
      </w:pPr>
      <w:rPr>
        <w:rFonts w:ascii="Symbol" w:hAnsi="Symbol" w:hint="default"/>
      </w:rPr>
    </w:lvl>
    <w:lvl w:ilvl="4" w:tplc="EE641BAA">
      <w:start w:val="1"/>
      <w:numFmt w:val="bullet"/>
      <w:lvlText w:val="o"/>
      <w:lvlJc w:val="left"/>
      <w:pPr>
        <w:ind w:left="3960" w:hanging="360"/>
      </w:pPr>
      <w:rPr>
        <w:rFonts w:ascii="Courier New" w:hAnsi="Courier New" w:hint="default"/>
      </w:rPr>
    </w:lvl>
    <w:lvl w:ilvl="5" w:tplc="C55ABE42">
      <w:start w:val="1"/>
      <w:numFmt w:val="bullet"/>
      <w:lvlText w:val=""/>
      <w:lvlJc w:val="left"/>
      <w:pPr>
        <w:ind w:left="4680" w:hanging="360"/>
      </w:pPr>
      <w:rPr>
        <w:rFonts w:ascii="Wingdings" w:hAnsi="Wingdings" w:hint="default"/>
      </w:rPr>
    </w:lvl>
    <w:lvl w:ilvl="6" w:tplc="A2AAC90A">
      <w:start w:val="1"/>
      <w:numFmt w:val="bullet"/>
      <w:lvlText w:val=""/>
      <w:lvlJc w:val="left"/>
      <w:pPr>
        <w:ind w:left="5400" w:hanging="360"/>
      </w:pPr>
      <w:rPr>
        <w:rFonts w:ascii="Symbol" w:hAnsi="Symbol" w:hint="default"/>
      </w:rPr>
    </w:lvl>
    <w:lvl w:ilvl="7" w:tplc="286C3216">
      <w:start w:val="1"/>
      <w:numFmt w:val="bullet"/>
      <w:lvlText w:val="o"/>
      <w:lvlJc w:val="left"/>
      <w:pPr>
        <w:ind w:left="6120" w:hanging="360"/>
      </w:pPr>
      <w:rPr>
        <w:rFonts w:ascii="Courier New" w:hAnsi="Courier New" w:hint="default"/>
      </w:rPr>
    </w:lvl>
    <w:lvl w:ilvl="8" w:tplc="FFDC4B5C">
      <w:start w:val="1"/>
      <w:numFmt w:val="bullet"/>
      <w:lvlText w:val=""/>
      <w:lvlJc w:val="left"/>
      <w:pPr>
        <w:ind w:left="6840" w:hanging="360"/>
      </w:pPr>
      <w:rPr>
        <w:rFonts w:ascii="Wingdings" w:hAnsi="Wingdings" w:hint="default"/>
      </w:rPr>
    </w:lvl>
  </w:abstractNum>
  <w:abstractNum w:abstractNumId="15" w15:restartNumberingAfterBreak="0">
    <w:nsid w:val="69843EE2"/>
    <w:multiLevelType w:val="hybridMultilevel"/>
    <w:tmpl w:val="420AD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393912"/>
    <w:multiLevelType w:val="hybridMultilevel"/>
    <w:tmpl w:val="31027416"/>
    <w:lvl w:ilvl="0" w:tplc="C9A448F4">
      <w:start w:val="1"/>
      <w:numFmt w:val="bullet"/>
      <w:lvlText w:val=""/>
      <w:lvlJc w:val="left"/>
      <w:pPr>
        <w:ind w:left="1440" w:hanging="360"/>
      </w:pPr>
      <w:rPr>
        <w:rFonts w:ascii="Symbol" w:hAnsi="Symbol"/>
      </w:rPr>
    </w:lvl>
    <w:lvl w:ilvl="1" w:tplc="2EB07224">
      <w:start w:val="1"/>
      <w:numFmt w:val="bullet"/>
      <w:lvlText w:val=""/>
      <w:lvlJc w:val="left"/>
      <w:pPr>
        <w:ind w:left="1440" w:hanging="360"/>
      </w:pPr>
      <w:rPr>
        <w:rFonts w:ascii="Symbol" w:hAnsi="Symbol"/>
      </w:rPr>
    </w:lvl>
    <w:lvl w:ilvl="2" w:tplc="2A50ACA6">
      <w:start w:val="1"/>
      <w:numFmt w:val="bullet"/>
      <w:lvlText w:val=""/>
      <w:lvlJc w:val="left"/>
      <w:pPr>
        <w:ind w:left="1440" w:hanging="360"/>
      </w:pPr>
      <w:rPr>
        <w:rFonts w:ascii="Symbol" w:hAnsi="Symbol"/>
      </w:rPr>
    </w:lvl>
    <w:lvl w:ilvl="3" w:tplc="0254A93E">
      <w:start w:val="1"/>
      <w:numFmt w:val="bullet"/>
      <w:lvlText w:val=""/>
      <w:lvlJc w:val="left"/>
      <w:pPr>
        <w:ind w:left="1440" w:hanging="360"/>
      </w:pPr>
      <w:rPr>
        <w:rFonts w:ascii="Symbol" w:hAnsi="Symbol"/>
      </w:rPr>
    </w:lvl>
    <w:lvl w:ilvl="4" w:tplc="1D3E4CC8">
      <w:start w:val="1"/>
      <w:numFmt w:val="bullet"/>
      <w:lvlText w:val=""/>
      <w:lvlJc w:val="left"/>
      <w:pPr>
        <w:ind w:left="1440" w:hanging="360"/>
      </w:pPr>
      <w:rPr>
        <w:rFonts w:ascii="Symbol" w:hAnsi="Symbol"/>
      </w:rPr>
    </w:lvl>
    <w:lvl w:ilvl="5" w:tplc="1A4085D6">
      <w:start w:val="1"/>
      <w:numFmt w:val="bullet"/>
      <w:lvlText w:val=""/>
      <w:lvlJc w:val="left"/>
      <w:pPr>
        <w:ind w:left="1440" w:hanging="360"/>
      </w:pPr>
      <w:rPr>
        <w:rFonts w:ascii="Symbol" w:hAnsi="Symbol"/>
      </w:rPr>
    </w:lvl>
    <w:lvl w:ilvl="6" w:tplc="043CE2C0">
      <w:start w:val="1"/>
      <w:numFmt w:val="bullet"/>
      <w:lvlText w:val=""/>
      <w:lvlJc w:val="left"/>
      <w:pPr>
        <w:ind w:left="1440" w:hanging="360"/>
      </w:pPr>
      <w:rPr>
        <w:rFonts w:ascii="Symbol" w:hAnsi="Symbol"/>
      </w:rPr>
    </w:lvl>
    <w:lvl w:ilvl="7" w:tplc="A640506C">
      <w:start w:val="1"/>
      <w:numFmt w:val="bullet"/>
      <w:lvlText w:val=""/>
      <w:lvlJc w:val="left"/>
      <w:pPr>
        <w:ind w:left="1440" w:hanging="360"/>
      </w:pPr>
      <w:rPr>
        <w:rFonts w:ascii="Symbol" w:hAnsi="Symbol"/>
      </w:rPr>
    </w:lvl>
    <w:lvl w:ilvl="8" w:tplc="B3AE9EE0">
      <w:start w:val="1"/>
      <w:numFmt w:val="bullet"/>
      <w:lvlText w:val=""/>
      <w:lvlJc w:val="left"/>
      <w:pPr>
        <w:ind w:left="1440" w:hanging="360"/>
      </w:pPr>
      <w:rPr>
        <w:rFonts w:ascii="Symbol" w:hAnsi="Symbol"/>
      </w:rPr>
    </w:lvl>
  </w:abstractNum>
  <w:abstractNum w:abstractNumId="17" w15:restartNumberingAfterBreak="0">
    <w:nsid w:val="6BA8C130"/>
    <w:multiLevelType w:val="hybridMultilevel"/>
    <w:tmpl w:val="FFFFFFFF"/>
    <w:lvl w:ilvl="0" w:tplc="067C2E06">
      <w:start w:val="1"/>
      <w:numFmt w:val="bullet"/>
      <w:lvlText w:val=""/>
      <w:lvlJc w:val="left"/>
      <w:pPr>
        <w:ind w:left="1080" w:hanging="360"/>
      </w:pPr>
      <w:rPr>
        <w:rFonts w:ascii="Symbol" w:hAnsi="Symbol" w:hint="default"/>
      </w:rPr>
    </w:lvl>
    <w:lvl w:ilvl="1" w:tplc="1C9A81E8">
      <w:start w:val="1"/>
      <w:numFmt w:val="bullet"/>
      <w:lvlText w:val="o"/>
      <w:lvlJc w:val="left"/>
      <w:pPr>
        <w:ind w:left="1800" w:hanging="360"/>
      </w:pPr>
      <w:rPr>
        <w:rFonts w:ascii="Courier New" w:hAnsi="Courier New" w:hint="default"/>
      </w:rPr>
    </w:lvl>
    <w:lvl w:ilvl="2" w:tplc="441EC76C">
      <w:start w:val="1"/>
      <w:numFmt w:val="bullet"/>
      <w:lvlText w:val=""/>
      <w:lvlJc w:val="left"/>
      <w:pPr>
        <w:ind w:left="2520" w:hanging="360"/>
      </w:pPr>
      <w:rPr>
        <w:rFonts w:ascii="Wingdings" w:hAnsi="Wingdings" w:hint="default"/>
      </w:rPr>
    </w:lvl>
    <w:lvl w:ilvl="3" w:tplc="16D2E9FC">
      <w:start w:val="1"/>
      <w:numFmt w:val="bullet"/>
      <w:lvlText w:val=""/>
      <w:lvlJc w:val="left"/>
      <w:pPr>
        <w:ind w:left="3240" w:hanging="360"/>
      </w:pPr>
      <w:rPr>
        <w:rFonts w:ascii="Symbol" w:hAnsi="Symbol" w:hint="default"/>
      </w:rPr>
    </w:lvl>
    <w:lvl w:ilvl="4" w:tplc="1AFA5428">
      <w:start w:val="1"/>
      <w:numFmt w:val="bullet"/>
      <w:lvlText w:val="o"/>
      <w:lvlJc w:val="left"/>
      <w:pPr>
        <w:ind w:left="3960" w:hanging="360"/>
      </w:pPr>
      <w:rPr>
        <w:rFonts w:ascii="Courier New" w:hAnsi="Courier New" w:hint="default"/>
      </w:rPr>
    </w:lvl>
    <w:lvl w:ilvl="5" w:tplc="EC7E5B34">
      <w:start w:val="1"/>
      <w:numFmt w:val="bullet"/>
      <w:lvlText w:val=""/>
      <w:lvlJc w:val="left"/>
      <w:pPr>
        <w:ind w:left="4680" w:hanging="360"/>
      </w:pPr>
      <w:rPr>
        <w:rFonts w:ascii="Wingdings" w:hAnsi="Wingdings" w:hint="default"/>
      </w:rPr>
    </w:lvl>
    <w:lvl w:ilvl="6" w:tplc="72B2829C">
      <w:start w:val="1"/>
      <w:numFmt w:val="bullet"/>
      <w:lvlText w:val=""/>
      <w:lvlJc w:val="left"/>
      <w:pPr>
        <w:ind w:left="5400" w:hanging="360"/>
      </w:pPr>
      <w:rPr>
        <w:rFonts w:ascii="Symbol" w:hAnsi="Symbol" w:hint="default"/>
      </w:rPr>
    </w:lvl>
    <w:lvl w:ilvl="7" w:tplc="04B0578A">
      <w:start w:val="1"/>
      <w:numFmt w:val="bullet"/>
      <w:lvlText w:val="o"/>
      <w:lvlJc w:val="left"/>
      <w:pPr>
        <w:ind w:left="6120" w:hanging="360"/>
      </w:pPr>
      <w:rPr>
        <w:rFonts w:ascii="Courier New" w:hAnsi="Courier New" w:hint="default"/>
      </w:rPr>
    </w:lvl>
    <w:lvl w:ilvl="8" w:tplc="C2C8FCBC">
      <w:start w:val="1"/>
      <w:numFmt w:val="bullet"/>
      <w:lvlText w:val=""/>
      <w:lvlJc w:val="left"/>
      <w:pPr>
        <w:ind w:left="6840" w:hanging="360"/>
      </w:pPr>
      <w:rPr>
        <w:rFonts w:ascii="Wingdings" w:hAnsi="Wingdings" w:hint="default"/>
      </w:rPr>
    </w:lvl>
  </w:abstractNum>
  <w:abstractNum w:abstractNumId="18" w15:restartNumberingAfterBreak="0">
    <w:nsid w:val="6D157B05"/>
    <w:multiLevelType w:val="hybridMultilevel"/>
    <w:tmpl w:val="CAF21B6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6E2F4F8D"/>
    <w:multiLevelType w:val="hybridMultilevel"/>
    <w:tmpl w:val="44D628A0"/>
    <w:lvl w:ilvl="0" w:tplc="E9FE4870">
      <w:start w:val="1"/>
      <w:numFmt w:val="bullet"/>
      <w:lvlText w:val=""/>
      <w:lvlJc w:val="left"/>
      <w:pPr>
        <w:ind w:left="1440" w:hanging="360"/>
      </w:pPr>
      <w:rPr>
        <w:rFonts w:ascii="Symbol" w:hAnsi="Symbol"/>
      </w:rPr>
    </w:lvl>
    <w:lvl w:ilvl="1" w:tplc="813EC8C6">
      <w:start w:val="1"/>
      <w:numFmt w:val="bullet"/>
      <w:lvlText w:val=""/>
      <w:lvlJc w:val="left"/>
      <w:pPr>
        <w:ind w:left="1440" w:hanging="360"/>
      </w:pPr>
      <w:rPr>
        <w:rFonts w:ascii="Symbol" w:hAnsi="Symbol"/>
      </w:rPr>
    </w:lvl>
    <w:lvl w:ilvl="2" w:tplc="06FAF9B4">
      <w:start w:val="1"/>
      <w:numFmt w:val="bullet"/>
      <w:lvlText w:val=""/>
      <w:lvlJc w:val="left"/>
      <w:pPr>
        <w:ind w:left="1440" w:hanging="360"/>
      </w:pPr>
      <w:rPr>
        <w:rFonts w:ascii="Symbol" w:hAnsi="Symbol"/>
      </w:rPr>
    </w:lvl>
    <w:lvl w:ilvl="3" w:tplc="30AC8C42">
      <w:start w:val="1"/>
      <w:numFmt w:val="bullet"/>
      <w:lvlText w:val=""/>
      <w:lvlJc w:val="left"/>
      <w:pPr>
        <w:ind w:left="1440" w:hanging="360"/>
      </w:pPr>
      <w:rPr>
        <w:rFonts w:ascii="Symbol" w:hAnsi="Symbol"/>
      </w:rPr>
    </w:lvl>
    <w:lvl w:ilvl="4" w:tplc="389069EC">
      <w:start w:val="1"/>
      <w:numFmt w:val="bullet"/>
      <w:lvlText w:val=""/>
      <w:lvlJc w:val="left"/>
      <w:pPr>
        <w:ind w:left="1440" w:hanging="360"/>
      </w:pPr>
      <w:rPr>
        <w:rFonts w:ascii="Symbol" w:hAnsi="Symbol"/>
      </w:rPr>
    </w:lvl>
    <w:lvl w:ilvl="5" w:tplc="24EE394E">
      <w:start w:val="1"/>
      <w:numFmt w:val="bullet"/>
      <w:lvlText w:val=""/>
      <w:lvlJc w:val="left"/>
      <w:pPr>
        <w:ind w:left="1440" w:hanging="360"/>
      </w:pPr>
      <w:rPr>
        <w:rFonts w:ascii="Symbol" w:hAnsi="Symbol"/>
      </w:rPr>
    </w:lvl>
    <w:lvl w:ilvl="6" w:tplc="C72EB9E4">
      <w:start w:val="1"/>
      <w:numFmt w:val="bullet"/>
      <w:lvlText w:val=""/>
      <w:lvlJc w:val="left"/>
      <w:pPr>
        <w:ind w:left="1440" w:hanging="360"/>
      </w:pPr>
      <w:rPr>
        <w:rFonts w:ascii="Symbol" w:hAnsi="Symbol"/>
      </w:rPr>
    </w:lvl>
    <w:lvl w:ilvl="7" w:tplc="E28A4940">
      <w:start w:val="1"/>
      <w:numFmt w:val="bullet"/>
      <w:lvlText w:val=""/>
      <w:lvlJc w:val="left"/>
      <w:pPr>
        <w:ind w:left="1440" w:hanging="360"/>
      </w:pPr>
      <w:rPr>
        <w:rFonts w:ascii="Symbol" w:hAnsi="Symbol"/>
      </w:rPr>
    </w:lvl>
    <w:lvl w:ilvl="8" w:tplc="874C1144">
      <w:start w:val="1"/>
      <w:numFmt w:val="bullet"/>
      <w:lvlText w:val=""/>
      <w:lvlJc w:val="left"/>
      <w:pPr>
        <w:ind w:left="1440" w:hanging="360"/>
      </w:pPr>
      <w:rPr>
        <w:rFonts w:ascii="Symbol" w:hAnsi="Symbol"/>
      </w:rPr>
    </w:lvl>
  </w:abstractNum>
  <w:abstractNum w:abstractNumId="20" w15:restartNumberingAfterBreak="0">
    <w:nsid w:val="6E5B7429"/>
    <w:multiLevelType w:val="hybridMultilevel"/>
    <w:tmpl w:val="49860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346C2C"/>
    <w:multiLevelType w:val="hybridMultilevel"/>
    <w:tmpl w:val="FFFFFFFF"/>
    <w:lvl w:ilvl="0" w:tplc="A50AD9E8">
      <w:start w:val="1"/>
      <w:numFmt w:val="decimal"/>
      <w:lvlText w:val="%1."/>
      <w:lvlJc w:val="left"/>
      <w:pPr>
        <w:ind w:left="720" w:hanging="360"/>
      </w:pPr>
    </w:lvl>
    <w:lvl w:ilvl="1" w:tplc="200E0492">
      <w:start w:val="1"/>
      <w:numFmt w:val="lowerLetter"/>
      <w:lvlText w:val="%2."/>
      <w:lvlJc w:val="left"/>
      <w:pPr>
        <w:ind w:left="1440" w:hanging="360"/>
      </w:pPr>
    </w:lvl>
    <w:lvl w:ilvl="2" w:tplc="CE94B082">
      <w:start w:val="1"/>
      <w:numFmt w:val="lowerRoman"/>
      <w:lvlText w:val="%3."/>
      <w:lvlJc w:val="right"/>
      <w:pPr>
        <w:ind w:left="2160" w:hanging="180"/>
      </w:pPr>
    </w:lvl>
    <w:lvl w:ilvl="3" w:tplc="0352D2FC">
      <w:start w:val="1"/>
      <w:numFmt w:val="decimal"/>
      <w:lvlText w:val="%4."/>
      <w:lvlJc w:val="left"/>
      <w:pPr>
        <w:ind w:left="2880" w:hanging="360"/>
      </w:pPr>
    </w:lvl>
    <w:lvl w:ilvl="4" w:tplc="BE84802A">
      <w:start w:val="1"/>
      <w:numFmt w:val="lowerLetter"/>
      <w:lvlText w:val="%5."/>
      <w:lvlJc w:val="left"/>
      <w:pPr>
        <w:ind w:left="3600" w:hanging="360"/>
      </w:pPr>
    </w:lvl>
    <w:lvl w:ilvl="5" w:tplc="6BCA9864">
      <w:start w:val="1"/>
      <w:numFmt w:val="lowerRoman"/>
      <w:lvlText w:val="%6."/>
      <w:lvlJc w:val="right"/>
      <w:pPr>
        <w:ind w:left="4320" w:hanging="180"/>
      </w:pPr>
    </w:lvl>
    <w:lvl w:ilvl="6" w:tplc="D2D6DCCE">
      <w:start w:val="1"/>
      <w:numFmt w:val="decimal"/>
      <w:lvlText w:val="%7."/>
      <w:lvlJc w:val="left"/>
      <w:pPr>
        <w:ind w:left="5040" w:hanging="360"/>
      </w:pPr>
    </w:lvl>
    <w:lvl w:ilvl="7" w:tplc="8EDE49E6">
      <w:start w:val="1"/>
      <w:numFmt w:val="lowerLetter"/>
      <w:lvlText w:val="%8."/>
      <w:lvlJc w:val="left"/>
      <w:pPr>
        <w:ind w:left="5760" w:hanging="360"/>
      </w:pPr>
    </w:lvl>
    <w:lvl w:ilvl="8" w:tplc="82D8270A">
      <w:start w:val="1"/>
      <w:numFmt w:val="lowerRoman"/>
      <w:lvlText w:val="%9."/>
      <w:lvlJc w:val="right"/>
      <w:pPr>
        <w:ind w:left="6480" w:hanging="180"/>
      </w:pPr>
    </w:lvl>
  </w:abstractNum>
  <w:num w:numId="1" w16cid:durableId="1273895753">
    <w:abstractNumId w:val="20"/>
  </w:num>
  <w:num w:numId="2" w16cid:durableId="1123576925">
    <w:abstractNumId w:val="15"/>
  </w:num>
  <w:num w:numId="3" w16cid:durableId="767583216">
    <w:abstractNumId w:val="9"/>
  </w:num>
  <w:num w:numId="4" w16cid:durableId="330376185">
    <w:abstractNumId w:val="10"/>
  </w:num>
  <w:num w:numId="5" w16cid:durableId="1364676529">
    <w:abstractNumId w:val="16"/>
  </w:num>
  <w:num w:numId="6" w16cid:durableId="1110010158">
    <w:abstractNumId w:val="3"/>
  </w:num>
  <w:num w:numId="7" w16cid:durableId="1626347638">
    <w:abstractNumId w:val="19"/>
  </w:num>
  <w:num w:numId="8" w16cid:durableId="2130664955">
    <w:abstractNumId w:val="7"/>
  </w:num>
  <w:num w:numId="9" w16cid:durableId="87966270">
    <w:abstractNumId w:val="1"/>
  </w:num>
  <w:num w:numId="10" w16cid:durableId="1383672786">
    <w:abstractNumId w:val="0"/>
  </w:num>
  <w:num w:numId="11" w16cid:durableId="318467313">
    <w:abstractNumId w:val="2"/>
  </w:num>
  <w:num w:numId="12" w16cid:durableId="232546332">
    <w:abstractNumId w:val="18"/>
  </w:num>
  <w:num w:numId="13" w16cid:durableId="526910479">
    <w:abstractNumId w:val="5"/>
  </w:num>
  <w:num w:numId="14" w16cid:durableId="1216626010">
    <w:abstractNumId w:val="13"/>
  </w:num>
  <w:num w:numId="15" w16cid:durableId="885990526">
    <w:abstractNumId w:val="6"/>
  </w:num>
  <w:num w:numId="16" w16cid:durableId="1325463">
    <w:abstractNumId w:val="4"/>
  </w:num>
  <w:num w:numId="17" w16cid:durableId="1949893516">
    <w:abstractNumId w:val="12"/>
  </w:num>
  <w:num w:numId="18" w16cid:durableId="837043275">
    <w:abstractNumId w:val="17"/>
  </w:num>
  <w:num w:numId="19" w16cid:durableId="597912966">
    <w:abstractNumId w:val="14"/>
  </w:num>
  <w:num w:numId="20" w16cid:durableId="1947808954">
    <w:abstractNumId w:val="8"/>
  </w:num>
  <w:num w:numId="21" w16cid:durableId="276717303">
    <w:abstractNumId w:val="21"/>
  </w:num>
  <w:num w:numId="22" w16cid:durableId="2635335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E5"/>
    <w:rsid w:val="00003EAB"/>
    <w:rsid w:val="000055B4"/>
    <w:rsid w:val="000263C2"/>
    <w:rsid w:val="00034F9E"/>
    <w:rsid w:val="0003611D"/>
    <w:rsid w:val="00036CB3"/>
    <w:rsid w:val="000503A5"/>
    <w:rsid w:val="00051D64"/>
    <w:rsid w:val="00055481"/>
    <w:rsid w:val="00055E14"/>
    <w:rsid w:val="0005650C"/>
    <w:rsid w:val="0006069F"/>
    <w:rsid w:val="00062923"/>
    <w:rsid w:val="00066012"/>
    <w:rsid w:val="00067B91"/>
    <w:rsid w:val="00080840"/>
    <w:rsid w:val="00081ED6"/>
    <w:rsid w:val="000828C6"/>
    <w:rsid w:val="0008594C"/>
    <w:rsid w:val="00087C1C"/>
    <w:rsid w:val="00087D2D"/>
    <w:rsid w:val="000939BF"/>
    <w:rsid w:val="00096431"/>
    <w:rsid w:val="0009755D"/>
    <w:rsid w:val="000A15AA"/>
    <w:rsid w:val="000B1454"/>
    <w:rsid w:val="000B2D65"/>
    <w:rsid w:val="000B63B2"/>
    <w:rsid w:val="000B6C27"/>
    <w:rsid w:val="000C6298"/>
    <w:rsid w:val="000C67CD"/>
    <w:rsid w:val="000D3EE1"/>
    <w:rsid w:val="000D6100"/>
    <w:rsid w:val="000F4797"/>
    <w:rsid w:val="00106B9B"/>
    <w:rsid w:val="00113437"/>
    <w:rsid w:val="00114AB3"/>
    <w:rsid w:val="0011724F"/>
    <w:rsid w:val="00121A47"/>
    <w:rsid w:val="00125C38"/>
    <w:rsid w:val="001301E8"/>
    <w:rsid w:val="001323E8"/>
    <w:rsid w:val="00132A23"/>
    <w:rsid w:val="00134C57"/>
    <w:rsid w:val="001352D4"/>
    <w:rsid w:val="00143D06"/>
    <w:rsid w:val="001458DD"/>
    <w:rsid w:val="00151F26"/>
    <w:rsid w:val="00156687"/>
    <w:rsid w:val="00163E13"/>
    <w:rsid w:val="001652E1"/>
    <w:rsid w:val="001656BA"/>
    <w:rsid w:val="00170A64"/>
    <w:rsid w:val="0017283C"/>
    <w:rsid w:val="00176404"/>
    <w:rsid w:val="00176B0D"/>
    <w:rsid w:val="00176D33"/>
    <w:rsid w:val="001772A2"/>
    <w:rsid w:val="00177966"/>
    <w:rsid w:val="001808E3"/>
    <w:rsid w:val="0018258C"/>
    <w:rsid w:val="00185994"/>
    <w:rsid w:val="0018719F"/>
    <w:rsid w:val="00193E94"/>
    <w:rsid w:val="001A1D51"/>
    <w:rsid w:val="001A2A29"/>
    <w:rsid w:val="001A2A42"/>
    <w:rsid w:val="001B0B25"/>
    <w:rsid w:val="001B2A77"/>
    <w:rsid w:val="001B5680"/>
    <w:rsid w:val="001B7250"/>
    <w:rsid w:val="001C0AD9"/>
    <w:rsid w:val="001C1FA1"/>
    <w:rsid w:val="001D0E12"/>
    <w:rsid w:val="001D6845"/>
    <w:rsid w:val="001E1909"/>
    <w:rsid w:val="001E6614"/>
    <w:rsid w:val="001F1EDE"/>
    <w:rsid w:val="001F3F8E"/>
    <w:rsid w:val="001F4283"/>
    <w:rsid w:val="001F5041"/>
    <w:rsid w:val="002031B5"/>
    <w:rsid w:val="00205CC7"/>
    <w:rsid w:val="00206023"/>
    <w:rsid w:val="00212A35"/>
    <w:rsid w:val="00223130"/>
    <w:rsid w:val="00223616"/>
    <w:rsid w:val="00223B4A"/>
    <w:rsid w:val="00231111"/>
    <w:rsid w:val="00231694"/>
    <w:rsid w:val="00234BC2"/>
    <w:rsid w:val="00234C2F"/>
    <w:rsid w:val="00246606"/>
    <w:rsid w:val="00246C92"/>
    <w:rsid w:val="002547BB"/>
    <w:rsid w:val="00257F04"/>
    <w:rsid w:val="00257F64"/>
    <w:rsid w:val="00262DEF"/>
    <w:rsid w:val="00273490"/>
    <w:rsid w:val="00273701"/>
    <w:rsid w:val="00274FE0"/>
    <w:rsid w:val="00275C94"/>
    <w:rsid w:val="00276079"/>
    <w:rsid w:val="002772D0"/>
    <w:rsid w:val="00284074"/>
    <w:rsid w:val="002851F3"/>
    <w:rsid w:val="00286096"/>
    <w:rsid w:val="00286855"/>
    <w:rsid w:val="00287E19"/>
    <w:rsid w:val="002903F5"/>
    <w:rsid w:val="0029123D"/>
    <w:rsid w:val="00291419"/>
    <w:rsid w:val="002958BC"/>
    <w:rsid w:val="002A065F"/>
    <w:rsid w:val="002A164A"/>
    <w:rsid w:val="002A3525"/>
    <w:rsid w:val="002A3C94"/>
    <w:rsid w:val="002A4E4A"/>
    <w:rsid w:val="002A546D"/>
    <w:rsid w:val="002A57B7"/>
    <w:rsid w:val="002B0C09"/>
    <w:rsid w:val="002B1337"/>
    <w:rsid w:val="002B5492"/>
    <w:rsid w:val="002C19B4"/>
    <w:rsid w:val="002C1C73"/>
    <w:rsid w:val="002C2407"/>
    <w:rsid w:val="002C2B52"/>
    <w:rsid w:val="002C41A4"/>
    <w:rsid w:val="002C4667"/>
    <w:rsid w:val="002C4C86"/>
    <w:rsid w:val="002C5A9F"/>
    <w:rsid w:val="002C7A10"/>
    <w:rsid w:val="002D09BF"/>
    <w:rsid w:val="002D43F3"/>
    <w:rsid w:val="002D6F20"/>
    <w:rsid w:val="002E217F"/>
    <w:rsid w:val="002E69ED"/>
    <w:rsid w:val="002E6C9D"/>
    <w:rsid w:val="002E7241"/>
    <w:rsid w:val="002F4393"/>
    <w:rsid w:val="002F5667"/>
    <w:rsid w:val="002F6483"/>
    <w:rsid w:val="002F6F12"/>
    <w:rsid w:val="00301E34"/>
    <w:rsid w:val="003037E1"/>
    <w:rsid w:val="0030394B"/>
    <w:rsid w:val="003058B4"/>
    <w:rsid w:val="003068FB"/>
    <w:rsid w:val="00307E3A"/>
    <w:rsid w:val="00313871"/>
    <w:rsid w:val="00315845"/>
    <w:rsid w:val="00320457"/>
    <w:rsid w:val="00325FFE"/>
    <w:rsid w:val="00326049"/>
    <w:rsid w:val="00327D79"/>
    <w:rsid w:val="0033354B"/>
    <w:rsid w:val="0034098A"/>
    <w:rsid w:val="00340A69"/>
    <w:rsid w:val="00345085"/>
    <w:rsid w:val="00350463"/>
    <w:rsid w:val="003508C2"/>
    <w:rsid w:val="003510E6"/>
    <w:rsid w:val="00351F20"/>
    <w:rsid w:val="0035362B"/>
    <w:rsid w:val="003536EE"/>
    <w:rsid w:val="003543E2"/>
    <w:rsid w:val="0036022F"/>
    <w:rsid w:val="003624EF"/>
    <w:rsid w:val="00372E6F"/>
    <w:rsid w:val="00373590"/>
    <w:rsid w:val="00376FB9"/>
    <w:rsid w:val="00380973"/>
    <w:rsid w:val="0038169F"/>
    <w:rsid w:val="00382EAF"/>
    <w:rsid w:val="00383D4A"/>
    <w:rsid w:val="00383F44"/>
    <w:rsid w:val="003A338D"/>
    <w:rsid w:val="003A5FC6"/>
    <w:rsid w:val="003B5666"/>
    <w:rsid w:val="003B702C"/>
    <w:rsid w:val="003C1E7A"/>
    <w:rsid w:val="003C3598"/>
    <w:rsid w:val="003D35DA"/>
    <w:rsid w:val="003D38AB"/>
    <w:rsid w:val="003D5F9F"/>
    <w:rsid w:val="003D70C1"/>
    <w:rsid w:val="003E165D"/>
    <w:rsid w:val="003E1BAA"/>
    <w:rsid w:val="003E233E"/>
    <w:rsid w:val="003E31FC"/>
    <w:rsid w:val="003E6E92"/>
    <w:rsid w:val="003E7144"/>
    <w:rsid w:val="003F10E6"/>
    <w:rsid w:val="003F3DE3"/>
    <w:rsid w:val="003F5E48"/>
    <w:rsid w:val="003F780C"/>
    <w:rsid w:val="004026F0"/>
    <w:rsid w:val="004069E8"/>
    <w:rsid w:val="00407CDD"/>
    <w:rsid w:val="00410DC6"/>
    <w:rsid w:val="00414280"/>
    <w:rsid w:val="00420B31"/>
    <w:rsid w:val="00421EE2"/>
    <w:rsid w:val="00422231"/>
    <w:rsid w:val="00422CA6"/>
    <w:rsid w:val="004244F4"/>
    <w:rsid w:val="004246DA"/>
    <w:rsid w:val="004303B4"/>
    <w:rsid w:val="0043230E"/>
    <w:rsid w:val="00446CCF"/>
    <w:rsid w:val="00451651"/>
    <w:rsid w:val="00454535"/>
    <w:rsid w:val="004550DD"/>
    <w:rsid w:val="00456654"/>
    <w:rsid w:val="00465BF8"/>
    <w:rsid w:val="004727D3"/>
    <w:rsid w:val="004734CA"/>
    <w:rsid w:val="00474B7F"/>
    <w:rsid w:val="00481C10"/>
    <w:rsid w:val="00486F98"/>
    <w:rsid w:val="00492F8A"/>
    <w:rsid w:val="004968DD"/>
    <w:rsid w:val="00497FA7"/>
    <w:rsid w:val="004A3DA4"/>
    <w:rsid w:val="004A5D9A"/>
    <w:rsid w:val="004B2C4A"/>
    <w:rsid w:val="004B6C9C"/>
    <w:rsid w:val="004B6E14"/>
    <w:rsid w:val="004C0BB9"/>
    <w:rsid w:val="004C1B58"/>
    <w:rsid w:val="004C1D52"/>
    <w:rsid w:val="004C1EB2"/>
    <w:rsid w:val="004C37C6"/>
    <w:rsid w:val="004C6576"/>
    <w:rsid w:val="004D5A6D"/>
    <w:rsid w:val="004E0C75"/>
    <w:rsid w:val="004E60E7"/>
    <w:rsid w:val="004E6B93"/>
    <w:rsid w:val="005056F6"/>
    <w:rsid w:val="00510C0C"/>
    <w:rsid w:val="005114D2"/>
    <w:rsid w:val="0051271C"/>
    <w:rsid w:val="005128CA"/>
    <w:rsid w:val="005169FD"/>
    <w:rsid w:val="00516FEA"/>
    <w:rsid w:val="00520B7D"/>
    <w:rsid w:val="00520F05"/>
    <w:rsid w:val="00524032"/>
    <w:rsid w:val="0052565E"/>
    <w:rsid w:val="0052587F"/>
    <w:rsid w:val="00526D00"/>
    <w:rsid w:val="00527ED0"/>
    <w:rsid w:val="00530281"/>
    <w:rsid w:val="00534DD6"/>
    <w:rsid w:val="00544918"/>
    <w:rsid w:val="00544DBA"/>
    <w:rsid w:val="005475BC"/>
    <w:rsid w:val="0055004D"/>
    <w:rsid w:val="00552ECE"/>
    <w:rsid w:val="00554E47"/>
    <w:rsid w:val="005745CF"/>
    <w:rsid w:val="00574D1D"/>
    <w:rsid w:val="00575575"/>
    <w:rsid w:val="005803C5"/>
    <w:rsid w:val="0058115A"/>
    <w:rsid w:val="005A3B33"/>
    <w:rsid w:val="005A55AA"/>
    <w:rsid w:val="005A6E51"/>
    <w:rsid w:val="005A772A"/>
    <w:rsid w:val="005B4229"/>
    <w:rsid w:val="005B5BE9"/>
    <w:rsid w:val="005C2AD6"/>
    <w:rsid w:val="005C44B7"/>
    <w:rsid w:val="005C5FD3"/>
    <w:rsid w:val="005C6C00"/>
    <w:rsid w:val="005C7402"/>
    <w:rsid w:val="005D2028"/>
    <w:rsid w:val="005D6281"/>
    <w:rsid w:val="005D709E"/>
    <w:rsid w:val="005D7A7F"/>
    <w:rsid w:val="005E088C"/>
    <w:rsid w:val="005E1490"/>
    <w:rsid w:val="005E2FBB"/>
    <w:rsid w:val="005E3392"/>
    <w:rsid w:val="005E3A75"/>
    <w:rsid w:val="005E5CD0"/>
    <w:rsid w:val="005E6CFD"/>
    <w:rsid w:val="005F19B7"/>
    <w:rsid w:val="005F6B1A"/>
    <w:rsid w:val="00600942"/>
    <w:rsid w:val="006030F5"/>
    <w:rsid w:val="00607924"/>
    <w:rsid w:val="006106C3"/>
    <w:rsid w:val="00613362"/>
    <w:rsid w:val="0061538B"/>
    <w:rsid w:val="0061770E"/>
    <w:rsid w:val="00621B10"/>
    <w:rsid w:val="00621D21"/>
    <w:rsid w:val="006308BE"/>
    <w:rsid w:val="006336D2"/>
    <w:rsid w:val="00642579"/>
    <w:rsid w:val="00646876"/>
    <w:rsid w:val="00647BAC"/>
    <w:rsid w:val="00650980"/>
    <w:rsid w:val="00651039"/>
    <w:rsid w:val="00652F8E"/>
    <w:rsid w:val="006616CE"/>
    <w:rsid w:val="00666903"/>
    <w:rsid w:val="00666B6F"/>
    <w:rsid w:val="006737CC"/>
    <w:rsid w:val="00673A23"/>
    <w:rsid w:val="00674B91"/>
    <w:rsid w:val="0068009F"/>
    <w:rsid w:val="00682835"/>
    <w:rsid w:val="0068512A"/>
    <w:rsid w:val="0069489A"/>
    <w:rsid w:val="00696390"/>
    <w:rsid w:val="006B4C49"/>
    <w:rsid w:val="006B740D"/>
    <w:rsid w:val="006C3A72"/>
    <w:rsid w:val="006C63A9"/>
    <w:rsid w:val="006F3CB8"/>
    <w:rsid w:val="006F5AAC"/>
    <w:rsid w:val="006F7497"/>
    <w:rsid w:val="0070131D"/>
    <w:rsid w:val="00701E6E"/>
    <w:rsid w:val="00704A39"/>
    <w:rsid w:val="007051BE"/>
    <w:rsid w:val="00705CFD"/>
    <w:rsid w:val="00710B75"/>
    <w:rsid w:val="00715BA2"/>
    <w:rsid w:val="00722BCB"/>
    <w:rsid w:val="00726CF6"/>
    <w:rsid w:val="00726E8A"/>
    <w:rsid w:val="007304AD"/>
    <w:rsid w:val="0073122C"/>
    <w:rsid w:val="00731E5C"/>
    <w:rsid w:val="00732CAE"/>
    <w:rsid w:val="00737F7A"/>
    <w:rsid w:val="00745826"/>
    <w:rsid w:val="00752484"/>
    <w:rsid w:val="00754A3F"/>
    <w:rsid w:val="007633B6"/>
    <w:rsid w:val="0076575F"/>
    <w:rsid w:val="007663BB"/>
    <w:rsid w:val="0076739D"/>
    <w:rsid w:val="00767AA2"/>
    <w:rsid w:val="00770BE5"/>
    <w:rsid w:val="0077272C"/>
    <w:rsid w:val="007829D3"/>
    <w:rsid w:val="007863D5"/>
    <w:rsid w:val="00796150"/>
    <w:rsid w:val="00796C89"/>
    <w:rsid w:val="007976ED"/>
    <w:rsid w:val="007A0671"/>
    <w:rsid w:val="007A0ACC"/>
    <w:rsid w:val="007A1608"/>
    <w:rsid w:val="007A4F1B"/>
    <w:rsid w:val="007A5AD9"/>
    <w:rsid w:val="007A79C6"/>
    <w:rsid w:val="007C0EEB"/>
    <w:rsid w:val="007C7BB1"/>
    <w:rsid w:val="007D61EB"/>
    <w:rsid w:val="007E048E"/>
    <w:rsid w:val="007E2294"/>
    <w:rsid w:val="007E6119"/>
    <w:rsid w:val="007F63E2"/>
    <w:rsid w:val="007F72D8"/>
    <w:rsid w:val="00812783"/>
    <w:rsid w:val="00820238"/>
    <w:rsid w:val="008255BD"/>
    <w:rsid w:val="0082666E"/>
    <w:rsid w:val="008313AB"/>
    <w:rsid w:val="00836056"/>
    <w:rsid w:val="0083610F"/>
    <w:rsid w:val="0084059F"/>
    <w:rsid w:val="0084470B"/>
    <w:rsid w:val="00846161"/>
    <w:rsid w:val="008539F5"/>
    <w:rsid w:val="00863F57"/>
    <w:rsid w:val="00866628"/>
    <w:rsid w:val="0087217E"/>
    <w:rsid w:val="0087715B"/>
    <w:rsid w:val="00877861"/>
    <w:rsid w:val="00877CB5"/>
    <w:rsid w:val="008826B6"/>
    <w:rsid w:val="0089210A"/>
    <w:rsid w:val="00897050"/>
    <w:rsid w:val="008B6DB9"/>
    <w:rsid w:val="008D57E3"/>
    <w:rsid w:val="008E155F"/>
    <w:rsid w:val="008E3EC2"/>
    <w:rsid w:val="008E4D07"/>
    <w:rsid w:val="008E52A2"/>
    <w:rsid w:val="008E707C"/>
    <w:rsid w:val="008F101A"/>
    <w:rsid w:val="008F75B4"/>
    <w:rsid w:val="0090119C"/>
    <w:rsid w:val="00903BBA"/>
    <w:rsid w:val="00905207"/>
    <w:rsid w:val="0090604E"/>
    <w:rsid w:val="009166B6"/>
    <w:rsid w:val="009172F2"/>
    <w:rsid w:val="00921B5F"/>
    <w:rsid w:val="00926616"/>
    <w:rsid w:val="00940A82"/>
    <w:rsid w:val="00940BC2"/>
    <w:rsid w:val="00942056"/>
    <w:rsid w:val="00947965"/>
    <w:rsid w:val="0095055D"/>
    <w:rsid w:val="00954DC0"/>
    <w:rsid w:val="00954F1D"/>
    <w:rsid w:val="00956096"/>
    <w:rsid w:val="009569C8"/>
    <w:rsid w:val="009603BF"/>
    <w:rsid w:val="0096045D"/>
    <w:rsid w:val="009614BE"/>
    <w:rsid w:val="0096246B"/>
    <w:rsid w:val="00963E04"/>
    <w:rsid w:val="0096684D"/>
    <w:rsid w:val="00966C90"/>
    <w:rsid w:val="00966FB5"/>
    <w:rsid w:val="009754A8"/>
    <w:rsid w:val="009756ED"/>
    <w:rsid w:val="0097632D"/>
    <w:rsid w:val="00981072"/>
    <w:rsid w:val="00982B70"/>
    <w:rsid w:val="00982BF5"/>
    <w:rsid w:val="00994086"/>
    <w:rsid w:val="00994D4D"/>
    <w:rsid w:val="00996E1B"/>
    <w:rsid w:val="009B0950"/>
    <w:rsid w:val="009B3D18"/>
    <w:rsid w:val="009B541B"/>
    <w:rsid w:val="009B7F6C"/>
    <w:rsid w:val="009C283B"/>
    <w:rsid w:val="009C3BD1"/>
    <w:rsid w:val="009C5C89"/>
    <w:rsid w:val="009C5ED8"/>
    <w:rsid w:val="009C6E8E"/>
    <w:rsid w:val="009D00CA"/>
    <w:rsid w:val="009D20C8"/>
    <w:rsid w:val="009E021D"/>
    <w:rsid w:val="009E1B46"/>
    <w:rsid w:val="009E39F1"/>
    <w:rsid w:val="009E479F"/>
    <w:rsid w:val="009E581A"/>
    <w:rsid w:val="009E7166"/>
    <w:rsid w:val="009F02F5"/>
    <w:rsid w:val="009F476A"/>
    <w:rsid w:val="009F6B83"/>
    <w:rsid w:val="00A046C1"/>
    <w:rsid w:val="00A0540D"/>
    <w:rsid w:val="00A05D57"/>
    <w:rsid w:val="00A12979"/>
    <w:rsid w:val="00A1421E"/>
    <w:rsid w:val="00A15FBD"/>
    <w:rsid w:val="00A16268"/>
    <w:rsid w:val="00A167D5"/>
    <w:rsid w:val="00A2225C"/>
    <w:rsid w:val="00A31EEE"/>
    <w:rsid w:val="00A32883"/>
    <w:rsid w:val="00A3328D"/>
    <w:rsid w:val="00A35548"/>
    <w:rsid w:val="00A366C1"/>
    <w:rsid w:val="00A40EF6"/>
    <w:rsid w:val="00A41D71"/>
    <w:rsid w:val="00A52D69"/>
    <w:rsid w:val="00A63A09"/>
    <w:rsid w:val="00A64AF7"/>
    <w:rsid w:val="00A658DB"/>
    <w:rsid w:val="00A70A69"/>
    <w:rsid w:val="00A74EE8"/>
    <w:rsid w:val="00A7789E"/>
    <w:rsid w:val="00A80004"/>
    <w:rsid w:val="00A84210"/>
    <w:rsid w:val="00A8683D"/>
    <w:rsid w:val="00AA0097"/>
    <w:rsid w:val="00AA78DE"/>
    <w:rsid w:val="00AB01C1"/>
    <w:rsid w:val="00AB0B2D"/>
    <w:rsid w:val="00AB69B3"/>
    <w:rsid w:val="00AB6EEA"/>
    <w:rsid w:val="00AC1A52"/>
    <w:rsid w:val="00AC4A77"/>
    <w:rsid w:val="00AC5B3D"/>
    <w:rsid w:val="00AD0869"/>
    <w:rsid w:val="00AD331B"/>
    <w:rsid w:val="00AD3717"/>
    <w:rsid w:val="00AD5D19"/>
    <w:rsid w:val="00AD6253"/>
    <w:rsid w:val="00AD6ADB"/>
    <w:rsid w:val="00AE0E87"/>
    <w:rsid w:val="00AE48F9"/>
    <w:rsid w:val="00AF250A"/>
    <w:rsid w:val="00AF2A0F"/>
    <w:rsid w:val="00AF473A"/>
    <w:rsid w:val="00AF53D7"/>
    <w:rsid w:val="00B00A06"/>
    <w:rsid w:val="00B03EF9"/>
    <w:rsid w:val="00B04636"/>
    <w:rsid w:val="00B06806"/>
    <w:rsid w:val="00B127DD"/>
    <w:rsid w:val="00B13980"/>
    <w:rsid w:val="00B14982"/>
    <w:rsid w:val="00B14B7D"/>
    <w:rsid w:val="00B157F9"/>
    <w:rsid w:val="00B176D3"/>
    <w:rsid w:val="00B21E72"/>
    <w:rsid w:val="00B27053"/>
    <w:rsid w:val="00B317D5"/>
    <w:rsid w:val="00B340E6"/>
    <w:rsid w:val="00B4457D"/>
    <w:rsid w:val="00B44934"/>
    <w:rsid w:val="00B45A88"/>
    <w:rsid w:val="00B53359"/>
    <w:rsid w:val="00B54AA3"/>
    <w:rsid w:val="00B63EE8"/>
    <w:rsid w:val="00B658CB"/>
    <w:rsid w:val="00B67BF2"/>
    <w:rsid w:val="00B72BBA"/>
    <w:rsid w:val="00B75C27"/>
    <w:rsid w:val="00B805DA"/>
    <w:rsid w:val="00B84A66"/>
    <w:rsid w:val="00B859A8"/>
    <w:rsid w:val="00B85BA5"/>
    <w:rsid w:val="00B87B06"/>
    <w:rsid w:val="00B91CAE"/>
    <w:rsid w:val="00BA48ED"/>
    <w:rsid w:val="00BA4B34"/>
    <w:rsid w:val="00BA7008"/>
    <w:rsid w:val="00BA7420"/>
    <w:rsid w:val="00BB3788"/>
    <w:rsid w:val="00BB3E58"/>
    <w:rsid w:val="00BB77AE"/>
    <w:rsid w:val="00BC186C"/>
    <w:rsid w:val="00BC273C"/>
    <w:rsid w:val="00BD39BB"/>
    <w:rsid w:val="00BD4FD6"/>
    <w:rsid w:val="00BD63AF"/>
    <w:rsid w:val="00BE19B5"/>
    <w:rsid w:val="00BE5BCB"/>
    <w:rsid w:val="00BE61F1"/>
    <w:rsid w:val="00BE735E"/>
    <w:rsid w:val="00C02BCF"/>
    <w:rsid w:val="00C058A3"/>
    <w:rsid w:val="00C05A61"/>
    <w:rsid w:val="00C134EB"/>
    <w:rsid w:val="00C16095"/>
    <w:rsid w:val="00C219D6"/>
    <w:rsid w:val="00C319D2"/>
    <w:rsid w:val="00C423C1"/>
    <w:rsid w:val="00C47FEE"/>
    <w:rsid w:val="00C54342"/>
    <w:rsid w:val="00C57695"/>
    <w:rsid w:val="00C61044"/>
    <w:rsid w:val="00C660C7"/>
    <w:rsid w:val="00C73139"/>
    <w:rsid w:val="00C75E8F"/>
    <w:rsid w:val="00C90A38"/>
    <w:rsid w:val="00C960C6"/>
    <w:rsid w:val="00CA1E6D"/>
    <w:rsid w:val="00CA356B"/>
    <w:rsid w:val="00CA4211"/>
    <w:rsid w:val="00CA53DD"/>
    <w:rsid w:val="00CA5C4B"/>
    <w:rsid w:val="00CA7E7A"/>
    <w:rsid w:val="00CB022D"/>
    <w:rsid w:val="00CB0711"/>
    <w:rsid w:val="00CB4DD7"/>
    <w:rsid w:val="00CC32B3"/>
    <w:rsid w:val="00CC7DF4"/>
    <w:rsid w:val="00CD3B37"/>
    <w:rsid w:val="00CD7D65"/>
    <w:rsid w:val="00CE0CFF"/>
    <w:rsid w:val="00CE1EAF"/>
    <w:rsid w:val="00CE519E"/>
    <w:rsid w:val="00CE618B"/>
    <w:rsid w:val="00CF1EF6"/>
    <w:rsid w:val="00CF757D"/>
    <w:rsid w:val="00CF7768"/>
    <w:rsid w:val="00D0042E"/>
    <w:rsid w:val="00D02F01"/>
    <w:rsid w:val="00D07321"/>
    <w:rsid w:val="00D143F6"/>
    <w:rsid w:val="00D172CA"/>
    <w:rsid w:val="00D20B6C"/>
    <w:rsid w:val="00D235BC"/>
    <w:rsid w:val="00D3775D"/>
    <w:rsid w:val="00D42A61"/>
    <w:rsid w:val="00D527E0"/>
    <w:rsid w:val="00D57823"/>
    <w:rsid w:val="00D62C59"/>
    <w:rsid w:val="00D71DB0"/>
    <w:rsid w:val="00D75257"/>
    <w:rsid w:val="00D77788"/>
    <w:rsid w:val="00D8179D"/>
    <w:rsid w:val="00D82296"/>
    <w:rsid w:val="00D83851"/>
    <w:rsid w:val="00D91412"/>
    <w:rsid w:val="00D9290C"/>
    <w:rsid w:val="00D96F46"/>
    <w:rsid w:val="00DB0066"/>
    <w:rsid w:val="00DB06D2"/>
    <w:rsid w:val="00DB39ED"/>
    <w:rsid w:val="00DB3D2D"/>
    <w:rsid w:val="00DB4426"/>
    <w:rsid w:val="00DB5395"/>
    <w:rsid w:val="00DC14C1"/>
    <w:rsid w:val="00DC2275"/>
    <w:rsid w:val="00DC4038"/>
    <w:rsid w:val="00DD2134"/>
    <w:rsid w:val="00DD294C"/>
    <w:rsid w:val="00DD3374"/>
    <w:rsid w:val="00DD3DC4"/>
    <w:rsid w:val="00DD4D96"/>
    <w:rsid w:val="00DE0B8F"/>
    <w:rsid w:val="00DE1DFB"/>
    <w:rsid w:val="00DE273C"/>
    <w:rsid w:val="00DF206F"/>
    <w:rsid w:val="00DF24CB"/>
    <w:rsid w:val="00DF5174"/>
    <w:rsid w:val="00DF63DF"/>
    <w:rsid w:val="00E05677"/>
    <w:rsid w:val="00E129CE"/>
    <w:rsid w:val="00E1647A"/>
    <w:rsid w:val="00E24809"/>
    <w:rsid w:val="00E27CC5"/>
    <w:rsid w:val="00E30A22"/>
    <w:rsid w:val="00E31585"/>
    <w:rsid w:val="00E33144"/>
    <w:rsid w:val="00E4136C"/>
    <w:rsid w:val="00E534E7"/>
    <w:rsid w:val="00E60AC4"/>
    <w:rsid w:val="00E61AC4"/>
    <w:rsid w:val="00E62F91"/>
    <w:rsid w:val="00E63E5B"/>
    <w:rsid w:val="00E653B0"/>
    <w:rsid w:val="00E65479"/>
    <w:rsid w:val="00E65AE7"/>
    <w:rsid w:val="00E707FC"/>
    <w:rsid w:val="00E70AE6"/>
    <w:rsid w:val="00E74EE9"/>
    <w:rsid w:val="00E761D0"/>
    <w:rsid w:val="00E8114C"/>
    <w:rsid w:val="00E824BF"/>
    <w:rsid w:val="00E84A58"/>
    <w:rsid w:val="00E87413"/>
    <w:rsid w:val="00E92226"/>
    <w:rsid w:val="00E94F7D"/>
    <w:rsid w:val="00E95B35"/>
    <w:rsid w:val="00EA0656"/>
    <w:rsid w:val="00EA2379"/>
    <w:rsid w:val="00EA345E"/>
    <w:rsid w:val="00EA5417"/>
    <w:rsid w:val="00EA6E0C"/>
    <w:rsid w:val="00EB23F9"/>
    <w:rsid w:val="00EB3450"/>
    <w:rsid w:val="00EB50D8"/>
    <w:rsid w:val="00EC0EE3"/>
    <w:rsid w:val="00EC53BC"/>
    <w:rsid w:val="00EC7845"/>
    <w:rsid w:val="00ED6919"/>
    <w:rsid w:val="00EE0C51"/>
    <w:rsid w:val="00EE55A0"/>
    <w:rsid w:val="00EE5E8B"/>
    <w:rsid w:val="00EE65A6"/>
    <w:rsid w:val="00EF26E4"/>
    <w:rsid w:val="00EF6936"/>
    <w:rsid w:val="00F04C7A"/>
    <w:rsid w:val="00F1147F"/>
    <w:rsid w:val="00F116FD"/>
    <w:rsid w:val="00F119F9"/>
    <w:rsid w:val="00F1316A"/>
    <w:rsid w:val="00F1520E"/>
    <w:rsid w:val="00F230AB"/>
    <w:rsid w:val="00F31934"/>
    <w:rsid w:val="00F34658"/>
    <w:rsid w:val="00F443BD"/>
    <w:rsid w:val="00F45204"/>
    <w:rsid w:val="00F4769E"/>
    <w:rsid w:val="00F50038"/>
    <w:rsid w:val="00F50F3B"/>
    <w:rsid w:val="00F52B31"/>
    <w:rsid w:val="00F567AC"/>
    <w:rsid w:val="00F61AAA"/>
    <w:rsid w:val="00F63A51"/>
    <w:rsid w:val="00F6420C"/>
    <w:rsid w:val="00F659D4"/>
    <w:rsid w:val="00F671FC"/>
    <w:rsid w:val="00F70B23"/>
    <w:rsid w:val="00F71168"/>
    <w:rsid w:val="00F72591"/>
    <w:rsid w:val="00F75045"/>
    <w:rsid w:val="00F77839"/>
    <w:rsid w:val="00F86134"/>
    <w:rsid w:val="00F927B6"/>
    <w:rsid w:val="00F97425"/>
    <w:rsid w:val="00FA065E"/>
    <w:rsid w:val="00FA7A6A"/>
    <w:rsid w:val="00FA7CE5"/>
    <w:rsid w:val="00FB30DE"/>
    <w:rsid w:val="00FB5AED"/>
    <w:rsid w:val="00FB5CE8"/>
    <w:rsid w:val="00FB6D6D"/>
    <w:rsid w:val="00FB755B"/>
    <w:rsid w:val="00FC2F57"/>
    <w:rsid w:val="00FD14FC"/>
    <w:rsid w:val="00FD4EAA"/>
    <w:rsid w:val="00FD7B40"/>
    <w:rsid w:val="00FE02EC"/>
    <w:rsid w:val="00FE18BC"/>
    <w:rsid w:val="00FE4FDC"/>
    <w:rsid w:val="00FE6BE2"/>
    <w:rsid w:val="00FF0FAA"/>
    <w:rsid w:val="00FF230E"/>
    <w:rsid w:val="00FF371A"/>
    <w:rsid w:val="00FF4474"/>
    <w:rsid w:val="00FF7220"/>
    <w:rsid w:val="044D8F17"/>
    <w:rsid w:val="052053F8"/>
    <w:rsid w:val="097062AA"/>
    <w:rsid w:val="0C5BCD6D"/>
    <w:rsid w:val="0C6C8185"/>
    <w:rsid w:val="0C9A0384"/>
    <w:rsid w:val="0E66E2B1"/>
    <w:rsid w:val="13719ACE"/>
    <w:rsid w:val="140F0A7F"/>
    <w:rsid w:val="1492318C"/>
    <w:rsid w:val="1596286A"/>
    <w:rsid w:val="1982609F"/>
    <w:rsid w:val="1BA8B36C"/>
    <w:rsid w:val="1BC8CDB0"/>
    <w:rsid w:val="1CCFD9D1"/>
    <w:rsid w:val="1F554B3D"/>
    <w:rsid w:val="201F0431"/>
    <w:rsid w:val="2136FF7A"/>
    <w:rsid w:val="23D20938"/>
    <w:rsid w:val="257AC0F6"/>
    <w:rsid w:val="259B3AAF"/>
    <w:rsid w:val="26AE43D9"/>
    <w:rsid w:val="27A24A51"/>
    <w:rsid w:val="283C803A"/>
    <w:rsid w:val="294DC041"/>
    <w:rsid w:val="2A2E741B"/>
    <w:rsid w:val="2A348ABA"/>
    <w:rsid w:val="2A8EFB17"/>
    <w:rsid w:val="2B52E57C"/>
    <w:rsid w:val="30A47337"/>
    <w:rsid w:val="31699080"/>
    <w:rsid w:val="32406F5F"/>
    <w:rsid w:val="36ABA636"/>
    <w:rsid w:val="376AB859"/>
    <w:rsid w:val="38287C9E"/>
    <w:rsid w:val="39361FED"/>
    <w:rsid w:val="3FAD85CE"/>
    <w:rsid w:val="402F20E1"/>
    <w:rsid w:val="414F946D"/>
    <w:rsid w:val="4340F3F7"/>
    <w:rsid w:val="438008B6"/>
    <w:rsid w:val="4398879B"/>
    <w:rsid w:val="43F13BAA"/>
    <w:rsid w:val="456C4FBD"/>
    <w:rsid w:val="48948B0C"/>
    <w:rsid w:val="48D5ED05"/>
    <w:rsid w:val="491E3643"/>
    <w:rsid w:val="50CA1AAC"/>
    <w:rsid w:val="51240263"/>
    <w:rsid w:val="58022C1A"/>
    <w:rsid w:val="5A88FF5D"/>
    <w:rsid w:val="5B457106"/>
    <w:rsid w:val="5B9463E9"/>
    <w:rsid w:val="5B9CD7A7"/>
    <w:rsid w:val="5C3BFF61"/>
    <w:rsid w:val="5D3233BA"/>
    <w:rsid w:val="6136B602"/>
    <w:rsid w:val="62B36E1B"/>
    <w:rsid w:val="657B271F"/>
    <w:rsid w:val="68F15528"/>
    <w:rsid w:val="6902D457"/>
    <w:rsid w:val="6C03BDAE"/>
    <w:rsid w:val="6D2D846A"/>
    <w:rsid w:val="6E455FBB"/>
    <w:rsid w:val="70C101A3"/>
    <w:rsid w:val="737AADEA"/>
    <w:rsid w:val="760EFF31"/>
    <w:rsid w:val="7D4365DD"/>
    <w:rsid w:val="7D84B8D1"/>
    <w:rsid w:val="7E25D6EF"/>
    <w:rsid w:val="7F462E3E"/>
    <w:rsid w:val="7FC5B2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D129A"/>
  <w15:chartTrackingRefBased/>
  <w15:docId w15:val="{93932145-A583-42CD-BBF3-3D1471553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BE5"/>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70B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70B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0B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B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B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B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B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B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B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B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70B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B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B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B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B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B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B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BE5"/>
    <w:rPr>
      <w:rFonts w:eastAsiaTheme="majorEastAsia" w:cstheme="majorBidi"/>
      <w:color w:val="272727" w:themeColor="text1" w:themeTint="D8"/>
    </w:rPr>
  </w:style>
  <w:style w:type="paragraph" w:styleId="Title">
    <w:name w:val="Title"/>
    <w:basedOn w:val="Normal"/>
    <w:next w:val="Normal"/>
    <w:link w:val="TitleChar"/>
    <w:uiPriority w:val="10"/>
    <w:qFormat/>
    <w:rsid w:val="00770B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B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B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B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BE5"/>
    <w:pPr>
      <w:spacing w:before="160"/>
      <w:jc w:val="center"/>
    </w:pPr>
    <w:rPr>
      <w:i/>
      <w:iCs/>
      <w:color w:val="404040" w:themeColor="text1" w:themeTint="BF"/>
    </w:rPr>
  </w:style>
  <w:style w:type="character" w:customStyle="1" w:styleId="QuoteChar">
    <w:name w:val="Quote Char"/>
    <w:basedOn w:val="DefaultParagraphFont"/>
    <w:link w:val="Quote"/>
    <w:uiPriority w:val="29"/>
    <w:rsid w:val="00770BE5"/>
    <w:rPr>
      <w:i/>
      <w:iCs/>
      <w:color w:val="404040" w:themeColor="text1" w:themeTint="BF"/>
    </w:rPr>
  </w:style>
  <w:style w:type="paragraph" w:styleId="ListParagraph">
    <w:name w:val="List Paragraph"/>
    <w:basedOn w:val="Normal"/>
    <w:uiPriority w:val="34"/>
    <w:qFormat/>
    <w:rsid w:val="00770BE5"/>
    <w:pPr>
      <w:ind w:left="720"/>
      <w:contextualSpacing/>
    </w:pPr>
  </w:style>
  <w:style w:type="character" w:styleId="IntenseEmphasis">
    <w:name w:val="Intense Emphasis"/>
    <w:basedOn w:val="DefaultParagraphFont"/>
    <w:uiPriority w:val="21"/>
    <w:qFormat/>
    <w:rsid w:val="00770BE5"/>
    <w:rPr>
      <w:i/>
      <w:iCs/>
      <w:color w:val="0F4761" w:themeColor="accent1" w:themeShade="BF"/>
    </w:rPr>
  </w:style>
  <w:style w:type="paragraph" w:styleId="IntenseQuote">
    <w:name w:val="Intense Quote"/>
    <w:basedOn w:val="Normal"/>
    <w:next w:val="Normal"/>
    <w:link w:val="IntenseQuoteChar"/>
    <w:uiPriority w:val="30"/>
    <w:qFormat/>
    <w:rsid w:val="00770B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BE5"/>
    <w:rPr>
      <w:i/>
      <w:iCs/>
      <w:color w:val="0F4761" w:themeColor="accent1" w:themeShade="BF"/>
    </w:rPr>
  </w:style>
  <w:style w:type="character" w:styleId="IntenseReference">
    <w:name w:val="Intense Reference"/>
    <w:basedOn w:val="DefaultParagraphFont"/>
    <w:uiPriority w:val="32"/>
    <w:qFormat/>
    <w:rsid w:val="00770BE5"/>
    <w:rPr>
      <w:b/>
      <w:bCs/>
      <w:smallCaps/>
      <w:color w:val="0F4761" w:themeColor="accent1" w:themeShade="BF"/>
      <w:spacing w:val="5"/>
    </w:rPr>
  </w:style>
  <w:style w:type="character" w:styleId="CommentReference">
    <w:name w:val="annotation reference"/>
    <w:basedOn w:val="DefaultParagraphFont"/>
    <w:uiPriority w:val="99"/>
    <w:semiHidden/>
    <w:unhideWhenUsed/>
    <w:rsid w:val="00770BE5"/>
    <w:rPr>
      <w:sz w:val="16"/>
      <w:szCs w:val="16"/>
    </w:rPr>
  </w:style>
  <w:style w:type="paragraph" w:styleId="CommentText">
    <w:name w:val="annotation text"/>
    <w:basedOn w:val="Normal"/>
    <w:link w:val="CommentTextChar"/>
    <w:uiPriority w:val="99"/>
    <w:unhideWhenUsed/>
    <w:rsid w:val="00770BE5"/>
    <w:pPr>
      <w:spacing w:line="240" w:lineRule="auto"/>
    </w:pPr>
    <w:rPr>
      <w:sz w:val="20"/>
      <w:szCs w:val="20"/>
    </w:rPr>
  </w:style>
  <w:style w:type="character" w:customStyle="1" w:styleId="CommentTextChar">
    <w:name w:val="Comment Text Char"/>
    <w:basedOn w:val="DefaultParagraphFont"/>
    <w:link w:val="CommentText"/>
    <w:uiPriority w:val="99"/>
    <w:rsid w:val="00770BE5"/>
    <w:rPr>
      <w:rFonts w:eastAsiaTheme="minorEastAsia"/>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770BE5"/>
    <w:rPr>
      <w:b/>
      <w:bCs/>
    </w:rPr>
  </w:style>
  <w:style w:type="character" w:customStyle="1" w:styleId="CommentSubjectChar">
    <w:name w:val="Comment Subject Char"/>
    <w:basedOn w:val="CommentTextChar"/>
    <w:link w:val="CommentSubject"/>
    <w:uiPriority w:val="99"/>
    <w:semiHidden/>
    <w:rsid w:val="00770BE5"/>
    <w:rPr>
      <w:rFonts w:eastAsiaTheme="minorEastAsia"/>
      <w:b/>
      <w:bCs/>
      <w:kern w:val="0"/>
      <w:sz w:val="20"/>
      <w:szCs w:val="20"/>
      <w:lang w:val="en-US"/>
      <w14:ligatures w14:val="none"/>
    </w:rPr>
  </w:style>
  <w:style w:type="paragraph" w:styleId="Revision">
    <w:name w:val="Revision"/>
    <w:hidden/>
    <w:uiPriority w:val="99"/>
    <w:semiHidden/>
    <w:rsid w:val="00A40EF6"/>
    <w:pPr>
      <w:spacing w:after="0" w:line="240" w:lineRule="auto"/>
    </w:pPr>
    <w:rPr>
      <w:rFonts w:eastAsiaTheme="minorEastAsia"/>
      <w:kern w:val="0"/>
      <w:sz w:val="22"/>
      <w:szCs w:val="22"/>
      <w14:ligatures w14:val="none"/>
    </w:rPr>
  </w:style>
  <w:style w:type="character" w:styleId="Hyperlink">
    <w:name w:val="Hyperlink"/>
    <w:basedOn w:val="DefaultParagraphFont"/>
    <w:uiPriority w:val="99"/>
    <w:unhideWhenUsed/>
    <w:rsid w:val="00A84210"/>
    <w:rPr>
      <w:color w:val="467886" w:themeColor="hyperlink"/>
      <w:u w:val="single"/>
    </w:rPr>
  </w:style>
  <w:style w:type="character" w:styleId="UnresolvedMention">
    <w:name w:val="Unresolved Mention"/>
    <w:basedOn w:val="DefaultParagraphFont"/>
    <w:uiPriority w:val="99"/>
    <w:semiHidden/>
    <w:unhideWhenUsed/>
    <w:rsid w:val="00A84210"/>
    <w:rPr>
      <w:color w:val="605E5C"/>
      <w:shd w:val="clear" w:color="auto" w:fill="E1DFDD"/>
    </w:rPr>
  </w:style>
  <w:style w:type="character" w:styleId="FollowedHyperlink">
    <w:name w:val="FollowedHyperlink"/>
    <w:basedOn w:val="DefaultParagraphFont"/>
    <w:uiPriority w:val="99"/>
    <w:semiHidden/>
    <w:unhideWhenUsed/>
    <w:rsid w:val="00A84210"/>
    <w:rPr>
      <w:color w:val="96607D" w:themeColor="followedHyperlink"/>
      <w:u w:val="single"/>
    </w:rPr>
  </w:style>
  <w:style w:type="paragraph" w:styleId="FootnoteText">
    <w:name w:val="footnote text"/>
    <w:basedOn w:val="Normal"/>
    <w:link w:val="FootnoteTextChar"/>
    <w:uiPriority w:val="99"/>
    <w:semiHidden/>
    <w:unhideWhenUsed/>
    <w:rsid w:val="00CE0C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0CFF"/>
    <w:rPr>
      <w:rFonts w:eastAsiaTheme="minorEastAsia"/>
      <w:kern w:val="0"/>
      <w:sz w:val="20"/>
      <w:szCs w:val="20"/>
      <w14:ligatures w14:val="none"/>
    </w:rPr>
  </w:style>
  <w:style w:type="character" w:styleId="FootnoteReference">
    <w:name w:val="footnote reference"/>
    <w:basedOn w:val="DefaultParagraphFont"/>
    <w:uiPriority w:val="99"/>
    <w:semiHidden/>
    <w:unhideWhenUsed/>
    <w:rsid w:val="00CE0CFF"/>
    <w:rPr>
      <w:vertAlign w:val="superscript"/>
    </w:rPr>
  </w:style>
  <w:style w:type="paragraph" w:styleId="Header">
    <w:name w:val="header"/>
    <w:basedOn w:val="Normal"/>
    <w:link w:val="HeaderChar"/>
    <w:uiPriority w:val="99"/>
    <w:unhideWhenUsed/>
    <w:rsid w:val="001779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7966"/>
    <w:rPr>
      <w:rFonts w:eastAsiaTheme="minorEastAsia"/>
      <w:kern w:val="0"/>
      <w:sz w:val="22"/>
      <w:szCs w:val="22"/>
      <w14:ligatures w14:val="none"/>
    </w:rPr>
  </w:style>
  <w:style w:type="paragraph" w:styleId="Footer">
    <w:name w:val="footer"/>
    <w:basedOn w:val="Normal"/>
    <w:link w:val="FooterChar"/>
    <w:uiPriority w:val="99"/>
    <w:unhideWhenUsed/>
    <w:rsid w:val="001779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7966"/>
    <w:rPr>
      <w:rFonts w:eastAsiaTheme="minorEastAsia"/>
      <w:kern w:val="0"/>
      <w:sz w:val="22"/>
      <w:szCs w:val="22"/>
      <w14:ligatures w14:val="none"/>
    </w:rPr>
  </w:style>
  <w:style w:type="table" w:styleId="TableGrid">
    <w:name w:val="Table Grid"/>
    <w:basedOn w:val="TableNormal"/>
    <w:uiPriority w:val="59"/>
    <w:rsid w:val="00F152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95892">
      <w:bodyDiv w:val="1"/>
      <w:marLeft w:val="0"/>
      <w:marRight w:val="0"/>
      <w:marTop w:val="0"/>
      <w:marBottom w:val="0"/>
      <w:divBdr>
        <w:top w:val="none" w:sz="0" w:space="0" w:color="auto"/>
        <w:left w:val="none" w:sz="0" w:space="0" w:color="auto"/>
        <w:bottom w:val="none" w:sz="0" w:space="0" w:color="auto"/>
        <w:right w:val="none" w:sz="0" w:space="0" w:color="auto"/>
      </w:divBdr>
    </w:div>
    <w:div w:id="111369278">
      <w:bodyDiv w:val="1"/>
      <w:marLeft w:val="0"/>
      <w:marRight w:val="0"/>
      <w:marTop w:val="0"/>
      <w:marBottom w:val="0"/>
      <w:divBdr>
        <w:top w:val="none" w:sz="0" w:space="0" w:color="auto"/>
        <w:left w:val="none" w:sz="0" w:space="0" w:color="auto"/>
        <w:bottom w:val="none" w:sz="0" w:space="0" w:color="auto"/>
        <w:right w:val="none" w:sz="0" w:space="0" w:color="auto"/>
      </w:divBdr>
    </w:div>
    <w:div w:id="141387619">
      <w:bodyDiv w:val="1"/>
      <w:marLeft w:val="0"/>
      <w:marRight w:val="0"/>
      <w:marTop w:val="0"/>
      <w:marBottom w:val="0"/>
      <w:divBdr>
        <w:top w:val="none" w:sz="0" w:space="0" w:color="auto"/>
        <w:left w:val="none" w:sz="0" w:space="0" w:color="auto"/>
        <w:bottom w:val="none" w:sz="0" w:space="0" w:color="auto"/>
        <w:right w:val="none" w:sz="0" w:space="0" w:color="auto"/>
      </w:divBdr>
    </w:div>
    <w:div w:id="199054733">
      <w:bodyDiv w:val="1"/>
      <w:marLeft w:val="0"/>
      <w:marRight w:val="0"/>
      <w:marTop w:val="0"/>
      <w:marBottom w:val="0"/>
      <w:divBdr>
        <w:top w:val="none" w:sz="0" w:space="0" w:color="auto"/>
        <w:left w:val="none" w:sz="0" w:space="0" w:color="auto"/>
        <w:bottom w:val="none" w:sz="0" w:space="0" w:color="auto"/>
        <w:right w:val="none" w:sz="0" w:space="0" w:color="auto"/>
      </w:divBdr>
    </w:div>
    <w:div w:id="238289990">
      <w:bodyDiv w:val="1"/>
      <w:marLeft w:val="0"/>
      <w:marRight w:val="0"/>
      <w:marTop w:val="0"/>
      <w:marBottom w:val="0"/>
      <w:divBdr>
        <w:top w:val="none" w:sz="0" w:space="0" w:color="auto"/>
        <w:left w:val="none" w:sz="0" w:space="0" w:color="auto"/>
        <w:bottom w:val="none" w:sz="0" w:space="0" w:color="auto"/>
        <w:right w:val="none" w:sz="0" w:space="0" w:color="auto"/>
      </w:divBdr>
    </w:div>
    <w:div w:id="268514169">
      <w:bodyDiv w:val="1"/>
      <w:marLeft w:val="0"/>
      <w:marRight w:val="0"/>
      <w:marTop w:val="0"/>
      <w:marBottom w:val="0"/>
      <w:divBdr>
        <w:top w:val="none" w:sz="0" w:space="0" w:color="auto"/>
        <w:left w:val="none" w:sz="0" w:space="0" w:color="auto"/>
        <w:bottom w:val="none" w:sz="0" w:space="0" w:color="auto"/>
        <w:right w:val="none" w:sz="0" w:space="0" w:color="auto"/>
      </w:divBdr>
    </w:div>
    <w:div w:id="359551996">
      <w:bodyDiv w:val="1"/>
      <w:marLeft w:val="0"/>
      <w:marRight w:val="0"/>
      <w:marTop w:val="0"/>
      <w:marBottom w:val="0"/>
      <w:divBdr>
        <w:top w:val="none" w:sz="0" w:space="0" w:color="auto"/>
        <w:left w:val="none" w:sz="0" w:space="0" w:color="auto"/>
        <w:bottom w:val="none" w:sz="0" w:space="0" w:color="auto"/>
        <w:right w:val="none" w:sz="0" w:space="0" w:color="auto"/>
      </w:divBdr>
    </w:div>
    <w:div w:id="400063546">
      <w:bodyDiv w:val="1"/>
      <w:marLeft w:val="0"/>
      <w:marRight w:val="0"/>
      <w:marTop w:val="0"/>
      <w:marBottom w:val="0"/>
      <w:divBdr>
        <w:top w:val="none" w:sz="0" w:space="0" w:color="auto"/>
        <w:left w:val="none" w:sz="0" w:space="0" w:color="auto"/>
        <w:bottom w:val="none" w:sz="0" w:space="0" w:color="auto"/>
        <w:right w:val="none" w:sz="0" w:space="0" w:color="auto"/>
      </w:divBdr>
      <w:divsChild>
        <w:div w:id="764231268">
          <w:marLeft w:val="0"/>
          <w:marRight w:val="0"/>
          <w:marTop w:val="0"/>
          <w:marBottom w:val="0"/>
          <w:divBdr>
            <w:top w:val="none" w:sz="0" w:space="0" w:color="auto"/>
            <w:left w:val="none" w:sz="0" w:space="0" w:color="auto"/>
            <w:bottom w:val="none" w:sz="0" w:space="0" w:color="auto"/>
            <w:right w:val="none" w:sz="0" w:space="0" w:color="auto"/>
          </w:divBdr>
          <w:divsChild>
            <w:div w:id="168259066">
              <w:marLeft w:val="0"/>
              <w:marRight w:val="0"/>
              <w:marTop w:val="0"/>
              <w:marBottom w:val="0"/>
              <w:divBdr>
                <w:top w:val="none" w:sz="0" w:space="0" w:color="auto"/>
                <w:left w:val="none" w:sz="0" w:space="0" w:color="auto"/>
                <w:bottom w:val="none" w:sz="0" w:space="0" w:color="auto"/>
                <w:right w:val="none" w:sz="0" w:space="0" w:color="auto"/>
              </w:divBdr>
              <w:divsChild>
                <w:div w:id="526719305">
                  <w:marLeft w:val="0"/>
                  <w:marRight w:val="0"/>
                  <w:marTop w:val="0"/>
                  <w:marBottom w:val="0"/>
                  <w:divBdr>
                    <w:top w:val="none" w:sz="0" w:space="0" w:color="auto"/>
                    <w:left w:val="none" w:sz="0" w:space="0" w:color="auto"/>
                    <w:bottom w:val="none" w:sz="0" w:space="0" w:color="auto"/>
                    <w:right w:val="none" w:sz="0" w:space="0" w:color="auto"/>
                  </w:divBdr>
                  <w:divsChild>
                    <w:div w:id="68224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322219">
      <w:bodyDiv w:val="1"/>
      <w:marLeft w:val="0"/>
      <w:marRight w:val="0"/>
      <w:marTop w:val="0"/>
      <w:marBottom w:val="0"/>
      <w:divBdr>
        <w:top w:val="none" w:sz="0" w:space="0" w:color="auto"/>
        <w:left w:val="none" w:sz="0" w:space="0" w:color="auto"/>
        <w:bottom w:val="none" w:sz="0" w:space="0" w:color="auto"/>
        <w:right w:val="none" w:sz="0" w:space="0" w:color="auto"/>
      </w:divBdr>
    </w:div>
    <w:div w:id="625619896">
      <w:bodyDiv w:val="1"/>
      <w:marLeft w:val="0"/>
      <w:marRight w:val="0"/>
      <w:marTop w:val="0"/>
      <w:marBottom w:val="0"/>
      <w:divBdr>
        <w:top w:val="none" w:sz="0" w:space="0" w:color="auto"/>
        <w:left w:val="none" w:sz="0" w:space="0" w:color="auto"/>
        <w:bottom w:val="none" w:sz="0" w:space="0" w:color="auto"/>
        <w:right w:val="none" w:sz="0" w:space="0" w:color="auto"/>
      </w:divBdr>
    </w:div>
    <w:div w:id="675378934">
      <w:bodyDiv w:val="1"/>
      <w:marLeft w:val="0"/>
      <w:marRight w:val="0"/>
      <w:marTop w:val="0"/>
      <w:marBottom w:val="0"/>
      <w:divBdr>
        <w:top w:val="none" w:sz="0" w:space="0" w:color="auto"/>
        <w:left w:val="none" w:sz="0" w:space="0" w:color="auto"/>
        <w:bottom w:val="none" w:sz="0" w:space="0" w:color="auto"/>
        <w:right w:val="none" w:sz="0" w:space="0" w:color="auto"/>
      </w:divBdr>
    </w:div>
    <w:div w:id="710955637">
      <w:bodyDiv w:val="1"/>
      <w:marLeft w:val="0"/>
      <w:marRight w:val="0"/>
      <w:marTop w:val="0"/>
      <w:marBottom w:val="0"/>
      <w:divBdr>
        <w:top w:val="none" w:sz="0" w:space="0" w:color="auto"/>
        <w:left w:val="none" w:sz="0" w:space="0" w:color="auto"/>
        <w:bottom w:val="none" w:sz="0" w:space="0" w:color="auto"/>
        <w:right w:val="none" w:sz="0" w:space="0" w:color="auto"/>
      </w:divBdr>
    </w:div>
    <w:div w:id="747849682">
      <w:bodyDiv w:val="1"/>
      <w:marLeft w:val="0"/>
      <w:marRight w:val="0"/>
      <w:marTop w:val="0"/>
      <w:marBottom w:val="0"/>
      <w:divBdr>
        <w:top w:val="none" w:sz="0" w:space="0" w:color="auto"/>
        <w:left w:val="none" w:sz="0" w:space="0" w:color="auto"/>
        <w:bottom w:val="none" w:sz="0" w:space="0" w:color="auto"/>
        <w:right w:val="none" w:sz="0" w:space="0" w:color="auto"/>
      </w:divBdr>
    </w:div>
    <w:div w:id="774518417">
      <w:bodyDiv w:val="1"/>
      <w:marLeft w:val="0"/>
      <w:marRight w:val="0"/>
      <w:marTop w:val="0"/>
      <w:marBottom w:val="0"/>
      <w:divBdr>
        <w:top w:val="none" w:sz="0" w:space="0" w:color="auto"/>
        <w:left w:val="none" w:sz="0" w:space="0" w:color="auto"/>
        <w:bottom w:val="none" w:sz="0" w:space="0" w:color="auto"/>
        <w:right w:val="none" w:sz="0" w:space="0" w:color="auto"/>
      </w:divBdr>
    </w:div>
    <w:div w:id="887494340">
      <w:bodyDiv w:val="1"/>
      <w:marLeft w:val="0"/>
      <w:marRight w:val="0"/>
      <w:marTop w:val="0"/>
      <w:marBottom w:val="0"/>
      <w:divBdr>
        <w:top w:val="none" w:sz="0" w:space="0" w:color="auto"/>
        <w:left w:val="none" w:sz="0" w:space="0" w:color="auto"/>
        <w:bottom w:val="none" w:sz="0" w:space="0" w:color="auto"/>
        <w:right w:val="none" w:sz="0" w:space="0" w:color="auto"/>
      </w:divBdr>
    </w:div>
    <w:div w:id="1024358962">
      <w:bodyDiv w:val="1"/>
      <w:marLeft w:val="0"/>
      <w:marRight w:val="0"/>
      <w:marTop w:val="0"/>
      <w:marBottom w:val="0"/>
      <w:divBdr>
        <w:top w:val="none" w:sz="0" w:space="0" w:color="auto"/>
        <w:left w:val="none" w:sz="0" w:space="0" w:color="auto"/>
        <w:bottom w:val="none" w:sz="0" w:space="0" w:color="auto"/>
        <w:right w:val="none" w:sz="0" w:space="0" w:color="auto"/>
      </w:divBdr>
    </w:div>
    <w:div w:id="1062364254">
      <w:bodyDiv w:val="1"/>
      <w:marLeft w:val="0"/>
      <w:marRight w:val="0"/>
      <w:marTop w:val="0"/>
      <w:marBottom w:val="0"/>
      <w:divBdr>
        <w:top w:val="none" w:sz="0" w:space="0" w:color="auto"/>
        <w:left w:val="none" w:sz="0" w:space="0" w:color="auto"/>
        <w:bottom w:val="none" w:sz="0" w:space="0" w:color="auto"/>
        <w:right w:val="none" w:sz="0" w:space="0" w:color="auto"/>
      </w:divBdr>
    </w:div>
    <w:div w:id="1084574105">
      <w:bodyDiv w:val="1"/>
      <w:marLeft w:val="0"/>
      <w:marRight w:val="0"/>
      <w:marTop w:val="0"/>
      <w:marBottom w:val="0"/>
      <w:divBdr>
        <w:top w:val="none" w:sz="0" w:space="0" w:color="auto"/>
        <w:left w:val="none" w:sz="0" w:space="0" w:color="auto"/>
        <w:bottom w:val="none" w:sz="0" w:space="0" w:color="auto"/>
        <w:right w:val="none" w:sz="0" w:space="0" w:color="auto"/>
      </w:divBdr>
    </w:div>
    <w:div w:id="1108308711">
      <w:bodyDiv w:val="1"/>
      <w:marLeft w:val="0"/>
      <w:marRight w:val="0"/>
      <w:marTop w:val="0"/>
      <w:marBottom w:val="0"/>
      <w:divBdr>
        <w:top w:val="none" w:sz="0" w:space="0" w:color="auto"/>
        <w:left w:val="none" w:sz="0" w:space="0" w:color="auto"/>
        <w:bottom w:val="none" w:sz="0" w:space="0" w:color="auto"/>
        <w:right w:val="none" w:sz="0" w:space="0" w:color="auto"/>
      </w:divBdr>
    </w:div>
    <w:div w:id="1304193387">
      <w:bodyDiv w:val="1"/>
      <w:marLeft w:val="0"/>
      <w:marRight w:val="0"/>
      <w:marTop w:val="0"/>
      <w:marBottom w:val="0"/>
      <w:divBdr>
        <w:top w:val="none" w:sz="0" w:space="0" w:color="auto"/>
        <w:left w:val="none" w:sz="0" w:space="0" w:color="auto"/>
        <w:bottom w:val="none" w:sz="0" w:space="0" w:color="auto"/>
        <w:right w:val="none" w:sz="0" w:space="0" w:color="auto"/>
      </w:divBdr>
    </w:div>
    <w:div w:id="1344475409">
      <w:bodyDiv w:val="1"/>
      <w:marLeft w:val="0"/>
      <w:marRight w:val="0"/>
      <w:marTop w:val="0"/>
      <w:marBottom w:val="0"/>
      <w:divBdr>
        <w:top w:val="none" w:sz="0" w:space="0" w:color="auto"/>
        <w:left w:val="none" w:sz="0" w:space="0" w:color="auto"/>
        <w:bottom w:val="none" w:sz="0" w:space="0" w:color="auto"/>
        <w:right w:val="none" w:sz="0" w:space="0" w:color="auto"/>
      </w:divBdr>
    </w:div>
    <w:div w:id="1416514471">
      <w:bodyDiv w:val="1"/>
      <w:marLeft w:val="0"/>
      <w:marRight w:val="0"/>
      <w:marTop w:val="0"/>
      <w:marBottom w:val="0"/>
      <w:divBdr>
        <w:top w:val="none" w:sz="0" w:space="0" w:color="auto"/>
        <w:left w:val="none" w:sz="0" w:space="0" w:color="auto"/>
        <w:bottom w:val="none" w:sz="0" w:space="0" w:color="auto"/>
        <w:right w:val="none" w:sz="0" w:space="0" w:color="auto"/>
      </w:divBdr>
    </w:div>
    <w:div w:id="1484545848">
      <w:bodyDiv w:val="1"/>
      <w:marLeft w:val="0"/>
      <w:marRight w:val="0"/>
      <w:marTop w:val="0"/>
      <w:marBottom w:val="0"/>
      <w:divBdr>
        <w:top w:val="none" w:sz="0" w:space="0" w:color="auto"/>
        <w:left w:val="none" w:sz="0" w:space="0" w:color="auto"/>
        <w:bottom w:val="none" w:sz="0" w:space="0" w:color="auto"/>
        <w:right w:val="none" w:sz="0" w:space="0" w:color="auto"/>
      </w:divBdr>
      <w:divsChild>
        <w:div w:id="1672633856">
          <w:marLeft w:val="0"/>
          <w:marRight w:val="0"/>
          <w:marTop w:val="0"/>
          <w:marBottom w:val="0"/>
          <w:divBdr>
            <w:top w:val="none" w:sz="0" w:space="0" w:color="auto"/>
            <w:left w:val="none" w:sz="0" w:space="0" w:color="auto"/>
            <w:bottom w:val="none" w:sz="0" w:space="0" w:color="auto"/>
            <w:right w:val="none" w:sz="0" w:space="0" w:color="auto"/>
          </w:divBdr>
          <w:divsChild>
            <w:div w:id="454565973">
              <w:marLeft w:val="0"/>
              <w:marRight w:val="0"/>
              <w:marTop w:val="0"/>
              <w:marBottom w:val="0"/>
              <w:divBdr>
                <w:top w:val="none" w:sz="0" w:space="0" w:color="auto"/>
                <w:left w:val="none" w:sz="0" w:space="0" w:color="auto"/>
                <w:bottom w:val="none" w:sz="0" w:space="0" w:color="auto"/>
                <w:right w:val="none" w:sz="0" w:space="0" w:color="auto"/>
              </w:divBdr>
              <w:divsChild>
                <w:div w:id="1885486535">
                  <w:marLeft w:val="0"/>
                  <w:marRight w:val="0"/>
                  <w:marTop w:val="0"/>
                  <w:marBottom w:val="0"/>
                  <w:divBdr>
                    <w:top w:val="none" w:sz="0" w:space="0" w:color="auto"/>
                    <w:left w:val="none" w:sz="0" w:space="0" w:color="auto"/>
                    <w:bottom w:val="none" w:sz="0" w:space="0" w:color="auto"/>
                    <w:right w:val="none" w:sz="0" w:space="0" w:color="auto"/>
                  </w:divBdr>
                  <w:divsChild>
                    <w:div w:id="59174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664709">
      <w:bodyDiv w:val="1"/>
      <w:marLeft w:val="0"/>
      <w:marRight w:val="0"/>
      <w:marTop w:val="0"/>
      <w:marBottom w:val="0"/>
      <w:divBdr>
        <w:top w:val="none" w:sz="0" w:space="0" w:color="auto"/>
        <w:left w:val="none" w:sz="0" w:space="0" w:color="auto"/>
        <w:bottom w:val="none" w:sz="0" w:space="0" w:color="auto"/>
        <w:right w:val="none" w:sz="0" w:space="0" w:color="auto"/>
      </w:divBdr>
    </w:div>
    <w:div w:id="1542132675">
      <w:bodyDiv w:val="1"/>
      <w:marLeft w:val="0"/>
      <w:marRight w:val="0"/>
      <w:marTop w:val="0"/>
      <w:marBottom w:val="0"/>
      <w:divBdr>
        <w:top w:val="none" w:sz="0" w:space="0" w:color="auto"/>
        <w:left w:val="none" w:sz="0" w:space="0" w:color="auto"/>
        <w:bottom w:val="none" w:sz="0" w:space="0" w:color="auto"/>
        <w:right w:val="none" w:sz="0" w:space="0" w:color="auto"/>
      </w:divBdr>
    </w:div>
    <w:div w:id="1547721306">
      <w:bodyDiv w:val="1"/>
      <w:marLeft w:val="0"/>
      <w:marRight w:val="0"/>
      <w:marTop w:val="0"/>
      <w:marBottom w:val="0"/>
      <w:divBdr>
        <w:top w:val="none" w:sz="0" w:space="0" w:color="auto"/>
        <w:left w:val="none" w:sz="0" w:space="0" w:color="auto"/>
        <w:bottom w:val="none" w:sz="0" w:space="0" w:color="auto"/>
        <w:right w:val="none" w:sz="0" w:space="0" w:color="auto"/>
      </w:divBdr>
    </w:div>
    <w:div w:id="1649626059">
      <w:bodyDiv w:val="1"/>
      <w:marLeft w:val="0"/>
      <w:marRight w:val="0"/>
      <w:marTop w:val="0"/>
      <w:marBottom w:val="0"/>
      <w:divBdr>
        <w:top w:val="none" w:sz="0" w:space="0" w:color="auto"/>
        <w:left w:val="none" w:sz="0" w:space="0" w:color="auto"/>
        <w:bottom w:val="none" w:sz="0" w:space="0" w:color="auto"/>
        <w:right w:val="none" w:sz="0" w:space="0" w:color="auto"/>
      </w:divBdr>
    </w:div>
    <w:div w:id="1721125981">
      <w:bodyDiv w:val="1"/>
      <w:marLeft w:val="0"/>
      <w:marRight w:val="0"/>
      <w:marTop w:val="0"/>
      <w:marBottom w:val="0"/>
      <w:divBdr>
        <w:top w:val="none" w:sz="0" w:space="0" w:color="auto"/>
        <w:left w:val="none" w:sz="0" w:space="0" w:color="auto"/>
        <w:bottom w:val="none" w:sz="0" w:space="0" w:color="auto"/>
        <w:right w:val="none" w:sz="0" w:space="0" w:color="auto"/>
      </w:divBdr>
    </w:div>
    <w:div w:id="1756047891">
      <w:bodyDiv w:val="1"/>
      <w:marLeft w:val="0"/>
      <w:marRight w:val="0"/>
      <w:marTop w:val="0"/>
      <w:marBottom w:val="0"/>
      <w:divBdr>
        <w:top w:val="none" w:sz="0" w:space="0" w:color="auto"/>
        <w:left w:val="none" w:sz="0" w:space="0" w:color="auto"/>
        <w:bottom w:val="none" w:sz="0" w:space="0" w:color="auto"/>
        <w:right w:val="none" w:sz="0" w:space="0" w:color="auto"/>
      </w:divBdr>
    </w:div>
    <w:div w:id="1765420924">
      <w:bodyDiv w:val="1"/>
      <w:marLeft w:val="0"/>
      <w:marRight w:val="0"/>
      <w:marTop w:val="0"/>
      <w:marBottom w:val="0"/>
      <w:divBdr>
        <w:top w:val="none" w:sz="0" w:space="0" w:color="auto"/>
        <w:left w:val="none" w:sz="0" w:space="0" w:color="auto"/>
        <w:bottom w:val="none" w:sz="0" w:space="0" w:color="auto"/>
        <w:right w:val="none" w:sz="0" w:space="0" w:color="auto"/>
      </w:divBdr>
    </w:div>
    <w:div w:id="1826969289">
      <w:bodyDiv w:val="1"/>
      <w:marLeft w:val="0"/>
      <w:marRight w:val="0"/>
      <w:marTop w:val="0"/>
      <w:marBottom w:val="0"/>
      <w:divBdr>
        <w:top w:val="none" w:sz="0" w:space="0" w:color="auto"/>
        <w:left w:val="none" w:sz="0" w:space="0" w:color="auto"/>
        <w:bottom w:val="none" w:sz="0" w:space="0" w:color="auto"/>
        <w:right w:val="none" w:sz="0" w:space="0" w:color="auto"/>
      </w:divBdr>
    </w:div>
    <w:div w:id="1857226419">
      <w:bodyDiv w:val="1"/>
      <w:marLeft w:val="0"/>
      <w:marRight w:val="0"/>
      <w:marTop w:val="0"/>
      <w:marBottom w:val="0"/>
      <w:divBdr>
        <w:top w:val="none" w:sz="0" w:space="0" w:color="auto"/>
        <w:left w:val="none" w:sz="0" w:space="0" w:color="auto"/>
        <w:bottom w:val="none" w:sz="0" w:space="0" w:color="auto"/>
        <w:right w:val="none" w:sz="0" w:space="0" w:color="auto"/>
      </w:divBdr>
    </w:div>
    <w:div w:id="1928148026">
      <w:bodyDiv w:val="1"/>
      <w:marLeft w:val="0"/>
      <w:marRight w:val="0"/>
      <w:marTop w:val="0"/>
      <w:marBottom w:val="0"/>
      <w:divBdr>
        <w:top w:val="none" w:sz="0" w:space="0" w:color="auto"/>
        <w:left w:val="none" w:sz="0" w:space="0" w:color="auto"/>
        <w:bottom w:val="none" w:sz="0" w:space="0" w:color="auto"/>
        <w:right w:val="none" w:sz="0" w:space="0" w:color="auto"/>
      </w:divBdr>
    </w:div>
    <w:div w:id="1949046437">
      <w:bodyDiv w:val="1"/>
      <w:marLeft w:val="0"/>
      <w:marRight w:val="0"/>
      <w:marTop w:val="0"/>
      <w:marBottom w:val="0"/>
      <w:divBdr>
        <w:top w:val="none" w:sz="0" w:space="0" w:color="auto"/>
        <w:left w:val="none" w:sz="0" w:space="0" w:color="auto"/>
        <w:bottom w:val="none" w:sz="0" w:space="0" w:color="auto"/>
        <w:right w:val="none" w:sz="0" w:space="0" w:color="auto"/>
      </w:divBdr>
    </w:div>
    <w:div w:id="1997757704">
      <w:bodyDiv w:val="1"/>
      <w:marLeft w:val="0"/>
      <w:marRight w:val="0"/>
      <w:marTop w:val="0"/>
      <w:marBottom w:val="0"/>
      <w:divBdr>
        <w:top w:val="none" w:sz="0" w:space="0" w:color="auto"/>
        <w:left w:val="none" w:sz="0" w:space="0" w:color="auto"/>
        <w:bottom w:val="none" w:sz="0" w:space="0" w:color="auto"/>
        <w:right w:val="none" w:sz="0" w:space="0" w:color="auto"/>
      </w:divBdr>
    </w:div>
    <w:div w:id="2042169709">
      <w:bodyDiv w:val="1"/>
      <w:marLeft w:val="0"/>
      <w:marRight w:val="0"/>
      <w:marTop w:val="0"/>
      <w:marBottom w:val="0"/>
      <w:divBdr>
        <w:top w:val="none" w:sz="0" w:space="0" w:color="auto"/>
        <w:left w:val="none" w:sz="0" w:space="0" w:color="auto"/>
        <w:bottom w:val="none" w:sz="0" w:space="0" w:color="auto"/>
        <w:right w:val="none" w:sz="0" w:space="0" w:color="auto"/>
      </w:divBdr>
    </w:div>
    <w:div w:id="2045907487">
      <w:bodyDiv w:val="1"/>
      <w:marLeft w:val="0"/>
      <w:marRight w:val="0"/>
      <w:marTop w:val="0"/>
      <w:marBottom w:val="0"/>
      <w:divBdr>
        <w:top w:val="none" w:sz="0" w:space="0" w:color="auto"/>
        <w:left w:val="none" w:sz="0" w:space="0" w:color="auto"/>
        <w:bottom w:val="none" w:sz="0" w:space="0" w:color="auto"/>
        <w:right w:val="none" w:sz="0" w:space="0" w:color="auto"/>
      </w:divBdr>
    </w:div>
    <w:div w:id="206806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pers.ssrn.com/sol3/papers.cfm?abstract_id=343853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osco.org/library/pubdocs/pdf/IOSCOPD750.pdf" TargetMode="External"/><Relationship Id="rId17" Type="http://schemas.openxmlformats.org/officeDocument/2006/relationships/hyperlink" Target="https://publications.jrc.ec.europa.eu/repository/handle/JRC131932" TargetMode="External"/><Relationship Id="rId2" Type="http://schemas.openxmlformats.org/officeDocument/2006/relationships/customXml" Target="../customXml/item2.xml"/><Relationship Id="rId16" Type="http://schemas.openxmlformats.org/officeDocument/2006/relationships/hyperlink" Target="https://www.sciencedirect.com/topics/economics-econometrics-and-finance/environmental-social-and-corporate-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ecd.org/en/publications/behind-esg-ratings_3f055f0c-en.html" TargetMode="External"/><Relationship Id="rId5" Type="http://schemas.openxmlformats.org/officeDocument/2006/relationships/numbering" Target="numbering.xml"/><Relationship Id="rId15" Type="http://schemas.openxmlformats.org/officeDocument/2006/relationships/hyperlink" Target="https://corpgov.law.harvard.edu/2024/07/11/dissonance-in-climate-disclosure-the-sec-eu-california-and-issb-regime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ps.eu/ceps-publications/whose-corporate-governance-reimagining-accountability-moving-beyond-shareholder-prim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a59ca7-89fa-4710-b415-ed63a36ee263">
      <Terms xmlns="http://schemas.microsoft.com/office/infopath/2007/PartnerControls"/>
    </lcf76f155ced4ddcb4097134ff3c332f>
    <TaxCatchAll xmlns="d8025d26-06b8-4ee1-9000-0145e4f08090" xsi:nil="true"/>
    <CGTR xmlns="19a59ca7-89fa-4710-b415-ed63a36ee26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26E1A51FD603428775A100A847FFCF" ma:contentTypeVersion="17" ma:contentTypeDescription="Create a new document." ma:contentTypeScope="" ma:versionID="a4cb7e3ec0418f276a8475cad7bb01b2">
  <xsd:schema xmlns:xsd="http://www.w3.org/2001/XMLSchema" xmlns:xs="http://www.w3.org/2001/XMLSchema" xmlns:p="http://schemas.microsoft.com/office/2006/metadata/properties" xmlns:ns2="19a59ca7-89fa-4710-b415-ed63a36ee263" xmlns:ns3="d8025d26-06b8-4ee1-9000-0145e4f08090" targetNamespace="http://schemas.microsoft.com/office/2006/metadata/properties" ma:root="true" ma:fieldsID="6a1046e196a5068571f2cdc48b70e72e" ns2:_="" ns3:_="">
    <xsd:import namespace="19a59ca7-89fa-4710-b415-ed63a36ee263"/>
    <xsd:import namespace="d8025d26-06b8-4ee1-9000-0145e4f080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CGTR"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a59ca7-89fa-4710-b415-ed63a36ee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CGTR" ma:index="16" nillable="true" ma:displayName="CGTR" ma:format="Dropdown" ma:internalName="CGTR">
      <xsd:simpleType>
        <xsd:restriction base="dms:Text">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e3fbfa-8a9f-41a6-b5b3-48dcbc123684"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025d26-06b8-4ee1-9000-0145e4f0809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5958a3-86dd-4eef-9564-23e97ae37a6a}" ma:internalName="TaxCatchAll" ma:showField="CatchAllData" ma:web="d8025d26-06b8-4ee1-9000-0145e4f08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B4CE9D-102C-4F80-B755-A6EEF3860D62}">
  <ds:schemaRefs>
    <ds:schemaRef ds:uri="http://schemas.openxmlformats.org/officeDocument/2006/bibliography"/>
  </ds:schemaRefs>
</ds:datastoreItem>
</file>

<file path=customXml/itemProps2.xml><?xml version="1.0" encoding="utf-8"?>
<ds:datastoreItem xmlns:ds="http://schemas.openxmlformats.org/officeDocument/2006/customXml" ds:itemID="{2EF42F84-2D01-460A-BFB6-888173C5FE7A}">
  <ds:schemaRefs>
    <ds:schemaRef ds:uri="http://schemas.microsoft.com/sharepoint/v3/contenttype/forms"/>
  </ds:schemaRefs>
</ds:datastoreItem>
</file>

<file path=customXml/itemProps3.xml><?xml version="1.0" encoding="utf-8"?>
<ds:datastoreItem xmlns:ds="http://schemas.openxmlformats.org/officeDocument/2006/customXml" ds:itemID="{A37C971F-8599-4823-B17A-A2B7EC7E3C1E}">
  <ds:schemaRefs>
    <ds:schemaRef ds:uri="http://schemas.microsoft.com/office/2006/metadata/properties"/>
    <ds:schemaRef ds:uri="http://schemas.microsoft.com/office/infopath/2007/PartnerControls"/>
    <ds:schemaRef ds:uri="19a59ca7-89fa-4710-b415-ed63a36ee263"/>
    <ds:schemaRef ds:uri="d8025d26-06b8-4ee1-9000-0145e4f08090"/>
  </ds:schemaRefs>
</ds:datastoreItem>
</file>

<file path=customXml/itemProps4.xml><?xml version="1.0" encoding="utf-8"?>
<ds:datastoreItem xmlns:ds="http://schemas.openxmlformats.org/officeDocument/2006/customXml" ds:itemID="{823883F6-285F-4E2D-AF0D-70149DFE7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a59ca7-89fa-4710-b415-ed63a36ee263"/>
    <ds:schemaRef ds:uri="d8025d26-06b8-4ee1-9000-0145e4f08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9d477fb-bf2b-4c5b-b6c2-73f15f5c75cb}" enabled="0" method="" siteId="{59d477fb-bf2b-4c5b-b6c2-73f15f5c75cb}"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2137</Words>
  <Characters>12181</Characters>
  <Application>Microsoft Office Word</Application>
  <DocSecurity>0</DocSecurity>
  <Lines>101</Lines>
  <Paragraphs>28</Paragraphs>
  <ScaleCrop>false</ScaleCrop>
  <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van Melkebeke</dc:creator>
  <cp:keywords/>
  <dc:description/>
  <cp:lastModifiedBy>Gabrielle van Melkebeke</cp:lastModifiedBy>
  <cp:revision>2</cp:revision>
  <cp:lastPrinted>2025-06-12T16:45:00Z</cp:lastPrinted>
  <dcterms:created xsi:type="dcterms:W3CDTF">2025-06-18T12:46:00Z</dcterms:created>
  <dcterms:modified xsi:type="dcterms:W3CDTF">2025-06-18T12:46:00Z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0x010100B326E1A51FD603428775A100A847FFCF</vt:lpwstr>
  </property>
</Properties>
</file>