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7849C"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proofErr w:type="gramStart"/>
          <w:r w:rsidRPr="00B16706">
            <w:rPr>
              <w:rFonts w:asciiTheme="minorHAnsi" w:eastAsiaTheme="minorEastAsia" w:hAnsiTheme="minorHAnsi" w:cstheme="minorBidi"/>
              <w:sz w:val="18"/>
              <w:szCs w:val="16"/>
              <w:u w:val="dottedHeavy" w:color="BF8F00" w:themeColor="accent4" w:themeShade="BF"/>
              <w:lang w:eastAsia="en-US"/>
            </w:rPr>
            <w:t>in particular on</w:t>
          </w:r>
          <w:proofErr w:type="gramEnd"/>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respond to the question </w:t>
          </w:r>
          <w:proofErr w:type="gramStart"/>
          <w:r w:rsidRPr="00B16706">
            <w:rPr>
              <w:rFonts w:asciiTheme="minorHAnsi" w:eastAsiaTheme="minorEastAsia" w:hAnsiTheme="minorHAnsi" w:cstheme="minorBidi"/>
              <w:sz w:val="18"/>
              <w:szCs w:val="16"/>
              <w:lang w:eastAsia="en-US"/>
            </w:rPr>
            <w:t>stated;</w:t>
          </w:r>
          <w:proofErr w:type="gramEnd"/>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indicate the specific question to which the comment </w:t>
          </w:r>
          <w:proofErr w:type="gramStart"/>
          <w:r w:rsidRPr="00B16706">
            <w:rPr>
              <w:rFonts w:asciiTheme="minorHAnsi" w:eastAsiaTheme="minorEastAsia" w:hAnsiTheme="minorHAnsi" w:cstheme="minorBidi"/>
              <w:sz w:val="18"/>
              <w:szCs w:val="16"/>
              <w:lang w:eastAsia="en-US"/>
            </w:rPr>
            <w:t>relates;</w:t>
          </w:r>
          <w:proofErr w:type="gramEnd"/>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proofErr w:type="gramStart"/>
          <w:r w:rsidRPr="00B16706">
            <w:rPr>
              <w:rFonts w:asciiTheme="minorHAnsi" w:eastAsiaTheme="minorEastAsia" w:hAnsiTheme="minorHAnsi" w:cstheme="minorBidi"/>
              <w:sz w:val="18"/>
              <w:szCs w:val="16"/>
              <w:lang w:eastAsia="en-US"/>
            </w:rPr>
            <w:t>In order to</w:t>
          </w:r>
          <w:proofErr w:type="gramEnd"/>
          <w:r w:rsidRPr="00B16706">
            <w:rPr>
              <w:rFonts w:asciiTheme="minorHAnsi" w:eastAsiaTheme="minorEastAsia" w:hAnsiTheme="minorHAnsi" w:cstheme="minorBidi"/>
              <w:sz w:val="18"/>
              <w:szCs w:val="16"/>
              <w:lang w:eastAsia="en-US"/>
            </w:rPr>
            <w:t xml:space="preserve">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proofErr w:type="gramStart"/>
          <w:r w:rsidR="00A409C2" w:rsidRPr="00871163">
            <w:rPr>
              <w:rFonts w:eastAsiaTheme="minorEastAsia" w:cstheme="minorBidi"/>
              <w:sz w:val="18"/>
              <w:szCs w:val="16"/>
              <w:u w:val="single"/>
              <w:lang w:eastAsia="en-US"/>
            </w:rPr>
            <w:t>);</w:t>
          </w:r>
          <w:proofErr w:type="gramEnd"/>
        </w:p>
        <w:p w14:paraId="6692798E" w14:textId="1F3ED354"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 xml:space="preserve">_1&gt;. Your response to each question </w:t>
          </w:r>
          <w:proofErr w:type="gramStart"/>
          <w:r w:rsidRPr="00A409C2">
            <w:rPr>
              <w:rFonts w:eastAsiaTheme="minorEastAsia" w:cstheme="minorBidi"/>
              <w:sz w:val="18"/>
              <w:szCs w:val="16"/>
              <w:lang w:eastAsia="en-US"/>
            </w:rPr>
            <w:t>has to</w:t>
          </w:r>
          <w:proofErr w:type="gramEnd"/>
          <w:r w:rsidRPr="00A409C2">
            <w:rPr>
              <w:rFonts w:eastAsiaTheme="minorEastAsia" w:cstheme="minorBidi"/>
              <w:sz w:val="18"/>
              <w:szCs w:val="16"/>
              <w:lang w:eastAsia="en-US"/>
            </w:rPr>
            <w:t xml:space="preserve">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When you have drafted your response, name your response form according to the following convention: </w:t>
          </w:r>
          <w:proofErr w:type="spellStart"/>
          <w:r w:rsidRPr="00A409C2">
            <w:rPr>
              <w:rFonts w:eastAsiaTheme="minorEastAsia" w:cstheme="minorBidi"/>
              <w:sz w:val="18"/>
              <w:szCs w:val="16"/>
              <w:lang w:eastAsia="en-US"/>
            </w:rPr>
            <w:t>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w:t>
          </w:r>
          <w:proofErr w:type="spellEnd"/>
          <w:r w:rsidRPr="00A409C2">
            <w:rPr>
              <w:rFonts w:eastAsiaTheme="minorEastAsia" w:cstheme="minorBidi"/>
              <w:sz w:val="18"/>
              <w:szCs w:val="16"/>
              <w:lang w:eastAsia="en-US"/>
            </w:rPr>
            <w:t>.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w:t>
          </w:r>
          <w:proofErr w:type="gramStart"/>
          <w:r w:rsidRPr="00A409C2">
            <w:rPr>
              <w:rFonts w:eastAsiaTheme="minorEastAsia" w:cstheme="minorBidi"/>
              <w:sz w:val="18"/>
              <w:szCs w:val="16"/>
              <w:lang w:eastAsia="en-US"/>
            </w:rPr>
            <w:t>&gt;  Consultation</w:t>
          </w:r>
          <w:proofErr w:type="gramEnd"/>
          <w:r w:rsidRPr="00A409C2">
            <w:rPr>
              <w:rFonts w:eastAsiaTheme="minorEastAsia" w:cstheme="minorBidi"/>
              <w:sz w:val="18"/>
              <w:szCs w:val="16"/>
              <w:lang w:eastAsia="en-US"/>
            </w:rPr>
            <w:t xml:space="preserve">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lastRenderedPageBreak/>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1D3C00B" w14:textId="77777777" w:rsidR="00040D94" w:rsidRDefault="00C17150" w:rsidP="008279D3">
      <w:pPr>
        <w:pStyle w:val="Heading1"/>
        <w:numPr>
          <w:ilvl w:val="0"/>
          <w:numId w:val="0"/>
        </w:numPr>
        <w:spacing w:line="276" w:lineRule="auto"/>
        <w:rPr>
          <w:rFonts w:ascii="Arial" w:eastAsia="Times New Roman" w:hAnsi="Arial" w:cs="Arial"/>
          <w:b w:val="0"/>
          <w:sz w:val="18"/>
          <w:szCs w:val="18"/>
          <w:lang w:eastAsia="it-IT"/>
        </w:rPr>
      </w:pPr>
      <w:r w:rsidRPr="00C17150">
        <w:rPr>
          <w:rFonts w:ascii="Arial" w:eastAsia="Times New Roman" w:hAnsi="Arial" w:cs="Arial"/>
          <w:b w:val="0"/>
          <w:sz w:val="18"/>
          <w:szCs w:val="18"/>
          <w:lang w:eastAsia="it-IT"/>
        </w:rPr>
        <w:t xml:space="preserve">All interested stakeholders are invited to respond to this Consultation Paper. </w:t>
      </w:r>
      <w:proofErr w:type="gramStart"/>
      <w:r w:rsidRPr="00C17150">
        <w:rPr>
          <w:rFonts w:ascii="Arial" w:eastAsia="Times New Roman" w:hAnsi="Arial" w:cs="Arial"/>
          <w:b w:val="0"/>
          <w:sz w:val="18"/>
          <w:szCs w:val="18"/>
          <w:lang w:eastAsia="it-IT"/>
        </w:rPr>
        <w:t>In particular, ESMA</w:t>
      </w:r>
      <w:proofErr w:type="gramEnd"/>
      <w:r w:rsidRPr="00C17150">
        <w:rPr>
          <w:rFonts w:ascii="Arial" w:eastAsia="Times New Roman" w:hAnsi="Arial" w:cs="Arial"/>
          <w:b w:val="0"/>
          <w:sz w:val="18"/>
          <w:szCs w:val="18"/>
          <w:lang w:eastAsia="it-IT"/>
        </w:rPr>
        <w:t xml:space="preserve">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w:t>
      </w:r>
    </w:p>
    <w:p w14:paraId="26B7CFAC" w14:textId="77777777" w:rsidR="00040D94" w:rsidRDefault="00040D94" w:rsidP="008279D3">
      <w:pPr>
        <w:pStyle w:val="Heading1"/>
        <w:numPr>
          <w:ilvl w:val="0"/>
          <w:numId w:val="0"/>
        </w:numPr>
        <w:spacing w:line="276" w:lineRule="auto"/>
        <w:rPr>
          <w:rFonts w:ascii="Arial" w:eastAsia="Times New Roman" w:hAnsi="Arial" w:cs="Arial"/>
          <w:b w:val="0"/>
          <w:sz w:val="18"/>
          <w:szCs w:val="18"/>
          <w:lang w:eastAsia="it-IT"/>
        </w:rPr>
      </w:pPr>
    </w:p>
    <w:p w14:paraId="1F90B8D3" w14:textId="037B27F0"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2F1C0A31" w:rsidR="00C85C8B" w:rsidRPr="00B16706" w:rsidRDefault="00EA3C0E" w:rsidP="00C85C8B">
                <w:pPr>
                  <w:rPr>
                    <w:rFonts w:ascii="Arial" w:hAnsi="Arial" w:cs="Arial"/>
                    <w:color w:val="808080"/>
                    <w:sz w:val="16"/>
                    <w:szCs w:val="20"/>
                    <w:lang w:eastAsia="de-DE"/>
                  </w:rPr>
                </w:pPr>
                <w:r>
                  <w:rPr>
                    <w:rFonts w:ascii="Arial" w:hAnsi="Arial" w:cs="Arial"/>
                    <w:color w:val="808080"/>
                    <w:sz w:val="16"/>
                    <w:szCs w:val="20"/>
                    <w:lang w:eastAsia="de-DE"/>
                  </w:rPr>
                  <w:t>Ethos Services SA</w:t>
                </w:r>
              </w:p>
            </w:tc>
          </w:sdtContent>
        </w:sdt>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296B5EC0" w:rsidR="00C85C8B" w:rsidRPr="00B16706" w:rsidRDefault="0026433D"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EA3C0E">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511A3048" w:rsidR="00C85C8B" w:rsidRPr="00B16706" w:rsidRDefault="0037311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2F0B1323" w:rsidR="00C85C8B" w:rsidRPr="00B16706" w:rsidRDefault="00EA3C0E" w:rsidP="00C85C8B">
                <w:pPr>
                  <w:rPr>
                    <w:rFonts w:ascii="Arial" w:hAnsi="Arial" w:cs="Arial"/>
                    <w:sz w:val="16"/>
                    <w:szCs w:val="20"/>
                    <w:lang w:eastAsia="de-DE"/>
                  </w:rPr>
                </w:pPr>
                <w:r>
                  <w:rPr>
                    <w:rFonts w:ascii="Arial" w:hAnsi="Arial" w:cs="Arial"/>
                    <w:sz w:val="16"/>
                    <w:szCs w:val="20"/>
                    <w:lang w:eastAsia="de-DE"/>
                  </w:rPr>
                  <w:t>Switzerland</w:t>
                </w:r>
              </w:p>
            </w:tc>
          </w:sdtContent>
        </w:sdt>
      </w:tr>
      <w:permEnd w:id="1269442871"/>
    </w:tbl>
    <w:p w14:paraId="3ABEBA19" w14:textId="77777777" w:rsidR="00040D94" w:rsidRPr="00040D94" w:rsidRDefault="00040D94" w:rsidP="00040D94">
      <w:pPr>
        <w:spacing w:after="160" w:line="259" w:lineRule="auto"/>
        <w:rPr>
          <w:rFonts w:ascii="Calibri" w:eastAsia="Calibri" w:hAnsi="Calibri"/>
          <w:kern w:val="2"/>
          <w:sz w:val="22"/>
          <w:szCs w:val="22"/>
          <w:lang w:eastAsia="en-US"/>
          <w14:ligatures w14:val="standardContextual"/>
        </w:rPr>
      </w:pPr>
    </w:p>
    <w:p w14:paraId="2CA1E939" w14:textId="77777777" w:rsidR="00040D94" w:rsidRPr="0026433D" w:rsidRDefault="00040D94" w:rsidP="00040D94">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We thank you for the opportunity to comment on the consultation regarding the Technical Standards under the Regulation on the transparency and integrity of ESG rating activities.</w:t>
      </w:r>
    </w:p>
    <w:p w14:paraId="5A7D0280" w14:textId="77777777" w:rsidR="00040D94" w:rsidRPr="0026433D" w:rsidRDefault="00040D94" w:rsidP="00040D94">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 xml:space="preserve">Established in 1997 by and for Swiss pension funds, the Ethos Foundation aims to enable them to invest sustainably and responsibly. The Ethos Foundation currently represents over 250 Swiss pension funds, insuring more than 2.3 million people in Switzerland and managing assets totalling over CHF 400 billion. Our daily mission is to support our members on their journey to invest sustainably and responsibly by taking environmental, social and governance (ESG) criteria into account. To this end, the Ethos Foundation established Ethos Services in 2000 to provide institutional investors with a range of services and products dedicated exclusively to socially responsible investment. These include ESG research and ratings, proxy voting advice, engagement programmes and sustainable investment solutions. </w:t>
      </w:r>
    </w:p>
    <w:p w14:paraId="08D5DDB1" w14:textId="77777777" w:rsidR="00040D94" w:rsidRPr="0026433D" w:rsidRDefault="00040D94" w:rsidP="00040D94">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As an ESG rating agency based outside the European Union (EU) that provides services to Swiss and to a smaller extent EU investors, Ethos is directly interested in the development of EU regulations impacting part of its service offering. We broadly support the EU’s initiative to enhance oversight of ESG rating activities, particularly to ensure that the services provided to investors are not biased by additional services provided to issuers. Ethos believes this is essential to maintaining the credibility and impartiality of ESG ratings.</w:t>
      </w:r>
    </w:p>
    <w:p w14:paraId="0FA68614" w14:textId="77777777" w:rsidR="00040D94" w:rsidRPr="0026433D" w:rsidRDefault="00040D94" w:rsidP="00040D94">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Nevertheless, Ethos has concerns about certain aspects of the proposed regulation, particularly its implications for smaller, independent agencies – both within and outside the EU. In recent years, the ESG rating industry has become increasingly concentrated, dominated by a handful of large, primarily US-based firms. While Ethos endorses the objectives of enhancing transparency, integrity, and reliability, it believes the draft framework could impose a disproportionate compliance cost on small and mid-sized agencies. In particular, the proposed separation of sustainability services provided exclusively to investors could prove costly and operationally complex for these entities.</w:t>
      </w:r>
    </w:p>
    <w:p w14:paraId="02725847" w14:textId="77777777" w:rsidR="00040D94" w:rsidRPr="0026433D" w:rsidRDefault="00040D94" w:rsidP="00040D94">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 xml:space="preserve">This is particularly striking considering the European Commission’s parallel efforts to reduce the regulatory burden on corporate issuers through the so-called ‘Omnibus package’, which notably excludes ESG rating providers from its scope. The result is a regulatory imbalance: ESG rating agencies, often small, research-driven entities, are subject to increasing compliance risks, while the corporate issuers assessed by these agencies to ensure more sustainability practices are facing a lighter regulatory touch. This asymmetry raises questions about the broader policy intent. From our perspective, it appears that the regulatory pressure is being shifted away from large market actors and onto the entities tasked with holding them accountable. This could weaken the independence </w:t>
      </w:r>
      <w:r w:rsidRPr="0026433D">
        <w:rPr>
          <w:rFonts w:ascii="Calibri" w:eastAsia="Calibri" w:hAnsi="Calibri"/>
          <w:color w:val="0070C0"/>
          <w:kern w:val="2"/>
          <w:sz w:val="22"/>
          <w:szCs w:val="22"/>
          <w:lang w:eastAsia="en-US"/>
          <w14:ligatures w14:val="standardContextual"/>
        </w:rPr>
        <w:lastRenderedPageBreak/>
        <w:t>and diversity of the ESG rating landscape and may ultimately undermine the EU’s sustainable finance agenda.</w:t>
      </w:r>
    </w:p>
    <w:p w14:paraId="77B1594E" w14:textId="77777777" w:rsidR="00040D94" w:rsidRPr="0026433D" w:rsidRDefault="00040D94" w:rsidP="00040D94">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 xml:space="preserve">We appeal to ESMA and the European Commission to consider proportionality as a guiding principle in finalising these standards, particularly for smaller providers who play a vital role in enriching ESG insights across the European market. </w:t>
      </w:r>
    </w:p>
    <w:p w14:paraId="1B60B6D7" w14:textId="6DE83F79" w:rsidR="00040D94" w:rsidRPr="0026433D" w:rsidRDefault="00040D94" w:rsidP="00040D94">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We again thank you for the opportunity to answer the questions below.</w:t>
      </w:r>
    </w:p>
    <w:p w14:paraId="578349B1" w14:textId="77777777" w:rsidR="00040D94" w:rsidRPr="00040D94" w:rsidRDefault="00040D94" w:rsidP="00040D94">
      <w:pPr>
        <w:spacing w:after="160" w:line="259" w:lineRule="auto"/>
        <w:rPr>
          <w:rFonts w:ascii="Calibri" w:eastAsia="Calibri" w:hAnsi="Calibri"/>
          <w:kern w:val="2"/>
          <w:sz w:val="22"/>
          <w:szCs w:val="22"/>
          <w:lang w:eastAsia="en-US"/>
          <w14:ligatures w14:val="standardContextual"/>
        </w:rPr>
      </w:pPr>
    </w:p>
    <w:p w14:paraId="2F5D9ECE" w14:textId="68531CC3"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5B87C99A" w14:textId="6906B0B4" w:rsidR="001B1B48" w:rsidRPr="004578B3" w:rsidRDefault="00CB0C0C" w:rsidP="004578B3">
      <w:pPr>
        <w:pStyle w:val="Paragraph"/>
        <w:numPr>
          <w:ilvl w:val="0"/>
          <w:numId w:val="0"/>
        </w:numPr>
        <w:ind w:left="708" w:hanging="708"/>
      </w:pPr>
      <w:proofErr w:type="gramStart"/>
      <w:r w:rsidRPr="009464EF">
        <w:rPr>
          <w:b/>
          <w:bCs/>
        </w:rPr>
        <w:t>Q1</w:t>
      </w:r>
      <w:proofErr w:type="gramEnd"/>
      <w:r w:rsidRPr="2E20FBB1">
        <w:t xml:space="preserve"> </w:t>
      </w:r>
      <w:r w:rsidR="004578B3">
        <w:tab/>
      </w:r>
      <w:r w:rsidRPr="004578B3">
        <w:rPr>
          <w:rFonts w:eastAsia="Times New Roman"/>
          <w:b/>
          <w:bCs/>
          <w:color w:val="auto"/>
          <w:lang w:eastAsia="en-US"/>
        </w:rPr>
        <w:t>Do you agree with ESMA’s proposals for the draft technical standard under Articles 6(3) and 12(9)?</w:t>
      </w:r>
      <w:r w:rsidR="00BB29AA" w:rsidRPr="00BB29AA">
        <w:rPr>
          <w:b/>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0D589F42"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We agree with ESMA’ proposal to merge the requirements for authorisation and recognition to simplify and clarify the process.</w:t>
      </w:r>
    </w:p>
    <w:p w14:paraId="1BE25A4E"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We however consider that the ESMA could provide additional information on the specific points detailed below.</w:t>
      </w:r>
    </w:p>
    <w:p w14:paraId="55AF2612"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Point 1</w:t>
      </w:r>
    </w:p>
    <w:p w14:paraId="3B54622C"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 xml:space="preserve">We would welcome ESMA’s clarification on the scope of the authorisation and recognition application </w:t>
      </w:r>
      <w:proofErr w:type="gramStart"/>
      <w:r w:rsidRPr="0026433D">
        <w:rPr>
          <w:rFonts w:ascii="Calibri" w:eastAsia="Calibri" w:hAnsi="Calibri"/>
          <w:color w:val="0070C0"/>
          <w:kern w:val="2"/>
          <w:sz w:val="22"/>
          <w:szCs w:val="22"/>
          <w:lang w:eastAsia="en-US"/>
          <w14:ligatures w14:val="standardContextual"/>
        </w:rPr>
        <w:t>in particular for</w:t>
      </w:r>
      <w:proofErr w:type="gramEnd"/>
      <w:r w:rsidRPr="0026433D">
        <w:rPr>
          <w:rFonts w:ascii="Calibri" w:eastAsia="Calibri" w:hAnsi="Calibri"/>
          <w:color w:val="0070C0"/>
          <w:kern w:val="2"/>
          <w:sz w:val="22"/>
          <w:szCs w:val="22"/>
          <w:lang w:eastAsia="en-US"/>
          <w14:ligatures w14:val="standardContextual"/>
        </w:rPr>
        <w:t xml:space="preserve"> an ESG rating provider established outside the EU which provides different sustainability services to investors. In particular, the “consulting services to investors” is not well defined and it is currently unsure if an application for Authorisation and recognition should be sought for the following services: </w:t>
      </w:r>
    </w:p>
    <w:p w14:paraId="2F46FF76" w14:textId="41BD8F0E" w:rsidR="00EA3C0E" w:rsidRPr="0026433D" w:rsidRDefault="00EA3C0E" w:rsidP="00EA3C0E">
      <w:pPr>
        <w:pStyle w:val="ListParagraph"/>
        <w:numPr>
          <w:ilvl w:val="0"/>
          <w:numId w:val="38"/>
        </w:numPr>
        <w:spacing w:after="160" w:line="259" w:lineRule="auto"/>
        <w:rPr>
          <w:rFonts w:ascii="Calibri" w:eastAsia="Calibri" w:hAnsi="Calibri"/>
          <w:color w:val="0070C0"/>
          <w:kern w:val="2"/>
          <w:lang w:eastAsia="en-US"/>
          <w14:ligatures w14:val="standardContextual"/>
        </w:rPr>
      </w:pPr>
      <w:r w:rsidRPr="0026433D">
        <w:rPr>
          <w:rFonts w:ascii="Calibri" w:eastAsia="Calibri" w:hAnsi="Calibri"/>
          <w:color w:val="0070C0"/>
          <w:kern w:val="2"/>
          <w:lang w:eastAsia="en-US"/>
          <w14:ligatures w14:val="standardContextual"/>
        </w:rPr>
        <w:t>Proxy voting recommendations</w:t>
      </w:r>
    </w:p>
    <w:p w14:paraId="51C324AA" w14:textId="448BE2E7" w:rsidR="00EA3C0E" w:rsidRPr="0026433D" w:rsidRDefault="00EA3C0E" w:rsidP="00EA3C0E">
      <w:pPr>
        <w:pStyle w:val="ListParagraph"/>
        <w:numPr>
          <w:ilvl w:val="0"/>
          <w:numId w:val="38"/>
        </w:numPr>
        <w:spacing w:after="160" w:line="259" w:lineRule="auto"/>
        <w:rPr>
          <w:rFonts w:ascii="Calibri" w:eastAsia="Calibri" w:hAnsi="Calibri"/>
          <w:color w:val="0070C0"/>
          <w:kern w:val="2"/>
          <w:lang w:eastAsia="en-US"/>
          <w14:ligatures w14:val="standardContextual"/>
        </w:rPr>
      </w:pPr>
      <w:r w:rsidRPr="0026433D">
        <w:rPr>
          <w:rFonts w:ascii="Calibri" w:eastAsia="Calibri" w:hAnsi="Calibri"/>
          <w:color w:val="0070C0"/>
          <w:kern w:val="2"/>
          <w:lang w:eastAsia="en-US"/>
          <w14:ligatures w14:val="standardContextual"/>
        </w:rPr>
        <w:t>Engagement activities</w:t>
      </w:r>
    </w:p>
    <w:p w14:paraId="46625C95"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Point 2</w:t>
      </w:r>
    </w:p>
    <w:p w14:paraId="46869D44"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Part A) of Annex III of the draft RTS mentions additional information to be provided for the legal representative in the member state of reference.</w:t>
      </w:r>
    </w:p>
    <w:p w14:paraId="354C0B14"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 xml:space="preserve">We would welcome ESMA’s clarification on the types of legal entity that could act as legal representative and any requirements that those entities should satisfy. It would also be useful to inform on the legal responsibilities endorsed by the legal representative. </w:t>
      </w:r>
    </w:p>
    <w:p w14:paraId="4151BBC8"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Point 3</w:t>
      </w:r>
    </w:p>
    <w:p w14:paraId="779DC65D"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Parts B) and C) of Annex III of the draft RTS mention additional information to be provided on turnover and on ESG ratings intended to be distributed in the EU.</w:t>
      </w:r>
    </w:p>
    <w:p w14:paraId="7ACFCE66"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 xml:space="preserve">We do not see the rationale of asking additional information in the case of a recognition </w:t>
      </w:r>
      <w:proofErr w:type="gramStart"/>
      <w:r w:rsidRPr="0026433D">
        <w:rPr>
          <w:rFonts w:ascii="Calibri" w:eastAsia="Calibri" w:hAnsi="Calibri"/>
          <w:color w:val="0070C0"/>
          <w:kern w:val="2"/>
          <w:sz w:val="22"/>
          <w:szCs w:val="22"/>
          <w:lang w:eastAsia="en-US"/>
          <w14:ligatures w14:val="standardContextual"/>
        </w:rPr>
        <w:t>in particular regarding</w:t>
      </w:r>
      <w:proofErr w:type="gramEnd"/>
      <w:r w:rsidRPr="0026433D">
        <w:rPr>
          <w:rFonts w:ascii="Calibri" w:eastAsia="Calibri" w:hAnsi="Calibri"/>
          <w:color w:val="0070C0"/>
          <w:kern w:val="2"/>
          <w:sz w:val="22"/>
          <w:szCs w:val="22"/>
          <w:lang w:eastAsia="en-US"/>
          <w14:ligatures w14:val="standardContextual"/>
        </w:rPr>
        <w:t xml:space="preserve"> the full list of detailed ratings required under parts C (last rating notch or value). We consider that either this information is essential and required for both recognition and authorisation, or it is optional and shall not be requested for recognition.</w:t>
      </w:r>
    </w:p>
    <w:p w14:paraId="112E1F8F"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Point 4</w:t>
      </w:r>
    </w:p>
    <w:p w14:paraId="58B18FAA"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We would welcome ESMA’s clarification on the possibility to apply for recognition for ESG rating providers established outside of the EU with an annual net turnover of all its activities that is above the amount set in Article 3(2), second subparagraph of Directive 2013/34/EU.</w:t>
      </w:r>
    </w:p>
    <w:p w14:paraId="38524F57" w14:textId="5CBCF937" w:rsidR="001B1B48" w:rsidRPr="001B1B48" w:rsidRDefault="001B1B48" w:rsidP="00EA3C0E">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lastRenderedPageBreak/>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48BA7F71"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ED4FDB">
      <w:pPr>
        <w:pStyle w:val="Paragraph"/>
        <w:numPr>
          <w:ilvl w:val="0"/>
          <w:numId w:val="0"/>
        </w:numPr>
        <w:ind w:left="708" w:hanging="708"/>
      </w:pPr>
      <w:proofErr w:type="gramStart"/>
      <w:r w:rsidRPr="009464EF">
        <w:rPr>
          <w:b/>
          <w:bCs/>
        </w:rPr>
        <w:t>Q2</w:t>
      </w:r>
      <w:proofErr w:type="gramEnd"/>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41178481"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We are in the opinion that activities and services provided to issuers (issuer-paid model/solicited ESG rating) should be separated from those provided to investors (user-paid model/unsolicited ESG rating). When an ESG rating provider is paid by both issuers and investors, potential conflicts of interest may arise and trust in the system could be damaged.</w:t>
      </w:r>
    </w:p>
    <w:p w14:paraId="3E432194"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Therefore, we agree that all services and activities provided to issuers and undertakings, such as those defined under letters (a), (b), (e) and (f) of Article 16(1) of the Regulation, shall be provided by a legal entity that is separate from those that provide services and activities to investors, such as those defined under letters (a), (c), and (d) of point 1 of Article 16 of the Regulation.</w:t>
      </w:r>
    </w:p>
    <w:p w14:paraId="306C0701"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We however do not see the rationale for implementing additional separation requirements between services and activities that are provided exclusively to investors. The current technical standard does not adequately define what is intended by consulting services to investors. We consider that the services, including but not limited to proxy advisor services, engagement services, sustainability or carbon assessments of portfolios should not be considered in the scope of the separation requested. Indeed, strong synergies can be reached between these activities enhancing the data quality and the value added to investors. Typically, relying on quality ESG data reinforce the quality of proxy voting advice and engagement activities. Furthermore, it allows smaller agencies to diversify their revenues and be able to compete against very large consolidated ESG agencies. The investment required to collect quality data are considerable. It is in the EU best interest to guarantee a good diversification of ESG data and rating providers and promote independent European based agencies. By reducing the ability of smaller player to diversify their revenues and potential increasing compliance cost, the EU may further accelerate the current consolidation of the ESG rating agencies landscape.</w:t>
      </w:r>
    </w:p>
    <w:p w14:paraId="3B557BD8"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 xml:space="preserve">We also do not believe that such services give rise to conflicts of interest, provided they are only offered to investors. We are seeking ESMA’s explicit confirmation </w:t>
      </w:r>
      <w:proofErr w:type="gramStart"/>
      <w:r w:rsidRPr="0026433D">
        <w:rPr>
          <w:rFonts w:ascii="Calibri" w:eastAsia="Calibri" w:hAnsi="Calibri"/>
          <w:color w:val="0070C0"/>
          <w:kern w:val="2"/>
          <w:sz w:val="22"/>
          <w:szCs w:val="22"/>
          <w:lang w:eastAsia="en-US"/>
          <w14:ligatures w14:val="standardContextual"/>
        </w:rPr>
        <w:t>in order to</w:t>
      </w:r>
      <w:proofErr w:type="gramEnd"/>
      <w:r w:rsidRPr="0026433D">
        <w:rPr>
          <w:rFonts w:ascii="Calibri" w:eastAsia="Calibri" w:hAnsi="Calibri"/>
          <w:color w:val="0070C0"/>
          <w:kern w:val="2"/>
          <w:sz w:val="22"/>
          <w:szCs w:val="22"/>
          <w:lang w:eastAsia="en-US"/>
          <w14:ligatures w14:val="standardContextual"/>
        </w:rPr>
        <w:t xml:space="preserve"> eliminate any uncertainty regarding our classification and associated obligations.</w:t>
      </w:r>
    </w:p>
    <w:p w14:paraId="597CD613"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 xml:space="preserve">In line with the above, we would welcome a clear definition of the following terms: </w:t>
      </w:r>
    </w:p>
    <w:p w14:paraId="252D711E" w14:textId="1B6E3884" w:rsidR="00EA3C0E" w:rsidRPr="0026433D" w:rsidRDefault="00EA3C0E" w:rsidP="00EA3C0E">
      <w:pPr>
        <w:pStyle w:val="ListParagraph"/>
        <w:numPr>
          <w:ilvl w:val="0"/>
          <w:numId w:val="38"/>
        </w:numPr>
        <w:spacing w:after="160" w:line="259" w:lineRule="auto"/>
        <w:rPr>
          <w:rFonts w:ascii="Calibri" w:eastAsia="Calibri" w:hAnsi="Calibri"/>
          <w:color w:val="0070C0"/>
          <w:kern w:val="2"/>
          <w:lang w:eastAsia="en-US"/>
          <w14:ligatures w14:val="standardContextual"/>
        </w:rPr>
      </w:pPr>
      <w:r w:rsidRPr="0026433D">
        <w:rPr>
          <w:rFonts w:ascii="Calibri" w:eastAsia="Calibri" w:hAnsi="Calibri"/>
          <w:color w:val="0070C0"/>
          <w:kern w:val="2"/>
          <w:lang w:eastAsia="en-US"/>
          <w14:ligatures w14:val="standardContextual"/>
        </w:rPr>
        <w:t>“</w:t>
      </w:r>
      <w:proofErr w:type="gramStart"/>
      <w:r w:rsidRPr="0026433D">
        <w:rPr>
          <w:rFonts w:ascii="Calibri" w:eastAsia="Calibri" w:hAnsi="Calibri"/>
          <w:color w:val="0070C0"/>
          <w:kern w:val="2"/>
          <w:lang w:eastAsia="en-US"/>
          <w14:ligatures w14:val="standardContextual"/>
        </w:rPr>
        <w:t>consulting</w:t>
      </w:r>
      <w:proofErr w:type="gramEnd"/>
      <w:r w:rsidRPr="0026433D">
        <w:rPr>
          <w:rFonts w:ascii="Calibri" w:eastAsia="Calibri" w:hAnsi="Calibri"/>
          <w:color w:val="0070C0"/>
          <w:kern w:val="2"/>
          <w:lang w:eastAsia="en-US"/>
          <w14:ligatures w14:val="standardContextual"/>
        </w:rPr>
        <w:t xml:space="preserve"> activities to investors</w:t>
      </w:r>
      <w:proofErr w:type="gramStart"/>
      <w:r w:rsidRPr="0026433D">
        <w:rPr>
          <w:rFonts w:ascii="Calibri" w:eastAsia="Calibri" w:hAnsi="Calibri"/>
          <w:color w:val="0070C0"/>
          <w:kern w:val="2"/>
          <w:lang w:eastAsia="en-US"/>
          <w14:ligatures w14:val="standardContextual"/>
        </w:rPr>
        <w:t>”;</w:t>
      </w:r>
      <w:proofErr w:type="gramEnd"/>
    </w:p>
    <w:p w14:paraId="30C36FC2" w14:textId="23DEE994" w:rsidR="00EA3C0E" w:rsidRPr="0026433D" w:rsidRDefault="00EA3C0E" w:rsidP="00EA3C0E">
      <w:pPr>
        <w:pStyle w:val="ListParagraph"/>
        <w:numPr>
          <w:ilvl w:val="0"/>
          <w:numId w:val="38"/>
        </w:numPr>
        <w:spacing w:after="160" w:line="259" w:lineRule="auto"/>
        <w:rPr>
          <w:rFonts w:ascii="Calibri" w:eastAsia="Calibri" w:hAnsi="Calibri"/>
          <w:color w:val="0070C0"/>
          <w:kern w:val="2"/>
          <w:lang w:eastAsia="en-US"/>
          <w14:ligatures w14:val="standardContextual"/>
        </w:rPr>
      </w:pPr>
      <w:r w:rsidRPr="0026433D">
        <w:rPr>
          <w:rFonts w:ascii="Calibri" w:eastAsia="Calibri" w:hAnsi="Calibri"/>
          <w:color w:val="0070C0"/>
          <w:kern w:val="2"/>
          <w:lang w:eastAsia="en-US"/>
          <w14:ligatures w14:val="standardContextual"/>
        </w:rPr>
        <w:t>"</w:t>
      </w:r>
      <w:proofErr w:type="gramStart"/>
      <w:r w:rsidRPr="0026433D">
        <w:rPr>
          <w:rFonts w:ascii="Calibri" w:eastAsia="Calibri" w:hAnsi="Calibri"/>
          <w:color w:val="0070C0"/>
          <w:kern w:val="2"/>
          <w:lang w:eastAsia="en-US"/>
          <w14:ligatures w14:val="standardContextual"/>
        </w:rPr>
        <w:t>investment</w:t>
      </w:r>
      <w:proofErr w:type="gramEnd"/>
      <w:r w:rsidRPr="0026433D">
        <w:rPr>
          <w:rFonts w:ascii="Calibri" w:eastAsia="Calibri" w:hAnsi="Calibri"/>
          <w:color w:val="0070C0"/>
          <w:kern w:val="2"/>
          <w:lang w:eastAsia="en-US"/>
          <w14:ligatures w14:val="standardContextual"/>
        </w:rPr>
        <w:t xml:space="preserve"> services and activities", particularly regarding the meaning of "investment advice" as set out in point (5), section A of Annex I of Directive 2014/65/EU.</w:t>
      </w:r>
    </w:p>
    <w:p w14:paraId="578EB98F" w14:textId="1AFB2B93" w:rsidR="001B1B48" w:rsidRPr="001B1B48" w:rsidRDefault="001B1B48" w:rsidP="00EA3C0E">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FC3B26">
      <w:pPr>
        <w:pStyle w:val="Paragraph"/>
        <w:numPr>
          <w:ilvl w:val="0"/>
          <w:numId w:val="0"/>
        </w:numPr>
        <w:ind w:left="708" w:hanging="708"/>
        <w:rPr>
          <w:b/>
          <w:bCs/>
        </w:rPr>
      </w:pPr>
      <w:r>
        <w:rPr>
          <w:b/>
          <w:bCs/>
        </w:rPr>
        <w:t xml:space="preserve">Q3. </w:t>
      </w:r>
      <w:r w:rsidR="00FC3B26">
        <w:rPr>
          <w:b/>
          <w:bCs/>
        </w:rPr>
        <w:tab/>
      </w:r>
      <w:r w:rsidRPr="006372FE">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lastRenderedPageBreak/>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D1734EE"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In general, we agree with ESMA’s proposals for the draft technical standards under Articles 23(4) and 24(3).</w:t>
      </w:r>
    </w:p>
    <w:p w14:paraId="3E5664B4"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We would however welcome ESMA’s clarification on the level of granularity that needs to be made available for rated items and issuers of rated items as well as on the format in which such information should be provided. We would also appreciate if ESMA could indicate the proper timeframe for making this information available.</w:t>
      </w:r>
    </w:p>
    <w:p w14:paraId="136229DB"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We are concerned that issuers could initiate lawsuits and legal action to censor, intimidate and silence ESG rating providers based on the information made available by the Regulation. Indeed, in recent years, we have seen large issuers and undertakings, especially in common law jurisdictions, tend to take such action more regularly in response to any type of criticism. We are referring to actions such as the so-called 'SLAPP lawsuit' (Strategic Lawsuit Against Public Participation).</w:t>
      </w:r>
    </w:p>
    <w:p w14:paraId="6B4A127C"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We would welcome more details on ESMA’s plan to guarantee ESG rating providers independence and protection against such actions.</w:t>
      </w:r>
    </w:p>
    <w:p w14:paraId="77645EA9" w14:textId="09CBD229" w:rsidR="001B1B48" w:rsidRPr="001B1B48" w:rsidRDefault="001B1B48" w:rsidP="00EA3C0E">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74EDE5B" w14:textId="29DF36F2" w:rsidR="00513DA2" w:rsidRPr="00513DA2" w:rsidRDefault="00655791" w:rsidP="00513DA2">
      <w:pPr>
        <w:pStyle w:val="Paragraph"/>
        <w:numPr>
          <w:ilvl w:val="0"/>
          <w:numId w:val="0"/>
        </w:numPr>
        <w:ind w:left="708" w:hanging="708"/>
        <w:rPr>
          <w:b/>
          <w:bCs/>
        </w:rPr>
      </w:pPr>
      <w:r>
        <w:rPr>
          <w:b/>
          <w:bCs/>
        </w:rPr>
        <w:t>Q4.</w:t>
      </w:r>
      <w:r>
        <w:rPr>
          <w:b/>
          <w:bCs/>
        </w:rPr>
        <w:tab/>
      </w:r>
      <w:r w:rsidR="00513DA2" w:rsidRPr="00513DA2">
        <w:rPr>
          <w:b/>
          <w:bCs/>
        </w:rPr>
        <w:t xml:space="preserve">Do you consider that the draft technical standards under Articles 23(4) or 24(3) </w:t>
      </w:r>
      <w:proofErr w:type="gramStart"/>
      <w:r w:rsidR="00513DA2" w:rsidRPr="00513DA2">
        <w:rPr>
          <w:b/>
          <w:bCs/>
        </w:rPr>
        <w:t>should  instead</w:t>
      </w:r>
      <w:proofErr w:type="gramEnd"/>
      <w:r w:rsidR="00513DA2" w:rsidRPr="00513DA2">
        <w:rPr>
          <w:b/>
          <w:bCs/>
        </w:rPr>
        <w:t xml:space="preserve">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3BC08B30" w14:textId="77777777" w:rsidR="00EA3C0E" w:rsidRPr="0026433D" w:rsidRDefault="00EA3C0E" w:rsidP="001B1B48">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We have yet no comment on this part.</w:t>
      </w:r>
    </w:p>
    <w:p w14:paraId="2F0C894F" w14:textId="181A15BC"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EA357E">
      <w:pPr>
        <w:pStyle w:val="Paragraph"/>
        <w:numPr>
          <w:ilvl w:val="0"/>
          <w:numId w:val="0"/>
        </w:numPr>
        <w:rPr>
          <w:b/>
          <w:bCs/>
        </w:rPr>
      </w:pPr>
      <w:proofErr w:type="gramStart"/>
      <w:r w:rsidRPr="00EA357E">
        <w:rPr>
          <w:b/>
          <w:bCs/>
        </w:rPr>
        <w:t>Q5</w:t>
      </w:r>
      <w:proofErr w:type="gramEnd"/>
      <w:r w:rsidRPr="00EA357E">
        <w:rPr>
          <w:b/>
          <w:bCs/>
        </w:rPr>
        <w:t xml:space="preserve">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3CB0E9A3"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We believe that ESMA’s cost-benefit analysis significantly underestimates the impact of fixed costs on small ESG rating providers. The cost of implementing organisational and physical measures to comply with the Regulation will certainly not be low. These fixed costs will be disproportionately high for small entities, rising the barrier to entry to a potentially unreachable level, whereas large multinationals will find them acceptable, in relative terms. Therefore, compliance with the Regulation could be detrimental to smaller entities, threatening their survival.</w:t>
      </w:r>
    </w:p>
    <w:p w14:paraId="19F69261" w14:textId="77777777" w:rsidR="00EA3C0E" w:rsidRPr="0026433D" w:rsidRDefault="00EA3C0E" w:rsidP="00EA3C0E">
      <w:pPr>
        <w:spacing w:after="160" w:line="259" w:lineRule="auto"/>
        <w:rPr>
          <w:rFonts w:ascii="Calibri" w:eastAsia="Calibri" w:hAnsi="Calibri"/>
          <w:color w:val="0070C0"/>
          <w:kern w:val="2"/>
          <w:sz w:val="22"/>
          <w:szCs w:val="22"/>
          <w:lang w:eastAsia="en-US"/>
          <w14:ligatures w14:val="standardContextual"/>
        </w:rPr>
      </w:pPr>
      <w:r w:rsidRPr="0026433D">
        <w:rPr>
          <w:rFonts w:ascii="Calibri" w:eastAsia="Calibri" w:hAnsi="Calibri"/>
          <w:color w:val="0070C0"/>
          <w:kern w:val="2"/>
          <w:sz w:val="22"/>
          <w:szCs w:val="22"/>
          <w:lang w:eastAsia="en-US"/>
          <w14:ligatures w14:val="standardContextual"/>
        </w:rPr>
        <w:t>We are also seeking ESMA’s explicit confirmation that no cost will be incurred for authorisation or recognition applications submitted to ESMA.</w:t>
      </w:r>
    </w:p>
    <w:p w14:paraId="2A15B62C" w14:textId="1CE50B7E" w:rsidR="001B1B48" w:rsidRPr="001B1B48" w:rsidRDefault="001B1B48" w:rsidP="00EA3C0E">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CB175" w14:textId="77777777" w:rsidR="00815C43" w:rsidRDefault="00815C43" w:rsidP="007E7997">
      <w:r>
        <w:separator/>
      </w:r>
    </w:p>
  </w:endnote>
  <w:endnote w:type="continuationSeparator" w:id="0">
    <w:p w14:paraId="6A9529E5" w14:textId="77777777" w:rsidR="00815C43" w:rsidRDefault="00815C43" w:rsidP="007E7997">
      <w:r>
        <w:continuationSeparator/>
      </w:r>
    </w:p>
  </w:endnote>
  <w:endnote w:type="continuationNotice" w:id="1">
    <w:p w14:paraId="6516A4FC" w14:textId="77777777" w:rsidR="00815C43" w:rsidRDefault="00815C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3A206" w14:textId="77777777" w:rsidR="00815C43" w:rsidRDefault="00815C43" w:rsidP="007E7997">
      <w:r>
        <w:separator/>
      </w:r>
    </w:p>
  </w:footnote>
  <w:footnote w:type="continuationSeparator" w:id="0">
    <w:p w14:paraId="01154013" w14:textId="77777777" w:rsidR="00815C43" w:rsidRDefault="00815C43" w:rsidP="007E7997">
      <w:r>
        <w:continuationSeparator/>
      </w:r>
    </w:p>
  </w:footnote>
  <w:footnote w:type="continuationNotice" w:id="1">
    <w:p w14:paraId="06E8E8E4" w14:textId="77777777" w:rsidR="00815C43" w:rsidRDefault="00815C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AFB6F"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F46260"/>
    <w:multiLevelType w:val="hybridMultilevel"/>
    <w:tmpl w:val="99FA9FEE"/>
    <w:lvl w:ilvl="0" w:tplc="CA581788">
      <w:numFmt w:val="bullet"/>
      <w:lvlText w:val="•"/>
      <w:lvlJc w:val="left"/>
      <w:pPr>
        <w:ind w:left="1070" w:hanging="710"/>
      </w:pPr>
      <w:rPr>
        <w:rFonts w:ascii="Calibri" w:eastAsia="Calibri"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55010E"/>
    <w:multiLevelType w:val="hybridMultilevel"/>
    <w:tmpl w:val="559A844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BE5526"/>
    <w:multiLevelType w:val="hybridMultilevel"/>
    <w:tmpl w:val="0C52F392"/>
    <w:lvl w:ilvl="0" w:tplc="CA581788">
      <w:numFmt w:val="bullet"/>
      <w:lvlText w:val="•"/>
      <w:lvlJc w:val="left"/>
      <w:pPr>
        <w:ind w:left="1070" w:hanging="710"/>
      </w:pPr>
      <w:rPr>
        <w:rFonts w:ascii="Calibri" w:eastAsia="Calibri"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6"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3"/>
  </w:num>
  <w:num w:numId="2" w16cid:durableId="1495532731">
    <w:abstractNumId w:val="3"/>
  </w:num>
  <w:num w:numId="3" w16cid:durableId="994409496">
    <w:abstractNumId w:val="27"/>
  </w:num>
  <w:num w:numId="4" w16cid:durableId="1880320868">
    <w:abstractNumId w:val="4"/>
  </w:num>
  <w:num w:numId="5" w16cid:durableId="290864581">
    <w:abstractNumId w:val="15"/>
  </w:num>
  <w:num w:numId="6" w16cid:durableId="952590553">
    <w:abstractNumId w:val="29"/>
  </w:num>
  <w:num w:numId="7" w16cid:durableId="1159686949">
    <w:abstractNumId w:val="14"/>
  </w:num>
  <w:num w:numId="8" w16cid:durableId="765269892">
    <w:abstractNumId w:val="6"/>
  </w:num>
  <w:num w:numId="9" w16cid:durableId="1301960395">
    <w:abstractNumId w:val="10"/>
  </w:num>
  <w:num w:numId="10" w16cid:durableId="1228616548">
    <w:abstractNumId w:val="9"/>
  </w:num>
  <w:num w:numId="11" w16cid:durableId="2051027016">
    <w:abstractNumId w:val="7"/>
  </w:num>
  <w:num w:numId="12" w16cid:durableId="83380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0"/>
  </w:num>
  <w:num w:numId="15" w16cid:durableId="986476960">
    <w:abstractNumId w:val="23"/>
  </w:num>
  <w:num w:numId="16" w16cid:durableId="398749299">
    <w:abstractNumId w:val="28"/>
  </w:num>
  <w:num w:numId="17" w16cid:durableId="14076118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4"/>
  </w:num>
  <w:num w:numId="19" w16cid:durableId="558588771">
    <w:abstractNumId w:val="29"/>
  </w:num>
  <w:num w:numId="20" w16cid:durableId="1306933315">
    <w:abstractNumId w:val="12"/>
  </w:num>
  <w:num w:numId="21" w16cid:durableId="1623876054">
    <w:abstractNumId w:val="26"/>
  </w:num>
  <w:num w:numId="22" w16cid:durableId="783383837">
    <w:abstractNumId w:val="16"/>
  </w:num>
  <w:num w:numId="23" w16cid:durableId="2112964618">
    <w:abstractNumId w:val="22"/>
  </w:num>
  <w:num w:numId="24" w16cid:durableId="1958565453">
    <w:abstractNumId w:val="0"/>
  </w:num>
  <w:num w:numId="25" w16cid:durableId="1372725395">
    <w:abstractNumId w:val="20"/>
  </w:num>
  <w:num w:numId="26" w16cid:durableId="1686445133">
    <w:abstractNumId w:val="18"/>
  </w:num>
  <w:num w:numId="27" w16cid:durableId="1247768697">
    <w:abstractNumId w:val="11"/>
  </w:num>
  <w:num w:numId="28" w16cid:durableId="954170948">
    <w:abstractNumId w:val="2"/>
  </w:num>
  <w:num w:numId="29" w16cid:durableId="837424337">
    <w:abstractNumId w:val="19"/>
  </w:num>
  <w:num w:numId="30" w16cid:durableId="299657983">
    <w:abstractNumId w:val="5"/>
  </w:num>
  <w:num w:numId="31" w16cid:durableId="699822250">
    <w:abstractNumId w:val="17"/>
  </w:num>
  <w:num w:numId="32" w16cid:durableId="730466929">
    <w:abstractNumId w:val="13"/>
    <w:lvlOverride w:ilvl="0">
      <w:startOverride w:val="1"/>
    </w:lvlOverride>
  </w:num>
  <w:num w:numId="33" w16cid:durableId="552498262">
    <w:abstractNumId w:val="21"/>
  </w:num>
  <w:num w:numId="34" w16cid:durableId="1829132647">
    <w:abstractNumId w:val="13"/>
    <w:lvlOverride w:ilvl="0">
      <w:startOverride w:val="1"/>
    </w:lvlOverride>
  </w:num>
  <w:num w:numId="35" w16cid:durableId="1915964461">
    <w:abstractNumId w:val="13"/>
    <w:lvlOverride w:ilvl="0">
      <w:startOverride w:val="1"/>
    </w:lvlOverride>
  </w:num>
  <w:num w:numId="36" w16cid:durableId="1385182617">
    <w:abstractNumId w:val="13"/>
    <w:lvlOverride w:ilvl="0">
      <w:startOverride w:val="1"/>
    </w:lvlOverride>
  </w:num>
  <w:num w:numId="37" w16cid:durableId="945771132">
    <w:abstractNumId w:val="8"/>
  </w:num>
  <w:num w:numId="38" w16cid:durableId="1559514896">
    <w:abstractNumId w:val="25"/>
  </w:num>
  <w:num w:numId="39" w16cid:durableId="103226418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A52"/>
    <w:rsid w:val="00040D94"/>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14D6D"/>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433D"/>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2615"/>
    <w:rsid w:val="00372EA3"/>
    <w:rsid w:val="0037311D"/>
    <w:rsid w:val="0037358E"/>
    <w:rsid w:val="00373A3C"/>
    <w:rsid w:val="00373AB8"/>
    <w:rsid w:val="00373FCF"/>
    <w:rsid w:val="00376233"/>
    <w:rsid w:val="00380B30"/>
    <w:rsid w:val="00381784"/>
    <w:rsid w:val="00381EB0"/>
    <w:rsid w:val="00382A72"/>
    <w:rsid w:val="00382EBA"/>
    <w:rsid w:val="0038331A"/>
    <w:rsid w:val="0039135B"/>
    <w:rsid w:val="003A34E7"/>
    <w:rsid w:val="003A3CB1"/>
    <w:rsid w:val="003A3D55"/>
    <w:rsid w:val="003A73A4"/>
    <w:rsid w:val="003B102E"/>
    <w:rsid w:val="003B26BA"/>
    <w:rsid w:val="003B4E3D"/>
    <w:rsid w:val="003C167E"/>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4ED5"/>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34D"/>
    <w:rsid w:val="00497FEA"/>
    <w:rsid w:val="004A75F5"/>
    <w:rsid w:val="004B07B2"/>
    <w:rsid w:val="004B0955"/>
    <w:rsid w:val="004B143D"/>
    <w:rsid w:val="004B1842"/>
    <w:rsid w:val="004B25D0"/>
    <w:rsid w:val="004B3553"/>
    <w:rsid w:val="004B5E92"/>
    <w:rsid w:val="004B6859"/>
    <w:rsid w:val="004C0A30"/>
    <w:rsid w:val="004C357C"/>
    <w:rsid w:val="004C3D18"/>
    <w:rsid w:val="004D42B1"/>
    <w:rsid w:val="004D526F"/>
    <w:rsid w:val="004E0583"/>
    <w:rsid w:val="004E19C0"/>
    <w:rsid w:val="004E1C54"/>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162F"/>
    <w:rsid w:val="00754844"/>
    <w:rsid w:val="00754B57"/>
    <w:rsid w:val="0075671D"/>
    <w:rsid w:val="0076002F"/>
    <w:rsid w:val="0076038B"/>
    <w:rsid w:val="00761744"/>
    <w:rsid w:val="00764582"/>
    <w:rsid w:val="00765FA3"/>
    <w:rsid w:val="00766961"/>
    <w:rsid w:val="00766B5A"/>
    <w:rsid w:val="0077026A"/>
    <w:rsid w:val="00770C33"/>
    <w:rsid w:val="007741C3"/>
    <w:rsid w:val="00777BE0"/>
    <w:rsid w:val="00777CFF"/>
    <w:rsid w:val="00780923"/>
    <w:rsid w:val="00781265"/>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28FD"/>
    <w:rsid w:val="008D59F9"/>
    <w:rsid w:val="008D5C28"/>
    <w:rsid w:val="008E00A6"/>
    <w:rsid w:val="008E2D26"/>
    <w:rsid w:val="008E3C8E"/>
    <w:rsid w:val="008E4076"/>
    <w:rsid w:val="008E7DBA"/>
    <w:rsid w:val="008F1993"/>
    <w:rsid w:val="008F3386"/>
    <w:rsid w:val="008F3AD9"/>
    <w:rsid w:val="008F4642"/>
    <w:rsid w:val="008F4C29"/>
    <w:rsid w:val="008F4E00"/>
    <w:rsid w:val="008F6163"/>
    <w:rsid w:val="008F761D"/>
    <w:rsid w:val="00900D44"/>
    <w:rsid w:val="00902520"/>
    <w:rsid w:val="00906DC4"/>
    <w:rsid w:val="00911A61"/>
    <w:rsid w:val="0091457F"/>
    <w:rsid w:val="0091729E"/>
    <w:rsid w:val="0093261E"/>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8284E"/>
    <w:rsid w:val="00A870EE"/>
    <w:rsid w:val="00A91D91"/>
    <w:rsid w:val="00A96F81"/>
    <w:rsid w:val="00A9709D"/>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98A"/>
    <w:rsid w:val="00C17150"/>
    <w:rsid w:val="00C17E6C"/>
    <w:rsid w:val="00C249CC"/>
    <w:rsid w:val="00C24E5F"/>
    <w:rsid w:val="00C255B6"/>
    <w:rsid w:val="00C262E7"/>
    <w:rsid w:val="00C26F3A"/>
    <w:rsid w:val="00C2770B"/>
    <w:rsid w:val="00C30296"/>
    <w:rsid w:val="00C3170E"/>
    <w:rsid w:val="00C31947"/>
    <w:rsid w:val="00C3337F"/>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5E02"/>
    <w:rsid w:val="00D378C9"/>
    <w:rsid w:val="00D37B9F"/>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99F"/>
    <w:rsid w:val="00E67845"/>
    <w:rsid w:val="00E67B40"/>
    <w:rsid w:val="00E703AE"/>
    <w:rsid w:val="00E72373"/>
    <w:rsid w:val="00E74A40"/>
    <w:rsid w:val="00E76AF9"/>
    <w:rsid w:val="00E84EF0"/>
    <w:rsid w:val="00E8649C"/>
    <w:rsid w:val="00E87886"/>
    <w:rsid w:val="00E87CDE"/>
    <w:rsid w:val="00E91FC1"/>
    <w:rsid w:val="00E92D54"/>
    <w:rsid w:val="00E9323C"/>
    <w:rsid w:val="00E95FD8"/>
    <w:rsid w:val="00EA0283"/>
    <w:rsid w:val="00EA357E"/>
    <w:rsid w:val="00EA3C0E"/>
    <w:rsid w:val="00EA5DE1"/>
    <w:rsid w:val="00EB0C86"/>
    <w:rsid w:val="00EB0E16"/>
    <w:rsid w:val="00EB1A57"/>
    <w:rsid w:val="00EB236F"/>
    <w:rsid w:val="00EB237E"/>
    <w:rsid w:val="00EC1546"/>
    <w:rsid w:val="00EC15D5"/>
    <w:rsid w:val="00EC4D18"/>
    <w:rsid w:val="00EC5B23"/>
    <w:rsid w:val="00EC5DED"/>
    <w:rsid w:val="00EC6BD8"/>
    <w:rsid w:val="00ED0356"/>
    <w:rsid w:val="00ED0D71"/>
    <w:rsid w:val="00ED3DCD"/>
    <w:rsid w:val="00ED3DD5"/>
    <w:rsid w:val="00ED4FDB"/>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AEE"/>
    <w:rsid w:val="00F70EA4"/>
    <w:rsid w:val="00F77851"/>
    <w:rsid w:val="00F80FAB"/>
    <w:rsid w:val="00F81AAC"/>
    <w:rsid w:val="00F81E3B"/>
    <w:rsid w:val="00F827E1"/>
    <w:rsid w:val="00F927B5"/>
    <w:rsid w:val="00F94BD0"/>
    <w:rsid w:val="00F95403"/>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12FC402E-3C4A-4D9E-A44D-1C36B76C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0fb0f98-34f9-4d57-9559-eb8efd17aa5e">ESMA84-2037069784-2285</_dlc_DocId>
    <TaxCatchAll xmlns="d0fb0f98-34f9-4d57-9559-eb8efd17aa5e">
      <Value>425</Value>
      <Value>500</Value>
      <Value>9</Value>
      <Value>8</Value>
      <Value>86</Value>
    </TaxCatchAll>
    <_dlc_DocIdUrl xmlns="d0fb0f98-34f9-4d57-9559-eb8efd17aa5e">
      <Url>https://securitiesandmarketsauth.sharepoint.com/sites/sherpa-craunit/_layouts/15/DocIdRedir.aspx?ID=ESMA84-2037069784-2285</Url>
      <Description>ESMA84-2037069784-2285</Description>
    </_dlc_DocIdUrl>
    <Year xmlns="d0fb0f98-34f9-4d57-9559-eb8efd17aa5e">2024</Year>
    <MeetingDate xmlns="d0fb0f98-34f9-4d57-9559-eb8efd17aa5e" xsi:nil="true"/>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dd0664d3f47447a8943f346211d0253e>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ab8b5864a6dc4f2ea5aeb44d6d375f74>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k47b2c662a4d451c94b6991b27ccdf61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k47b2c662a4d451c94b6991b27ccdf61>
    <hb56520e44e642c88c7a09896d1bc2ee xmlns="d0fb0f98-34f9-4d57-9559-eb8efd17aa5e">
      <Terms xmlns="http://schemas.microsoft.com/office/infopath/2007/PartnerControls"/>
    </hb56520e44e642c88c7a09896d1bc2ee>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Policy Document" ma:contentTypeID="0x01010027D61B08324E424895FDA0DDD821312D02001CC94A2DC0878047AC79B02E1A10AE02" ma:contentTypeVersion="26" ma:contentTypeDescription="" ma:contentTypeScope="" ma:versionID="6f488500bae95708088b3fc3aa0ff7d6">
  <xsd:schema xmlns:xsd="http://www.w3.org/2001/XMLSchema" xmlns:xs="http://www.w3.org/2001/XMLSchema" xmlns:p="http://schemas.microsoft.com/office/2006/metadata/properties" xmlns:ns2="d0fb0f98-34f9-4d57-9559-eb8efd17aa5e" xmlns:ns3="85a93b33-139e-46e0-b278-f2636ec41d6c" xmlns:ns4="http://schemas.microsoft.com/sharepoint/v4" targetNamespace="http://schemas.microsoft.com/office/2006/metadata/properties" ma:root="true" ma:fieldsID="3df2a5322de19772e33045280ac2c293" ns2:_="" ns3:_="" ns4:_="">
    <xsd:import namespace="d0fb0f98-34f9-4d57-9559-eb8efd17aa5e"/>
    <xsd:import namespace="85a93b33-139e-46e0-b278-f2636ec41d6c"/>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k47b2c662a4d451c94b6991b27ccdf61" minOccurs="0"/>
                <xsd:element ref="ns2:i3322e601ac8421cbd1b686355963f37"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4:IconOverla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7" nillable="true" ma:taxonomy="true" ma:internalName="f289fbc384b1484ea5f6ff6b522b513c" ma:taxonomyFieldName="DocumentType" ma:displayName="Document Type" ma:readOnly="false" ma:default="-1;#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9" ma:taxonomy="true" ma:internalName="dd0664d3f47447a8943f346211d0253e" ma:taxonomyFieldName="ConfidentialityLevel" ma:displayName="Confidentiality Level" ma:readOnly="false" ma:default="8;#Regular|07f1e362-856b-423d-bea6-a14079762141"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20"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nillable="true" ma:taxonomy="true" ma:internalName="ab8b5864a6dc4f2ea5aeb44d6d375f74" ma:taxonomyFieldName="Topic" ma:displayName="Topic" ma:readOnly="false" ma:default="" ma:fieldId="{ab8b5864-a6dc-4f2e-a5ae-b44d6d375f74}" ma:sspId="d4b01e31-ead0-4f68-a8e9-2aaca35f2e62" ma:termSetId="62b2e372-4427-4135-8089-e892b057348d" ma:anchorId="00000000-0000-0000-0000-000000000000" ma:open="true" ma:isKeyword="false">
      <xsd:complexType>
        <xsd:sequence>
          <xsd:element ref="pc:Terms" minOccurs="0" maxOccurs="1"/>
        </xsd:sequence>
      </xsd:complexType>
    </xsd:element>
    <xsd:element name="k47b2c662a4d451c94b6991b27ccdf61" ma:index="22" nillable="true" ma:taxonomy="true" ma:internalName="k47b2c662a4d451c94b6991b27ccdf61" ma:taxonomyFieldName="SubTopic" ma:displayName="Sub Topic" ma:readOnly="false" ma:default="" ma:fieldId="{447b2c66-2a4d-451c-94b6-991b27ccdf61}" ma:sspId="d4b01e31-ead0-4f68-a8e9-2aaca35f2e62" ma:termSetId="714f31ba-385c-4cd5-bfdf-fc4e6400a430" ma:anchorId="00000000-0000-0000-0000-000000000000" ma:open="true" ma:isKeyword="false">
      <xsd:complexType>
        <xsd:sequence>
          <xsd:element ref="pc:Terms" minOccurs="0" maxOccurs="1"/>
        </xsd:sequence>
      </xsd:complexType>
    </xsd:element>
    <xsd:element name="i3322e601ac8421cbd1b686355963f37" ma:index="23" nillable="true" ma:taxonomy="true" ma:internalName="i3322e601ac8421cbd1b686355963f37" ma:taxonomyFieldName="TeamName" ma:displayName="Team Name" ma:readOnly="false"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a93b33-139e-46e0-b278-f2636ec41d6c"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7F5EE-E87B-49CE-96B5-F95CE63A0DF2}">
  <ds:schemaRefs>
    <ds:schemaRef ds:uri="d0fb0f98-34f9-4d57-9559-eb8efd17aa5e"/>
    <ds:schemaRef ds:uri="http://schemas.microsoft.com/office/2006/metadata/properties"/>
    <ds:schemaRef ds:uri="http://schemas.microsoft.com/office/2006/documentManagement/types"/>
    <ds:schemaRef ds:uri="http://purl.org/dc/terms/"/>
    <ds:schemaRef ds:uri="http://purl.org/dc/elements/1.1/"/>
    <ds:schemaRef ds:uri="http://schemas.microsoft.com/office/infopath/2007/PartnerControls"/>
    <ds:schemaRef ds:uri="85a93b33-139e-46e0-b278-f2636ec41d6c"/>
    <ds:schemaRef ds:uri="http://schemas.openxmlformats.org/package/2006/metadata/core-properties"/>
    <ds:schemaRef ds:uri="http://schemas.microsoft.com/sharepoint/v4"/>
    <ds:schemaRef ds:uri="http://www.w3.org/XML/1998/namespace"/>
    <ds:schemaRef ds:uri="http://purl.org/dc/dcmitype/"/>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E64FA6A0-161D-491E-A20C-FF2A62A7B680}">
  <ds:schemaRefs>
    <ds:schemaRef ds:uri="http://schemas.microsoft.com/sharepoint/events"/>
  </ds:schemaRefs>
</ds:datastoreItem>
</file>

<file path=customXml/itemProps5.xml><?xml version="1.0" encoding="utf-8"?>
<ds:datastoreItem xmlns:ds="http://schemas.openxmlformats.org/officeDocument/2006/customXml" ds:itemID="{A2427B20-4B54-4527-A38C-7303C74B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5a93b33-139e-46e0-b278-f2636ec41d6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1</TotalTime>
  <Pages>8</Pages>
  <Words>2080</Words>
  <Characters>11856</Characters>
  <Application>Microsoft Office Word</Application>
  <DocSecurity>0</DocSecurity>
  <Lines>98</Lines>
  <Paragraphs>27</Paragraphs>
  <ScaleCrop>false</ScaleCrop>
  <Company>ESMA</Company>
  <LinksUpToDate>false</LinksUpToDate>
  <CharactersWithSpaces>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David Jeannet</cp:lastModifiedBy>
  <cp:revision>5</cp:revision>
  <cp:lastPrinted>2017-07-24T14:47:00Z</cp:lastPrinted>
  <dcterms:created xsi:type="dcterms:W3CDTF">2025-06-19T19:49:00Z</dcterms:created>
  <dcterms:modified xsi:type="dcterms:W3CDTF">2025-06-20T09:55:00Z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0x01010027D61B08324E424895FDA0DDD821312D02001CC94A2DC0878047AC79B02E1A10AE02</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ies>
</file>