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1F3ED354"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Consultation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All interested stakeholders are invited to respond to this Consultation Paper. In particular, ESMA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349AC593" w:rsidR="00C85C8B" w:rsidRPr="00B16706" w:rsidRDefault="00AD58B4" w:rsidP="00C85C8B">
                <w:pPr>
                  <w:rPr>
                    <w:rFonts w:ascii="Arial" w:hAnsi="Arial" w:cs="Arial"/>
                    <w:color w:val="808080"/>
                    <w:sz w:val="16"/>
                    <w:szCs w:val="20"/>
                    <w:lang w:eastAsia="de-DE"/>
                  </w:rPr>
                </w:pPr>
                <w:r>
                  <w:rPr>
                    <w:rFonts w:ascii="Arial" w:hAnsi="Arial" w:cs="Arial"/>
                    <w:color w:val="808080"/>
                    <w:sz w:val="16"/>
                    <w:szCs w:val="20"/>
                    <w:lang w:eastAsia="de-DE"/>
                  </w:rPr>
                  <w:t>European Fund and Asset Management Association (EFAMA)</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39C03D2A" w:rsidR="00C85C8B" w:rsidRPr="00B16706" w:rsidRDefault="00970D2C"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AD58B4">
                  <w:rPr>
                    <w:rFonts w:ascii="Arial" w:hAnsi="Arial" w:cs="Arial"/>
                    <w:sz w:val="16"/>
                    <w:szCs w:val="20"/>
                    <w:lang w:eastAsia="de-DE"/>
                  </w:rPr>
                  <w:t>Investment Services</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417D19A2" w:rsidR="00C85C8B" w:rsidRPr="00B16706" w:rsidRDefault="00AD58B4"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2914099C" w:rsidR="00C85C8B" w:rsidRPr="00B16706" w:rsidRDefault="00AD58B4" w:rsidP="00C85C8B">
                <w:pPr>
                  <w:rPr>
                    <w:rFonts w:ascii="Arial" w:hAnsi="Arial" w:cs="Arial"/>
                    <w:sz w:val="16"/>
                    <w:szCs w:val="20"/>
                    <w:lang w:eastAsia="de-DE"/>
                  </w:rPr>
                </w:pPr>
                <w:r>
                  <w:rPr>
                    <w:rFonts w:ascii="Arial" w:hAnsi="Arial" w:cs="Arial"/>
                    <w:sz w:val="16"/>
                    <w:szCs w:val="20"/>
                    <w:lang w:eastAsia="de-DE"/>
                  </w:rPr>
                  <w:t>Belgium</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r w:rsidRPr="009464EF">
        <w:rPr>
          <w:b/>
          <w:bCs/>
        </w:rPr>
        <w:t>Q1</w:t>
      </w:r>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7C9A1E98" w14:textId="4AB3F364" w:rsidR="00A46866" w:rsidRPr="006946A3" w:rsidRDefault="00A46866" w:rsidP="004123A3">
      <w:pPr>
        <w:rPr>
          <w:rFonts w:ascii="Calibri" w:hAnsi="Calibri" w:cs="Calibri"/>
          <w:sz w:val="22"/>
          <w:szCs w:val="22"/>
          <w:lang w:val="en-US"/>
        </w:rPr>
      </w:pPr>
      <w:permStart w:id="1765354918" w:edGrp="everyone"/>
      <w:r w:rsidRPr="006946A3">
        <w:rPr>
          <w:rFonts w:ascii="Calibri" w:hAnsi="Calibri" w:cs="Calibri"/>
          <w:sz w:val="22"/>
          <w:szCs w:val="22"/>
          <w:lang w:val="en-US"/>
        </w:rPr>
        <w:t xml:space="preserve">We welcome the opportunity to respond to this consultation on the draft RTS for </w:t>
      </w:r>
      <w:r w:rsidR="00AF4AF1" w:rsidRPr="006946A3">
        <w:rPr>
          <w:rFonts w:ascii="Calibri" w:hAnsi="Calibri" w:cs="Calibri"/>
          <w:sz w:val="22"/>
          <w:szCs w:val="22"/>
          <w:lang w:val="en-US"/>
        </w:rPr>
        <w:t xml:space="preserve">the regulation on </w:t>
      </w:r>
      <w:r w:rsidRPr="006946A3">
        <w:rPr>
          <w:rFonts w:ascii="Calibri" w:hAnsi="Calibri" w:cs="Calibri"/>
          <w:sz w:val="22"/>
          <w:szCs w:val="22"/>
          <w:lang w:val="en-US"/>
        </w:rPr>
        <w:t>ESG rating</w:t>
      </w:r>
      <w:r w:rsidR="00AF4AF1" w:rsidRPr="006946A3">
        <w:rPr>
          <w:rFonts w:ascii="Calibri" w:hAnsi="Calibri" w:cs="Calibri"/>
          <w:sz w:val="22"/>
          <w:szCs w:val="22"/>
          <w:lang w:val="en-US"/>
        </w:rPr>
        <w:t xml:space="preserve"> activities</w:t>
      </w:r>
      <w:r w:rsidRPr="006946A3">
        <w:rPr>
          <w:rFonts w:ascii="Calibri" w:hAnsi="Calibri" w:cs="Calibri"/>
          <w:sz w:val="22"/>
          <w:szCs w:val="22"/>
          <w:lang w:val="en-US"/>
        </w:rPr>
        <w:t xml:space="preserve">. We support ESMA’s objective to enhance transparency, consistency, and comparability in the ESG ratings market. In this context, we would like to raise a number of general comments regarding the structure and implementation of the RTS. </w:t>
      </w:r>
    </w:p>
    <w:p w14:paraId="64AA8C08" w14:textId="77777777" w:rsidR="004123A3" w:rsidRPr="006946A3" w:rsidRDefault="004123A3" w:rsidP="004123A3">
      <w:pPr>
        <w:rPr>
          <w:rFonts w:ascii="Calibri" w:hAnsi="Calibri" w:cs="Calibri"/>
          <w:sz w:val="22"/>
          <w:szCs w:val="22"/>
          <w:lang w:val="en-BE"/>
        </w:rPr>
      </w:pPr>
    </w:p>
    <w:p w14:paraId="2B8062CC" w14:textId="0411E5EF" w:rsidR="009E675E" w:rsidRPr="006946A3" w:rsidRDefault="009E675E" w:rsidP="009E675E">
      <w:pPr>
        <w:rPr>
          <w:rFonts w:ascii="Calibri" w:hAnsi="Calibri" w:cs="Calibri"/>
          <w:sz w:val="22"/>
          <w:szCs w:val="22"/>
          <w:lang w:val="en-BE"/>
        </w:rPr>
      </w:pPr>
      <w:r w:rsidRPr="006946A3">
        <w:rPr>
          <w:rFonts w:ascii="Calibri" w:hAnsi="Calibri" w:cs="Calibri"/>
          <w:sz w:val="22"/>
          <w:szCs w:val="22"/>
          <w:lang w:val="en-BE"/>
        </w:rPr>
        <w:t>Most asset managers have some form of in-house proprietary rating system for assessing issuers' environmental, social, and/or governance risks and opportunities. These systems are developed and used to assist investment decisions and as part of funds’ investment processes, as well as in order to comply with other regulatory requirements</w:t>
      </w:r>
      <w:r w:rsidR="004123A3" w:rsidRPr="006946A3">
        <w:rPr>
          <w:rFonts w:ascii="Calibri" w:hAnsi="Calibri" w:cs="Calibri"/>
          <w:sz w:val="22"/>
          <w:szCs w:val="22"/>
          <w:lang w:val="en-BE"/>
        </w:rPr>
        <w:t xml:space="preserve">. </w:t>
      </w:r>
      <w:r w:rsidR="00D002E0">
        <w:rPr>
          <w:rFonts w:ascii="Calibri" w:hAnsi="Calibri" w:cs="Calibri"/>
          <w:sz w:val="22"/>
          <w:szCs w:val="22"/>
          <w:lang w:val="en-BE"/>
        </w:rPr>
        <w:t xml:space="preserve">In addition, they </w:t>
      </w:r>
      <w:r w:rsidR="00D002E0" w:rsidRPr="006946A3">
        <w:rPr>
          <w:rFonts w:ascii="Calibri" w:hAnsi="Calibri" w:cs="Calibri"/>
          <w:sz w:val="22"/>
          <w:szCs w:val="22"/>
          <w:lang w:val="en-BE"/>
        </w:rPr>
        <w:t>are often disclosed in managers' SFDR-required disclosures and marketing materials. </w:t>
      </w:r>
      <w:r w:rsidR="004123A3" w:rsidRPr="006946A3">
        <w:rPr>
          <w:rFonts w:ascii="Calibri" w:hAnsi="Calibri" w:cs="Calibri"/>
          <w:sz w:val="22"/>
          <w:szCs w:val="22"/>
          <w:lang w:val="en-BE"/>
        </w:rPr>
        <w:t xml:space="preserve">In such cases, where the asset managers disclose ESG ratings </w:t>
      </w:r>
      <w:r w:rsidR="00D002E0">
        <w:rPr>
          <w:rFonts w:ascii="Calibri" w:hAnsi="Calibri" w:cs="Calibri"/>
          <w:sz w:val="22"/>
          <w:szCs w:val="22"/>
          <w:lang w:val="en-BE"/>
        </w:rPr>
        <w:t>incorporated into</w:t>
      </w:r>
      <w:r w:rsidR="004123A3" w:rsidRPr="006946A3">
        <w:rPr>
          <w:rFonts w:ascii="Calibri" w:hAnsi="Calibri" w:cs="Calibri"/>
          <w:sz w:val="22"/>
          <w:szCs w:val="22"/>
          <w:lang w:val="en-BE"/>
        </w:rPr>
        <w:t xml:space="preserve"> their product and services (</w:t>
      </w:r>
      <w:r w:rsidR="00D002E0">
        <w:rPr>
          <w:rFonts w:ascii="Calibri" w:hAnsi="Calibri" w:cs="Calibri"/>
          <w:sz w:val="22"/>
          <w:szCs w:val="22"/>
          <w:lang w:val="en-BE"/>
        </w:rPr>
        <w:t>already regulated</w:t>
      </w:r>
      <w:r w:rsidR="004123A3" w:rsidRPr="006946A3">
        <w:rPr>
          <w:rFonts w:ascii="Calibri" w:hAnsi="Calibri" w:cs="Calibri"/>
          <w:sz w:val="22"/>
          <w:szCs w:val="22"/>
          <w:lang w:val="en-BE"/>
        </w:rPr>
        <w:t xml:space="preserve"> by sectoral regulations such as UCITS, AIFMD, MiFID, SFDR, etc.), they are not subject to the ESG rating regulation</w:t>
      </w:r>
      <w:r w:rsidR="00D002E0">
        <w:rPr>
          <w:rFonts w:ascii="Calibri" w:hAnsi="Calibri" w:cs="Calibri"/>
          <w:sz w:val="22"/>
          <w:szCs w:val="22"/>
          <w:lang w:val="en-BE"/>
        </w:rPr>
        <w:t xml:space="preserve"> as referred to Article 2.2 (c) of the Regulation 2024/3005</w:t>
      </w:r>
      <w:r w:rsidR="004123A3" w:rsidRPr="006946A3">
        <w:rPr>
          <w:rFonts w:ascii="Calibri" w:hAnsi="Calibri" w:cs="Calibri"/>
          <w:sz w:val="22"/>
          <w:szCs w:val="22"/>
          <w:lang w:val="en-BE"/>
        </w:rPr>
        <w:t xml:space="preserve">. </w:t>
      </w:r>
    </w:p>
    <w:p w14:paraId="0D082E87" w14:textId="77777777" w:rsidR="007624E6" w:rsidRPr="006946A3" w:rsidRDefault="007624E6" w:rsidP="009E675E">
      <w:pPr>
        <w:rPr>
          <w:rFonts w:ascii="Calibri" w:hAnsi="Calibri" w:cs="Calibri"/>
          <w:sz w:val="22"/>
          <w:szCs w:val="22"/>
          <w:lang w:val="en-BE"/>
        </w:rPr>
      </w:pPr>
    </w:p>
    <w:p w14:paraId="1D47CFDF" w14:textId="31A510FE" w:rsidR="004123A3" w:rsidRPr="006946A3" w:rsidRDefault="009E675E" w:rsidP="004123A3">
      <w:pPr>
        <w:spacing w:after="160" w:line="278" w:lineRule="auto"/>
        <w:rPr>
          <w:rFonts w:ascii="Calibri" w:hAnsi="Calibri" w:cs="Calibri"/>
          <w:sz w:val="22"/>
          <w:szCs w:val="22"/>
          <w:lang w:val="en-BE"/>
        </w:rPr>
      </w:pPr>
      <w:r w:rsidRPr="006946A3">
        <w:rPr>
          <w:rFonts w:ascii="Calibri" w:hAnsi="Calibri" w:cs="Calibri"/>
          <w:sz w:val="22"/>
          <w:szCs w:val="22"/>
          <w:lang w:val="en-BE"/>
        </w:rPr>
        <w:t xml:space="preserve">Therefore, EFAMA is responding to this consultation representing </w:t>
      </w:r>
      <w:r w:rsidRPr="006946A3">
        <w:rPr>
          <w:rFonts w:ascii="Calibri" w:hAnsi="Calibri" w:cs="Calibri"/>
          <w:b/>
          <w:bCs/>
          <w:sz w:val="22"/>
          <w:szCs w:val="22"/>
          <w:lang w:val="en-BE"/>
        </w:rPr>
        <w:t>users</w:t>
      </w:r>
      <w:r w:rsidRPr="006946A3">
        <w:rPr>
          <w:rFonts w:ascii="Calibri" w:hAnsi="Calibri" w:cs="Calibri"/>
          <w:sz w:val="22"/>
          <w:szCs w:val="22"/>
          <w:lang w:val="en-BE"/>
        </w:rPr>
        <w:t xml:space="preserve"> of ESG ratings</w:t>
      </w:r>
      <w:r w:rsidR="004123A3" w:rsidRPr="006946A3">
        <w:rPr>
          <w:rFonts w:ascii="Calibri" w:hAnsi="Calibri" w:cs="Calibri"/>
          <w:sz w:val="22"/>
          <w:szCs w:val="22"/>
          <w:lang w:val="en-BE"/>
        </w:rPr>
        <w:t xml:space="preserve">, focusing mainly on the rating disclosure RTS, rather </w:t>
      </w:r>
      <w:r w:rsidRPr="006946A3">
        <w:rPr>
          <w:rFonts w:ascii="Calibri" w:hAnsi="Calibri" w:cs="Calibri"/>
          <w:sz w:val="22"/>
          <w:szCs w:val="22"/>
          <w:lang w:val="en-BE"/>
        </w:rPr>
        <w:t>than financial market participants that will also be subject to these transparency requirements. This is because</w:t>
      </w:r>
      <w:r w:rsidR="004123A3" w:rsidRPr="006946A3">
        <w:rPr>
          <w:rFonts w:ascii="Calibri" w:hAnsi="Calibri" w:cs="Calibri"/>
          <w:sz w:val="22"/>
          <w:szCs w:val="22"/>
          <w:lang w:val="en-BE"/>
        </w:rPr>
        <w:t>, under Article</w:t>
      </w:r>
      <w:r w:rsidR="006953E1">
        <w:rPr>
          <w:rFonts w:ascii="Calibri" w:hAnsi="Calibri" w:cs="Calibri"/>
          <w:sz w:val="22"/>
          <w:szCs w:val="22"/>
          <w:lang w:val="en-BE"/>
        </w:rPr>
        <w:t>s 2 and 49</w:t>
      </w:r>
      <w:r w:rsidR="004123A3" w:rsidRPr="006946A3">
        <w:rPr>
          <w:rFonts w:ascii="Calibri" w:hAnsi="Calibri" w:cs="Calibri"/>
          <w:sz w:val="22"/>
          <w:szCs w:val="22"/>
          <w:lang w:val="en-BE"/>
        </w:rPr>
        <w:t xml:space="preserve"> of the regulation, financial market participants are only subject to</w:t>
      </w:r>
      <w:r w:rsidRPr="006946A3">
        <w:rPr>
          <w:rFonts w:ascii="Calibri" w:hAnsi="Calibri" w:cs="Calibri"/>
          <w:sz w:val="22"/>
          <w:szCs w:val="22"/>
          <w:lang w:val="en-BE"/>
        </w:rPr>
        <w:t xml:space="preserve"> </w:t>
      </w:r>
      <w:r w:rsidR="006953E1">
        <w:rPr>
          <w:rFonts w:ascii="Calibri" w:hAnsi="Calibri" w:cs="Calibri"/>
          <w:sz w:val="22"/>
          <w:szCs w:val="22"/>
          <w:lang w:val="en-BE"/>
        </w:rPr>
        <w:t xml:space="preserve">equivalent transparency rules under SFDR </w:t>
      </w:r>
      <w:r w:rsidRPr="006946A3">
        <w:rPr>
          <w:rFonts w:ascii="Calibri" w:hAnsi="Calibri" w:cs="Calibri"/>
          <w:sz w:val="22"/>
          <w:szCs w:val="22"/>
          <w:lang w:val="en-BE"/>
        </w:rPr>
        <w:t>if they disclose an ESG rating to third parties as part of their marketing communication</w:t>
      </w:r>
      <w:r w:rsidR="004123A3" w:rsidRPr="006946A3">
        <w:rPr>
          <w:rFonts w:ascii="Calibri" w:hAnsi="Calibri" w:cs="Calibri"/>
          <w:sz w:val="22"/>
          <w:szCs w:val="22"/>
          <w:lang w:val="en-BE"/>
        </w:rPr>
        <w:t xml:space="preserve">s. </w:t>
      </w:r>
    </w:p>
    <w:p w14:paraId="730D0E22" w14:textId="79E58833" w:rsidR="009E675E" w:rsidRPr="0050250A" w:rsidRDefault="009E675E" w:rsidP="0050250A">
      <w:pPr>
        <w:spacing w:after="160" w:line="278" w:lineRule="auto"/>
        <w:rPr>
          <w:rFonts w:ascii="Calibri" w:hAnsi="Calibri" w:cs="Calibri"/>
          <w:sz w:val="22"/>
          <w:szCs w:val="22"/>
          <w:lang w:val="en-BE"/>
        </w:rPr>
      </w:pPr>
      <w:r w:rsidRPr="006946A3">
        <w:rPr>
          <w:rFonts w:ascii="Calibri" w:hAnsi="Calibri" w:cs="Calibri"/>
          <w:sz w:val="22"/>
          <w:szCs w:val="22"/>
          <w:lang w:val="en-BE"/>
        </w:rPr>
        <w:t>In specifi</w:t>
      </w:r>
      <w:r w:rsidR="004123A3" w:rsidRPr="006946A3">
        <w:rPr>
          <w:rFonts w:ascii="Calibri" w:hAnsi="Calibri" w:cs="Calibri"/>
          <w:sz w:val="22"/>
          <w:szCs w:val="22"/>
          <w:lang w:val="en-BE"/>
        </w:rPr>
        <w:t xml:space="preserve">c </w:t>
      </w:r>
      <w:r w:rsidRPr="006946A3">
        <w:rPr>
          <w:rFonts w:ascii="Calibri" w:hAnsi="Calibri" w:cs="Calibri"/>
          <w:sz w:val="22"/>
          <w:szCs w:val="22"/>
          <w:lang w:val="en-BE"/>
        </w:rPr>
        <w:t xml:space="preserve">instances where a financial market participant </w:t>
      </w:r>
      <w:r w:rsidR="00E00226" w:rsidRPr="006946A3">
        <w:rPr>
          <w:rFonts w:ascii="Calibri" w:hAnsi="Calibri" w:cs="Calibri"/>
          <w:sz w:val="22"/>
          <w:szCs w:val="22"/>
          <w:lang w:val="en-BE"/>
        </w:rPr>
        <w:t>discloses ESG ratings in marketing communication relating to its regulated product or activities</w:t>
      </w:r>
      <w:r w:rsidRPr="006946A3">
        <w:rPr>
          <w:rFonts w:ascii="Calibri" w:hAnsi="Calibri" w:cs="Calibri"/>
          <w:sz w:val="22"/>
          <w:szCs w:val="22"/>
          <w:lang w:val="en-BE"/>
        </w:rPr>
        <w:t xml:space="preserve">, </w:t>
      </w:r>
      <w:r w:rsidR="00D002E0">
        <w:rPr>
          <w:rFonts w:ascii="Calibri" w:hAnsi="Calibri" w:cs="Calibri"/>
          <w:sz w:val="22"/>
          <w:szCs w:val="22"/>
          <w:lang w:val="en-BE"/>
        </w:rPr>
        <w:t xml:space="preserve">other </w:t>
      </w:r>
      <w:r w:rsidRPr="006946A3">
        <w:rPr>
          <w:rFonts w:ascii="Calibri" w:hAnsi="Calibri" w:cs="Calibri"/>
          <w:sz w:val="22"/>
          <w:szCs w:val="22"/>
          <w:lang w:val="en-BE"/>
        </w:rPr>
        <w:t>regulatory technical standards</w:t>
      </w:r>
      <w:r w:rsidR="004123A3" w:rsidRPr="006946A3">
        <w:rPr>
          <w:rFonts w:ascii="Calibri" w:hAnsi="Calibri" w:cs="Calibri"/>
          <w:sz w:val="22"/>
          <w:szCs w:val="22"/>
          <w:lang w:val="en-BE"/>
        </w:rPr>
        <w:t xml:space="preserve"> are</w:t>
      </w:r>
      <w:r w:rsidRPr="006946A3">
        <w:rPr>
          <w:rFonts w:ascii="Calibri" w:hAnsi="Calibri" w:cs="Calibri"/>
          <w:sz w:val="22"/>
          <w:szCs w:val="22"/>
          <w:lang w:val="en-BE"/>
        </w:rPr>
        <w:t xml:space="preserve"> to be developed </w:t>
      </w:r>
      <w:r w:rsidR="004123A3" w:rsidRPr="006946A3">
        <w:rPr>
          <w:rFonts w:ascii="Calibri" w:hAnsi="Calibri" w:cs="Calibri"/>
          <w:sz w:val="22"/>
          <w:szCs w:val="22"/>
          <w:lang w:val="en-BE"/>
        </w:rPr>
        <w:t>to specify E</w:t>
      </w:r>
      <w:r w:rsidR="007563B5" w:rsidRPr="006946A3">
        <w:rPr>
          <w:rFonts w:ascii="Calibri" w:hAnsi="Calibri" w:cs="Calibri"/>
          <w:sz w:val="22"/>
          <w:szCs w:val="22"/>
          <w:lang w:val="en-BE"/>
        </w:rPr>
        <w:t>S</w:t>
      </w:r>
      <w:r w:rsidR="004123A3" w:rsidRPr="006946A3">
        <w:rPr>
          <w:rFonts w:ascii="Calibri" w:hAnsi="Calibri" w:cs="Calibri"/>
          <w:sz w:val="22"/>
          <w:szCs w:val="22"/>
          <w:lang w:val="en-BE"/>
        </w:rPr>
        <w:t>G rating disclosures</w:t>
      </w:r>
      <w:r w:rsidR="00D002E0">
        <w:rPr>
          <w:rFonts w:ascii="Calibri" w:hAnsi="Calibri" w:cs="Calibri"/>
          <w:sz w:val="22"/>
          <w:szCs w:val="22"/>
          <w:lang w:val="en-BE"/>
        </w:rPr>
        <w:t xml:space="preserve"> – as referred to in Article 2.3 of the ESG Rating Regulation</w:t>
      </w:r>
      <w:r w:rsidR="007563B5" w:rsidRPr="006946A3">
        <w:rPr>
          <w:rFonts w:ascii="Calibri" w:hAnsi="Calibri" w:cs="Calibri"/>
          <w:sz w:val="22"/>
          <w:szCs w:val="22"/>
          <w:lang w:val="en-BE"/>
        </w:rPr>
        <w:t xml:space="preserve">. </w:t>
      </w:r>
      <w:r w:rsidR="00D002E0">
        <w:rPr>
          <w:rFonts w:ascii="Calibri" w:hAnsi="Calibri" w:cs="Calibri"/>
          <w:sz w:val="22"/>
          <w:szCs w:val="22"/>
          <w:lang w:val="en-BE"/>
        </w:rPr>
        <w:t>T</w:t>
      </w:r>
      <w:r w:rsidR="007563B5" w:rsidRPr="006946A3">
        <w:rPr>
          <w:rFonts w:ascii="Calibri" w:hAnsi="Calibri" w:cs="Calibri"/>
          <w:sz w:val="22"/>
          <w:szCs w:val="22"/>
          <w:lang w:val="en-BE"/>
        </w:rPr>
        <w:t>hese RTS</w:t>
      </w:r>
      <w:r w:rsidR="004123A3" w:rsidRPr="006946A3">
        <w:rPr>
          <w:rFonts w:ascii="Calibri" w:hAnsi="Calibri" w:cs="Calibri"/>
          <w:sz w:val="22"/>
          <w:szCs w:val="22"/>
          <w:lang w:val="en-BE"/>
        </w:rPr>
        <w:t xml:space="preserve"> </w:t>
      </w:r>
      <w:r w:rsidRPr="006946A3">
        <w:rPr>
          <w:rFonts w:ascii="Calibri" w:hAnsi="Calibri" w:cs="Calibri"/>
          <w:sz w:val="22"/>
          <w:szCs w:val="22"/>
          <w:lang w:val="en-BE"/>
        </w:rPr>
        <w:t xml:space="preserve">will take into account the information already disclosed as part of the website disclosures under </w:t>
      </w:r>
      <w:r w:rsidR="007563B5" w:rsidRPr="006946A3">
        <w:rPr>
          <w:rFonts w:ascii="Calibri" w:hAnsi="Calibri" w:cs="Calibri"/>
          <w:sz w:val="22"/>
          <w:szCs w:val="22"/>
          <w:lang w:val="en-BE"/>
        </w:rPr>
        <w:t xml:space="preserve">Article 10 of </w:t>
      </w:r>
      <w:r w:rsidRPr="006946A3">
        <w:rPr>
          <w:rFonts w:ascii="Calibri" w:hAnsi="Calibri" w:cs="Calibri"/>
          <w:sz w:val="22"/>
          <w:szCs w:val="22"/>
          <w:lang w:val="en-BE"/>
        </w:rPr>
        <w:t>the Sustainable Finance Disclosure Regulation (SFDR). We believe this consideration is a positive step towards ensuring duplication of disclosures is avoided and administrative burden is reduced. On this note, we stand ready to work with the European Supervisory Authorities (ESAs) in achieving the intended outcomes of the transparency requirements in the most efficient and effective way</w:t>
      </w:r>
      <w:r w:rsidR="00C45258">
        <w:rPr>
          <w:rFonts w:ascii="Calibri" w:hAnsi="Calibri" w:cs="Calibri"/>
          <w:sz w:val="22"/>
          <w:szCs w:val="22"/>
          <w:lang w:val="en-BE"/>
        </w:rPr>
        <w:t>,</w:t>
      </w:r>
      <w:r w:rsidR="00A45BCD" w:rsidRPr="006946A3">
        <w:rPr>
          <w:rFonts w:ascii="Calibri" w:hAnsi="Calibri" w:cs="Calibri"/>
          <w:sz w:val="22"/>
          <w:szCs w:val="22"/>
          <w:lang w:val="en-BE"/>
        </w:rPr>
        <w:t xml:space="preserve"> in light of the short timeline for the implementation of the RTS</w:t>
      </w:r>
      <w:r w:rsidRPr="006946A3">
        <w:rPr>
          <w:rFonts w:ascii="Calibri" w:hAnsi="Calibri" w:cs="Calibri"/>
          <w:sz w:val="22"/>
          <w:szCs w:val="22"/>
          <w:lang w:val="en-BE"/>
        </w:rPr>
        <w:t>.</w:t>
      </w:r>
      <w:permEnd w:id="1765354918"/>
    </w:p>
    <w:p w14:paraId="38524F57" w14:textId="03085E0F"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r w:rsidRPr="009464EF">
        <w:rPr>
          <w:b/>
          <w:bCs/>
        </w:rPr>
        <w:t>Q2</w:t>
      </w:r>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34BB0EB1" w14:textId="45432393" w:rsidR="007624E6" w:rsidRPr="006946A3" w:rsidRDefault="007624E6" w:rsidP="007624E6">
      <w:pPr>
        <w:spacing w:after="160" w:line="259" w:lineRule="auto"/>
        <w:rPr>
          <w:rFonts w:ascii="Calibri" w:hAnsi="Calibri" w:cs="Calibri"/>
          <w:sz w:val="22"/>
          <w:szCs w:val="22"/>
          <w:lang w:val="en-BE"/>
        </w:rPr>
      </w:pPr>
      <w:permStart w:id="1667529024" w:edGrp="everyone"/>
      <w:r w:rsidRPr="006946A3">
        <w:rPr>
          <w:rFonts w:ascii="Calibri" w:hAnsi="Calibri" w:cs="Calibri"/>
          <w:sz w:val="22"/>
          <w:szCs w:val="22"/>
          <w:lang w:val="en-BE"/>
        </w:rPr>
        <w:lastRenderedPageBreak/>
        <w:t xml:space="preserve">On the separation of activities, we fully agree that establishing clear and robust separation through organisational and physical measures is key to enabling the segregation of functions and information barriers in instances where an ESG rating provider also provides other permissible activities contemplated under </w:t>
      </w:r>
      <w:r w:rsidR="00AF4AF1" w:rsidRPr="006946A3">
        <w:rPr>
          <w:rFonts w:ascii="Calibri" w:hAnsi="Calibri" w:cs="Calibri"/>
          <w:sz w:val="22"/>
          <w:szCs w:val="22"/>
          <w:lang w:val="en-BE"/>
        </w:rPr>
        <w:t xml:space="preserve">the regulation on </w:t>
      </w:r>
      <w:r w:rsidRPr="006946A3">
        <w:rPr>
          <w:rFonts w:ascii="Calibri" w:hAnsi="Calibri" w:cs="Calibri"/>
          <w:sz w:val="22"/>
          <w:szCs w:val="22"/>
          <w:lang w:val="en-BE"/>
        </w:rPr>
        <w:t>ESG rating activities. We recognise that physical measures, such as separate offices, are required to achieve meaningful segregation of activities, which in turn leads to the mitigation of potential conflicts of interest. However, we believe the following additional points should be incorporated within the draft RTS under Article 16(5) of ESGRRP:</w:t>
      </w:r>
    </w:p>
    <w:p w14:paraId="072F7877" w14:textId="03C62FB8" w:rsidR="007624E6" w:rsidRPr="006946A3" w:rsidRDefault="007624E6" w:rsidP="007624E6">
      <w:pPr>
        <w:numPr>
          <w:ilvl w:val="0"/>
          <w:numId w:val="44"/>
        </w:numPr>
        <w:spacing w:after="160" w:line="259" w:lineRule="auto"/>
        <w:rPr>
          <w:rFonts w:ascii="Calibri" w:hAnsi="Calibri" w:cs="Calibri"/>
          <w:sz w:val="22"/>
          <w:szCs w:val="22"/>
          <w:lang w:val="en-BE"/>
        </w:rPr>
      </w:pPr>
      <w:r w:rsidRPr="006946A3">
        <w:rPr>
          <w:rFonts w:ascii="Calibri" w:hAnsi="Calibri" w:cs="Calibri"/>
          <w:sz w:val="22"/>
          <w:szCs w:val="22"/>
          <w:lang w:val="en-BE"/>
        </w:rPr>
        <w:t>Under Article 1, we believe that an ESG rating provider should also put in place staff compensation arrangements to eliminate or appropriately manage actual and potential conflicts of interest related to their ESG rating. Currently, Article 1(a) only covers staff reporting lines and does not address compensation arrangements; and</w:t>
      </w:r>
    </w:p>
    <w:p w14:paraId="5213F12E" w14:textId="00D2229C" w:rsidR="009E675E" w:rsidRPr="006946A3" w:rsidRDefault="007624E6" w:rsidP="001B1B48">
      <w:pPr>
        <w:numPr>
          <w:ilvl w:val="0"/>
          <w:numId w:val="44"/>
        </w:numPr>
        <w:spacing w:after="160" w:line="259" w:lineRule="auto"/>
        <w:rPr>
          <w:rFonts w:ascii="Calibri" w:hAnsi="Calibri" w:cs="Calibri"/>
          <w:sz w:val="22"/>
          <w:szCs w:val="22"/>
          <w:lang w:val="en-BE"/>
        </w:rPr>
      </w:pPr>
      <w:r w:rsidRPr="006946A3">
        <w:rPr>
          <w:rFonts w:ascii="Calibri" w:hAnsi="Calibri" w:cs="Calibri"/>
          <w:sz w:val="22"/>
          <w:szCs w:val="22"/>
          <w:lang w:val="en-BE"/>
        </w:rPr>
        <w:t>More generally, and as recommended by IOSCO in its Final Report on ESG Ratings and Data Products Providers, we would welcome the disclosure of the nature of the compensation arrangement or any other business or financial relationships that exist with an entity for which the ESG ratings provider provides ESG ratings, subject to confidentiality, contractual and other business, legal and/or regulatory requirements.</w:t>
      </w:r>
    </w:p>
    <w:permEnd w:id="1667529024"/>
    <w:p w14:paraId="578EB98F" w14:textId="627C3541" w:rsidR="001B1B48" w:rsidRPr="009E675E" w:rsidRDefault="001B1B48" w:rsidP="001B1B48">
      <w:pPr>
        <w:spacing w:after="160" w:line="259" w:lineRule="auto"/>
        <w:rPr>
          <w:i/>
          <w:iCs/>
          <w:lang w:val="en-BE"/>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5764C4A8" w14:textId="26633530" w:rsidR="00AF4AF1" w:rsidRPr="006946A3" w:rsidRDefault="00AF4AF1" w:rsidP="00AF4AF1">
      <w:pPr>
        <w:spacing w:after="160" w:line="259" w:lineRule="auto"/>
        <w:rPr>
          <w:rFonts w:ascii="Calibri" w:hAnsi="Calibri" w:cs="Calibri"/>
          <w:sz w:val="22"/>
          <w:szCs w:val="22"/>
          <w:lang w:val="en-US"/>
        </w:rPr>
      </w:pPr>
      <w:permStart w:id="669658389" w:edGrp="everyone"/>
      <w:r w:rsidRPr="006946A3">
        <w:rPr>
          <w:rFonts w:ascii="Calibri" w:hAnsi="Calibri" w:cs="Calibri"/>
          <w:sz w:val="22"/>
          <w:szCs w:val="22"/>
        </w:rPr>
        <w:t>We also agree that ESMA has not specified further disclosure requirements for each item under point 1 of Annex III</w:t>
      </w:r>
      <w:r w:rsidR="007563B5" w:rsidRPr="006946A3">
        <w:rPr>
          <w:rFonts w:ascii="Calibri" w:hAnsi="Calibri" w:cs="Calibri"/>
          <w:sz w:val="22"/>
          <w:szCs w:val="22"/>
        </w:rPr>
        <w:t>, as these technical standards should only provide additional specifications in instances where requirements</w:t>
      </w:r>
      <w:r w:rsidRPr="006946A3">
        <w:rPr>
          <w:rFonts w:ascii="Calibri" w:hAnsi="Calibri" w:cs="Calibri"/>
          <w:sz w:val="22"/>
          <w:szCs w:val="22"/>
        </w:rPr>
        <w:t xml:space="preserve"> at Level 1 are not sufficiently detailed. However, we have noted below where improvements could be made on the draft RTS. </w:t>
      </w:r>
    </w:p>
    <w:p w14:paraId="178C835D" w14:textId="6908E018" w:rsidR="007563B5" w:rsidRPr="006946A3" w:rsidRDefault="007563B5" w:rsidP="00AE4534">
      <w:pPr>
        <w:spacing w:after="160" w:line="259" w:lineRule="auto"/>
        <w:rPr>
          <w:rFonts w:ascii="Calibri" w:hAnsi="Calibri" w:cs="Calibri"/>
          <w:sz w:val="22"/>
          <w:szCs w:val="22"/>
        </w:rPr>
      </w:pPr>
      <w:r w:rsidRPr="006946A3">
        <w:rPr>
          <w:rFonts w:ascii="Calibri" w:hAnsi="Calibri" w:cs="Calibri"/>
          <w:sz w:val="22"/>
          <w:szCs w:val="22"/>
        </w:rPr>
        <w:t>Clarification of the level of disclosure:</w:t>
      </w:r>
      <w:r w:rsidRPr="006946A3">
        <w:rPr>
          <w:rFonts w:ascii="Calibri" w:hAnsi="Calibri" w:cs="Calibri"/>
          <w:b/>
          <w:bCs/>
          <w:sz w:val="22"/>
          <w:szCs w:val="22"/>
        </w:rPr>
        <w:t> </w:t>
      </w:r>
      <w:r w:rsidRPr="006946A3">
        <w:rPr>
          <w:rFonts w:ascii="Calibri" w:hAnsi="Calibri" w:cs="Calibri"/>
          <w:sz w:val="22"/>
          <w:szCs w:val="22"/>
        </w:rPr>
        <w:t xml:space="preserve">We welcome the efforts to enhance transparency in ESG rating disclosures; however, we note that the current RTS text occasionally lacks clarity regarding the level at which disclosures are expected. </w:t>
      </w:r>
    </w:p>
    <w:p w14:paraId="5170097F" w14:textId="246A27FB" w:rsidR="004D27EF" w:rsidRPr="006946A3" w:rsidRDefault="004D27EF" w:rsidP="00AE4534">
      <w:p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Treatment of aggregated ESG ratings: In several cases, the RTS refers to disclosures “per E, S, and G factors”. In cases of aggregated scores, we believe these requirements will only be relevant if </w:t>
      </w:r>
      <w:r w:rsidR="00AE4534" w:rsidRPr="006946A3">
        <w:rPr>
          <w:rFonts w:ascii="Calibri" w:hAnsi="Calibri" w:cs="Calibri"/>
          <w:sz w:val="22"/>
          <w:szCs w:val="22"/>
          <w:lang w:val="en-US"/>
        </w:rPr>
        <w:t>ESG</w:t>
      </w:r>
      <w:r w:rsidRPr="006946A3">
        <w:rPr>
          <w:rFonts w:ascii="Calibri" w:hAnsi="Calibri" w:cs="Calibri"/>
          <w:sz w:val="22"/>
          <w:szCs w:val="22"/>
          <w:lang w:val="en-US"/>
        </w:rPr>
        <w:t xml:space="preserve"> factors are considered as part of those aggregated scores. </w:t>
      </w:r>
    </w:p>
    <w:p w14:paraId="52291F7B" w14:textId="77777777" w:rsidR="004D27EF" w:rsidRPr="006946A3" w:rsidRDefault="004D27EF" w:rsidP="004D27EF">
      <w:pPr>
        <w:spacing w:after="160" w:line="259" w:lineRule="auto"/>
        <w:rPr>
          <w:rFonts w:ascii="Calibri" w:hAnsi="Calibri" w:cs="Calibri"/>
          <w:b/>
          <w:bCs/>
          <w:sz w:val="22"/>
          <w:szCs w:val="22"/>
          <w:u w:val="single"/>
          <w:lang w:val="en-US"/>
        </w:rPr>
      </w:pPr>
      <w:r w:rsidRPr="006946A3">
        <w:rPr>
          <w:rFonts w:ascii="Calibri" w:hAnsi="Calibri" w:cs="Calibri"/>
          <w:b/>
          <w:bCs/>
          <w:sz w:val="22"/>
          <w:szCs w:val="22"/>
          <w:u w:val="single"/>
          <w:lang w:val="en-US"/>
        </w:rPr>
        <w:t>Annex III. Part 1 -  Disclosures to the Public</w:t>
      </w:r>
    </w:p>
    <w:p w14:paraId="0EA9A36E" w14:textId="77777777" w:rsidR="004D27EF" w:rsidRPr="006946A3" w:rsidRDefault="004D27EF" w:rsidP="004D27EF">
      <w:pPr>
        <w:spacing w:after="160" w:line="259" w:lineRule="auto"/>
        <w:rPr>
          <w:rFonts w:ascii="Calibri" w:hAnsi="Calibri" w:cs="Calibri"/>
          <w:b/>
          <w:bCs/>
          <w:sz w:val="22"/>
          <w:szCs w:val="22"/>
          <w:lang w:val="en-US"/>
        </w:rPr>
      </w:pPr>
      <w:r w:rsidRPr="006946A3">
        <w:rPr>
          <w:rFonts w:ascii="Calibri" w:hAnsi="Calibri" w:cs="Calibri"/>
          <w:b/>
          <w:bCs/>
          <w:sz w:val="22"/>
          <w:szCs w:val="22"/>
          <w:lang w:val="en-US"/>
        </w:rPr>
        <w:t xml:space="preserve">Article 3(1)(a)”the name of the issuer” </w:t>
      </w:r>
    </w:p>
    <w:p w14:paraId="1CEF5C19" w14:textId="77777777"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We do not understand why point (a) requires systematic disclosures of the name of the rated item or the name of its issuer. This section refers to Annex III.1.f and should remain focused on the general methodology regarding the type/family of E, S, G rating or scoring, rather than referring to specific rated entities. </w:t>
      </w:r>
    </w:p>
    <w:p w14:paraId="780795E6" w14:textId="0020B874"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lastRenderedPageBreak/>
        <w:t xml:space="preserve">This means that ESMA should specify that information (a) should be disclosed when the rating is provided on a website on a rated item basis, while information (b) to (e) can be provided by rating/scoring type and referred to by each rated item. In cases where (a) applies, it is important that the disclosures also cover the scope of business activities and any group entities included in the assessment. </w:t>
      </w:r>
    </w:p>
    <w:p w14:paraId="233FD96A" w14:textId="09F7DCA4" w:rsidR="007563B5" w:rsidRPr="006946A3" w:rsidRDefault="007563B5"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And we suggest amending points (b) and (c) to “a generalized description of…”. </w:t>
      </w:r>
    </w:p>
    <w:p w14:paraId="362568C4" w14:textId="31FCAE50" w:rsidR="00AB3ACE" w:rsidRPr="006946A3" w:rsidRDefault="00AB3ACE"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In cases where (a) applies, it is important that the disclosures also cover the scope of business activities and any group entities included in the assessment. </w:t>
      </w:r>
    </w:p>
    <w:p w14:paraId="560E7FCE" w14:textId="77777777" w:rsidR="004D27EF" w:rsidRPr="006946A3" w:rsidRDefault="004D27EF" w:rsidP="004D27EF">
      <w:pPr>
        <w:spacing w:after="160" w:line="259" w:lineRule="auto"/>
        <w:rPr>
          <w:rFonts w:ascii="Calibri" w:hAnsi="Calibri" w:cs="Calibri"/>
          <w:b/>
          <w:bCs/>
          <w:sz w:val="22"/>
          <w:szCs w:val="22"/>
          <w:lang w:val="en-US"/>
        </w:rPr>
      </w:pPr>
      <w:r w:rsidRPr="006946A3">
        <w:rPr>
          <w:rFonts w:ascii="Calibri" w:hAnsi="Calibri" w:cs="Calibri"/>
          <w:b/>
          <w:bCs/>
          <w:sz w:val="22"/>
          <w:szCs w:val="22"/>
          <w:lang w:val="en-US"/>
        </w:rPr>
        <w:t>Article 3(1)(d) “how the proportion of the risk and impact materiality is determined in the case of the double materiality principle”</w:t>
      </w:r>
    </w:p>
    <w:p w14:paraId="0549E75E" w14:textId="5F57BE52"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We would like to draw your attention to the fact that this requirement shall not necessarily request to quantify the proportion of risk and impact materiality under the double materiality principle. Indeed, this appears complex in practice to assign specific percentages or numerical shares to each materiality dimension, particularly in cases where both financial and impact materiality are intertwined</w:t>
      </w:r>
      <w:r w:rsidR="004009EC" w:rsidRPr="006946A3">
        <w:rPr>
          <w:rFonts w:ascii="Calibri" w:hAnsi="Calibri" w:cs="Calibri"/>
          <w:sz w:val="22"/>
          <w:szCs w:val="22"/>
          <w:lang w:val="en-US"/>
        </w:rPr>
        <w:t xml:space="preserve"> (e.g., impact risks could lead to financial risks)</w:t>
      </w:r>
      <w:r w:rsidRPr="006946A3">
        <w:rPr>
          <w:rFonts w:ascii="Calibri" w:hAnsi="Calibri" w:cs="Calibri"/>
          <w:sz w:val="22"/>
          <w:szCs w:val="22"/>
          <w:lang w:val="en-US"/>
        </w:rPr>
        <w:t>. As users, we believe quantitative proportions are not meaningful and that information disclosed under (d) could be a description of how the rating provider combines risk and impact materiality.</w:t>
      </w:r>
    </w:p>
    <w:p w14:paraId="493F6F55" w14:textId="77777777" w:rsidR="004D27EF" w:rsidRPr="006946A3" w:rsidRDefault="004D27EF" w:rsidP="004D27EF">
      <w:pPr>
        <w:spacing w:after="160" w:line="259" w:lineRule="auto"/>
        <w:rPr>
          <w:rFonts w:ascii="Calibri" w:hAnsi="Calibri" w:cs="Calibri"/>
          <w:b/>
          <w:bCs/>
          <w:sz w:val="22"/>
          <w:szCs w:val="22"/>
          <w:lang w:val="en-US"/>
        </w:rPr>
      </w:pPr>
      <w:r w:rsidRPr="006946A3">
        <w:rPr>
          <w:rFonts w:ascii="Calibri" w:hAnsi="Calibri" w:cs="Calibri"/>
          <w:b/>
          <w:bCs/>
          <w:sz w:val="22"/>
          <w:szCs w:val="22"/>
          <w:lang w:val="en-US"/>
        </w:rPr>
        <w:t>Article 4(1) (a)” the name or unique identifier of the applicable methodology”</w:t>
      </w:r>
    </w:p>
    <w:p w14:paraId="66C41D2C" w14:textId="0250F62A"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We would welcome clarification on what is expected under “name or unique identifier of the applicable methodology”. How standardized is it across ESG rating providers? </w:t>
      </w:r>
    </w:p>
    <w:p w14:paraId="5710DF14" w14:textId="77777777" w:rsidR="004D27EF" w:rsidRPr="006946A3" w:rsidRDefault="004D27EF" w:rsidP="004D27EF">
      <w:pPr>
        <w:spacing w:after="160" w:line="259" w:lineRule="auto"/>
        <w:rPr>
          <w:rFonts w:ascii="Calibri" w:hAnsi="Calibri" w:cs="Calibri"/>
          <w:b/>
          <w:bCs/>
          <w:sz w:val="22"/>
          <w:szCs w:val="22"/>
          <w:lang w:val="en-US"/>
        </w:rPr>
      </w:pPr>
      <w:r w:rsidRPr="006946A3">
        <w:rPr>
          <w:rFonts w:ascii="Calibri" w:hAnsi="Calibri" w:cs="Calibri"/>
          <w:b/>
          <w:bCs/>
          <w:sz w:val="22"/>
          <w:szCs w:val="22"/>
          <w:lang w:val="en-US"/>
        </w:rPr>
        <w:t>Article 4(2)(b) “the name and version of the industry classification”;</w:t>
      </w:r>
    </w:p>
    <w:p w14:paraId="7C83229F" w14:textId="6109F9D6"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In addition to (b) the name and version of the industry classification used, we suggest requiring the disclosure of the classification level applied (e.g., for GICS, whether it is GICS1, GICS2, GICS3, or GICS 4). This would enhance transparency and ensure better comparability across methodologies.</w:t>
      </w:r>
    </w:p>
    <w:p w14:paraId="5DCFFB3F" w14:textId="77777777" w:rsidR="00AB3ACE" w:rsidRPr="006946A3" w:rsidRDefault="004D27EF" w:rsidP="004D27EF">
      <w:pPr>
        <w:spacing w:after="160" w:line="259" w:lineRule="auto"/>
        <w:rPr>
          <w:rFonts w:ascii="Calibri" w:hAnsi="Calibri" w:cs="Calibri"/>
          <w:b/>
          <w:bCs/>
          <w:sz w:val="22"/>
          <w:szCs w:val="22"/>
          <w:lang w:val="en-US"/>
        </w:rPr>
      </w:pPr>
      <w:r w:rsidRPr="006946A3">
        <w:rPr>
          <w:rFonts w:ascii="Calibri" w:hAnsi="Calibri" w:cs="Calibri"/>
          <w:b/>
          <w:bCs/>
          <w:sz w:val="22"/>
          <w:szCs w:val="22"/>
          <w:lang w:val="en-US"/>
        </w:rPr>
        <w:t>Article 6 (3)</w:t>
      </w:r>
    </w:p>
    <w:p w14:paraId="61A63B06" w14:textId="7D8AF277" w:rsidR="004D27EF" w:rsidRPr="006946A3" w:rsidRDefault="004D27EF" w:rsidP="004D27EF">
      <w:pPr>
        <w:spacing w:after="160" w:line="259" w:lineRule="auto"/>
        <w:rPr>
          <w:rFonts w:ascii="Calibri" w:hAnsi="Calibri" w:cs="Calibri"/>
          <w:b/>
          <w:bCs/>
          <w:sz w:val="22"/>
          <w:szCs w:val="22"/>
          <w:lang w:val="en-US"/>
        </w:rPr>
      </w:pPr>
      <w:r w:rsidRPr="006946A3">
        <w:rPr>
          <w:rFonts w:ascii="Calibri" w:hAnsi="Calibri" w:cs="Calibri"/>
          <w:sz w:val="22"/>
          <w:szCs w:val="22"/>
          <w:lang w:val="en-US"/>
        </w:rPr>
        <w:t xml:space="preserve">We believe that the following points should be added in article 6 (3) in order to provide relevant </w:t>
      </w:r>
      <w:r w:rsidR="00AB3ACE" w:rsidRPr="006946A3">
        <w:rPr>
          <w:rFonts w:ascii="Calibri" w:hAnsi="Calibri" w:cs="Calibri"/>
          <w:sz w:val="22"/>
          <w:szCs w:val="22"/>
          <w:lang w:val="en-US"/>
        </w:rPr>
        <w:t>explanations</w:t>
      </w:r>
      <w:r w:rsidRPr="006946A3">
        <w:rPr>
          <w:rFonts w:ascii="Calibri" w:hAnsi="Calibri" w:cs="Calibri"/>
          <w:sz w:val="22"/>
          <w:szCs w:val="22"/>
          <w:lang w:val="en-US"/>
        </w:rPr>
        <w:t xml:space="preserve"> to users in general:</w:t>
      </w:r>
    </w:p>
    <w:p w14:paraId="4133340A" w14:textId="77777777" w:rsidR="004D27EF" w:rsidRPr="006946A3" w:rsidRDefault="004D27EF" w:rsidP="004D27EF">
      <w:pPr>
        <w:numPr>
          <w:ilvl w:val="0"/>
          <w:numId w:val="39"/>
        </w:numPr>
        <w:spacing w:after="160" w:line="259" w:lineRule="auto"/>
        <w:rPr>
          <w:rFonts w:ascii="Calibri" w:hAnsi="Calibri" w:cs="Calibri"/>
          <w:sz w:val="22"/>
          <w:szCs w:val="22"/>
          <w:lang w:val="en-US"/>
        </w:rPr>
      </w:pPr>
      <w:r w:rsidRPr="006946A3">
        <w:rPr>
          <w:rFonts w:ascii="Calibri" w:hAnsi="Calibri" w:cs="Calibri"/>
          <w:sz w:val="22"/>
          <w:szCs w:val="22"/>
          <w:lang w:val="en-US"/>
        </w:rPr>
        <w:t>Insert before point (a): “the criteria used in the pricing policy and how production costs are taken into account”</w:t>
      </w:r>
    </w:p>
    <w:p w14:paraId="5AE3DF79" w14:textId="70CA5B0D" w:rsidR="004D27EF" w:rsidRPr="006946A3" w:rsidRDefault="004D27EF" w:rsidP="004D27EF">
      <w:pPr>
        <w:numPr>
          <w:ilvl w:val="0"/>
          <w:numId w:val="39"/>
        </w:numPr>
        <w:spacing w:after="160" w:line="259" w:lineRule="auto"/>
        <w:rPr>
          <w:rFonts w:ascii="Calibri" w:hAnsi="Calibri" w:cs="Calibri"/>
          <w:sz w:val="22"/>
          <w:szCs w:val="22"/>
          <w:lang w:val="en-US"/>
        </w:rPr>
      </w:pPr>
      <w:r w:rsidRPr="006946A3">
        <w:rPr>
          <w:rFonts w:ascii="Calibri" w:hAnsi="Calibri" w:cs="Calibri"/>
          <w:sz w:val="22"/>
          <w:szCs w:val="22"/>
          <w:lang w:val="en-US"/>
        </w:rPr>
        <w:t>Insert  point (e): “as part of the transparency requirement, if they provide details to each client they invoice for ESG ratings on what and how criteria have been applied.”</w:t>
      </w:r>
    </w:p>
    <w:p w14:paraId="0A411282" w14:textId="1E13F8B6"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In addition, we would welcome a definition of the terms « fair », « reasonable », “non-discriminatory”, and « transparent »as far as fees are concerned. These notions are highly subjective and would benefit from clear criteria to ensure consistent interpretation across providers. </w:t>
      </w:r>
    </w:p>
    <w:p w14:paraId="7D6FAB83" w14:textId="77777777" w:rsidR="004D27EF" w:rsidRPr="006946A3" w:rsidRDefault="004D27EF" w:rsidP="004D27EF">
      <w:pPr>
        <w:spacing w:after="160" w:line="259" w:lineRule="auto"/>
        <w:rPr>
          <w:rFonts w:ascii="Calibri" w:hAnsi="Calibri" w:cs="Calibri"/>
          <w:b/>
          <w:bCs/>
          <w:sz w:val="22"/>
          <w:szCs w:val="22"/>
          <w:u w:val="single"/>
          <w:lang w:val="en-US"/>
        </w:rPr>
      </w:pPr>
      <w:r w:rsidRPr="006946A3">
        <w:rPr>
          <w:rFonts w:ascii="Calibri" w:hAnsi="Calibri" w:cs="Calibri"/>
          <w:b/>
          <w:bCs/>
          <w:sz w:val="22"/>
          <w:szCs w:val="22"/>
          <w:u w:val="single"/>
          <w:lang w:val="en-US"/>
        </w:rPr>
        <w:t xml:space="preserve">Annex III. Part 2  - Additional disclosures to users and to rated entities </w:t>
      </w:r>
    </w:p>
    <w:p w14:paraId="4013B9D3" w14:textId="245D4900" w:rsidR="004D27EF" w:rsidRPr="006946A3" w:rsidRDefault="004D27EF" w:rsidP="004D27EF">
      <w:pPr>
        <w:spacing w:after="160" w:line="259" w:lineRule="auto"/>
        <w:rPr>
          <w:rFonts w:ascii="Calibri" w:hAnsi="Calibri" w:cs="Calibri"/>
          <w:b/>
          <w:bCs/>
          <w:sz w:val="22"/>
          <w:szCs w:val="22"/>
          <w:u w:val="single"/>
          <w:lang w:val="en-US"/>
        </w:rPr>
      </w:pPr>
      <w:r w:rsidRPr="006946A3">
        <w:rPr>
          <w:rFonts w:ascii="Calibri" w:hAnsi="Calibri" w:cs="Calibri"/>
          <w:b/>
          <w:bCs/>
          <w:sz w:val="22"/>
          <w:szCs w:val="22"/>
          <w:u w:val="single"/>
          <w:lang w:val="en-US"/>
        </w:rPr>
        <w:t>RTS - Annex III.2(a)</w:t>
      </w:r>
      <w:r w:rsidR="00AB3ACE" w:rsidRPr="006946A3">
        <w:rPr>
          <w:rFonts w:ascii="Calibri" w:hAnsi="Calibri" w:cs="Calibri"/>
          <w:b/>
          <w:bCs/>
          <w:sz w:val="22"/>
          <w:szCs w:val="22"/>
          <w:u w:val="single"/>
          <w:lang w:val="en-US"/>
        </w:rPr>
        <w:t>(ii)</w:t>
      </w:r>
    </w:p>
    <w:p w14:paraId="4FCCA998" w14:textId="0BD747C1"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lastRenderedPageBreak/>
        <w:t xml:space="preserve">We suggest that ESMA provide an RTS in relation to </w:t>
      </w:r>
      <w:r w:rsidRPr="006946A3">
        <w:rPr>
          <w:rFonts w:ascii="Calibri" w:hAnsi="Calibri" w:cs="Calibri"/>
          <w:b/>
          <w:bCs/>
          <w:sz w:val="22"/>
          <w:szCs w:val="22"/>
          <w:lang w:val="en-US"/>
        </w:rPr>
        <w:t xml:space="preserve">Annex III.2(a)(ii). </w:t>
      </w:r>
      <w:r w:rsidRPr="006946A3">
        <w:rPr>
          <w:rFonts w:ascii="Calibri" w:hAnsi="Calibri" w:cs="Calibri"/>
          <w:sz w:val="22"/>
          <w:szCs w:val="22"/>
          <w:lang w:val="en-US"/>
        </w:rPr>
        <w:t xml:space="preserve">It would  clarify that providers should disclose : </w:t>
      </w:r>
    </w:p>
    <w:p w14:paraId="7993132B" w14:textId="049134EB" w:rsidR="004D27EF" w:rsidRPr="006946A3" w:rsidRDefault="004D27EF" w:rsidP="004D27EF">
      <w:pPr>
        <w:numPr>
          <w:ilvl w:val="0"/>
          <w:numId w:val="40"/>
        </w:numPr>
        <w:spacing w:after="160" w:line="259" w:lineRule="auto"/>
        <w:rPr>
          <w:rFonts w:ascii="Calibri" w:hAnsi="Calibri" w:cs="Calibri"/>
          <w:sz w:val="22"/>
          <w:szCs w:val="22"/>
          <w:lang w:val="en-US"/>
        </w:rPr>
      </w:pPr>
      <w:r w:rsidRPr="006946A3">
        <w:rPr>
          <w:rFonts w:ascii="Calibri" w:hAnsi="Calibri" w:cs="Calibri"/>
          <w:sz w:val="22"/>
          <w:szCs w:val="22"/>
          <w:lang w:val="en-US"/>
        </w:rPr>
        <w:t>A description of the KPI used per E, S, G factor</w:t>
      </w:r>
    </w:p>
    <w:p w14:paraId="1A53487E" w14:textId="2DC7B64D" w:rsidR="004D27EF" w:rsidRPr="006946A3" w:rsidRDefault="004D27EF" w:rsidP="004D27EF">
      <w:pPr>
        <w:numPr>
          <w:ilvl w:val="0"/>
          <w:numId w:val="40"/>
        </w:num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The weighting method, including the breakdown of weights by </w:t>
      </w:r>
      <w:r w:rsidR="00AB3ACE" w:rsidRPr="006946A3">
        <w:rPr>
          <w:rFonts w:ascii="Calibri" w:hAnsi="Calibri" w:cs="Calibri"/>
          <w:sz w:val="22"/>
          <w:szCs w:val="22"/>
          <w:lang w:val="en-US"/>
        </w:rPr>
        <w:t>KPI</w:t>
      </w:r>
      <w:r w:rsidRPr="006946A3">
        <w:rPr>
          <w:rFonts w:ascii="Calibri" w:hAnsi="Calibri" w:cs="Calibri"/>
          <w:sz w:val="22"/>
          <w:szCs w:val="22"/>
          <w:lang w:val="en-US"/>
        </w:rPr>
        <w:t xml:space="preserve">. </w:t>
      </w:r>
    </w:p>
    <w:p w14:paraId="0810C499" w14:textId="77777777"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This would ensure consistency and comparability across rating approaches</w:t>
      </w:r>
    </w:p>
    <w:p w14:paraId="0652C540" w14:textId="3D8E7342" w:rsidR="004D27EF" w:rsidRPr="006946A3" w:rsidRDefault="004D27EF" w:rsidP="004D27EF">
      <w:pPr>
        <w:spacing w:after="160" w:line="259" w:lineRule="auto"/>
        <w:rPr>
          <w:rFonts w:ascii="Calibri" w:hAnsi="Calibri" w:cs="Calibri"/>
          <w:b/>
          <w:bCs/>
          <w:sz w:val="22"/>
          <w:szCs w:val="22"/>
          <w:u w:val="single"/>
          <w:lang w:val="en-US"/>
        </w:rPr>
      </w:pPr>
      <w:r w:rsidRPr="006946A3">
        <w:rPr>
          <w:rFonts w:ascii="Calibri" w:hAnsi="Calibri" w:cs="Calibri"/>
          <w:b/>
          <w:bCs/>
          <w:sz w:val="22"/>
          <w:szCs w:val="22"/>
          <w:u w:val="single"/>
          <w:lang w:val="en-US"/>
        </w:rPr>
        <w:t xml:space="preserve">RTS - Annex III.2 (a)(iii) </w:t>
      </w:r>
    </w:p>
    <w:p w14:paraId="3065ED69" w14:textId="3C36D925"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We suggest that ESMA </w:t>
      </w:r>
      <w:r w:rsidR="00AB3ACE" w:rsidRPr="006946A3">
        <w:rPr>
          <w:rFonts w:ascii="Calibri" w:hAnsi="Calibri" w:cs="Calibri"/>
          <w:sz w:val="22"/>
          <w:szCs w:val="22"/>
          <w:lang w:val="en-US"/>
        </w:rPr>
        <w:t>provide</w:t>
      </w:r>
      <w:r w:rsidRPr="006946A3">
        <w:rPr>
          <w:rFonts w:ascii="Calibri" w:hAnsi="Calibri" w:cs="Calibri"/>
          <w:sz w:val="22"/>
          <w:szCs w:val="22"/>
          <w:lang w:val="en-US"/>
        </w:rPr>
        <w:t xml:space="preserve"> an RTS in relation to the requirement set out in </w:t>
      </w:r>
      <w:r w:rsidRPr="006946A3">
        <w:rPr>
          <w:rFonts w:ascii="Calibri" w:hAnsi="Calibri" w:cs="Calibri"/>
          <w:b/>
          <w:bCs/>
          <w:sz w:val="22"/>
          <w:szCs w:val="22"/>
          <w:lang w:val="en-US"/>
        </w:rPr>
        <w:t xml:space="preserve">Annex III.2(a) (iii). </w:t>
      </w:r>
      <w:r w:rsidRPr="006946A3">
        <w:rPr>
          <w:rFonts w:ascii="Calibri" w:hAnsi="Calibri" w:cs="Calibri"/>
          <w:sz w:val="22"/>
          <w:szCs w:val="22"/>
          <w:lang w:val="en-US"/>
        </w:rPr>
        <w:t>Similarly to the previous point, it would</w:t>
      </w:r>
      <w:r w:rsidRPr="006946A3">
        <w:rPr>
          <w:rFonts w:ascii="Calibri" w:hAnsi="Calibri" w:cs="Calibri"/>
          <w:b/>
          <w:bCs/>
          <w:sz w:val="22"/>
          <w:szCs w:val="22"/>
          <w:lang w:val="en-US"/>
        </w:rPr>
        <w:t xml:space="preserve"> </w:t>
      </w:r>
      <w:r w:rsidRPr="006946A3">
        <w:rPr>
          <w:rFonts w:ascii="Calibri" w:hAnsi="Calibri" w:cs="Calibri"/>
          <w:sz w:val="22"/>
          <w:szCs w:val="22"/>
          <w:lang w:val="en-US"/>
        </w:rPr>
        <w:t xml:space="preserve"> clarify that providers should disclose : </w:t>
      </w:r>
    </w:p>
    <w:p w14:paraId="5151A1B8" w14:textId="50348764" w:rsidR="004D27EF" w:rsidRPr="006946A3" w:rsidRDefault="004D27EF" w:rsidP="004D27EF">
      <w:pPr>
        <w:numPr>
          <w:ilvl w:val="0"/>
          <w:numId w:val="41"/>
        </w:numPr>
        <w:spacing w:after="160" w:line="259" w:lineRule="auto"/>
        <w:rPr>
          <w:rFonts w:ascii="Calibri" w:hAnsi="Calibri" w:cs="Calibri"/>
          <w:sz w:val="22"/>
          <w:szCs w:val="22"/>
          <w:lang w:val="en-US"/>
        </w:rPr>
      </w:pPr>
      <w:r w:rsidRPr="006946A3">
        <w:rPr>
          <w:rFonts w:ascii="Calibri" w:hAnsi="Calibri" w:cs="Calibri"/>
          <w:sz w:val="22"/>
          <w:szCs w:val="22"/>
          <w:lang w:val="en-US"/>
        </w:rPr>
        <w:t>A description of the criteria used (</w:t>
      </w:r>
      <w:proofErr w:type="spellStart"/>
      <w:r w:rsidRPr="006946A3">
        <w:rPr>
          <w:rFonts w:ascii="Calibri" w:hAnsi="Calibri" w:cs="Calibri"/>
          <w:sz w:val="22"/>
          <w:szCs w:val="22"/>
          <w:lang w:val="en-US"/>
        </w:rPr>
        <w:t>eg</w:t>
      </w:r>
      <w:proofErr w:type="spellEnd"/>
      <w:r w:rsidRPr="006946A3">
        <w:rPr>
          <w:rFonts w:ascii="Calibri" w:hAnsi="Calibri" w:cs="Calibri"/>
          <w:sz w:val="22"/>
          <w:szCs w:val="22"/>
          <w:lang w:val="en-US"/>
        </w:rPr>
        <w:t>, sector, geographic area) to weigh each E, S, G factor into the ESG rating</w:t>
      </w:r>
    </w:p>
    <w:p w14:paraId="43B6021C" w14:textId="77777777" w:rsidR="004D27EF" w:rsidRPr="006946A3" w:rsidRDefault="004D27EF" w:rsidP="004D27EF">
      <w:pPr>
        <w:numPr>
          <w:ilvl w:val="0"/>
          <w:numId w:val="41"/>
        </w:num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The weighting method, including the breakdown of weights by criteria. </w:t>
      </w:r>
    </w:p>
    <w:p w14:paraId="387BC616" w14:textId="77777777"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This would ensure consistency and comparability across rating approaches.</w:t>
      </w:r>
    </w:p>
    <w:p w14:paraId="7F6B12A1" w14:textId="5F705EED" w:rsidR="004D27EF" w:rsidRPr="006946A3" w:rsidRDefault="001735A6" w:rsidP="004D27EF">
      <w:pPr>
        <w:spacing w:after="160" w:line="259" w:lineRule="auto"/>
        <w:rPr>
          <w:rFonts w:ascii="Calibri" w:hAnsi="Calibri" w:cs="Calibri"/>
          <w:b/>
          <w:bCs/>
          <w:sz w:val="22"/>
          <w:szCs w:val="22"/>
          <w:u w:val="single"/>
          <w:lang w:val="en-US"/>
        </w:rPr>
      </w:pPr>
      <w:r>
        <w:rPr>
          <w:rFonts w:ascii="Calibri" w:hAnsi="Calibri" w:cs="Calibri"/>
          <w:b/>
          <w:bCs/>
          <w:sz w:val="22"/>
          <w:szCs w:val="22"/>
          <w:u w:val="single"/>
          <w:lang w:val="en-US"/>
        </w:rPr>
        <w:t>Expand</w:t>
      </w:r>
      <w:r w:rsidR="004D27EF" w:rsidRPr="006946A3">
        <w:rPr>
          <w:rFonts w:ascii="Calibri" w:hAnsi="Calibri" w:cs="Calibri"/>
          <w:b/>
          <w:bCs/>
          <w:sz w:val="22"/>
          <w:szCs w:val="22"/>
          <w:u w:val="single"/>
          <w:lang w:val="en-US"/>
        </w:rPr>
        <w:t xml:space="preserve"> RTS - Annex III part 2 (vi) </w:t>
      </w:r>
    </w:p>
    <w:p w14:paraId="7F0FC202" w14:textId="7F3922AC"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Please clarify that the information is to be provided on the basis of each rated item (or a list of rated items) impacted by one change.</w:t>
      </w:r>
    </w:p>
    <w:p w14:paraId="1A92C343" w14:textId="77777777" w:rsidR="004D27EF" w:rsidRPr="006946A3" w:rsidRDefault="004D27EF" w:rsidP="004D27EF">
      <w:pPr>
        <w:spacing w:after="160" w:line="259" w:lineRule="auto"/>
        <w:rPr>
          <w:rFonts w:ascii="Calibri" w:hAnsi="Calibri" w:cs="Calibri"/>
          <w:b/>
          <w:bCs/>
          <w:sz w:val="22"/>
          <w:szCs w:val="22"/>
          <w:u w:val="single"/>
          <w:lang w:val="en-US"/>
        </w:rPr>
      </w:pPr>
      <w:r w:rsidRPr="006946A3">
        <w:rPr>
          <w:rFonts w:ascii="Calibri" w:hAnsi="Calibri" w:cs="Calibri"/>
          <w:b/>
          <w:bCs/>
          <w:sz w:val="22"/>
          <w:szCs w:val="22"/>
          <w:u w:val="single"/>
          <w:lang w:val="en-US"/>
        </w:rPr>
        <w:t xml:space="preserve">Article 7(1) </w:t>
      </w:r>
    </w:p>
    <w:p w14:paraId="0B5990A0" w14:textId="77777777"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As users having to comply with other pieces of regulations within the sustainable finance framework, we believe that ESMA should add the following points (b) , (c) and (d) in Article 7(1):</w:t>
      </w:r>
    </w:p>
    <w:p w14:paraId="060DEED8" w14:textId="77777777"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“As part of the information disclosed in accordance with Annex III-2 (b)(i), ESG rating providers shall specify </w:t>
      </w:r>
    </w:p>
    <w:p w14:paraId="5F908818" w14:textId="77777777" w:rsidR="004D27EF" w:rsidRPr="006946A3" w:rsidRDefault="004D27EF" w:rsidP="004D27EF">
      <w:pPr>
        <w:numPr>
          <w:ilvl w:val="0"/>
          <w:numId w:val="42"/>
        </w:num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the methods used to collect any non-public data. </w:t>
      </w:r>
    </w:p>
    <w:p w14:paraId="46C1E054" w14:textId="77777777" w:rsidR="004D27EF" w:rsidRPr="006946A3" w:rsidRDefault="004D27EF" w:rsidP="004D27EF">
      <w:pPr>
        <w:numPr>
          <w:ilvl w:val="0"/>
          <w:numId w:val="42"/>
        </w:numPr>
        <w:spacing w:after="160" w:line="259" w:lineRule="auto"/>
        <w:rPr>
          <w:rFonts w:ascii="Calibri" w:hAnsi="Calibri" w:cs="Calibri"/>
          <w:b/>
          <w:bCs/>
          <w:sz w:val="22"/>
          <w:szCs w:val="22"/>
          <w:lang w:val="en-US"/>
        </w:rPr>
      </w:pPr>
      <w:r w:rsidRPr="006946A3">
        <w:rPr>
          <w:rFonts w:ascii="Calibri" w:hAnsi="Calibri" w:cs="Calibri"/>
          <w:b/>
          <w:bCs/>
          <w:sz w:val="22"/>
          <w:szCs w:val="22"/>
          <w:lang w:val="en-US"/>
        </w:rPr>
        <w:t xml:space="preserve">The share of public reported data used for the rated item </w:t>
      </w:r>
    </w:p>
    <w:p w14:paraId="16C7C7AA" w14:textId="30629E12" w:rsidR="004D27EF" w:rsidRPr="006946A3" w:rsidRDefault="004D27EF" w:rsidP="004D27EF">
      <w:pPr>
        <w:numPr>
          <w:ilvl w:val="0"/>
          <w:numId w:val="42"/>
        </w:numPr>
        <w:spacing w:after="160" w:line="259" w:lineRule="auto"/>
        <w:rPr>
          <w:rFonts w:ascii="Calibri" w:hAnsi="Calibri" w:cs="Calibri"/>
          <w:b/>
          <w:bCs/>
          <w:sz w:val="22"/>
          <w:szCs w:val="22"/>
          <w:lang w:val="en-US"/>
        </w:rPr>
      </w:pPr>
      <w:r w:rsidRPr="006946A3">
        <w:rPr>
          <w:rFonts w:ascii="Calibri" w:hAnsi="Calibri" w:cs="Calibri"/>
          <w:b/>
          <w:bCs/>
          <w:sz w:val="22"/>
          <w:szCs w:val="22"/>
          <w:lang w:val="en-US"/>
        </w:rPr>
        <w:t>The share of non-public reported data used for the rated item</w:t>
      </w:r>
    </w:p>
    <w:p w14:paraId="00875803" w14:textId="3817F953" w:rsidR="004D27EF" w:rsidRDefault="004D27EF" w:rsidP="004D27EF">
      <w:pPr>
        <w:numPr>
          <w:ilvl w:val="0"/>
          <w:numId w:val="42"/>
        </w:numPr>
        <w:spacing w:after="160" w:line="259" w:lineRule="auto"/>
        <w:rPr>
          <w:rFonts w:ascii="Calibri" w:hAnsi="Calibri" w:cs="Calibri"/>
          <w:b/>
          <w:bCs/>
          <w:sz w:val="22"/>
          <w:szCs w:val="22"/>
          <w:lang w:val="en-US"/>
        </w:rPr>
      </w:pPr>
      <w:r w:rsidRPr="006946A3">
        <w:rPr>
          <w:rFonts w:ascii="Calibri" w:hAnsi="Calibri" w:cs="Calibri"/>
          <w:b/>
          <w:bCs/>
          <w:sz w:val="22"/>
          <w:szCs w:val="22"/>
          <w:lang w:val="en-US"/>
        </w:rPr>
        <w:t>The share of estimated data.</w:t>
      </w:r>
    </w:p>
    <w:p w14:paraId="061DF7E9" w14:textId="4CE02C63" w:rsidR="00244A73" w:rsidRPr="006946A3" w:rsidRDefault="00244A73" w:rsidP="004D27EF">
      <w:pPr>
        <w:numPr>
          <w:ilvl w:val="0"/>
          <w:numId w:val="42"/>
        </w:numPr>
        <w:spacing w:after="160" w:line="259" w:lineRule="auto"/>
        <w:rPr>
          <w:rFonts w:ascii="Calibri" w:hAnsi="Calibri" w:cs="Calibri"/>
          <w:b/>
          <w:bCs/>
          <w:sz w:val="22"/>
          <w:szCs w:val="22"/>
          <w:lang w:val="en-US"/>
        </w:rPr>
      </w:pPr>
      <w:r>
        <w:rPr>
          <w:rFonts w:ascii="Calibri" w:hAnsi="Calibri" w:cs="Calibri"/>
          <w:b/>
          <w:bCs/>
          <w:sz w:val="22"/>
          <w:szCs w:val="22"/>
          <w:lang w:val="en-US"/>
        </w:rPr>
        <w:t>The processes used to aggregate data from various sources</w:t>
      </w:r>
    </w:p>
    <w:p w14:paraId="63480DDB" w14:textId="72922694" w:rsidR="004D27EF" w:rsidRPr="006946A3" w:rsidRDefault="001735A6" w:rsidP="004D27EF">
      <w:pPr>
        <w:spacing w:after="160" w:line="259" w:lineRule="auto"/>
        <w:rPr>
          <w:rFonts w:ascii="Calibri" w:hAnsi="Calibri" w:cs="Calibri"/>
          <w:b/>
          <w:bCs/>
          <w:sz w:val="22"/>
          <w:szCs w:val="22"/>
          <w:u w:val="single"/>
          <w:lang w:val="en-US"/>
        </w:rPr>
      </w:pPr>
      <w:r>
        <w:rPr>
          <w:rFonts w:ascii="Calibri" w:hAnsi="Calibri" w:cs="Calibri"/>
          <w:b/>
          <w:bCs/>
          <w:sz w:val="22"/>
          <w:szCs w:val="22"/>
          <w:u w:val="single"/>
          <w:lang w:val="en-US"/>
        </w:rPr>
        <w:t>Expand</w:t>
      </w:r>
      <w:r w:rsidR="004D27EF" w:rsidRPr="006946A3">
        <w:rPr>
          <w:rFonts w:ascii="Calibri" w:hAnsi="Calibri" w:cs="Calibri"/>
          <w:b/>
          <w:bCs/>
          <w:sz w:val="22"/>
          <w:szCs w:val="22"/>
          <w:u w:val="single"/>
          <w:lang w:val="en-US"/>
        </w:rPr>
        <w:t xml:space="preserve"> RTS – Annex III part 2 (iv) data quality controls</w:t>
      </w:r>
    </w:p>
    <w:p w14:paraId="5E486F30" w14:textId="35C898B9" w:rsidR="004D27EF" w:rsidRPr="006946A3" w:rsidRDefault="004D27EF" w:rsidP="004D27EF">
      <w:pPr>
        <w:spacing w:after="160" w:line="259" w:lineRule="auto"/>
        <w:rPr>
          <w:rFonts w:ascii="Calibri" w:hAnsi="Calibri" w:cs="Calibri"/>
          <w:sz w:val="22"/>
          <w:szCs w:val="22"/>
          <w:lang w:val="en-US"/>
        </w:rPr>
      </w:pPr>
      <w:r w:rsidRPr="006946A3">
        <w:rPr>
          <w:rFonts w:ascii="Calibri" w:hAnsi="Calibri" w:cs="Calibri"/>
          <w:sz w:val="22"/>
          <w:szCs w:val="22"/>
          <w:lang w:val="en-US"/>
        </w:rPr>
        <w:t>We believe that the disclosure of Annex III.2(iv) is key for users and that ESMA should standardize, at a minimum, this disclosure for the ease of users and for comparability. We suggest ESMA adds the following to the RTS:</w:t>
      </w:r>
    </w:p>
    <w:p w14:paraId="1BDE6792" w14:textId="479074E2" w:rsidR="004D27EF" w:rsidRPr="006946A3" w:rsidRDefault="004D27EF" w:rsidP="004D27EF">
      <w:pPr>
        <w:numPr>
          <w:ilvl w:val="0"/>
          <w:numId w:val="43"/>
        </w:num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“As part of the information disclosed under Annex III.2(iv), ESG rating providers shall specify the data quality control processes that are implemented, their scope, and frequency. This shall include, among others: </w:t>
      </w:r>
    </w:p>
    <w:p w14:paraId="3E380B6E" w14:textId="77777777" w:rsidR="004D27EF" w:rsidRPr="006946A3" w:rsidRDefault="004D27EF" w:rsidP="004D27EF">
      <w:pPr>
        <w:numPr>
          <w:ilvl w:val="2"/>
          <w:numId w:val="43"/>
        </w:numPr>
        <w:spacing w:after="160" w:line="259" w:lineRule="auto"/>
        <w:rPr>
          <w:rFonts w:ascii="Calibri" w:hAnsi="Calibri" w:cs="Calibri"/>
          <w:b/>
          <w:bCs/>
          <w:sz w:val="22"/>
          <w:szCs w:val="22"/>
          <w:lang w:val="en-US"/>
        </w:rPr>
      </w:pPr>
      <w:r w:rsidRPr="006946A3">
        <w:rPr>
          <w:rFonts w:ascii="Calibri" w:hAnsi="Calibri" w:cs="Calibri"/>
          <w:b/>
          <w:bCs/>
          <w:sz w:val="22"/>
          <w:szCs w:val="22"/>
          <w:lang w:val="en-US"/>
        </w:rPr>
        <w:lastRenderedPageBreak/>
        <w:t xml:space="preserve">(a) Data Completeness checks </w:t>
      </w:r>
    </w:p>
    <w:p w14:paraId="071B4811" w14:textId="77777777" w:rsidR="004D27EF" w:rsidRPr="006946A3" w:rsidRDefault="004D27EF" w:rsidP="004D27EF">
      <w:pPr>
        <w:numPr>
          <w:ilvl w:val="0"/>
          <w:numId w:val="43"/>
        </w:numPr>
        <w:spacing w:after="160" w:line="259" w:lineRule="auto"/>
        <w:rPr>
          <w:rFonts w:ascii="Calibri" w:hAnsi="Calibri" w:cs="Calibri"/>
          <w:b/>
          <w:bCs/>
          <w:sz w:val="22"/>
          <w:szCs w:val="22"/>
          <w:lang w:val="en-US"/>
        </w:rPr>
      </w:pPr>
      <w:r w:rsidRPr="006946A3">
        <w:rPr>
          <w:rFonts w:ascii="Calibri" w:hAnsi="Calibri" w:cs="Calibri"/>
          <w:b/>
          <w:bCs/>
          <w:sz w:val="22"/>
          <w:szCs w:val="22"/>
          <w:lang w:val="en-US"/>
        </w:rPr>
        <w:t xml:space="preserve">(b) Data consistency checks, including </w:t>
      </w:r>
    </w:p>
    <w:p w14:paraId="3CA86421" w14:textId="16EB748E" w:rsidR="004D27EF" w:rsidRPr="006946A3" w:rsidRDefault="004D27EF" w:rsidP="004D27EF">
      <w:pPr>
        <w:numPr>
          <w:ilvl w:val="2"/>
          <w:numId w:val="43"/>
        </w:num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      (i) how significant changes in the data value are detected, investigated, and explained/cured </w:t>
      </w:r>
    </w:p>
    <w:p w14:paraId="2316296C" w14:textId="77777777" w:rsidR="004D27EF" w:rsidRPr="006946A3" w:rsidRDefault="004D27EF" w:rsidP="004D27EF">
      <w:pPr>
        <w:numPr>
          <w:ilvl w:val="0"/>
          <w:numId w:val="43"/>
        </w:numPr>
        <w:spacing w:after="160" w:line="259" w:lineRule="auto"/>
        <w:rPr>
          <w:rFonts w:ascii="Calibri" w:hAnsi="Calibri" w:cs="Calibri"/>
          <w:sz w:val="22"/>
          <w:szCs w:val="22"/>
          <w:lang w:val="en-US"/>
        </w:rPr>
      </w:pPr>
      <w:r w:rsidRPr="006946A3">
        <w:rPr>
          <w:rFonts w:ascii="Calibri" w:hAnsi="Calibri" w:cs="Calibri"/>
          <w:sz w:val="22"/>
          <w:szCs w:val="22"/>
          <w:lang w:val="en-US"/>
        </w:rPr>
        <w:t xml:space="preserve">      (ii) how outdated data are detected, investigated and cured</w:t>
      </w:r>
    </w:p>
    <w:p w14:paraId="243FC923" w14:textId="77777777" w:rsidR="004D27EF" w:rsidRPr="006946A3" w:rsidRDefault="004D27EF" w:rsidP="004D27EF">
      <w:pPr>
        <w:numPr>
          <w:ilvl w:val="0"/>
          <w:numId w:val="43"/>
        </w:numPr>
        <w:spacing w:after="160" w:line="259" w:lineRule="auto"/>
        <w:rPr>
          <w:rFonts w:ascii="Calibri" w:hAnsi="Calibri" w:cs="Calibri"/>
          <w:sz w:val="22"/>
          <w:szCs w:val="22"/>
          <w:lang w:val="en-US"/>
        </w:rPr>
      </w:pPr>
      <w:r w:rsidRPr="006946A3">
        <w:rPr>
          <w:rFonts w:ascii="Calibri" w:hAnsi="Calibri" w:cs="Calibri"/>
          <w:b/>
          <w:bCs/>
          <w:sz w:val="22"/>
          <w:szCs w:val="22"/>
          <w:lang w:val="en-US"/>
        </w:rPr>
        <w:t>(c)</w:t>
      </w:r>
      <w:r w:rsidRPr="006946A3">
        <w:rPr>
          <w:rFonts w:ascii="Calibri" w:hAnsi="Calibri" w:cs="Calibri"/>
          <w:sz w:val="22"/>
          <w:szCs w:val="22"/>
          <w:lang w:val="en-US"/>
        </w:rPr>
        <w:t xml:space="preserve"> </w:t>
      </w:r>
      <w:r w:rsidRPr="006946A3">
        <w:rPr>
          <w:rFonts w:ascii="Calibri" w:hAnsi="Calibri" w:cs="Calibri"/>
          <w:b/>
          <w:bCs/>
          <w:sz w:val="22"/>
          <w:szCs w:val="22"/>
          <w:lang w:val="en-US"/>
        </w:rPr>
        <w:t>Rating/Scoring consistency checks</w:t>
      </w:r>
    </w:p>
    <w:p w14:paraId="3E140055" w14:textId="56CDF792" w:rsidR="004D27EF" w:rsidRPr="006946A3" w:rsidRDefault="004D27EF" w:rsidP="004D27EF">
      <w:pPr>
        <w:spacing w:after="160" w:line="259" w:lineRule="auto"/>
        <w:rPr>
          <w:rFonts w:ascii="Calibri" w:hAnsi="Calibri" w:cs="Calibri"/>
          <w:b/>
          <w:bCs/>
          <w:sz w:val="22"/>
          <w:szCs w:val="22"/>
          <w:lang w:val="en-US"/>
        </w:rPr>
      </w:pPr>
      <w:r w:rsidRPr="006946A3">
        <w:rPr>
          <w:rFonts w:ascii="Calibri" w:hAnsi="Calibri" w:cs="Calibri"/>
          <w:b/>
          <w:bCs/>
          <w:sz w:val="22"/>
          <w:szCs w:val="22"/>
          <w:lang w:val="en-US"/>
        </w:rPr>
        <w:t>(d) Monitoring of data production and the remediation process</w:t>
      </w:r>
    </w:p>
    <w:p w14:paraId="205D94B2" w14:textId="77777777" w:rsidR="004D27EF" w:rsidRPr="006946A3" w:rsidRDefault="004D27EF" w:rsidP="004D27EF">
      <w:pPr>
        <w:numPr>
          <w:ilvl w:val="0"/>
          <w:numId w:val="43"/>
        </w:numPr>
        <w:spacing w:after="160" w:line="259" w:lineRule="auto"/>
        <w:rPr>
          <w:rFonts w:ascii="Calibri" w:hAnsi="Calibri" w:cs="Calibri"/>
          <w:sz w:val="22"/>
          <w:szCs w:val="22"/>
          <w:lang w:val="en-US"/>
        </w:rPr>
      </w:pPr>
      <w:r w:rsidRPr="006946A3">
        <w:rPr>
          <w:rFonts w:ascii="Calibri" w:hAnsi="Calibri" w:cs="Calibri"/>
          <w:b/>
          <w:bCs/>
          <w:sz w:val="22"/>
          <w:szCs w:val="22"/>
          <w:lang w:val="en-US"/>
        </w:rPr>
        <w:t>(e) Monitoring of the rating production and remediation process</w:t>
      </w:r>
      <w:r w:rsidRPr="006946A3">
        <w:rPr>
          <w:rFonts w:ascii="Calibri" w:hAnsi="Calibri" w:cs="Calibri"/>
          <w:sz w:val="22"/>
          <w:szCs w:val="22"/>
          <w:lang w:val="en-US"/>
        </w:rPr>
        <w:t>, including a description of how the users and the rated entity are alerted and informed of:</w:t>
      </w:r>
    </w:p>
    <w:p w14:paraId="411E4602" w14:textId="77777777" w:rsidR="004D27EF" w:rsidRPr="006946A3" w:rsidRDefault="004D27EF" w:rsidP="004D27EF">
      <w:pPr>
        <w:numPr>
          <w:ilvl w:val="0"/>
          <w:numId w:val="43"/>
        </w:numPr>
        <w:spacing w:after="160" w:line="259" w:lineRule="auto"/>
        <w:rPr>
          <w:rFonts w:ascii="Calibri" w:hAnsi="Calibri" w:cs="Calibri"/>
          <w:sz w:val="22"/>
          <w:szCs w:val="22"/>
          <w:lang w:val="en-US"/>
        </w:rPr>
      </w:pPr>
      <w:r w:rsidRPr="006946A3">
        <w:rPr>
          <w:rFonts w:ascii="Calibri" w:hAnsi="Calibri" w:cs="Calibri"/>
          <w:sz w:val="22"/>
          <w:szCs w:val="22"/>
          <w:lang w:val="en-US"/>
        </w:rPr>
        <w:t>-  issues and remediation (corrections, delays,…)</w:t>
      </w:r>
    </w:p>
    <w:p w14:paraId="03F4F61C" w14:textId="77777777" w:rsidR="006946A3" w:rsidRDefault="004D27EF" w:rsidP="001B1B48">
      <w:pPr>
        <w:spacing w:after="160" w:line="259" w:lineRule="auto"/>
        <w:rPr>
          <w:rFonts w:ascii="Calibri" w:hAnsi="Calibri" w:cs="Calibri"/>
          <w:sz w:val="22"/>
          <w:szCs w:val="22"/>
          <w:lang w:val="en-US"/>
        </w:rPr>
      </w:pPr>
      <w:r w:rsidRPr="006946A3">
        <w:rPr>
          <w:rFonts w:ascii="Calibri" w:hAnsi="Calibri" w:cs="Calibri"/>
          <w:sz w:val="22"/>
          <w:szCs w:val="22"/>
          <w:lang w:val="en-US"/>
        </w:rPr>
        <w:t>- updates (forthcoming or past</w:t>
      </w:r>
      <w:r w:rsidR="006946A3">
        <w:rPr>
          <w:rFonts w:ascii="Calibri" w:hAnsi="Calibri" w:cs="Calibri"/>
          <w:sz w:val="22"/>
          <w:szCs w:val="22"/>
          <w:lang w:val="en-US"/>
        </w:rPr>
        <w:t>)</w:t>
      </w:r>
    </w:p>
    <w:p w14:paraId="4D58AE76" w14:textId="00A8CCE6" w:rsidR="006946A3" w:rsidRDefault="006946A3" w:rsidP="001B1B48">
      <w:pPr>
        <w:spacing w:after="160" w:line="259" w:lineRule="auto"/>
        <w:rPr>
          <w:rFonts w:ascii="Calibri" w:hAnsi="Calibri" w:cs="Calibri"/>
          <w:sz w:val="22"/>
          <w:szCs w:val="22"/>
          <w:lang w:val="en-US"/>
        </w:rPr>
      </w:pPr>
      <w:r>
        <w:rPr>
          <w:rFonts w:ascii="Calibri" w:hAnsi="Calibri" w:cs="Calibri"/>
          <w:sz w:val="22"/>
          <w:szCs w:val="22"/>
          <w:lang w:val="en-US"/>
        </w:rPr>
        <w:t>(f) any other measures implemented to ensure data quality</w:t>
      </w:r>
    </w:p>
    <w:p w14:paraId="087B25C3" w14:textId="2FED3BB5" w:rsidR="001B1B48" w:rsidRPr="004D27EF" w:rsidRDefault="006946A3" w:rsidP="001B1B48">
      <w:pPr>
        <w:spacing w:after="160" w:line="259" w:lineRule="auto"/>
        <w:rPr>
          <w:i/>
          <w:iCs/>
          <w:lang w:val="en-US"/>
        </w:rPr>
      </w:pPr>
      <w:r>
        <w:rPr>
          <w:rFonts w:ascii="Calibri" w:hAnsi="Calibri" w:cs="Calibri"/>
          <w:sz w:val="22"/>
          <w:szCs w:val="22"/>
          <w:lang w:val="en-US"/>
        </w:rPr>
        <w:t>(g) limitations to methodologies and data availability</w:t>
      </w:r>
      <w:r w:rsidR="009E675E" w:rsidRPr="00140111">
        <w:rPr>
          <w:i/>
          <w:iCs/>
          <w:lang w:val="en-BE"/>
        </w:rPr>
        <w:t xml:space="preserve"> </w:t>
      </w:r>
    </w:p>
    <w:permEnd w:id="669658389"/>
    <w:p w14:paraId="77645EA9" w14:textId="67311EC5"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37688923"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Do you consider that the draft technical standards under Articles 23(4) or 24(3) should instead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5CBF3978" w14:textId="48124F89" w:rsidR="001B1B48" w:rsidRPr="00E00226" w:rsidRDefault="007354A5" w:rsidP="001B1B48">
      <w:pPr>
        <w:spacing w:after="160" w:line="259" w:lineRule="auto"/>
        <w:rPr>
          <w:rFonts w:ascii="Calibri" w:eastAsia="Calibri" w:hAnsi="Calibri" w:cs="Calibri"/>
          <w:kern w:val="2"/>
          <w:sz w:val="22"/>
          <w:szCs w:val="22"/>
          <w:lang w:eastAsia="en-US"/>
          <w14:ligatures w14:val="standardContextual"/>
        </w:rPr>
      </w:pPr>
      <w:permStart w:id="1645309941" w:edGrp="everyone"/>
      <w:r w:rsidRPr="00E00226">
        <w:rPr>
          <w:rFonts w:ascii="Calibri" w:hAnsi="Calibri" w:cs="Calibri"/>
          <w:sz w:val="22"/>
          <w:szCs w:val="22"/>
          <w:lang w:val="en-US"/>
        </w:rPr>
        <w:t xml:space="preserve">Yes, as it will help </w:t>
      </w:r>
      <w:r w:rsidR="00E00226">
        <w:rPr>
          <w:rFonts w:ascii="Calibri" w:hAnsi="Calibri" w:cs="Calibri"/>
          <w:sz w:val="22"/>
          <w:szCs w:val="22"/>
          <w:lang w:val="en-US"/>
        </w:rPr>
        <w:t>standardize the disclosure from providers and facilitate comparison and user</w:t>
      </w:r>
      <w:r w:rsidRPr="00E00226">
        <w:rPr>
          <w:rFonts w:ascii="Calibri" w:hAnsi="Calibri" w:cs="Calibri"/>
          <w:sz w:val="22"/>
          <w:szCs w:val="22"/>
          <w:lang w:val="en-US"/>
        </w:rPr>
        <w:t xml:space="preserve"> analysis.</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r w:rsidRPr="00EA357E">
        <w:rPr>
          <w:b/>
          <w:bCs/>
        </w:rPr>
        <w:t xml:space="preserve">Q5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F375DC9"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59149139" w:edGrp="everyone"/>
      <w:r w:rsidRPr="001B1B48">
        <w:rPr>
          <w:rFonts w:ascii="Calibri" w:eastAsia="Calibri" w:hAnsi="Calibri"/>
          <w:kern w:val="2"/>
          <w:sz w:val="22"/>
          <w:szCs w:val="22"/>
          <w:lang w:eastAsia="en-US"/>
          <w14:ligatures w14:val="standardContextual"/>
        </w:rPr>
        <w:t>TYPE YOUR TEXT HERE</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FCC21" w14:textId="77777777" w:rsidR="00970D2C" w:rsidRDefault="00970D2C" w:rsidP="007E7997">
      <w:r>
        <w:separator/>
      </w:r>
    </w:p>
  </w:endnote>
  <w:endnote w:type="continuationSeparator" w:id="0">
    <w:p w14:paraId="4C8F6172" w14:textId="77777777" w:rsidR="00970D2C" w:rsidRDefault="00970D2C" w:rsidP="007E7997">
      <w:r>
        <w:continuationSeparator/>
      </w:r>
    </w:p>
  </w:endnote>
  <w:endnote w:type="continuationNotice" w:id="1">
    <w:p w14:paraId="3C52EEC7" w14:textId="77777777" w:rsidR="00970D2C" w:rsidRDefault="00970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317AD" w14:textId="77777777" w:rsidR="00970D2C" w:rsidRDefault="00970D2C" w:rsidP="007E7997">
      <w:r>
        <w:separator/>
      </w:r>
    </w:p>
  </w:footnote>
  <w:footnote w:type="continuationSeparator" w:id="0">
    <w:p w14:paraId="1910D137" w14:textId="77777777" w:rsidR="00970D2C" w:rsidRDefault="00970D2C" w:rsidP="007E7997">
      <w:r>
        <w:continuationSeparator/>
      </w:r>
    </w:p>
  </w:footnote>
  <w:footnote w:type="continuationNotice" w:id="1">
    <w:p w14:paraId="16CA0B9E" w14:textId="77777777" w:rsidR="00970D2C" w:rsidRDefault="00970D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C872E8"/>
    <w:multiLevelType w:val="hybridMultilevel"/>
    <w:tmpl w:val="08C27316"/>
    <w:lvl w:ilvl="0" w:tplc="C54ECD2E">
      <w:start w:val="1"/>
      <w:numFmt w:val="lowerRoman"/>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5E59C9"/>
    <w:multiLevelType w:val="hybridMultilevel"/>
    <w:tmpl w:val="8C10E20E"/>
    <w:lvl w:ilvl="0" w:tplc="40D81504">
      <w:start w:val="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4472B2"/>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1"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C85339"/>
    <w:multiLevelType w:val="hybridMultilevel"/>
    <w:tmpl w:val="D9DE994A"/>
    <w:lvl w:ilvl="0" w:tplc="90DE1960">
      <w:start w:val="1"/>
      <w:numFmt w:val="low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0"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1F2916"/>
    <w:multiLevelType w:val="hybridMultilevel"/>
    <w:tmpl w:val="34E229D4"/>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2C5663"/>
    <w:multiLevelType w:val="hybridMultilevel"/>
    <w:tmpl w:val="800A6B64"/>
    <w:lvl w:ilvl="0" w:tplc="D9EE0F0C">
      <w:start w:val="6"/>
      <w:numFmt w:val="bullet"/>
      <w:lvlText w:val="-"/>
      <w:lvlJc w:val="left"/>
      <w:pPr>
        <w:ind w:left="720" w:hanging="360"/>
      </w:pPr>
      <w:rPr>
        <w:rFonts w:ascii="Arial" w:eastAsiaTheme="minorEastAsia"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6B921CD7"/>
    <w:multiLevelType w:val="hybridMultilevel"/>
    <w:tmpl w:val="83446E0E"/>
    <w:lvl w:ilvl="0" w:tplc="0F22F592">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1"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EBC3772"/>
    <w:multiLevelType w:val="multilevel"/>
    <w:tmpl w:val="2D10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8975619">
    <w:abstractNumId w:val="4"/>
  </w:num>
  <w:num w:numId="2" w16cid:durableId="1495532731">
    <w:abstractNumId w:val="4"/>
  </w:num>
  <w:num w:numId="3" w16cid:durableId="994409496">
    <w:abstractNumId w:val="31"/>
  </w:num>
  <w:num w:numId="4" w16cid:durableId="1880320868">
    <w:abstractNumId w:val="5"/>
  </w:num>
  <w:num w:numId="5" w16cid:durableId="290864581">
    <w:abstractNumId w:val="16"/>
  </w:num>
  <w:num w:numId="6" w16cid:durableId="952590553">
    <w:abstractNumId w:val="33"/>
  </w:num>
  <w:num w:numId="7" w16cid:durableId="1159686949">
    <w:abstractNumId w:val="15"/>
  </w:num>
  <w:num w:numId="8" w16cid:durableId="765269892">
    <w:abstractNumId w:val="7"/>
  </w:num>
  <w:num w:numId="9" w16cid:durableId="1301960395">
    <w:abstractNumId w:val="11"/>
  </w:num>
  <w:num w:numId="10" w16cid:durableId="1228616548">
    <w:abstractNumId w:val="9"/>
  </w:num>
  <w:num w:numId="11" w16cid:durableId="2051027016">
    <w:abstractNumId w:val="8"/>
  </w:num>
  <w:num w:numId="12" w16cid:durableId="83380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4"/>
  </w:num>
  <w:num w:numId="15" w16cid:durableId="986476960">
    <w:abstractNumId w:val="26"/>
  </w:num>
  <w:num w:numId="16" w16cid:durableId="398749299">
    <w:abstractNumId w:val="32"/>
  </w:num>
  <w:num w:numId="17" w16cid:durableId="14076118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7"/>
  </w:num>
  <w:num w:numId="19" w16cid:durableId="558588771">
    <w:abstractNumId w:val="33"/>
  </w:num>
  <w:num w:numId="20" w16cid:durableId="1306933315">
    <w:abstractNumId w:val="13"/>
  </w:num>
  <w:num w:numId="21" w16cid:durableId="1623876054">
    <w:abstractNumId w:val="28"/>
  </w:num>
  <w:num w:numId="22" w16cid:durableId="783383837">
    <w:abstractNumId w:val="17"/>
  </w:num>
  <w:num w:numId="23" w16cid:durableId="2112964618">
    <w:abstractNumId w:val="25"/>
  </w:num>
  <w:num w:numId="24" w16cid:durableId="1958565453">
    <w:abstractNumId w:val="0"/>
  </w:num>
  <w:num w:numId="25" w16cid:durableId="1372725395">
    <w:abstractNumId w:val="22"/>
  </w:num>
  <w:num w:numId="26" w16cid:durableId="1686445133">
    <w:abstractNumId w:val="20"/>
  </w:num>
  <w:num w:numId="27" w16cid:durableId="1247768697">
    <w:abstractNumId w:val="12"/>
  </w:num>
  <w:num w:numId="28" w16cid:durableId="954170948">
    <w:abstractNumId w:val="2"/>
  </w:num>
  <w:num w:numId="29" w16cid:durableId="837424337">
    <w:abstractNumId w:val="21"/>
  </w:num>
  <w:num w:numId="30" w16cid:durableId="299657983">
    <w:abstractNumId w:val="6"/>
  </w:num>
  <w:num w:numId="31" w16cid:durableId="699822250">
    <w:abstractNumId w:val="18"/>
  </w:num>
  <w:num w:numId="32" w16cid:durableId="730466929">
    <w:abstractNumId w:val="14"/>
    <w:lvlOverride w:ilvl="0">
      <w:startOverride w:val="1"/>
    </w:lvlOverride>
  </w:num>
  <w:num w:numId="33" w16cid:durableId="552498262">
    <w:abstractNumId w:val="24"/>
  </w:num>
  <w:num w:numId="34" w16cid:durableId="1829132647">
    <w:abstractNumId w:val="14"/>
    <w:lvlOverride w:ilvl="0">
      <w:startOverride w:val="1"/>
    </w:lvlOverride>
  </w:num>
  <w:num w:numId="35" w16cid:durableId="1915964461">
    <w:abstractNumId w:val="14"/>
    <w:lvlOverride w:ilvl="0">
      <w:startOverride w:val="1"/>
    </w:lvlOverride>
  </w:num>
  <w:num w:numId="36" w16cid:durableId="1385182617">
    <w:abstractNumId w:val="14"/>
    <w:lvlOverride w:ilvl="0">
      <w:startOverride w:val="1"/>
    </w:lvlOverride>
  </w:num>
  <w:num w:numId="37" w16cid:durableId="2135369724">
    <w:abstractNumId w:val="3"/>
  </w:num>
  <w:num w:numId="38" w16cid:durableId="519282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4022432">
    <w:abstractNumId w:val="29"/>
  </w:num>
  <w:num w:numId="40" w16cid:durableId="19104535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23495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118385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90890247">
    <w:abstractNumId w:val="10"/>
    <w:lvlOverride w:ilvl="0">
      <w:startOverride w:val="1"/>
    </w:lvlOverride>
    <w:lvlOverride w:ilvl="1"/>
    <w:lvlOverride w:ilvl="2"/>
    <w:lvlOverride w:ilvl="3"/>
    <w:lvlOverride w:ilvl="4"/>
    <w:lvlOverride w:ilvl="5"/>
    <w:lvlOverride w:ilvl="6"/>
    <w:lvlOverride w:ilvl="7"/>
    <w:lvlOverride w:ilvl="8"/>
  </w:num>
  <w:num w:numId="44" w16cid:durableId="1269774713">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0AB"/>
    <w:rsid w:val="0003297D"/>
    <w:rsid w:val="00033934"/>
    <w:rsid w:val="00036C09"/>
    <w:rsid w:val="000372BF"/>
    <w:rsid w:val="00040A52"/>
    <w:rsid w:val="00044C5A"/>
    <w:rsid w:val="00044E0A"/>
    <w:rsid w:val="000457B2"/>
    <w:rsid w:val="00047C57"/>
    <w:rsid w:val="00054E00"/>
    <w:rsid w:val="00061B2B"/>
    <w:rsid w:val="000627C5"/>
    <w:rsid w:val="0006448C"/>
    <w:rsid w:val="0006449B"/>
    <w:rsid w:val="000655AD"/>
    <w:rsid w:val="00066FD1"/>
    <w:rsid w:val="00072BF9"/>
    <w:rsid w:val="00073DF9"/>
    <w:rsid w:val="0007557A"/>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1796"/>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5A7F"/>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A6"/>
    <w:rsid w:val="001735B8"/>
    <w:rsid w:val="00177AA7"/>
    <w:rsid w:val="00180917"/>
    <w:rsid w:val="00180E53"/>
    <w:rsid w:val="00181845"/>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298"/>
    <w:rsid w:val="00220938"/>
    <w:rsid w:val="00224806"/>
    <w:rsid w:val="00232F8E"/>
    <w:rsid w:val="00233071"/>
    <w:rsid w:val="00235E99"/>
    <w:rsid w:val="0024299F"/>
    <w:rsid w:val="002449D8"/>
    <w:rsid w:val="00244A73"/>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151D"/>
    <w:rsid w:val="00342B5B"/>
    <w:rsid w:val="00343532"/>
    <w:rsid w:val="00345469"/>
    <w:rsid w:val="003454ED"/>
    <w:rsid w:val="0034566D"/>
    <w:rsid w:val="00345EB9"/>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5482"/>
    <w:rsid w:val="00376233"/>
    <w:rsid w:val="00380B30"/>
    <w:rsid w:val="00381784"/>
    <w:rsid w:val="00381EB0"/>
    <w:rsid w:val="00382A72"/>
    <w:rsid w:val="00382EBA"/>
    <w:rsid w:val="0038331A"/>
    <w:rsid w:val="0039135B"/>
    <w:rsid w:val="003A03D2"/>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9EC"/>
    <w:rsid w:val="00400D9C"/>
    <w:rsid w:val="00400FBE"/>
    <w:rsid w:val="004022CF"/>
    <w:rsid w:val="004029B1"/>
    <w:rsid w:val="004038F1"/>
    <w:rsid w:val="00404282"/>
    <w:rsid w:val="00404ED5"/>
    <w:rsid w:val="0040743A"/>
    <w:rsid w:val="00407623"/>
    <w:rsid w:val="00407A74"/>
    <w:rsid w:val="004114D5"/>
    <w:rsid w:val="004123A3"/>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7FEA"/>
    <w:rsid w:val="004A0819"/>
    <w:rsid w:val="004A75F5"/>
    <w:rsid w:val="004B07B2"/>
    <w:rsid w:val="004B0955"/>
    <w:rsid w:val="004B143D"/>
    <w:rsid w:val="004B1842"/>
    <w:rsid w:val="004B25D0"/>
    <w:rsid w:val="004B3553"/>
    <w:rsid w:val="004B5E92"/>
    <w:rsid w:val="004B6859"/>
    <w:rsid w:val="004C0A30"/>
    <w:rsid w:val="004C357C"/>
    <w:rsid w:val="004C3D18"/>
    <w:rsid w:val="004D27EF"/>
    <w:rsid w:val="004D42B1"/>
    <w:rsid w:val="004D526F"/>
    <w:rsid w:val="004E0583"/>
    <w:rsid w:val="004E19C0"/>
    <w:rsid w:val="004E1C54"/>
    <w:rsid w:val="004E2C37"/>
    <w:rsid w:val="004E5285"/>
    <w:rsid w:val="004F0CF3"/>
    <w:rsid w:val="004F5740"/>
    <w:rsid w:val="004F58C9"/>
    <w:rsid w:val="0050250A"/>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0E62"/>
    <w:rsid w:val="00622896"/>
    <w:rsid w:val="006234FE"/>
    <w:rsid w:val="00623840"/>
    <w:rsid w:val="006255EC"/>
    <w:rsid w:val="00625A25"/>
    <w:rsid w:val="0062736A"/>
    <w:rsid w:val="0063565E"/>
    <w:rsid w:val="00636E02"/>
    <w:rsid w:val="006372FE"/>
    <w:rsid w:val="00640691"/>
    <w:rsid w:val="00641DB1"/>
    <w:rsid w:val="00642297"/>
    <w:rsid w:val="0064466D"/>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46A3"/>
    <w:rsid w:val="006953E1"/>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B8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2306"/>
    <w:rsid w:val="0073454F"/>
    <w:rsid w:val="007354A5"/>
    <w:rsid w:val="00735C00"/>
    <w:rsid w:val="007364C6"/>
    <w:rsid w:val="00740BF3"/>
    <w:rsid w:val="00741D5C"/>
    <w:rsid w:val="0074352F"/>
    <w:rsid w:val="00747C5E"/>
    <w:rsid w:val="00750210"/>
    <w:rsid w:val="0075162F"/>
    <w:rsid w:val="00754844"/>
    <w:rsid w:val="00754B57"/>
    <w:rsid w:val="007563B5"/>
    <w:rsid w:val="0075671D"/>
    <w:rsid w:val="0076002F"/>
    <w:rsid w:val="0076038B"/>
    <w:rsid w:val="00761744"/>
    <w:rsid w:val="007624E6"/>
    <w:rsid w:val="00764582"/>
    <w:rsid w:val="00765168"/>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7F7F6E"/>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78D"/>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2F5A"/>
    <w:rsid w:val="00906DC4"/>
    <w:rsid w:val="00911A61"/>
    <w:rsid w:val="0091457F"/>
    <w:rsid w:val="0091729E"/>
    <w:rsid w:val="0093261E"/>
    <w:rsid w:val="0094008E"/>
    <w:rsid w:val="00941C0C"/>
    <w:rsid w:val="009437F2"/>
    <w:rsid w:val="0094528B"/>
    <w:rsid w:val="00960A8B"/>
    <w:rsid w:val="00965128"/>
    <w:rsid w:val="00967068"/>
    <w:rsid w:val="00970D2C"/>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E675E"/>
    <w:rsid w:val="009F0ABA"/>
    <w:rsid w:val="009F0AF5"/>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5BCD"/>
    <w:rsid w:val="00A460CD"/>
    <w:rsid w:val="00A46866"/>
    <w:rsid w:val="00A50761"/>
    <w:rsid w:val="00A51DF2"/>
    <w:rsid w:val="00A53AF0"/>
    <w:rsid w:val="00A54ED7"/>
    <w:rsid w:val="00A61561"/>
    <w:rsid w:val="00A63249"/>
    <w:rsid w:val="00A6691F"/>
    <w:rsid w:val="00A67E6A"/>
    <w:rsid w:val="00A70F49"/>
    <w:rsid w:val="00A72203"/>
    <w:rsid w:val="00A7281F"/>
    <w:rsid w:val="00A73299"/>
    <w:rsid w:val="00A73949"/>
    <w:rsid w:val="00A74B44"/>
    <w:rsid w:val="00A76707"/>
    <w:rsid w:val="00A7697E"/>
    <w:rsid w:val="00A76C98"/>
    <w:rsid w:val="00A76E20"/>
    <w:rsid w:val="00A8284E"/>
    <w:rsid w:val="00A870EE"/>
    <w:rsid w:val="00A91D91"/>
    <w:rsid w:val="00A96F81"/>
    <w:rsid w:val="00A9709D"/>
    <w:rsid w:val="00AA054E"/>
    <w:rsid w:val="00AA0A10"/>
    <w:rsid w:val="00AA2094"/>
    <w:rsid w:val="00AA2947"/>
    <w:rsid w:val="00AA7461"/>
    <w:rsid w:val="00AB1894"/>
    <w:rsid w:val="00AB22DF"/>
    <w:rsid w:val="00AB2C3F"/>
    <w:rsid w:val="00AB30EA"/>
    <w:rsid w:val="00AB3ACE"/>
    <w:rsid w:val="00AB458B"/>
    <w:rsid w:val="00AB45E4"/>
    <w:rsid w:val="00AB6157"/>
    <w:rsid w:val="00AB7542"/>
    <w:rsid w:val="00AC022D"/>
    <w:rsid w:val="00AC0629"/>
    <w:rsid w:val="00AC70C7"/>
    <w:rsid w:val="00AC79E0"/>
    <w:rsid w:val="00AD32CE"/>
    <w:rsid w:val="00AD5187"/>
    <w:rsid w:val="00AD58B4"/>
    <w:rsid w:val="00AD6B11"/>
    <w:rsid w:val="00AD6B34"/>
    <w:rsid w:val="00AD6F90"/>
    <w:rsid w:val="00AE0286"/>
    <w:rsid w:val="00AE247F"/>
    <w:rsid w:val="00AE4534"/>
    <w:rsid w:val="00AE4A24"/>
    <w:rsid w:val="00AE4FC7"/>
    <w:rsid w:val="00AE5C4A"/>
    <w:rsid w:val="00AF01E3"/>
    <w:rsid w:val="00AF23AE"/>
    <w:rsid w:val="00AF2EF7"/>
    <w:rsid w:val="00AF3741"/>
    <w:rsid w:val="00AF3B5C"/>
    <w:rsid w:val="00AF4AF1"/>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3A7"/>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5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2560"/>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02E0"/>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971"/>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0226"/>
    <w:rsid w:val="00E02239"/>
    <w:rsid w:val="00E047EC"/>
    <w:rsid w:val="00E07D42"/>
    <w:rsid w:val="00E163E9"/>
    <w:rsid w:val="00E240F5"/>
    <w:rsid w:val="00E30004"/>
    <w:rsid w:val="00E31A5B"/>
    <w:rsid w:val="00E333AC"/>
    <w:rsid w:val="00E3456B"/>
    <w:rsid w:val="00E35526"/>
    <w:rsid w:val="00E35C16"/>
    <w:rsid w:val="00E36085"/>
    <w:rsid w:val="00E36813"/>
    <w:rsid w:val="00E42382"/>
    <w:rsid w:val="00E603DF"/>
    <w:rsid w:val="00E63745"/>
    <w:rsid w:val="00E6699F"/>
    <w:rsid w:val="00E67845"/>
    <w:rsid w:val="00E67B40"/>
    <w:rsid w:val="00E703AE"/>
    <w:rsid w:val="00E72373"/>
    <w:rsid w:val="00E74A40"/>
    <w:rsid w:val="00E76AF9"/>
    <w:rsid w:val="00E81F64"/>
    <w:rsid w:val="00E84EF0"/>
    <w:rsid w:val="00E8649C"/>
    <w:rsid w:val="00E86765"/>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31C"/>
    <w:rsid w:val="00ED56BE"/>
    <w:rsid w:val="00ED74D7"/>
    <w:rsid w:val="00EE40F8"/>
    <w:rsid w:val="00EE6DD6"/>
    <w:rsid w:val="00EF0867"/>
    <w:rsid w:val="00EF1A10"/>
    <w:rsid w:val="00EF1A9F"/>
    <w:rsid w:val="00EF1B27"/>
    <w:rsid w:val="00EF4370"/>
    <w:rsid w:val="00EF5AD7"/>
    <w:rsid w:val="00F03FA7"/>
    <w:rsid w:val="00F048EF"/>
    <w:rsid w:val="00F06AAD"/>
    <w:rsid w:val="00F12BDC"/>
    <w:rsid w:val="00F146BE"/>
    <w:rsid w:val="00F22013"/>
    <w:rsid w:val="00F22356"/>
    <w:rsid w:val="00F226E0"/>
    <w:rsid w:val="00F2522F"/>
    <w:rsid w:val="00F30180"/>
    <w:rsid w:val="00F31A29"/>
    <w:rsid w:val="00F3279A"/>
    <w:rsid w:val="00F37236"/>
    <w:rsid w:val="00F42BEC"/>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1271"/>
    <w:rsid w:val="00F7772A"/>
    <w:rsid w:val="00F77851"/>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207840936">
      <w:bodyDiv w:val="1"/>
      <w:marLeft w:val="0"/>
      <w:marRight w:val="0"/>
      <w:marTop w:val="0"/>
      <w:marBottom w:val="0"/>
      <w:divBdr>
        <w:top w:val="none" w:sz="0" w:space="0" w:color="auto"/>
        <w:left w:val="none" w:sz="0" w:space="0" w:color="auto"/>
        <w:bottom w:val="none" w:sz="0" w:space="0" w:color="auto"/>
        <w:right w:val="none" w:sz="0" w:space="0" w:color="auto"/>
      </w:divBdr>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344865380">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981422525">
      <w:bodyDiv w:val="1"/>
      <w:marLeft w:val="0"/>
      <w:marRight w:val="0"/>
      <w:marTop w:val="0"/>
      <w:marBottom w:val="0"/>
      <w:divBdr>
        <w:top w:val="none" w:sz="0" w:space="0" w:color="auto"/>
        <w:left w:val="none" w:sz="0" w:space="0" w:color="auto"/>
        <w:bottom w:val="none" w:sz="0" w:space="0" w:color="auto"/>
        <w:right w:val="none" w:sz="0" w:space="0" w:color="auto"/>
      </w:divBdr>
    </w:div>
    <w:div w:id="1005088546">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18850131">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983801275">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 w:id="210777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8d04436c-97e7-4ff5-ab8a-2aced667a8e8">UX3J3NH7HRHJ-167323429-357336</_dlc_DocId>
    <TaxCatchAll xmlns="8d04436c-97e7-4ff5-ab8a-2aced667a8e8">
      <Value>425</Value>
      <Value>500</Value>
      <Value>9</Value>
      <Value>8</Value>
      <Value>86</Value>
    </TaxCatchAll>
    <_dlc_DocIdUrl xmlns="8d04436c-97e7-4ff5-ab8a-2aced667a8e8">
      <Url>https://efama.sharepoint.com/sites/Data/_layouts/15/DocIdRedir.aspx?ID=UX3J3NH7HRHJ-167323429-357336</Url>
      <Description>UX3J3NH7HRHJ-167323429-357336</Description>
    </_dlc_DocIdUrl>
    <lcf76f155ced4ddcb4097134ff3c332f xmlns="19ef4362-ebb2-43d2-99d3-7d30d020460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984E3E832593459483A65C6D41B012" ma:contentTypeVersion="15" ma:contentTypeDescription="Create a new document." ma:contentTypeScope="" ma:versionID="90c4ac713f861ed886a1766744311b80">
  <xsd:schema xmlns:xsd="http://www.w3.org/2001/XMLSchema" xmlns:xs="http://www.w3.org/2001/XMLSchema" xmlns:p="http://schemas.microsoft.com/office/2006/metadata/properties" xmlns:ns2="8d04436c-97e7-4ff5-ab8a-2aced667a8e8" xmlns:ns3="19ef4362-ebb2-43d2-99d3-7d30d0204601" targetNamespace="http://schemas.microsoft.com/office/2006/metadata/properties" ma:root="true" ma:fieldsID="b6ab21c959fd68ad83d8fc801fff6856" ns2:_="" ns3:_="">
    <xsd:import namespace="8d04436c-97e7-4ff5-ab8a-2aced667a8e8"/>
    <xsd:import namespace="19ef4362-ebb2-43d2-99d3-7d30d020460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4436c-97e7-4ff5-ab8a-2aced667a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00e026c-922a-4cff-badf-f3eeb93394e9}" ma:internalName="TaxCatchAll" ma:showField="CatchAllData" ma:web="8d04436c-97e7-4ff5-ab8a-2aced667a8e8">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ef4362-ebb2-43d2-99d3-7d30d020460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005ee7d-9196-4379-8658-44738156ffb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customXml/itemProps3.xml><?xml version="1.0" encoding="utf-8"?>
<ds:datastoreItem xmlns:ds="http://schemas.openxmlformats.org/officeDocument/2006/customXml" ds:itemID="{461BF6DD-C70F-4A52-91D2-3548650D3AA1}"/>
</file>

<file path=customXml/itemProps4.xml><?xml version="1.0" encoding="utf-8"?>
<ds:datastoreItem xmlns:ds="http://schemas.openxmlformats.org/officeDocument/2006/customXml" ds:itemID="{E64FA6A0-161D-491E-A20C-FF2A62A7B680}">
  <ds:schemaRefs>
    <ds:schemaRef ds:uri="http://schemas.microsoft.com/sharepoint/event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9</Pages>
  <Words>2296</Words>
  <Characters>12601</Characters>
  <Application>Microsoft Office Word</Application>
  <DocSecurity>4</DocSecurity>
  <Lines>232</Lines>
  <Paragraphs>112</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Isabelle Van Acker</cp:lastModifiedBy>
  <cp:revision>2</cp:revision>
  <cp:lastPrinted>2017-07-24T14:47:00Z</cp:lastPrinted>
  <dcterms:created xsi:type="dcterms:W3CDTF">2025-06-20T12:42:00Z</dcterms:created>
  <dcterms:modified xsi:type="dcterms:W3CDTF">2025-06-20T12:42:00Z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0x01010065984E3E832593459483A65C6D41B012</vt:lpwstr>
  </property>
  <property fmtid="{D5CDD505-2E9C-101B-9397-08002B2CF9AE}" pid="5" name="_dlc_DocIdItemGuid">
    <vt:lpwstr>486d1eb7-8ffd-41ac-954a-9e685a185153</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y fmtid="{D5CDD505-2E9C-101B-9397-08002B2CF9AE}" pid="30" name="GrammarlyDocumentId">
    <vt:lpwstr>39bc7218-ed34-4162-ad41-a80b402cf177</vt:lpwstr>
  </property>
</Properties>
</file>