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re"/>
                  <w:rPr>
                    <w:sz w:val="48"/>
                    <w:szCs w:val="48"/>
                  </w:rPr>
                </w:pPr>
                <w:r w:rsidRPr="00FA64BE">
                  <w:rPr>
                    <w:sz w:val="48"/>
                    <w:szCs w:val="48"/>
                  </w:rPr>
                  <w:t xml:space="preserve">Reply form </w:t>
                </w:r>
              </w:p>
              <w:p w14:paraId="2F2A3347" w14:textId="77777777" w:rsidR="000310AB" w:rsidRPr="00FA64BE" w:rsidRDefault="000310AB" w:rsidP="000310AB"/>
              <w:p w14:paraId="00FE0097" w14:textId="77777777" w:rsidR="000310AB" w:rsidRPr="00FA64BE" w:rsidRDefault="000310AB" w:rsidP="000310AB">
                <w:pPr>
                  <w:pStyle w:val="Titr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the Consultation Paper</w:t>
                </w:r>
                <w:r>
                  <w:rPr>
                    <w:rFonts w:cs="Arial"/>
                    <w:bCs/>
                    <w:color w:val="auto"/>
                    <w:sz w:val="24"/>
                    <w:szCs w:val="24"/>
                  </w:rPr>
                  <w:t xml:space="preserve"> on Technical Standards under the Regulation on transparency and integrity of Environmental, Social and Governance (ESG) rating activities</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Titre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Titre2"/>
            <w:numPr>
              <w:ilvl w:val="0"/>
              <w:numId w:val="0"/>
            </w:num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57849C"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proofErr w:type="gramStart"/>
          <w:r w:rsidRPr="00B16706">
            <w:rPr>
              <w:rFonts w:asciiTheme="minorHAnsi" w:eastAsiaTheme="minorEastAsia" w:hAnsiTheme="minorHAnsi" w:cstheme="minorBidi"/>
              <w:sz w:val="18"/>
              <w:szCs w:val="16"/>
              <w:u w:val="dottedHeavy" w:color="BF8F00" w:themeColor="accent4" w:themeShade="BF"/>
              <w:lang w:eastAsia="en-US"/>
            </w:rPr>
            <w:t>in particular on</w:t>
          </w:r>
          <w:proofErr w:type="gramEnd"/>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respond to the question </w:t>
          </w:r>
          <w:proofErr w:type="gramStart"/>
          <w:r w:rsidRPr="00B16706">
            <w:rPr>
              <w:rFonts w:asciiTheme="minorHAnsi" w:eastAsiaTheme="minorEastAsia" w:hAnsiTheme="minorHAnsi" w:cstheme="minorBidi"/>
              <w:sz w:val="18"/>
              <w:szCs w:val="16"/>
              <w:lang w:eastAsia="en-US"/>
            </w:rPr>
            <w:t>stated;</w:t>
          </w:r>
          <w:proofErr w:type="gramEnd"/>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indicate the specific question to which the comment </w:t>
          </w:r>
          <w:proofErr w:type="gramStart"/>
          <w:r w:rsidRPr="00B16706">
            <w:rPr>
              <w:rFonts w:asciiTheme="minorHAnsi" w:eastAsiaTheme="minorEastAsia" w:hAnsiTheme="minorHAnsi" w:cstheme="minorBidi"/>
              <w:sz w:val="18"/>
              <w:szCs w:val="16"/>
              <w:lang w:eastAsia="en-US"/>
            </w:rPr>
            <w:t>relates;</w:t>
          </w:r>
          <w:proofErr w:type="gramEnd"/>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701E1EA5"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D11B30">
            <w:rPr>
              <w:rFonts w:asciiTheme="minorHAnsi" w:eastAsiaTheme="minorEastAsia" w:hAnsiTheme="minorHAnsi" w:cstheme="minorBidi"/>
              <w:b/>
              <w:sz w:val="18"/>
              <w:szCs w:val="16"/>
              <w:lang w:eastAsia="en-US"/>
            </w:rPr>
            <w:t>20</w:t>
          </w:r>
          <w:r w:rsidR="00C17150">
            <w:rPr>
              <w:rFonts w:asciiTheme="minorHAnsi" w:eastAsiaTheme="minorEastAsia" w:hAnsiTheme="minorHAnsi" w:cstheme="minorBidi"/>
              <w:b/>
              <w:sz w:val="18"/>
              <w:szCs w:val="16"/>
              <w:lang w:eastAsia="en-US"/>
            </w:rPr>
            <w:t xml:space="preserve"> </w:t>
          </w:r>
          <w:r w:rsidR="00D11B30">
            <w:rPr>
              <w:rFonts w:asciiTheme="minorHAnsi" w:eastAsiaTheme="minorEastAsia" w:hAnsiTheme="minorHAnsi" w:cstheme="minorBidi"/>
              <w:b/>
              <w:sz w:val="18"/>
              <w:szCs w:val="16"/>
              <w:lang w:eastAsia="en-US"/>
            </w:rPr>
            <w:t>June</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proofErr w:type="gramStart"/>
          <w:r w:rsidRPr="00B16706">
            <w:rPr>
              <w:rFonts w:asciiTheme="minorHAnsi" w:eastAsiaTheme="minorEastAsia" w:hAnsiTheme="minorHAnsi" w:cstheme="minorBidi"/>
              <w:sz w:val="18"/>
              <w:szCs w:val="16"/>
              <w:lang w:eastAsia="en-US"/>
            </w:rPr>
            <w:t>In order to</w:t>
          </w:r>
          <w:proofErr w:type="gramEnd"/>
          <w:r w:rsidRPr="00B16706">
            <w:rPr>
              <w:rFonts w:asciiTheme="minorHAnsi" w:eastAsiaTheme="minorEastAsia" w:hAnsiTheme="minorHAnsi" w:cstheme="minorBidi"/>
              <w:sz w:val="18"/>
              <w:szCs w:val="16"/>
              <w:lang w:eastAsia="en-US"/>
            </w:rPr>
            <w:t xml:space="preserve">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Paragraphedeliste"/>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0392516A" w:rsidR="00A409C2" w:rsidRPr="00871163" w:rsidRDefault="008279D3" w:rsidP="00A409C2">
          <w:pPr>
            <w:pStyle w:val="Paragraphedeliste"/>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proofErr w:type="gramStart"/>
          <w:r w:rsidR="00A409C2" w:rsidRPr="00871163">
            <w:rPr>
              <w:rFonts w:eastAsiaTheme="minorEastAsia" w:cstheme="minorBidi"/>
              <w:sz w:val="18"/>
              <w:szCs w:val="16"/>
              <w:u w:val="single"/>
              <w:lang w:eastAsia="en-US"/>
            </w:rPr>
            <w:t>);</w:t>
          </w:r>
          <w:proofErr w:type="gramEnd"/>
        </w:p>
        <w:p w14:paraId="6692798E" w14:textId="1F3ED354" w:rsidR="00B16706" w:rsidRPr="00A409C2" w:rsidRDefault="00B16706" w:rsidP="00A409C2">
          <w:pPr>
            <w:pStyle w:val="Paragraphedeliste"/>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B26BA">
            <w:rPr>
              <w:rFonts w:eastAsiaTheme="minorEastAsia" w:cstheme="minorBidi"/>
              <w:sz w:val="18"/>
              <w:szCs w:val="16"/>
              <w:lang w:eastAsia="en-US"/>
            </w:rPr>
            <w:t>E</w:t>
          </w:r>
          <w:r w:rsidR="004578B3">
            <w:rPr>
              <w:rFonts w:eastAsiaTheme="minorEastAsia" w:cstheme="minorBidi"/>
              <w:sz w:val="18"/>
              <w:szCs w:val="16"/>
              <w:lang w:eastAsia="en-US"/>
            </w:rPr>
            <w:t>SGR</w:t>
          </w:r>
          <w:r w:rsidRPr="00A409C2">
            <w:rPr>
              <w:rFonts w:eastAsiaTheme="minorEastAsia" w:cstheme="minorBidi"/>
              <w:sz w:val="18"/>
              <w:szCs w:val="16"/>
              <w:lang w:eastAsia="en-US"/>
            </w:rPr>
            <w:t xml:space="preserve">_1&gt;. Your response to each question </w:t>
          </w:r>
          <w:proofErr w:type="gramStart"/>
          <w:r w:rsidRPr="00A409C2">
            <w:rPr>
              <w:rFonts w:eastAsiaTheme="minorEastAsia" w:cstheme="minorBidi"/>
              <w:sz w:val="18"/>
              <w:szCs w:val="16"/>
              <w:lang w:eastAsia="en-US"/>
            </w:rPr>
            <w:t>has to</w:t>
          </w:r>
          <w:proofErr w:type="gramEnd"/>
          <w:r w:rsidRPr="00A409C2">
            <w:rPr>
              <w:rFonts w:eastAsiaTheme="minorEastAsia" w:cstheme="minorBidi"/>
              <w:sz w:val="18"/>
              <w:szCs w:val="16"/>
              <w:lang w:eastAsia="en-US"/>
            </w:rPr>
            <w:t xml:space="preserve"> be framed by the two tags corresponding to the question.</w:t>
          </w:r>
        </w:p>
        <w:p w14:paraId="1C4E226A" w14:textId="1D43AA8A" w:rsidR="00B16706" w:rsidRPr="00A409C2" w:rsidRDefault="00B16706" w:rsidP="00A409C2">
          <w:pPr>
            <w:pStyle w:val="Paragraphedeliste"/>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5318C045" w:rsidR="00B16706" w:rsidRPr="00A409C2" w:rsidRDefault="00B16706" w:rsidP="00A409C2">
          <w:pPr>
            <w:pStyle w:val="Paragraphedeliste"/>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When you have drafted your response, name your response form according to the following convention: </w:t>
          </w:r>
          <w:proofErr w:type="spellStart"/>
          <w:r w:rsidRPr="00A409C2">
            <w:rPr>
              <w:rFonts w:eastAsiaTheme="minorEastAsia" w:cstheme="minorBidi"/>
              <w:sz w:val="18"/>
              <w:szCs w:val="16"/>
              <w:lang w:eastAsia="en-US"/>
            </w:rPr>
            <w:t>ESMA_</w:t>
          </w:r>
          <w:r w:rsidR="003B26BA">
            <w:rPr>
              <w:rFonts w:eastAsiaTheme="minorEastAsia" w:cstheme="minorBidi"/>
              <w:sz w:val="18"/>
              <w:szCs w:val="16"/>
              <w:lang w:eastAsia="en-US"/>
            </w:rPr>
            <w:t>EUGB</w:t>
          </w:r>
          <w:r w:rsidRPr="00A409C2">
            <w:rPr>
              <w:rFonts w:eastAsiaTheme="minorEastAsia" w:cstheme="minorBidi"/>
              <w:sz w:val="18"/>
              <w:szCs w:val="16"/>
              <w:lang w:eastAsia="en-US"/>
            </w:rPr>
            <w:t>_nameofrespondent_RESPONSEFORM</w:t>
          </w:r>
          <w:proofErr w:type="spellEnd"/>
          <w:r w:rsidRPr="00A409C2">
            <w:rPr>
              <w:rFonts w:eastAsiaTheme="minorEastAsia" w:cstheme="minorBidi"/>
              <w:sz w:val="18"/>
              <w:szCs w:val="16"/>
              <w:lang w:eastAsia="en-US"/>
            </w:rPr>
            <w:t>. For example, for a respondent named ABCD, the response form would be entitled ESMA_</w:t>
          </w:r>
          <w:r w:rsidR="0037311D">
            <w:rPr>
              <w:rFonts w:eastAsiaTheme="minorEastAsia" w:cstheme="minorBidi"/>
              <w:sz w:val="18"/>
              <w:szCs w:val="16"/>
              <w:lang w:eastAsia="en-US"/>
            </w:rPr>
            <w:t>E</w:t>
          </w:r>
          <w:r w:rsidR="001522DD">
            <w:rPr>
              <w:rFonts w:eastAsiaTheme="minorEastAsia" w:cstheme="minorBidi"/>
              <w:sz w:val="18"/>
              <w:szCs w:val="16"/>
              <w:lang w:eastAsia="en-US"/>
            </w:rPr>
            <w:t>SGR</w:t>
          </w:r>
          <w:r w:rsidRPr="00A409C2">
            <w:rPr>
              <w:rFonts w:eastAsiaTheme="minorEastAsia" w:cstheme="minorBidi"/>
              <w:sz w:val="18"/>
              <w:szCs w:val="16"/>
              <w:lang w:eastAsia="en-US"/>
            </w:rPr>
            <w:t>_ABCD_RESPONSEFORM.</w:t>
          </w:r>
        </w:p>
        <w:p w14:paraId="28EEA743" w14:textId="2B8D6968" w:rsidR="00A02199" w:rsidRPr="00A409C2" w:rsidRDefault="00B16706" w:rsidP="00AF2EF7">
          <w:pPr>
            <w:pStyle w:val="Paragraphedeliste"/>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to ESMA’s website (www.esma.europa.eu under the heading “Your input – Open Consultations” -</w:t>
          </w:r>
          <w:proofErr w:type="gramStart"/>
          <w:r w:rsidRPr="00A409C2">
            <w:rPr>
              <w:rFonts w:eastAsiaTheme="minorEastAsia" w:cstheme="minorBidi"/>
              <w:sz w:val="18"/>
              <w:szCs w:val="16"/>
              <w:lang w:eastAsia="en-US"/>
            </w:rPr>
            <w:t>&gt;  Consultation</w:t>
          </w:r>
          <w:proofErr w:type="gramEnd"/>
          <w:r w:rsidRPr="00A409C2">
            <w:rPr>
              <w:rFonts w:eastAsiaTheme="minorEastAsia" w:cstheme="minorBidi"/>
              <w:sz w:val="18"/>
              <w:szCs w:val="16"/>
              <w:lang w:eastAsia="en-US"/>
            </w:rPr>
            <w:t xml:space="preserve"> Paper </w:t>
          </w:r>
          <w:r w:rsidR="003B26BA" w:rsidRPr="003B26BA">
            <w:rPr>
              <w:rFonts w:eastAsiaTheme="minorEastAsia" w:cstheme="minorBidi"/>
              <w:sz w:val="18"/>
              <w:szCs w:val="16"/>
              <w:lang w:eastAsia="en-US"/>
            </w:rPr>
            <w:t>on technical standards on the European Green Bonds Regulation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proofErr w:type="spellStart"/>
          <w:r w:rsidRPr="00B16706">
            <w:rPr>
              <w:rFonts w:asciiTheme="minorHAnsi" w:eastAsiaTheme="minorEastAsia" w:hAnsiTheme="minorHAnsi" w:cstheme="minorBidi"/>
              <w:sz w:val="18"/>
              <w:szCs w:val="16"/>
              <w:lang w:eastAsia="en-US"/>
            </w:rPr>
            <w:t>publically</w:t>
          </w:r>
          <w:proofErr w:type="spellEnd"/>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lastRenderedPageBreak/>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t>Who should read this paper</w:t>
          </w:r>
        </w:p>
      </w:sdtContent>
    </w:sdt>
    <w:p w14:paraId="1F90B8D3" w14:textId="4C9C01EB" w:rsidR="00C85C8B" w:rsidRDefault="00C17150" w:rsidP="008279D3">
      <w:pPr>
        <w:pStyle w:val="Titre1"/>
        <w:numPr>
          <w:ilvl w:val="0"/>
          <w:numId w:val="0"/>
        </w:numPr>
        <w:spacing w:line="276" w:lineRule="auto"/>
        <w:rPr>
          <w:rFonts w:asciiTheme="minorHAnsi" w:hAnsiTheme="minorHAnsi" w:cstheme="minorHAnsi"/>
          <w:sz w:val="20"/>
          <w:szCs w:val="20"/>
        </w:rPr>
      </w:pPr>
      <w:r w:rsidRPr="00C17150">
        <w:rPr>
          <w:rFonts w:ascii="Arial" w:eastAsia="Times New Roman" w:hAnsi="Arial" w:cs="Arial"/>
          <w:b w:val="0"/>
          <w:sz w:val="18"/>
          <w:szCs w:val="18"/>
          <w:lang w:eastAsia="it-IT"/>
        </w:rPr>
        <w:t xml:space="preserve">All interested stakeholders are invited to respond to this Consultation Paper. </w:t>
      </w:r>
      <w:proofErr w:type="gramStart"/>
      <w:r w:rsidRPr="00C17150">
        <w:rPr>
          <w:rFonts w:ascii="Arial" w:eastAsia="Times New Roman" w:hAnsi="Arial" w:cs="Arial"/>
          <w:b w:val="0"/>
          <w:sz w:val="18"/>
          <w:szCs w:val="18"/>
          <w:lang w:eastAsia="it-IT"/>
        </w:rPr>
        <w:t>In particular, ESMA</w:t>
      </w:r>
      <w:proofErr w:type="gramEnd"/>
      <w:r w:rsidRPr="00C17150">
        <w:rPr>
          <w:rFonts w:ascii="Arial" w:eastAsia="Times New Roman" w:hAnsi="Arial" w:cs="Arial"/>
          <w:b w:val="0"/>
          <w:sz w:val="18"/>
          <w:szCs w:val="18"/>
          <w:lang w:eastAsia="it-IT"/>
        </w:rPr>
        <w:t xml:space="preserve"> encourages entities that intend to apply for registration as external reviewers of European Green Bonds, as well as financial market participants who have or intend to issue or invest in green bonds or sustainability-linked bonds, to participate</w:t>
      </w:r>
      <w:r w:rsidR="00FA64BE" w:rsidRPr="00FA64BE">
        <w:rPr>
          <w:rFonts w:ascii="Arial" w:eastAsia="Times New Roman" w:hAnsi="Arial" w:cs="Arial"/>
          <w:b w:val="0"/>
          <w:sz w:val="18"/>
          <w:szCs w:val="18"/>
          <w:lang w:eastAsia="it-IT"/>
        </w:rPr>
        <w:t xml:space="preserve">. </w:t>
      </w:r>
      <w:r w:rsidR="00AF2EF7"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Content>
            <w:tc>
              <w:tcPr>
                <w:tcW w:w="5595" w:type="dxa"/>
                <w:shd w:val="clear" w:color="auto" w:fill="auto"/>
              </w:tcPr>
              <w:p w14:paraId="1B67440D" w14:textId="6273D606" w:rsidR="00C85C8B" w:rsidRPr="00B16706" w:rsidRDefault="00CF64F5" w:rsidP="00C85C8B">
                <w:pPr>
                  <w:rPr>
                    <w:rFonts w:ascii="Arial" w:hAnsi="Arial" w:cs="Arial"/>
                    <w:color w:val="808080"/>
                    <w:sz w:val="16"/>
                    <w:szCs w:val="20"/>
                    <w:lang w:eastAsia="de-DE"/>
                  </w:rPr>
                </w:pPr>
                <w:r>
                  <w:rPr>
                    <w:rFonts w:ascii="Arial" w:hAnsi="Arial" w:cs="Arial"/>
                    <w:color w:val="808080"/>
                    <w:sz w:val="16"/>
                    <w:szCs w:val="20"/>
                    <w:lang w:eastAsia="de-DE"/>
                  </w:rPr>
                  <w:t>European Association of Sustainability Rating Agencies</w:t>
                </w:r>
                <w:r w:rsidR="00D75402">
                  <w:rPr>
                    <w:rFonts w:ascii="Arial" w:hAnsi="Arial" w:cs="Arial"/>
                    <w:color w:val="808080"/>
                    <w:sz w:val="16"/>
                    <w:szCs w:val="20"/>
                    <w:lang w:eastAsia="de-DE"/>
                  </w:rPr>
                  <w:t xml:space="preserve"> (EASRA)</w:t>
                </w:r>
              </w:p>
            </w:tc>
          </w:sdtContent>
        </w:sdt>
      </w:tr>
      <w:tr w:rsidR="00C85C8B" w:rsidRPr="00B16706" w14:paraId="216F3E57" w14:textId="77777777" w:rsidTr="00C16775">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29AEA6D2" w:rsidR="00C85C8B" w:rsidRPr="00B16706" w:rsidRDefault="0000000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D75402">
                  <w:rPr>
                    <w:rFonts w:ascii="Arial" w:hAnsi="Arial" w:cs="Arial"/>
                    <w:sz w:val="16"/>
                    <w:szCs w:val="20"/>
                    <w:lang w:eastAsia="de-DE"/>
                  </w:rPr>
                  <w:t>Other Financial service providers</w:t>
                </w:r>
              </w:sdtContent>
            </w:sdt>
          </w:p>
        </w:tc>
      </w:tr>
      <w:tr w:rsidR="00C85C8B" w:rsidRPr="00B16706" w14:paraId="0D216581" w14:textId="77777777" w:rsidTr="00C16775">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Content>
            <w:tc>
              <w:tcPr>
                <w:tcW w:w="5595" w:type="dxa"/>
                <w:shd w:val="clear" w:color="auto" w:fill="auto"/>
              </w:tcPr>
              <w:p w14:paraId="6C4423E1" w14:textId="5D4B89E3" w:rsidR="00C85C8B" w:rsidRPr="00B16706" w:rsidRDefault="00D75402"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shd w:val="clear" w:color="auto" w:fill="auto"/>
              </w:tcPr>
              <w:p w14:paraId="082656BF" w14:textId="30F495B1" w:rsidR="00C85C8B" w:rsidRPr="00B16706" w:rsidRDefault="00D75402" w:rsidP="00C85C8B">
                <w:pPr>
                  <w:rPr>
                    <w:rFonts w:ascii="Arial" w:hAnsi="Arial" w:cs="Arial"/>
                    <w:sz w:val="16"/>
                    <w:szCs w:val="20"/>
                    <w:lang w:eastAsia="de-DE"/>
                  </w:rPr>
                </w:pPr>
                <w:r>
                  <w:rPr>
                    <w:rFonts w:ascii="Arial" w:hAnsi="Arial" w:cs="Arial"/>
                    <w:sz w:val="16"/>
                    <w:szCs w:val="20"/>
                    <w:lang w:eastAsia="de-DE"/>
                  </w:rPr>
                  <w:t>Europe</w:t>
                </w:r>
              </w:p>
            </w:tc>
          </w:sdtContent>
        </w:sdt>
      </w:tr>
      <w:permEnd w:id="1269442871"/>
    </w:tbl>
    <w:p w14:paraId="29BD0833" w14:textId="77777777" w:rsidR="00CA2B53" w:rsidRDefault="00CA2B53">
      <w:pPr>
        <w:spacing w:after="120" w:line="264" w:lineRule="auto"/>
        <w:rPr>
          <w:rFonts w:asciiTheme="minorHAnsi" w:hAnsiTheme="minorHAnsi" w:cstheme="minorHAnsi"/>
          <w:b/>
          <w:sz w:val="22"/>
          <w:szCs w:val="22"/>
        </w:rPr>
      </w:pPr>
    </w:p>
    <w:p w14:paraId="65A8C140" w14:textId="77777777" w:rsidR="00CA2B53" w:rsidRPr="00CA2B53" w:rsidRDefault="00CA2B53" w:rsidP="00CA2B53">
      <w:pPr>
        <w:rPr>
          <w:rFonts w:ascii="Aptos" w:hAnsi="Aptos"/>
          <w:sz w:val="20"/>
          <w:szCs w:val="20"/>
        </w:rPr>
      </w:pPr>
      <w:r w:rsidRPr="00CA2B53">
        <w:rPr>
          <w:rFonts w:ascii="Aptos" w:hAnsi="Aptos"/>
          <w:sz w:val="20"/>
          <w:szCs w:val="20"/>
        </w:rPr>
        <w:t xml:space="preserve">EASRA and its members welcome the EU Regulation 2024/3005, since it will bring increased transparency to the market as well as clear rules for managing conflicts of interest. However, EASRA members believe the way in which the Regulation and its RTS have unfolded, contradicts the initial goal of creating a level playing field for the whole industry, independent of the size and type of providers. </w:t>
      </w:r>
    </w:p>
    <w:p w14:paraId="160AA41F" w14:textId="77777777" w:rsidR="00CA2B53" w:rsidRPr="00CA2B53" w:rsidRDefault="00CA2B53" w:rsidP="00CA2B53">
      <w:pPr>
        <w:rPr>
          <w:rFonts w:ascii="Aptos" w:hAnsi="Aptos"/>
          <w:sz w:val="20"/>
          <w:szCs w:val="20"/>
        </w:rPr>
      </w:pPr>
    </w:p>
    <w:p w14:paraId="3146F402" w14:textId="77777777" w:rsidR="00CA2B53" w:rsidRPr="00CA2B53" w:rsidRDefault="00CA2B53" w:rsidP="00CA2B53">
      <w:pPr>
        <w:rPr>
          <w:rFonts w:ascii="Aptos" w:hAnsi="Aptos"/>
          <w:sz w:val="20"/>
          <w:szCs w:val="20"/>
        </w:rPr>
      </w:pPr>
      <w:r w:rsidRPr="00CA2B53">
        <w:rPr>
          <w:rFonts w:ascii="Aptos" w:hAnsi="Aptos"/>
          <w:sz w:val="20"/>
          <w:szCs w:val="20"/>
        </w:rPr>
        <w:t>The regulation and its technical standards – as they stand – would create a disproportionate volume of cost for small and medium sized providers. Without a clearly reinforced proportionality approach, this may result in many small and mid-sized providers being pushed out of the market and thus further increase market concentration with a handful of large providers.</w:t>
      </w:r>
    </w:p>
    <w:p w14:paraId="0A0BB3CA" w14:textId="77777777" w:rsidR="00CA2B53" w:rsidRPr="00CA2B53" w:rsidRDefault="00CA2B53" w:rsidP="00CA2B53">
      <w:pPr>
        <w:rPr>
          <w:rFonts w:ascii="Aptos" w:hAnsi="Aptos"/>
          <w:sz w:val="20"/>
          <w:szCs w:val="20"/>
        </w:rPr>
      </w:pPr>
      <w:r w:rsidRPr="00CA2B53">
        <w:rPr>
          <w:rFonts w:ascii="Aptos" w:hAnsi="Aptos"/>
          <w:sz w:val="20"/>
          <w:szCs w:val="20"/>
        </w:rPr>
        <w:t>Given that the intention of the regulation according to the EU publication is to ensure transparency, reliability, and fairness across the market, we would like to stress that these goals are not yet reached with the current regulatory text and the draft RTS. In addition to the suggestions made in this response to the ESMA consultation, we also request that the ESG Ratings regulation is reconsidered in ongoing “Omnibus” discussions.</w:t>
      </w:r>
    </w:p>
    <w:p w14:paraId="7DFD15A9" w14:textId="77777777" w:rsidR="00CA2B53" w:rsidRPr="00CA2B53" w:rsidRDefault="00CA2B53" w:rsidP="00CA2B53">
      <w:pPr>
        <w:rPr>
          <w:rFonts w:ascii="Aptos" w:hAnsi="Aptos"/>
          <w:sz w:val="20"/>
          <w:szCs w:val="20"/>
        </w:rPr>
      </w:pPr>
    </w:p>
    <w:p w14:paraId="7134E6F5" w14:textId="77777777" w:rsidR="00CA2B53" w:rsidRPr="00CA2B53" w:rsidRDefault="00CA2B53" w:rsidP="00CA2B53">
      <w:pPr>
        <w:rPr>
          <w:rFonts w:ascii="Aptos" w:hAnsi="Aptos"/>
          <w:sz w:val="20"/>
          <w:szCs w:val="20"/>
        </w:rPr>
      </w:pPr>
      <w:r w:rsidRPr="00CA2B53">
        <w:rPr>
          <w:rStyle w:val="lev"/>
          <w:rFonts w:ascii="Aptos" w:eastAsiaTheme="majorEastAsia" w:hAnsi="Aptos"/>
          <w:sz w:val="20"/>
          <w:szCs w:val="20"/>
        </w:rPr>
        <w:t>Fairness:</w:t>
      </w:r>
    </w:p>
    <w:p w14:paraId="158D3ADE" w14:textId="77777777" w:rsidR="00CA2B53" w:rsidRPr="00CA2B53" w:rsidRDefault="00CA2B53" w:rsidP="00CA2B53">
      <w:pPr>
        <w:pStyle w:val="NormalWeb"/>
        <w:numPr>
          <w:ilvl w:val="0"/>
          <w:numId w:val="37"/>
        </w:numPr>
        <w:spacing w:before="0" w:beforeAutospacing="0" w:after="0" w:afterAutospacing="0"/>
        <w:rPr>
          <w:rFonts w:ascii="Aptos" w:hAnsi="Aptos"/>
          <w:sz w:val="20"/>
          <w:szCs w:val="20"/>
        </w:rPr>
      </w:pPr>
      <w:r w:rsidRPr="00CA2B53">
        <w:rPr>
          <w:rFonts w:ascii="Aptos" w:hAnsi="Aptos"/>
          <w:sz w:val="20"/>
          <w:szCs w:val="20"/>
        </w:rPr>
        <w:t xml:space="preserve">The regulation claims to acknowledge smaller rating providers, but it excludes mid-sized providers from the proportionality rules. </w:t>
      </w:r>
    </w:p>
    <w:p w14:paraId="661825D8" w14:textId="77777777" w:rsidR="00CA2B53" w:rsidRPr="00CA2B53" w:rsidRDefault="00CA2B53" w:rsidP="00CA2B53">
      <w:pPr>
        <w:pStyle w:val="NormalWeb"/>
        <w:numPr>
          <w:ilvl w:val="0"/>
          <w:numId w:val="37"/>
        </w:numPr>
        <w:spacing w:before="0" w:beforeAutospacing="0" w:after="0" w:afterAutospacing="0"/>
        <w:rPr>
          <w:rFonts w:ascii="Aptos" w:hAnsi="Aptos"/>
          <w:sz w:val="20"/>
          <w:szCs w:val="20"/>
        </w:rPr>
      </w:pPr>
      <w:r w:rsidRPr="00CA2B53">
        <w:rPr>
          <w:rFonts w:ascii="Aptos" w:hAnsi="Aptos"/>
          <w:sz w:val="20"/>
          <w:szCs w:val="20"/>
        </w:rPr>
        <w:t xml:space="preserve">Additionally, it specifically treats benchmark providers more favourably, specifically through the derogation under Article 16(3). </w:t>
      </w:r>
    </w:p>
    <w:p w14:paraId="4770CF72" w14:textId="77777777" w:rsidR="00CA2B53" w:rsidRPr="00CA2B53" w:rsidRDefault="00CA2B53" w:rsidP="00CA2B53">
      <w:pPr>
        <w:pStyle w:val="NormalWeb"/>
        <w:numPr>
          <w:ilvl w:val="0"/>
          <w:numId w:val="37"/>
        </w:numPr>
        <w:spacing w:before="0" w:beforeAutospacing="0" w:after="0" w:afterAutospacing="0"/>
        <w:rPr>
          <w:rFonts w:ascii="Aptos" w:hAnsi="Aptos"/>
          <w:sz w:val="20"/>
          <w:szCs w:val="20"/>
        </w:rPr>
      </w:pPr>
      <w:r w:rsidRPr="00CA2B53">
        <w:rPr>
          <w:rFonts w:ascii="Aptos" w:hAnsi="Aptos"/>
          <w:sz w:val="20"/>
          <w:szCs w:val="20"/>
        </w:rPr>
        <w:t xml:space="preserve">Some small entities are part of larger groups not active in ESG ratings, yet the entire group is considered in size assessments. </w:t>
      </w:r>
    </w:p>
    <w:p w14:paraId="4DD32B8B" w14:textId="77777777" w:rsidR="00CA2B53" w:rsidRPr="00CA2B53" w:rsidRDefault="00CA2B53" w:rsidP="00CA2B53">
      <w:pPr>
        <w:pStyle w:val="NormalWeb"/>
        <w:spacing w:before="0" w:beforeAutospacing="0" w:after="0" w:afterAutospacing="0"/>
        <w:ind w:left="360"/>
        <w:rPr>
          <w:rFonts w:ascii="Aptos" w:hAnsi="Aptos"/>
          <w:sz w:val="20"/>
          <w:szCs w:val="20"/>
        </w:rPr>
      </w:pPr>
    </w:p>
    <w:p w14:paraId="393A5940" w14:textId="77777777" w:rsidR="00CA2B53" w:rsidRPr="00CA2B53" w:rsidRDefault="00CA2B53" w:rsidP="00CA2B53">
      <w:pPr>
        <w:pStyle w:val="NormalWeb"/>
        <w:spacing w:before="0" w:beforeAutospacing="0" w:after="0" w:afterAutospacing="0"/>
        <w:rPr>
          <w:rFonts w:ascii="Aptos" w:hAnsi="Aptos"/>
          <w:sz w:val="20"/>
          <w:szCs w:val="20"/>
        </w:rPr>
      </w:pPr>
      <w:r w:rsidRPr="00CA2B53">
        <w:rPr>
          <w:rStyle w:val="lev"/>
          <w:rFonts w:ascii="Aptos" w:eastAsiaTheme="majorEastAsia" w:hAnsi="Aptos"/>
          <w:sz w:val="20"/>
          <w:szCs w:val="20"/>
        </w:rPr>
        <w:t>Reliability:</w:t>
      </w:r>
    </w:p>
    <w:p w14:paraId="0E7EB95B" w14:textId="77777777" w:rsidR="00CA2B53" w:rsidRPr="00CA2B53" w:rsidRDefault="00CA2B53" w:rsidP="00CA2B53">
      <w:pPr>
        <w:pStyle w:val="NormalWeb"/>
        <w:numPr>
          <w:ilvl w:val="0"/>
          <w:numId w:val="38"/>
        </w:numPr>
        <w:spacing w:before="0" w:beforeAutospacing="0" w:after="0" w:afterAutospacing="0"/>
        <w:rPr>
          <w:rFonts w:ascii="Aptos" w:hAnsi="Aptos"/>
          <w:sz w:val="20"/>
          <w:szCs w:val="20"/>
        </w:rPr>
      </w:pPr>
      <w:r w:rsidRPr="00CA2B53">
        <w:rPr>
          <w:rFonts w:ascii="Aptos" w:hAnsi="Aptos"/>
          <w:sz w:val="20"/>
          <w:szCs w:val="20"/>
        </w:rPr>
        <w:t xml:space="preserve">Rating providers face strict obligations, but issuers' responsibilities remain vague. Issuers have the right to complain, request corrections, and preview ratings, but there is no clarity on their timelines or proof requirements for disputes. </w:t>
      </w:r>
    </w:p>
    <w:p w14:paraId="2E998804" w14:textId="77777777" w:rsidR="00CA2B53" w:rsidRPr="00CA2B53" w:rsidRDefault="00CA2B53" w:rsidP="00CA2B53">
      <w:pPr>
        <w:pStyle w:val="NormalWeb"/>
        <w:numPr>
          <w:ilvl w:val="0"/>
          <w:numId w:val="38"/>
        </w:numPr>
        <w:spacing w:before="0" w:beforeAutospacing="0" w:after="0" w:afterAutospacing="0"/>
        <w:rPr>
          <w:rFonts w:ascii="Aptos" w:hAnsi="Aptos"/>
          <w:sz w:val="20"/>
          <w:szCs w:val="20"/>
        </w:rPr>
      </w:pPr>
      <w:r w:rsidRPr="00CA2B53">
        <w:rPr>
          <w:rFonts w:ascii="Aptos" w:hAnsi="Aptos"/>
          <w:sz w:val="20"/>
          <w:szCs w:val="20"/>
        </w:rPr>
        <w:t>This one-sided responsibility undermines the reliability of the process. Moreover, regulatory delays in Europe (e.g. CSRD and CSDDD) further weaken implementation.</w:t>
      </w:r>
    </w:p>
    <w:p w14:paraId="5303BE85" w14:textId="77777777" w:rsidR="00CA2B53" w:rsidRPr="00CA2B53" w:rsidRDefault="00CA2B53" w:rsidP="00CA2B53">
      <w:pPr>
        <w:pStyle w:val="NormalWeb"/>
        <w:spacing w:before="0" w:beforeAutospacing="0" w:after="0" w:afterAutospacing="0"/>
        <w:ind w:left="360"/>
        <w:rPr>
          <w:rFonts w:ascii="Aptos" w:hAnsi="Aptos"/>
          <w:sz w:val="20"/>
          <w:szCs w:val="20"/>
        </w:rPr>
      </w:pPr>
    </w:p>
    <w:p w14:paraId="51B0CF94" w14:textId="77777777" w:rsidR="00CA2B53" w:rsidRPr="00CA2B53" w:rsidRDefault="00CA2B53" w:rsidP="00CA2B53">
      <w:pPr>
        <w:pStyle w:val="NormalWeb"/>
        <w:spacing w:before="0" w:beforeAutospacing="0" w:after="0" w:afterAutospacing="0"/>
        <w:rPr>
          <w:rFonts w:ascii="Aptos" w:hAnsi="Aptos"/>
          <w:sz w:val="20"/>
          <w:szCs w:val="20"/>
        </w:rPr>
      </w:pPr>
      <w:r w:rsidRPr="00CA2B53">
        <w:rPr>
          <w:rStyle w:val="lev"/>
          <w:rFonts w:ascii="Aptos" w:eastAsiaTheme="majorEastAsia" w:hAnsi="Aptos"/>
          <w:sz w:val="20"/>
          <w:szCs w:val="20"/>
        </w:rPr>
        <w:t>Transparency:</w:t>
      </w:r>
    </w:p>
    <w:p w14:paraId="071843C0" w14:textId="77777777" w:rsidR="00CA2B53" w:rsidRPr="00CA2B53" w:rsidRDefault="00CA2B53" w:rsidP="00CA2B53">
      <w:pPr>
        <w:pStyle w:val="NormalWeb"/>
        <w:numPr>
          <w:ilvl w:val="0"/>
          <w:numId w:val="39"/>
        </w:numPr>
        <w:spacing w:before="0" w:beforeAutospacing="0" w:after="0" w:afterAutospacing="0"/>
        <w:rPr>
          <w:rFonts w:ascii="Aptos" w:hAnsi="Aptos"/>
          <w:sz w:val="20"/>
          <w:szCs w:val="20"/>
        </w:rPr>
      </w:pPr>
      <w:r w:rsidRPr="00CA2B53">
        <w:rPr>
          <w:rFonts w:ascii="Aptos" w:hAnsi="Aptos"/>
          <w:sz w:val="20"/>
          <w:szCs w:val="20"/>
        </w:rPr>
        <w:t xml:space="preserve">Rating providers must maintain full transparency and face public scrutiny, while issuers and data sources have no obligation to verify facts or be transparent. </w:t>
      </w:r>
    </w:p>
    <w:p w14:paraId="48EBCE34" w14:textId="77777777" w:rsidR="00CA2B53" w:rsidRPr="00CA2B53" w:rsidRDefault="00CA2B53" w:rsidP="00CA2B53">
      <w:pPr>
        <w:pStyle w:val="NormalWeb"/>
        <w:numPr>
          <w:ilvl w:val="0"/>
          <w:numId w:val="39"/>
        </w:numPr>
        <w:spacing w:before="0" w:beforeAutospacing="0" w:after="0" w:afterAutospacing="0"/>
        <w:rPr>
          <w:rFonts w:ascii="Aptos" w:hAnsi="Aptos"/>
          <w:sz w:val="20"/>
          <w:szCs w:val="20"/>
        </w:rPr>
      </w:pPr>
      <w:r w:rsidRPr="00CA2B53">
        <w:rPr>
          <w:rFonts w:ascii="Aptos" w:hAnsi="Aptos"/>
          <w:sz w:val="20"/>
          <w:szCs w:val="20"/>
        </w:rPr>
        <w:t>The regulation also lacks clarity on approved data sources. Methodology disclosure requirements, while intended to ensure transparency, risk exposing intellectual property, effectively removing competitive advantage and discouraging innovation.</w:t>
      </w:r>
    </w:p>
    <w:p w14:paraId="1952763D" w14:textId="77777777" w:rsidR="00CA2B53" w:rsidRPr="00CA2B53" w:rsidRDefault="00CA2B53" w:rsidP="00CA2B53">
      <w:pPr>
        <w:rPr>
          <w:rFonts w:ascii="Aptos" w:hAnsi="Aptos"/>
          <w:sz w:val="20"/>
          <w:szCs w:val="20"/>
        </w:rPr>
      </w:pPr>
    </w:p>
    <w:p w14:paraId="0B8EB15E" w14:textId="77777777" w:rsidR="00CA2B53" w:rsidRPr="00CA2B53" w:rsidRDefault="00CA2B53" w:rsidP="00CA2B53">
      <w:pPr>
        <w:rPr>
          <w:rFonts w:ascii="Aptos" w:hAnsi="Aptos"/>
          <w:sz w:val="20"/>
          <w:szCs w:val="20"/>
        </w:rPr>
      </w:pPr>
      <w:r w:rsidRPr="00CA2B53">
        <w:rPr>
          <w:rFonts w:ascii="Aptos" w:hAnsi="Aptos"/>
          <w:sz w:val="20"/>
          <w:szCs w:val="20"/>
        </w:rPr>
        <w:t xml:space="preserve">In the following, we respond to ESMA’s five consultation questions in detail. </w:t>
      </w:r>
    </w:p>
    <w:p w14:paraId="474964B1" w14:textId="77777777" w:rsidR="00CA2B53" w:rsidRPr="00CA2B53" w:rsidRDefault="00CA2B53">
      <w:pPr>
        <w:spacing w:after="120" w:line="264" w:lineRule="auto"/>
        <w:rPr>
          <w:rFonts w:asciiTheme="minorHAnsi" w:hAnsiTheme="minorHAnsi" w:cstheme="minorHAnsi"/>
          <w:b/>
          <w:sz w:val="20"/>
          <w:szCs w:val="20"/>
        </w:rPr>
      </w:pPr>
    </w:p>
    <w:p w14:paraId="7C990008" w14:textId="66822472" w:rsidR="00D7540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p w14:paraId="14C3989A" w14:textId="77777777" w:rsidR="001B1B48" w:rsidRDefault="001B1B48">
      <w:pPr>
        <w:spacing w:after="120" w:line="264" w:lineRule="auto"/>
        <w:rPr>
          <w:rFonts w:ascii="Arial" w:hAnsi="Arial" w:cs="Arial"/>
          <w:b/>
          <w:sz w:val="22"/>
          <w:szCs w:val="22"/>
          <w:lang w:val="en-US" w:eastAsia="en-US"/>
        </w:rPr>
      </w:pPr>
    </w:p>
    <w:bookmarkEnd w:id="0"/>
    <w:p w14:paraId="5B87C99A" w14:textId="6906B0B4" w:rsidR="001B1B48" w:rsidRPr="004578B3" w:rsidRDefault="00CB0C0C" w:rsidP="004578B3">
      <w:pPr>
        <w:pStyle w:val="Paragraph"/>
        <w:numPr>
          <w:ilvl w:val="0"/>
          <w:numId w:val="0"/>
        </w:numPr>
        <w:ind w:left="708" w:hanging="708"/>
      </w:pPr>
      <w:proofErr w:type="gramStart"/>
      <w:r w:rsidRPr="009464EF">
        <w:rPr>
          <w:b/>
          <w:bCs/>
        </w:rPr>
        <w:t>Q1</w:t>
      </w:r>
      <w:proofErr w:type="gramEnd"/>
      <w:r w:rsidRPr="2E20FBB1">
        <w:t xml:space="preserve"> </w:t>
      </w:r>
      <w:r w:rsidR="004578B3">
        <w:tab/>
      </w:r>
      <w:r w:rsidRPr="004578B3">
        <w:rPr>
          <w:rFonts w:eastAsia="Times New Roman"/>
          <w:b/>
          <w:bCs/>
          <w:color w:val="auto"/>
          <w:lang w:eastAsia="en-US"/>
        </w:rPr>
        <w:t>Do you agree with ESMA’s proposals for the draft technical standard under Articles 6(3) and 12(9)?</w:t>
      </w:r>
      <w:r w:rsidR="00BB29AA" w:rsidRPr="00BB29AA">
        <w:rPr>
          <w:b/>
          <w:lang w:eastAsia="en-US"/>
        </w:rPr>
        <w:t xml:space="preserve"> </w:t>
      </w:r>
    </w:p>
    <w:p w14:paraId="034DFB41" w14:textId="7ABA3DF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Pr>
          <w:rFonts w:ascii="Calibri" w:eastAsia="Calibri" w:hAnsi="Calibri"/>
          <w:kern w:val="2"/>
          <w:sz w:val="22"/>
          <w:szCs w:val="22"/>
          <w:lang w:eastAsia="en-US"/>
          <w14:ligatures w14:val="standardContextual"/>
        </w:rPr>
        <w:t>E</w:t>
      </w:r>
      <w:r w:rsidR="004578B3">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_1&gt;</w:t>
      </w:r>
    </w:p>
    <w:p w14:paraId="4ECBDF88" w14:textId="77777777" w:rsidR="00FC081F" w:rsidRPr="00EC2D0B" w:rsidRDefault="00FC081F" w:rsidP="00FC081F">
      <w:pPr>
        <w:rPr>
          <w:rStyle w:val="normaltextrun"/>
          <w:rFonts w:ascii="Aptos" w:eastAsiaTheme="majorEastAsia" w:hAnsi="Aptos"/>
          <w:color w:val="000000"/>
          <w:shd w:val="clear" w:color="auto" w:fill="FFFFFF"/>
        </w:rPr>
      </w:pPr>
      <w:r w:rsidRPr="00EC2D0B">
        <w:rPr>
          <w:rStyle w:val="normaltextrun"/>
          <w:rFonts w:ascii="Aptos" w:eastAsiaTheme="majorEastAsia" w:hAnsi="Aptos"/>
          <w:color w:val="000000"/>
          <w:shd w:val="clear" w:color="auto" w:fill="FFFFFF"/>
        </w:rPr>
        <w:t xml:space="preserve">EASRA and its members acknowledge that the RTS bring additional information on the authorisation process and recognition </w:t>
      </w:r>
      <w:proofErr w:type="gramStart"/>
      <w:r w:rsidRPr="00EC2D0B">
        <w:rPr>
          <w:rStyle w:val="normaltextrun"/>
          <w:rFonts w:ascii="Aptos" w:eastAsiaTheme="majorEastAsia" w:hAnsi="Aptos"/>
          <w:color w:val="000000"/>
          <w:shd w:val="clear" w:color="auto" w:fill="FFFFFF"/>
        </w:rPr>
        <w:t>regimes, but</w:t>
      </w:r>
      <w:proofErr w:type="gramEnd"/>
      <w:r w:rsidRPr="00EC2D0B">
        <w:rPr>
          <w:rStyle w:val="normaltextrun"/>
          <w:rFonts w:ascii="Aptos" w:eastAsiaTheme="majorEastAsia" w:hAnsi="Aptos"/>
          <w:color w:val="000000"/>
          <w:shd w:val="clear" w:color="auto" w:fill="FFFFFF"/>
        </w:rPr>
        <w:t xml:space="preserve"> want to raise a series of concerns that are not being addressed (1.2 on </w:t>
      </w:r>
      <w:proofErr w:type="gramStart"/>
      <w:r w:rsidRPr="00EC2D0B">
        <w:rPr>
          <w:rStyle w:val="normaltextrun"/>
          <w:rFonts w:ascii="Aptos" w:eastAsiaTheme="majorEastAsia" w:hAnsi="Aptos"/>
          <w:color w:val="000000"/>
          <w:shd w:val="clear" w:color="auto" w:fill="FFFFFF"/>
        </w:rPr>
        <w:t>Non-EU</w:t>
      </w:r>
      <w:proofErr w:type="gramEnd"/>
      <w:r w:rsidRPr="00EC2D0B">
        <w:rPr>
          <w:rStyle w:val="normaltextrun"/>
          <w:rFonts w:ascii="Aptos" w:eastAsiaTheme="majorEastAsia" w:hAnsi="Aptos"/>
          <w:color w:val="000000"/>
          <w:shd w:val="clear" w:color="auto" w:fill="FFFFFF"/>
        </w:rPr>
        <w:t xml:space="preserve"> providers) or that need further clarification (1.1 on definitions).</w:t>
      </w:r>
    </w:p>
    <w:p w14:paraId="7E4B4D3A" w14:textId="6DBB0579" w:rsidR="00FC081F" w:rsidRPr="00EC2D0B" w:rsidRDefault="00FC081F" w:rsidP="009114CB">
      <w:pPr>
        <w:pStyle w:val="Titre2"/>
        <w:numPr>
          <w:ilvl w:val="0"/>
          <w:numId w:val="0"/>
        </w:numPr>
        <w:ind w:hanging="9"/>
        <w:rPr>
          <w:rFonts w:ascii="Aptos" w:hAnsi="Aptos"/>
        </w:rPr>
      </w:pPr>
      <w:bookmarkStart w:id="1" w:name="_Toc201328996"/>
      <w:r w:rsidRPr="00EC2D0B">
        <w:rPr>
          <w:rFonts w:ascii="Aptos" w:hAnsi="Aptos"/>
        </w:rPr>
        <w:t>Issue of Concern</w:t>
      </w:r>
      <w:r w:rsidR="00EB6CEB">
        <w:rPr>
          <w:rFonts w:ascii="Aptos" w:hAnsi="Aptos"/>
        </w:rPr>
        <w:t xml:space="preserve"> 1.1</w:t>
      </w:r>
      <w:r w:rsidRPr="00EC2D0B">
        <w:rPr>
          <w:rFonts w:ascii="Aptos" w:hAnsi="Aptos"/>
        </w:rPr>
        <w:t>: Need to further specify what is meant by “ESG Ratings” and its related products” (Article 3)</w:t>
      </w:r>
      <w:bookmarkEnd w:id="1"/>
    </w:p>
    <w:p w14:paraId="38CD0C6C" w14:textId="77777777" w:rsidR="000D50CE" w:rsidRDefault="000D50CE" w:rsidP="00FC081F">
      <w:pPr>
        <w:rPr>
          <w:rStyle w:val="normaltextrun"/>
          <w:rFonts w:ascii="Aptos" w:eastAsiaTheme="majorEastAsia" w:hAnsi="Aptos"/>
          <w:color w:val="000000"/>
          <w:shd w:val="clear" w:color="auto" w:fill="FFFFFF"/>
        </w:rPr>
      </w:pPr>
    </w:p>
    <w:p w14:paraId="29DEAEB2" w14:textId="39602736" w:rsidR="00FC081F" w:rsidRPr="00EC2D0B" w:rsidRDefault="00FC081F" w:rsidP="00FC081F">
      <w:pPr>
        <w:rPr>
          <w:rStyle w:val="normaltextrun"/>
          <w:rFonts w:ascii="Aptos" w:eastAsiaTheme="majorEastAsia" w:hAnsi="Aptos"/>
          <w:color w:val="000000"/>
          <w:shd w:val="clear" w:color="auto" w:fill="FFFFFF"/>
        </w:rPr>
      </w:pPr>
      <w:r w:rsidRPr="00EC2D0B">
        <w:rPr>
          <w:rStyle w:val="normaltextrun"/>
          <w:rFonts w:ascii="Aptos" w:eastAsiaTheme="majorEastAsia" w:hAnsi="Aptos"/>
          <w:color w:val="000000"/>
          <w:shd w:val="clear" w:color="auto" w:fill="FFFFFF"/>
        </w:rPr>
        <w:t>We would appreciate if ESMA could clarify the following:</w:t>
      </w:r>
    </w:p>
    <w:p w14:paraId="5EE0A99F" w14:textId="77777777" w:rsidR="00FC081F" w:rsidRPr="00EC2D0B" w:rsidRDefault="00FC081F" w:rsidP="00FC081F">
      <w:pPr>
        <w:rPr>
          <w:rStyle w:val="normaltextrun"/>
          <w:rFonts w:ascii="Aptos" w:eastAsiaTheme="majorEastAsia" w:hAnsi="Aptos"/>
        </w:rPr>
      </w:pPr>
    </w:p>
    <w:p w14:paraId="5B628EB6" w14:textId="200BDAA0" w:rsidR="00FC081F" w:rsidRDefault="00FC081F" w:rsidP="000D50CE">
      <w:pPr>
        <w:pStyle w:val="Paragraphedeliste"/>
        <w:numPr>
          <w:ilvl w:val="0"/>
          <w:numId w:val="42"/>
        </w:numPr>
        <w:tabs>
          <w:tab w:val="clear" w:pos="0"/>
          <w:tab w:val="clear" w:pos="142"/>
          <w:tab w:val="clear" w:pos="284"/>
          <w:tab w:val="clear" w:pos="567"/>
        </w:tabs>
        <w:autoSpaceDE/>
        <w:autoSpaceDN/>
        <w:adjustRightInd/>
        <w:spacing w:line="276" w:lineRule="auto"/>
        <w:ind w:left="360"/>
        <w:contextualSpacing/>
        <w:jc w:val="left"/>
        <w:rPr>
          <w:rStyle w:val="eop"/>
          <w:rFonts w:ascii="Aptos" w:hAnsi="Aptos"/>
          <w:sz w:val="24"/>
          <w:szCs w:val="24"/>
        </w:rPr>
      </w:pPr>
      <w:r w:rsidRPr="00EC2D0B">
        <w:rPr>
          <w:rStyle w:val="normaltextrun"/>
          <w:rFonts w:ascii="Aptos" w:hAnsi="Aptos"/>
          <w:color w:val="000000"/>
          <w:sz w:val="24"/>
          <w:szCs w:val="24"/>
          <w:shd w:val="clear" w:color="auto" w:fill="FFFFFF"/>
        </w:rPr>
        <w:t>What is the exact definition of an “ESG rating product”? Is our understanding correct that where a provider provides different types of quantitative scores or metrics measuring different aspects of ESG risk, these different types of scores or metrics are each an ESG rating product?</w:t>
      </w:r>
      <w:r w:rsidRPr="00EC2D0B">
        <w:rPr>
          <w:rStyle w:val="eop"/>
          <w:rFonts w:ascii="Aptos" w:hAnsi="Aptos"/>
          <w:color w:val="000000"/>
          <w:sz w:val="24"/>
          <w:szCs w:val="24"/>
          <w:shd w:val="clear" w:color="auto" w:fill="FFFFFF"/>
        </w:rPr>
        <w:t> </w:t>
      </w:r>
    </w:p>
    <w:p w14:paraId="790021A1" w14:textId="77777777" w:rsidR="000D50CE" w:rsidRPr="000D50CE" w:rsidRDefault="000D50CE" w:rsidP="000D50CE">
      <w:pPr>
        <w:pStyle w:val="Paragraphedeliste"/>
        <w:numPr>
          <w:ilvl w:val="0"/>
          <w:numId w:val="0"/>
        </w:numPr>
        <w:tabs>
          <w:tab w:val="clear" w:pos="0"/>
          <w:tab w:val="clear" w:pos="142"/>
          <w:tab w:val="clear" w:pos="284"/>
          <w:tab w:val="clear" w:pos="567"/>
        </w:tabs>
        <w:autoSpaceDE/>
        <w:autoSpaceDN/>
        <w:adjustRightInd/>
        <w:spacing w:line="276" w:lineRule="auto"/>
        <w:ind w:left="360"/>
        <w:contextualSpacing/>
        <w:jc w:val="left"/>
        <w:rPr>
          <w:rStyle w:val="eop"/>
          <w:rFonts w:ascii="Aptos" w:hAnsi="Aptos"/>
          <w:sz w:val="24"/>
          <w:szCs w:val="24"/>
        </w:rPr>
      </w:pPr>
    </w:p>
    <w:p w14:paraId="6F09BF18" w14:textId="77777777" w:rsidR="00FC081F" w:rsidRPr="00EC2D0B" w:rsidRDefault="00FC081F" w:rsidP="00FC081F">
      <w:pPr>
        <w:pStyle w:val="Paragraphedeliste"/>
        <w:numPr>
          <w:ilvl w:val="0"/>
          <w:numId w:val="42"/>
        </w:numPr>
        <w:tabs>
          <w:tab w:val="clear" w:pos="0"/>
          <w:tab w:val="clear" w:pos="142"/>
          <w:tab w:val="clear" w:pos="284"/>
          <w:tab w:val="clear" w:pos="567"/>
        </w:tabs>
        <w:autoSpaceDE/>
        <w:autoSpaceDN/>
        <w:adjustRightInd/>
        <w:spacing w:line="276" w:lineRule="auto"/>
        <w:ind w:left="360"/>
        <w:contextualSpacing/>
        <w:jc w:val="left"/>
        <w:rPr>
          <w:rFonts w:ascii="Aptos" w:hAnsi="Aptos"/>
          <w:sz w:val="24"/>
          <w:szCs w:val="24"/>
        </w:rPr>
      </w:pPr>
      <w:r w:rsidRPr="00EC2D0B">
        <w:rPr>
          <w:rFonts w:ascii="Aptos" w:hAnsi="Aptos"/>
          <w:sz w:val="24"/>
          <w:szCs w:val="24"/>
        </w:rPr>
        <w:t>Can ESMA please confirm if the following types of ratings are included in the scope of the RTS and regulation?</w:t>
      </w:r>
    </w:p>
    <w:p w14:paraId="63F4F9E5" w14:textId="77777777" w:rsidR="00FC081F" w:rsidRPr="00EC2D0B" w:rsidRDefault="00FC081F" w:rsidP="00FC081F">
      <w:pPr>
        <w:pStyle w:val="Paragraphedeliste"/>
        <w:numPr>
          <w:ilvl w:val="0"/>
          <w:numId w:val="41"/>
        </w:numPr>
        <w:tabs>
          <w:tab w:val="clear" w:pos="0"/>
          <w:tab w:val="clear" w:pos="142"/>
          <w:tab w:val="clear" w:pos="284"/>
          <w:tab w:val="clear" w:pos="567"/>
        </w:tabs>
        <w:autoSpaceDE/>
        <w:autoSpaceDN/>
        <w:adjustRightInd/>
        <w:spacing w:line="276" w:lineRule="auto"/>
        <w:contextualSpacing/>
        <w:jc w:val="left"/>
        <w:rPr>
          <w:rFonts w:ascii="Aptos" w:hAnsi="Aptos"/>
          <w:sz w:val="24"/>
          <w:szCs w:val="24"/>
        </w:rPr>
      </w:pPr>
      <w:r w:rsidRPr="00EC2D0B">
        <w:rPr>
          <w:rFonts w:ascii="Aptos" w:hAnsi="Aptos"/>
          <w:sz w:val="24"/>
          <w:szCs w:val="24"/>
        </w:rPr>
        <w:t>Fund-level ESG ratings (and if so, how should data providers notify those entities?)</w:t>
      </w:r>
    </w:p>
    <w:p w14:paraId="4823C1E6" w14:textId="77777777" w:rsidR="00FC081F" w:rsidRPr="00EC2D0B" w:rsidRDefault="00FC081F" w:rsidP="00FC081F">
      <w:pPr>
        <w:pStyle w:val="Paragraphedeliste"/>
        <w:numPr>
          <w:ilvl w:val="0"/>
          <w:numId w:val="41"/>
        </w:numPr>
        <w:tabs>
          <w:tab w:val="clear" w:pos="0"/>
          <w:tab w:val="clear" w:pos="142"/>
          <w:tab w:val="clear" w:pos="284"/>
          <w:tab w:val="clear" w:pos="567"/>
        </w:tabs>
        <w:autoSpaceDE/>
        <w:autoSpaceDN/>
        <w:adjustRightInd/>
        <w:spacing w:line="276" w:lineRule="auto"/>
        <w:contextualSpacing/>
        <w:jc w:val="left"/>
        <w:rPr>
          <w:rFonts w:ascii="Aptos" w:hAnsi="Aptos"/>
          <w:sz w:val="24"/>
          <w:szCs w:val="24"/>
        </w:rPr>
      </w:pPr>
      <w:r w:rsidRPr="00EC2D0B">
        <w:rPr>
          <w:rFonts w:ascii="Aptos" w:hAnsi="Aptos"/>
          <w:sz w:val="24"/>
          <w:szCs w:val="24"/>
        </w:rPr>
        <w:t>Government or supranational ESG ratings (and if so, how should data providers notify those entities?)</w:t>
      </w:r>
    </w:p>
    <w:p w14:paraId="1ED26A20" w14:textId="77777777" w:rsidR="00FC081F" w:rsidRPr="0076536C" w:rsidRDefault="00FC081F" w:rsidP="00FC081F">
      <w:pPr>
        <w:pStyle w:val="Paragraphedeliste"/>
        <w:numPr>
          <w:ilvl w:val="0"/>
          <w:numId w:val="41"/>
        </w:numPr>
        <w:tabs>
          <w:tab w:val="clear" w:pos="0"/>
          <w:tab w:val="clear" w:pos="142"/>
          <w:tab w:val="clear" w:pos="284"/>
          <w:tab w:val="clear" w:pos="567"/>
        </w:tabs>
        <w:autoSpaceDE/>
        <w:autoSpaceDN/>
        <w:adjustRightInd/>
        <w:spacing w:line="276" w:lineRule="auto"/>
        <w:contextualSpacing/>
        <w:jc w:val="left"/>
        <w:rPr>
          <w:rFonts w:ascii="Aptos" w:hAnsi="Aptos"/>
          <w:sz w:val="24"/>
          <w:szCs w:val="24"/>
        </w:rPr>
      </w:pPr>
      <w:r w:rsidRPr="00EC2D0B">
        <w:rPr>
          <w:rFonts w:ascii="Aptos" w:hAnsi="Aptos"/>
          <w:sz w:val="24"/>
          <w:szCs w:val="24"/>
        </w:rPr>
        <w:t xml:space="preserve">SDG-alignment scores (leveraging in good part the same “ingredients” utilised to calculate ESG Ratings) </w:t>
      </w:r>
    </w:p>
    <w:p w14:paraId="093E11BD" w14:textId="077D505D" w:rsidR="00FC081F" w:rsidRPr="00EC2D0B" w:rsidRDefault="00FC081F" w:rsidP="000D50CE">
      <w:pPr>
        <w:pStyle w:val="Titre2"/>
        <w:numPr>
          <w:ilvl w:val="0"/>
          <w:numId w:val="0"/>
        </w:numPr>
        <w:rPr>
          <w:rStyle w:val="normaltextrun"/>
          <w:rFonts w:ascii="Aptos" w:hAnsi="Aptos"/>
        </w:rPr>
      </w:pPr>
      <w:bookmarkStart w:id="2" w:name="_Toc201328997"/>
      <w:r w:rsidRPr="00EC2D0B">
        <w:rPr>
          <w:rFonts w:ascii="Aptos" w:hAnsi="Aptos"/>
        </w:rPr>
        <w:t>Issue of Concern</w:t>
      </w:r>
      <w:r w:rsidR="00EB6CEB">
        <w:rPr>
          <w:rFonts w:ascii="Aptos" w:hAnsi="Aptos"/>
        </w:rPr>
        <w:t xml:space="preserve"> 1.2</w:t>
      </w:r>
      <w:r w:rsidRPr="00EC2D0B">
        <w:rPr>
          <w:rFonts w:ascii="Aptos" w:hAnsi="Aptos"/>
        </w:rPr>
        <w:t>: Requirement to Operate in the EU (</w:t>
      </w:r>
      <w:r w:rsidRPr="00EC2D0B">
        <w:rPr>
          <w:rStyle w:val="normaltextrun"/>
          <w:rFonts w:ascii="Aptos" w:hAnsi="Aptos"/>
        </w:rPr>
        <w:t>Regulation 2024/3005, Article 11 and 12)</w:t>
      </w:r>
      <w:bookmarkEnd w:id="2"/>
    </w:p>
    <w:p w14:paraId="33EEEB90" w14:textId="77777777" w:rsidR="000D50CE" w:rsidRDefault="000D50CE" w:rsidP="00FC081F">
      <w:pPr>
        <w:rPr>
          <w:rFonts w:ascii="Aptos" w:hAnsi="Aptos"/>
        </w:rPr>
      </w:pPr>
    </w:p>
    <w:p w14:paraId="2D3B3769" w14:textId="151724E4" w:rsidR="00FC081F" w:rsidRPr="00EC2D0B" w:rsidRDefault="00FC081F" w:rsidP="00FC081F">
      <w:pPr>
        <w:rPr>
          <w:rFonts w:ascii="Aptos" w:hAnsi="Aptos"/>
        </w:rPr>
      </w:pPr>
      <w:r w:rsidRPr="00EC2D0B">
        <w:rPr>
          <w:rFonts w:ascii="Aptos" w:hAnsi="Aptos"/>
        </w:rPr>
        <w:t>EASRA and its members agree with ESMA’s proposal to merge the requirements for authorisation and recognition to simplify and clarify the process. We however consider that ESMA could provide additional information on the following aspects.</w:t>
      </w:r>
    </w:p>
    <w:p w14:paraId="53C97004" w14:textId="77777777" w:rsidR="00FC081F" w:rsidRPr="00EC2D0B" w:rsidRDefault="00FC081F" w:rsidP="00FC081F">
      <w:pPr>
        <w:rPr>
          <w:rFonts w:ascii="Aptos" w:hAnsi="Aptos"/>
        </w:rPr>
      </w:pPr>
    </w:p>
    <w:p w14:paraId="71DB1E1F" w14:textId="77777777" w:rsidR="00FC081F" w:rsidRPr="00EC2D0B" w:rsidRDefault="00FC081F" w:rsidP="00FC081F">
      <w:pPr>
        <w:pStyle w:val="Paragraphedeliste"/>
        <w:numPr>
          <w:ilvl w:val="0"/>
          <w:numId w:val="42"/>
        </w:numPr>
        <w:tabs>
          <w:tab w:val="clear" w:pos="0"/>
          <w:tab w:val="clear" w:pos="142"/>
          <w:tab w:val="clear" w:pos="284"/>
          <w:tab w:val="clear" w:pos="567"/>
        </w:tabs>
        <w:autoSpaceDE/>
        <w:autoSpaceDN/>
        <w:adjustRightInd/>
        <w:spacing w:line="276" w:lineRule="auto"/>
        <w:ind w:left="426" w:hanging="426"/>
        <w:contextualSpacing/>
        <w:jc w:val="left"/>
        <w:rPr>
          <w:rFonts w:ascii="Aptos" w:hAnsi="Aptos"/>
          <w:sz w:val="24"/>
          <w:szCs w:val="24"/>
        </w:rPr>
      </w:pPr>
      <w:r w:rsidRPr="00EC2D0B">
        <w:rPr>
          <w:rFonts w:ascii="Aptos" w:hAnsi="Aptos"/>
          <w:sz w:val="24"/>
          <w:szCs w:val="24"/>
        </w:rPr>
        <w:t xml:space="preserve">EASRA would welcome ESMA’s clarification on the scope of the authorisation and recognition application </w:t>
      </w:r>
      <w:proofErr w:type="gramStart"/>
      <w:r w:rsidRPr="00EC2D0B">
        <w:rPr>
          <w:rFonts w:ascii="Aptos" w:hAnsi="Aptos"/>
          <w:sz w:val="24"/>
          <w:szCs w:val="24"/>
        </w:rPr>
        <w:t>in particular for</w:t>
      </w:r>
      <w:proofErr w:type="gramEnd"/>
      <w:r w:rsidRPr="00EC2D0B">
        <w:rPr>
          <w:rFonts w:ascii="Aptos" w:hAnsi="Aptos"/>
          <w:sz w:val="24"/>
          <w:szCs w:val="24"/>
        </w:rPr>
        <w:t xml:space="preserve"> an ESG rating provider established outside </w:t>
      </w:r>
      <w:r w:rsidRPr="00EC2D0B">
        <w:rPr>
          <w:rFonts w:ascii="Aptos" w:hAnsi="Aptos"/>
          <w:sz w:val="24"/>
          <w:szCs w:val="24"/>
        </w:rPr>
        <w:lastRenderedPageBreak/>
        <w:t>the EU which provides different sustainability services to investors. In particular, the “consulting services to investors” is not well defined (see also our remarks under question 2) and it is unsure if an application for Authorisation and recognition should be sought for proxy voting recommendations and engagement activities.</w:t>
      </w:r>
    </w:p>
    <w:p w14:paraId="7E1F6ED7" w14:textId="77777777" w:rsidR="00FC081F" w:rsidRPr="00EC2D0B" w:rsidRDefault="00FC081F" w:rsidP="00FC081F">
      <w:pPr>
        <w:pStyle w:val="Paragraphedeliste"/>
        <w:numPr>
          <w:ilvl w:val="0"/>
          <w:numId w:val="42"/>
        </w:numPr>
        <w:tabs>
          <w:tab w:val="clear" w:pos="0"/>
          <w:tab w:val="clear" w:pos="142"/>
          <w:tab w:val="clear" w:pos="284"/>
          <w:tab w:val="clear" w:pos="567"/>
        </w:tabs>
        <w:autoSpaceDE/>
        <w:autoSpaceDN/>
        <w:adjustRightInd/>
        <w:spacing w:line="276" w:lineRule="auto"/>
        <w:ind w:left="426" w:hanging="426"/>
        <w:contextualSpacing/>
        <w:jc w:val="left"/>
        <w:rPr>
          <w:rFonts w:ascii="Aptos" w:hAnsi="Aptos"/>
          <w:sz w:val="24"/>
          <w:szCs w:val="24"/>
        </w:rPr>
      </w:pPr>
      <w:r w:rsidRPr="00EC2D0B">
        <w:rPr>
          <w:rFonts w:ascii="Aptos" w:hAnsi="Aptos"/>
          <w:sz w:val="24"/>
          <w:szCs w:val="24"/>
        </w:rPr>
        <w:t xml:space="preserve">Part A) of Annex III of the draft RTS mentions additional information to be provided for the legal representative in the member state of reference. EASRA would welcome ESMA’s clarification on the types of legal entity that could act as legal representative and any requirements that those entities should satisfy. It would also be useful to inform on the legal responsibilities endorsed by the legal representative. </w:t>
      </w:r>
    </w:p>
    <w:p w14:paraId="16EC1762" w14:textId="77777777" w:rsidR="00FC081F" w:rsidRPr="00EC2D0B" w:rsidRDefault="00FC081F" w:rsidP="00FC081F">
      <w:pPr>
        <w:pStyle w:val="Paragraphedeliste"/>
        <w:numPr>
          <w:ilvl w:val="0"/>
          <w:numId w:val="42"/>
        </w:numPr>
        <w:tabs>
          <w:tab w:val="clear" w:pos="0"/>
          <w:tab w:val="clear" w:pos="142"/>
          <w:tab w:val="clear" w:pos="284"/>
          <w:tab w:val="clear" w:pos="567"/>
        </w:tabs>
        <w:autoSpaceDE/>
        <w:autoSpaceDN/>
        <w:adjustRightInd/>
        <w:spacing w:line="276" w:lineRule="auto"/>
        <w:ind w:left="426" w:hanging="426"/>
        <w:contextualSpacing/>
        <w:jc w:val="left"/>
        <w:rPr>
          <w:rFonts w:ascii="Aptos" w:hAnsi="Aptos"/>
          <w:sz w:val="24"/>
          <w:szCs w:val="24"/>
        </w:rPr>
      </w:pPr>
      <w:r w:rsidRPr="00EC2D0B">
        <w:rPr>
          <w:rFonts w:ascii="Aptos" w:hAnsi="Aptos"/>
          <w:sz w:val="24"/>
          <w:szCs w:val="24"/>
        </w:rPr>
        <w:t xml:space="preserve">Parts B) and C) of Annex III of the draft RTS mention additional information to be provided on turnover and on ESG ratings intended to be distributed in the EU. EASRA does not see the rationale of asking additional information in the case of a recognition </w:t>
      </w:r>
      <w:proofErr w:type="gramStart"/>
      <w:r w:rsidRPr="00EC2D0B">
        <w:rPr>
          <w:rFonts w:ascii="Aptos" w:hAnsi="Aptos"/>
          <w:sz w:val="24"/>
          <w:szCs w:val="24"/>
        </w:rPr>
        <w:t>in particular regarding</w:t>
      </w:r>
      <w:proofErr w:type="gramEnd"/>
      <w:r w:rsidRPr="00EC2D0B">
        <w:rPr>
          <w:rFonts w:ascii="Aptos" w:hAnsi="Aptos"/>
          <w:sz w:val="24"/>
          <w:szCs w:val="24"/>
        </w:rPr>
        <w:t xml:space="preserve"> the full list of detailed ratings required under parts C (last rating notch or value). EASRA’s stance is that either this information is essential and required for both recognition and authorisation, or it is optional and shall not be requested for recognition.</w:t>
      </w:r>
    </w:p>
    <w:p w14:paraId="7A49C604" w14:textId="77777777" w:rsidR="00FC081F" w:rsidRPr="00EC2D0B" w:rsidRDefault="00FC081F" w:rsidP="00FC081F">
      <w:pPr>
        <w:pStyle w:val="Paragraphedeliste"/>
        <w:numPr>
          <w:ilvl w:val="0"/>
          <w:numId w:val="42"/>
        </w:numPr>
        <w:tabs>
          <w:tab w:val="clear" w:pos="0"/>
          <w:tab w:val="clear" w:pos="142"/>
          <w:tab w:val="clear" w:pos="284"/>
          <w:tab w:val="clear" w:pos="567"/>
        </w:tabs>
        <w:autoSpaceDE/>
        <w:autoSpaceDN/>
        <w:adjustRightInd/>
        <w:spacing w:line="276" w:lineRule="auto"/>
        <w:ind w:left="426" w:hanging="426"/>
        <w:contextualSpacing/>
        <w:jc w:val="left"/>
        <w:rPr>
          <w:rFonts w:ascii="Aptos" w:hAnsi="Aptos"/>
          <w:sz w:val="24"/>
          <w:szCs w:val="24"/>
        </w:rPr>
      </w:pPr>
      <w:r w:rsidRPr="00EC2D0B">
        <w:rPr>
          <w:rFonts w:ascii="Aptos" w:hAnsi="Aptos"/>
          <w:sz w:val="24"/>
          <w:szCs w:val="24"/>
        </w:rPr>
        <w:t xml:space="preserve">EASRA’s members would welcome ESMA’s clarification on the possibility to apply for recognition for ESG rating providers established outside of the EU with an annual net turnover of </w:t>
      </w:r>
      <w:proofErr w:type="gramStart"/>
      <w:r w:rsidRPr="00EC2D0B">
        <w:rPr>
          <w:rFonts w:ascii="Aptos" w:hAnsi="Aptos"/>
          <w:sz w:val="24"/>
          <w:szCs w:val="24"/>
        </w:rPr>
        <w:t>all of</w:t>
      </w:r>
      <w:proofErr w:type="gramEnd"/>
      <w:r w:rsidRPr="00EC2D0B">
        <w:rPr>
          <w:rFonts w:ascii="Aptos" w:hAnsi="Aptos"/>
          <w:sz w:val="24"/>
          <w:szCs w:val="24"/>
        </w:rPr>
        <w:t xml:space="preserve"> its activities that is above the amount set in Article 3(2), second subparagraph of Directive 2013/34/EU.</w:t>
      </w:r>
    </w:p>
    <w:p w14:paraId="7B3E893A" w14:textId="77777777" w:rsidR="00FC081F" w:rsidRPr="00EC2D0B" w:rsidRDefault="00FC081F" w:rsidP="00FC081F">
      <w:pPr>
        <w:rPr>
          <w:rFonts w:ascii="Aptos" w:hAnsi="Aptos"/>
          <w:b/>
          <w:color w:val="0B5394"/>
        </w:rPr>
      </w:pPr>
    </w:p>
    <w:p w14:paraId="38524F57" w14:textId="12DC62D2"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Pr>
          <w:rFonts w:ascii="Calibri" w:eastAsia="Calibri" w:hAnsi="Calibri"/>
          <w:kern w:val="2"/>
          <w:sz w:val="22"/>
          <w:szCs w:val="22"/>
          <w:lang w:eastAsia="en-US"/>
          <w14:ligatures w14:val="standardContextual"/>
        </w:rPr>
        <w:t>E</w:t>
      </w:r>
      <w:r w:rsidR="00AB2C3F">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_1&gt;</w:t>
      </w:r>
    </w:p>
    <w:p w14:paraId="724ADAA1" w14:textId="77777777" w:rsidR="00EB6CEB" w:rsidRDefault="00EB6CEB" w:rsidP="001B1B48">
      <w:pPr>
        <w:spacing w:after="160" w:line="259" w:lineRule="auto"/>
        <w:rPr>
          <w:rFonts w:ascii="Calibri" w:eastAsia="Calibri" w:hAnsi="Calibri"/>
          <w:kern w:val="2"/>
          <w:sz w:val="22"/>
          <w:szCs w:val="22"/>
          <w:lang w:eastAsia="en-US"/>
          <w14:ligatures w14:val="standardContextual"/>
        </w:rPr>
      </w:pPr>
    </w:p>
    <w:p w14:paraId="625EF4EE" w14:textId="77777777" w:rsidR="00EB6CEB" w:rsidRPr="001B1B48" w:rsidRDefault="00EB6CEB" w:rsidP="00EB6CEB">
      <w:pPr>
        <w:pBdr>
          <w:top w:val="single" w:sz="4" w:space="1" w:color="auto"/>
        </w:pBdr>
        <w:spacing w:after="160" w:line="259" w:lineRule="auto"/>
        <w:rPr>
          <w:rFonts w:ascii="Calibri" w:eastAsia="Calibri" w:hAnsi="Calibri"/>
          <w:kern w:val="2"/>
          <w:sz w:val="22"/>
          <w:szCs w:val="22"/>
          <w:lang w:eastAsia="en-US"/>
          <w14:ligatures w14:val="standardContextual"/>
        </w:rPr>
      </w:pPr>
    </w:p>
    <w:p w14:paraId="35B7ECCA" w14:textId="6E65D552" w:rsidR="001B1B48" w:rsidRPr="00ED4FDB" w:rsidRDefault="00ED4FDB" w:rsidP="00ED4FDB">
      <w:pPr>
        <w:pStyle w:val="Paragraph"/>
        <w:numPr>
          <w:ilvl w:val="0"/>
          <w:numId w:val="0"/>
        </w:numPr>
        <w:ind w:left="708" w:hanging="708"/>
      </w:pPr>
      <w:proofErr w:type="gramStart"/>
      <w:r w:rsidRPr="009464EF">
        <w:rPr>
          <w:b/>
          <w:bCs/>
        </w:rPr>
        <w:t>Q2</w:t>
      </w:r>
      <w:proofErr w:type="gramEnd"/>
      <w:r w:rsidRPr="2E20FBB1">
        <w:t xml:space="preserve"> </w:t>
      </w:r>
      <w:r>
        <w:tab/>
      </w:r>
      <w:r w:rsidRPr="00ED4FDB">
        <w:rPr>
          <w:b/>
          <w:bCs/>
        </w:rPr>
        <w:t>Do you agree with ESMA’s proposals for the draft technical standard under Article 16(5)?</w:t>
      </w:r>
    </w:p>
    <w:p w14:paraId="6C03D9F2" w14:textId="65FA1CA4"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D4FDB">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_2&gt;</w:t>
      </w:r>
    </w:p>
    <w:p w14:paraId="09F85B60" w14:textId="77777777" w:rsidR="008E6AA4" w:rsidRPr="00EC2D0B" w:rsidRDefault="008E6AA4" w:rsidP="008E6AA4">
      <w:pPr>
        <w:shd w:val="clear" w:color="auto" w:fill="FFFFFF" w:themeFill="background1"/>
        <w:rPr>
          <w:rFonts w:ascii="Aptos" w:hAnsi="Aptos"/>
          <w:color w:val="000000"/>
        </w:rPr>
      </w:pPr>
      <w:r w:rsidRPr="00EC2D0B">
        <w:rPr>
          <w:rFonts w:ascii="Aptos" w:hAnsi="Aptos"/>
          <w:color w:val="000000"/>
        </w:rPr>
        <w:t xml:space="preserve">EASRA’s members understand the necessity to introduce a harmonized management of potential conflicts of interest. However, some aspects of the regulation and the draft RTS could be clarified and/or modified </w:t>
      </w:r>
      <w:proofErr w:type="gramStart"/>
      <w:r w:rsidRPr="00EC2D0B">
        <w:rPr>
          <w:rFonts w:ascii="Aptos" w:hAnsi="Aptos"/>
          <w:color w:val="000000"/>
        </w:rPr>
        <w:t>so as to</w:t>
      </w:r>
      <w:proofErr w:type="gramEnd"/>
      <w:r w:rsidRPr="00EC2D0B">
        <w:rPr>
          <w:rFonts w:ascii="Aptos" w:hAnsi="Aptos"/>
          <w:color w:val="000000"/>
        </w:rPr>
        <w:t xml:space="preserve"> reduce the financial burden notably for small and midsized providers.</w:t>
      </w:r>
    </w:p>
    <w:p w14:paraId="17D61937" w14:textId="7A7684DD" w:rsidR="008E6AA4" w:rsidRDefault="008E6AA4" w:rsidP="00EB6CEB">
      <w:pPr>
        <w:pStyle w:val="Titre2"/>
        <w:numPr>
          <w:ilvl w:val="0"/>
          <w:numId w:val="0"/>
        </w:numPr>
        <w:rPr>
          <w:rFonts w:ascii="Aptos" w:hAnsi="Aptos"/>
        </w:rPr>
      </w:pPr>
      <w:bookmarkStart w:id="3" w:name="_Toc201328999"/>
      <w:r w:rsidRPr="00EC2D0B">
        <w:rPr>
          <w:rFonts w:ascii="Aptos" w:hAnsi="Aptos"/>
        </w:rPr>
        <w:t>Issue of Concern</w:t>
      </w:r>
      <w:r w:rsidR="00EB6CEB">
        <w:rPr>
          <w:rFonts w:ascii="Aptos" w:hAnsi="Aptos"/>
        </w:rPr>
        <w:t xml:space="preserve"> 2.1</w:t>
      </w:r>
      <w:r w:rsidRPr="00EC2D0B">
        <w:rPr>
          <w:rFonts w:ascii="Aptos" w:hAnsi="Aptos"/>
        </w:rPr>
        <w:t>: Costs linked to the separation of business and activities</w:t>
      </w:r>
      <w:bookmarkEnd w:id="3"/>
    </w:p>
    <w:p w14:paraId="23D43BA5" w14:textId="77777777" w:rsidR="00F14C3F" w:rsidRPr="00F14C3F" w:rsidRDefault="00F14C3F" w:rsidP="00F14C3F"/>
    <w:p w14:paraId="0B921452" w14:textId="77777777" w:rsidR="008E6AA4" w:rsidRPr="00EC2D0B" w:rsidRDefault="008E6AA4" w:rsidP="008E6AA4">
      <w:pPr>
        <w:rPr>
          <w:rFonts w:ascii="Aptos" w:hAnsi="Aptos"/>
          <w:color w:val="000000"/>
        </w:rPr>
      </w:pPr>
      <w:r w:rsidRPr="00EC2D0B">
        <w:rPr>
          <w:rFonts w:ascii="Aptos" w:hAnsi="Aptos"/>
          <w:color w:val="000000"/>
        </w:rPr>
        <w:lastRenderedPageBreak/>
        <w:t>EASRA is very concerned by the costs of legal separation and the lack of clarity related to the regulatory requirement on the separation of specific business activities into different legal entities. This greatly affects the competitiveness of small and medium-size providers (especially EASRA members) and favours large providers. In addition, it will</w:t>
      </w:r>
      <w:r w:rsidRPr="00EC2D0B">
        <w:rPr>
          <w:rFonts w:ascii="Aptos" w:hAnsi="Aptos"/>
          <w:color w:val="000000"/>
          <w:u w:val="single"/>
        </w:rPr>
        <w:t xml:space="preserve"> </w:t>
      </w:r>
      <w:r w:rsidRPr="00EC2D0B">
        <w:rPr>
          <w:rFonts w:ascii="Aptos" w:hAnsi="Aptos"/>
          <w:color w:val="000000"/>
        </w:rPr>
        <w:t>constitute a high barrier to entry for many members – or even lead to some players having to exit the market. </w:t>
      </w:r>
    </w:p>
    <w:p w14:paraId="7E22503F" w14:textId="77777777" w:rsidR="008E6AA4" w:rsidRPr="00EC2D0B" w:rsidRDefault="008E6AA4" w:rsidP="008E6AA4">
      <w:pPr>
        <w:rPr>
          <w:rFonts w:ascii="Aptos" w:hAnsi="Aptos"/>
          <w:i/>
          <w:iCs/>
          <w:color w:val="000000"/>
          <w:u w:val="single"/>
        </w:rPr>
      </w:pPr>
    </w:p>
    <w:p w14:paraId="056D8584" w14:textId="77777777" w:rsidR="008E6AA4" w:rsidRPr="00EC2D0B" w:rsidRDefault="008E6AA4" w:rsidP="008E6AA4">
      <w:pPr>
        <w:rPr>
          <w:rFonts w:ascii="Aptos" w:hAnsi="Aptos"/>
          <w:color w:val="000000"/>
        </w:rPr>
      </w:pPr>
      <w:r w:rsidRPr="00EC2D0B">
        <w:rPr>
          <w:rFonts w:ascii="Aptos" w:hAnsi="Aptos"/>
          <w:color w:val="000000"/>
        </w:rPr>
        <w:t>The costs of separating legal entities are particularly high and more difficult to support for groups of small and medium size that are active in different business areas. These costs include:</w:t>
      </w:r>
    </w:p>
    <w:p w14:paraId="55A7B98C" w14:textId="77777777" w:rsidR="008E6AA4" w:rsidRPr="00EC2D0B" w:rsidRDefault="008E6AA4" w:rsidP="008E6AA4">
      <w:pPr>
        <w:pStyle w:val="Paragraphedeliste"/>
        <w:numPr>
          <w:ilvl w:val="0"/>
          <w:numId w:val="43"/>
        </w:numPr>
        <w:tabs>
          <w:tab w:val="clear" w:pos="0"/>
          <w:tab w:val="clear" w:pos="142"/>
          <w:tab w:val="clear" w:pos="284"/>
          <w:tab w:val="clear" w:pos="567"/>
        </w:tabs>
        <w:autoSpaceDE/>
        <w:autoSpaceDN/>
        <w:adjustRightInd/>
        <w:spacing w:line="276" w:lineRule="auto"/>
        <w:contextualSpacing/>
        <w:jc w:val="left"/>
        <w:rPr>
          <w:rFonts w:ascii="Aptos" w:eastAsia="Times New Roman" w:hAnsi="Aptos" w:cs="Times New Roman"/>
          <w:color w:val="000000"/>
          <w:sz w:val="24"/>
          <w:szCs w:val="24"/>
        </w:rPr>
      </w:pPr>
      <w:r w:rsidRPr="00EC2D0B">
        <w:rPr>
          <w:rFonts w:ascii="Aptos" w:eastAsia="Times New Roman" w:hAnsi="Aptos" w:cs="Times New Roman"/>
          <w:color w:val="000000"/>
          <w:sz w:val="24"/>
          <w:szCs w:val="24"/>
        </w:rPr>
        <w:t xml:space="preserve">Upfront, the expenses on legal advice and implementation of the new structure (transfer of assets, transfer of employment contracts, establishment of branches in the different countries of presence). </w:t>
      </w:r>
    </w:p>
    <w:p w14:paraId="1E860A3A" w14:textId="77777777" w:rsidR="008E6AA4" w:rsidRPr="00EC2D0B" w:rsidRDefault="008E6AA4" w:rsidP="008E6AA4">
      <w:pPr>
        <w:pStyle w:val="Paragraphedeliste"/>
        <w:numPr>
          <w:ilvl w:val="0"/>
          <w:numId w:val="43"/>
        </w:numPr>
        <w:tabs>
          <w:tab w:val="clear" w:pos="0"/>
          <w:tab w:val="clear" w:pos="142"/>
          <w:tab w:val="clear" w:pos="284"/>
          <w:tab w:val="clear" w:pos="567"/>
        </w:tabs>
        <w:autoSpaceDE/>
        <w:autoSpaceDN/>
        <w:adjustRightInd/>
        <w:spacing w:line="276" w:lineRule="auto"/>
        <w:contextualSpacing/>
        <w:jc w:val="left"/>
        <w:rPr>
          <w:rFonts w:ascii="Aptos" w:eastAsia="Times New Roman" w:hAnsi="Aptos" w:cs="Times New Roman"/>
          <w:color w:val="000000"/>
          <w:sz w:val="24"/>
          <w:szCs w:val="24"/>
        </w:rPr>
      </w:pPr>
      <w:r w:rsidRPr="00EC2D0B">
        <w:rPr>
          <w:rFonts w:ascii="Aptos" w:eastAsia="Times New Roman" w:hAnsi="Aptos" w:cs="Times New Roman"/>
          <w:color w:val="000000"/>
          <w:sz w:val="24"/>
          <w:szCs w:val="24"/>
        </w:rPr>
        <w:t xml:space="preserve">On a recurrent basis, ongoing governance costs (separate senior management body / supervisory board, by-laws, corporate governance maintenance, additional service level agreements), ongoing accounting, reporting and financial consolidation costs. </w:t>
      </w:r>
    </w:p>
    <w:p w14:paraId="174308CC" w14:textId="77777777" w:rsidR="008E6AA4" w:rsidRPr="00EB6CEB" w:rsidRDefault="008E6AA4" w:rsidP="00EB6CEB">
      <w:pPr>
        <w:rPr>
          <w:rFonts w:ascii="Aptos" w:hAnsi="Aptos"/>
          <w:color w:val="000000"/>
        </w:rPr>
      </w:pPr>
    </w:p>
    <w:p w14:paraId="01B536A8" w14:textId="77777777" w:rsidR="008E6AA4" w:rsidRPr="00EC2D0B" w:rsidRDefault="008E6AA4" w:rsidP="008E6AA4">
      <w:pPr>
        <w:rPr>
          <w:rFonts w:ascii="Aptos" w:hAnsi="Aptos"/>
          <w:color w:val="000000"/>
        </w:rPr>
      </w:pPr>
      <w:r w:rsidRPr="00EC2D0B">
        <w:rPr>
          <w:rFonts w:ascii="Aptos" w:hAnsi="Aptos"/>
          <w:color w:val="000000"/>
        </w:rPr>
        <w:t>Moreover, the following points should be considered:</w:t>
      </w:r>
    </w:p>
    <w:p w14:paraId="1FFE7585" w14:textId="77777777" w:rsidR="008E6AA4" w:rsidRPr="00EC2D0B" w:rsidRDefault="008E6AA4" w:rsidP="008E6AA4">
      <w:pPr>
        <w:pStyle w:val="Paragraphedeliste"/>
        <w:numPr>
          <w:ilvl w:val="0"/>
          <w:numId w:val="43"/>
        </w:numPr>
        <w:tabs>
          <w:tab w:val="clear" w:pos="0"/>
          <w:tab w:val="clear" w:pos="142"/>
          <w:tab w:val="clear" w:pos="284"/>
          <w:tab w:val="clear" w:pos="567"/>
        </w:tabs>
        <w:autoSpaceDE/>
        <w:autoSpaceDN/>
        <w:adjustRightInd/>
        <w:spacing w:line="276" w:lineRule="auto"/>
        <w:contextualSpacing/>
        <w:jc w:val="left"/>
        <w:rPr>
          <w:rFonts w:ascii="Aptos" w:eastAsia="Times New Roman" w:hAnsi="Aptos" w:cs="Times New Roman"/>
          <w:color w:val="000000"/>
          <w:sz w:val="24"/>
          <w:szCs w:val="24"/>
        </w:rPr>
      </w:pPr>
      <w:r w:rsidRPr="00EC2D0B">
        <w:rPr>
          <w:rFonts w:ascii="Aptos" w:eastAsia="Times New Roman" w:hAnsi="Aptos" w:cs="Times New Roman"/>
          <w:color w:val="000000"/>
          <w:sz w:val="24"/>
          <w:szCs w:val="24"/>
        </w:rPr>
        <w:t xml:space="preserve">The economic context is very challenging and the margins in the ESG rating industry are low due to high expertise needed and necessary IT investments, which typically penalize the smallest players. Also, investors are asking for large coverage of rated entities and are increasingly looking at “one stop shop” providers/solutions. </w:t>
      </w:r>
    </w:p>
    <w:p w14:paraId="7FEF226B" w14:textId="77777777" w:rsidR="008E6AA4" w:rsidRPr="00EC2D0B" w:rsidRDefault="008E6AA4" w:rsidP="008E6AA4">
      <w:pPr>
        <w:pStyle w:val="Paragraphedeliste"/>
        <w:numPr>
          <w:ilvl w:val="0"/>
          <w:numId w:val="43"/>
        </w:numPr>
        <w:tabs>
          <w:tab w:val="clear" w:pos="0"/>
          <w:tab w:val="clear" w:pos="142"/>
          <w:tab w:val="clear" w:pos="284"/>
          <w:tab w:val="clear" w:pos="567"/>
        </w:tabs>
        <w:autoSpaceDE/>
        <w:autoSpaceDN/>
        <w:adjustRightInd/>
        <w:spacing w:line="276" w:lineRule="auto"/>
        <w:contextualSpacing/>
        <w:jc w:val="left"/>
        <w:rPr>
          <w:rFonts w:ascii="Aptos" w:eastAsia="Times New Roman" w:hAnsi="Aptos" w:cs="Times New Roman"/>
          <w:color w:val="000000"/>
          <w:sz w:val="24"/>
          <w:szCs w:val="24"/>
        </w:rPr>
      </w:pPr>
      <w:r w:rsidRPr="00EC2D0B">
        <w:rPr>
          <w:rFonts w:ascii="Aptos" w:eastAsia="Times New Roman" w:hAnsi="Aptos" w:cs="Times New Roman"/>
          <w:color w:val="000000"/>
          <w:sz w:val="24"/>
          <w:szCs w:val="24"/>
        </w:rPr>
        <w:t xml:space="preserve">The ESG rating sector is in a phase of transformation due to changing market trends with regards to ESG, developments in IT, AI and innovation, and upcoming regulations. </w:t>
      </w:r>
    </w:p>
    <w:p w14:paraId="14084F12" w14:textId="77777777" w:rsidR="008E6AA4" w:rsidRPr="00EC2D0B" w:rsidRDefault="008E6AA4" w:rsidP="008E6AA4">
      <w:pPr>
        <w:pStyle w:val="Paragraphedeliste"/>
        <w:numPr>
          <w:ilvl w:val="0"/>
          <w:numId w:val="43"/>
        </w:numPr>
        <w:tabs>
          <w:tab w:val="clear" w:pos="0"/>
          <w:tab w:val="clear" w:pos="142"/>
          <w:tab w:val="clear" w:pos="284"/>
          <w:tab w:val="clear" w:pos="567"/>
        </w:tabs>
        <w:autoSpaceDE/>
        <w:autoSpaceDN/>
        <w:adjustRightInd/>
        <w:spacing w:line="276" w:lineRule="auto"/>
        <w:contextualSpacing/>
        <w:jc w:val="left"/>
        <w:rPr>
          <w:rFonts w:ascii="Aptos" w:eastAsia="Times New Roman" w:hAnsi="Aptos" w:cs="Times New Roman"/>
          <w:color w:val="000000"/>
          <w:sz w:val="24"/>
          <w:szCs w:val="24"/>
        </w:rPr>
      </w:pPr>
      <w:r w:rsidRPr="00EC2D0B">
        <w:rPr>
          <w:rFonts w:ascii="Aptos" w:eastAsia="Times New Roman" w:hAnsi="Aptos" w:cs="Times New Roman"/>
          <w:color w:val="000000"/>
          <w:sz w:val="24"/>
          <w:szCs w:val="24"/>
        </w:rPr>
        <w:t>The risk of further market concentration of the ESG rating industry among a limited number of large non-European players is very high. </w:t>
      </w:r>
    </w:p>
    <w:p w14:paraId="1DCE241B" w14:textId="77777777" w:rsidR="008E6AA4" w:rsidRPr="00EC2D0B" w:rsidRDefault="008E6AA4" w:rsidP="008E6AA4">
      <w:pPr>
        <w:pStyle w:val="Paragraphedeliste"/>
        <w:numPr>
          <w:ilvl w:val="0"/>
          <w:numId w:val="43"/>
        </w:numPr>
        <w:tabs>
          <w:tab w:val="clear" w:pos="0"/>
          <w:tab w:val="clear" w:pos="142"/>
          <w:tab w:val="clear" w:pos="284"/>
          <w:tab w:val="clear" w:pos="567"/>
        </w:tabs>
        <w:autoSpaceDE/>
        <w:autoSpaceDN/>
        <w:adjustRightInd/>
        <w:spacing w:line="276" w:lineRule="auto"/>
        <w:contextualSpacing/>
        <w:jc w:val="left"/>
        <w:rPr>
          <w:rFonts w:ascii="Aptos" w:eastAsia="Times New Roman" w:hAnsi="Aptos" w:cs="Times New Roman"/>
          <w:color w:val="000000"/>
          <w:sz w:val="24"/>
          <w:szCs w:val="24"/>
        </w:rPr>
      </w:pPr>
      <w:r w:rsidRPr="00EC2D0B">
        <w:rPr>
          <w:rFonts w:ascii="Aptos" w:eastAsia="Times New Roman" w:hAnsi="Aptos" w:cs="Times New Roman"/>
          <w:color w:val="000000"/>
          <w:sz w:val="24"/>
          <w:szCs w:val="24"/>
        </w:rPr>
        <w:t>There are high benefits for sustainable finance to a thriving and diversified ESG rating sector with different players of different sizes, geographical and thematic focus areas, underlying philosophies and methodologies to ensure that issuers and investors’ needs are appropriately met. </w:t>
      </w:r>
    </w:p>
    <w:p w14:paraId="084BECFD" w14:textId="77777777" w:rsidR="008E6AA4" w:rsidRPr="00EC2D0B" w:rsidRDefault="008E6AA4" w:rsidP="008E6AA4">
      <w:pPr>
        <w:rPr>
          <w:rFonts w:ascii="Aptos" w:hAnsi="Aptos"/>
          <w:color w:val="000000"/>
        </w:rPr>
      </w:pPr>
    </w:p>
    <w:p w14:paraId="63CF5CD5" w14:textId="77777777" w:rsidR="008E6AA4" w:rsidRPr="00EC2D0B" w:rsidRDefault="008E6AA4" w:rsidP="008E6AA4">
      <w:pPr>
        <w:rPr>
          <w:rFonts w:ascii="Aptos" w:hAnsi="Aptos"/>
          <w:color w:val="000000"/>
        </w:rPr>
      </w:pPr>
      <w:r w:rsidRPr="00EC2D0B">
        <w:rPr>
          <w:rFonts w:ascii="Aptos" w:hAnsi="Aptos"/>
          <w:color w:val="000000"/>
        </w:rPr>
        <w:t>EASRA therefore recommends the following: </w:t>
      </w:r>
    </w:p>
    <w:p w14:paraId="252936B1" w14:textId="77777777" w:rsidR="008E6AA4" w:rsidRPr="00EC2D0B" w:rsidRDefault="008E6AA4" w:rsidP="008E6AA4">
      <w:pPr>
        <w:pStyle w:val="Paragraphedeliste"/>
        <w:numPr>
          <w:ilvl w:val="0"/>
          <w:numId w:val="43"/>
        </w:numPr>
        <w:tabs>
          <w:tab w:val="clear" w:pos="0"/>
          <w:tab w:val="clear" w:pos="142"/>
          <w:tab w:val="clear" w:pos="284"/>
          <w:tab w:val="clear" w:pos="567"/>
        </w:tabs>
        <w:autoSpaceDE/>
        <w:autoSpaceDN/>
        <w:adjustRightInd/>
        <w:spacing w:line="276" w:lineRule="auto"/>
        <w:contextualSpacing/>
        <w:jc w:val="left"/>
        <w:rPr>
          <w:rFonts w:ascii="Aptos" w:eastAsia="Times New Roman" w:hAnsi="Aptos" w:cs="Times New Roman"/>
          <w:color w:val="000000"/>
          <w:sz w:val="24"/>
          <w:szCs w:val="24"/>
        </w:rPr>
      </w:pPr>
      <w:r w:rsidRPr="00EC2D0B">
        <w:rPr>
          <w:rFonts w:ascii="Aptos" w:eastAsia="Times New Roman" w:hAnsi="Aptos" w:cs="Times New Roman"/>
          <w:color w:val="000000"/>
          <w:sz w:val="24"/>
          <w:szCs w:val="24"/>
        </w:rPr>
        <w:t>Applying the same measures as the ones proposed for benchmark providers and/or providers of investment services and credit &amp; insurance services, combined with a review and authorisation by ESMA (as proposed in the RTS) without the need for separate legal entities</w:t>
      </w:r>
      <w:r w:rsidRPr="00313E54">
        <w:rPr>
          <w:rFonts w:ascii="Aptos" w:eastAsia="Times New Roman" w:hAnsi="Aptos" w:cs="Times New Roman"/>
          <w:color w:val="000000"/>
          <w:sz w:val="24"/>
          <w:szCs w:val="24"/>
        </w:rPr>
        <w:t>.</w:t>
      </w:r>
      <w:r w:rsidRPr="00EC2D0B">
        <w:rPr>
          <w:rFonts w:ascii="Aptos" w:eastAsia="Times New Roman" w:hAnsi="Aptos" w:cs="Times New Roman"/>
          <w:color w:val="000000"/>
          <w:sz w:val="24"/>
          <w:szCs w:val="24"/>
        </w:rPr>
        <w:t xml:space="preserve">  </w:t>
      </w:r>
    </w:p>
    <w:p w14:paraId="3923D993" w14:textId="77777777" w:rsidR="008E6AA4" w:rsidRPr="00EC2D0B" w:rsidRDefault="008E6AA4" w:rsidP="008E6AA4">
      <w:pPr>
        <w:pStyle w:val="Paragraphedeliste"/>
        <w:numPr>
          <w:ilvl w:val="0"/>
          <w:numId w:val="43"/>
        </w:numPr>
        <w:tabs>
          <w:tab w:val="clear" w:pos="0"/>
          <w:tab w:val="clear" w:pos="142"/>
          <w:tab w:val="clear" w:pos="284"/>
          <w:tab w:val="clear" w:pos="567"/>
        </w:tabs>
        <w:autoSpaceDE/>
        <w:autoSpaceDN/>
        <w:adjustRightInd/>
        <w:spacing w:line="276" w:lineRule="auto"/>
        <w:contextualSpacing/>
        <w:jc w:val="left"/>
        <w:rPr>
          <w:rFonts w:ascii="Aptos" w:eastAsia="Times New Roman" w:hAnsi="Aptos" w:cs="Times New Roman"/>
          <w:color w:val="000000"/>
          <w:sz w:val="24"/>
          <w:szCs w:val="24"/>
        </w:rPr>
      </w:pPr>
      <w:r w:rsidRPr="00EC2D0B">
        <w:rPr>
          <w:rFonts w:ascii="Aptos" w:eastAsia="Times New Roman" w:hAnsi="Aptos" w:cs="Times New Roman"/>
          <w:color w:val="000000"/>
          <w:sz w:val="24"/>
          <w:szCs w:val="24"/>
        </w:rPr>
        <w:lastRenderedPageBreak/>
        <w:t xml:space="preserve">Enlarging the scope of the current transitory regime defined by ESMA for small ESG rating agencies (Art 5) to both small and medium-sized ESG rating agencies </w:t>
      </w:r>
      <w:r w:rsidRPr="00F262DD">
        <w:rPr>
          <w:rFonts w:ascii="Aptos" w:eastAsia="Times New Roman" w:hAnsi="Aptos" w:cs="Times New Roman"/>
          <w:color w:val="000000"/>
          <w:sz w:val="24"/>
          <w:szCs w:val="24"/>
        </w:rPr>
        <w:t>(considering in the size assessment only the entities that are active in ESG rating if part of a larger group)</w:t>
      </w:r>
      <w:r w:rsidRPr="003F638A">
        <w:rPr>
          <w:rFonts w:ascii="Aptos" w:eastAsia="Times New Roman" w:hAnsi="Aptos" w:cs="Times New Roman"/>
          <w:color w:val="000000"/>
          <w:sz w:val="24"/>
          <w:szCs w:val="24"/>
        </w:rPr>
        <w:t xml:space="preserve"> </w:t>
      </w:r>
      <w:r w:rsidRPr="00EC2D0B">
        <w:rPr>
          <w:rFonts w:ascii="Aptos" w:eastAsia="Times New Roman" w:hAnsi="Aptos" w:cs="Times New Roman"/>
          <w:color w:val="000000"/>
          <w:sz w:val="24"/>
          <w:szCs w:val="24"/>
        </w:rPr>
        <w:t>an</w:t>
      </w:r>
      <w:r w:rsidRPr="00313E54">
        <w:rPr>
          <w:rFonts w:ascii="Aptos" w:eastAsia="Times New Roman" w:hAnsi="Aptos" w:cs="Times New Roman"/>
          <w:color w:val="000000"/>
          <w:sz w:val="24"/>
          <w:szCs w:val="24"/>
        </w:rPr>
        <w:t>d</w:t>
      </w:r>
      <w:r w:rsidRPr="00EC2D0B">
        <w:rPr>
          <w:rFonts w:ascii="Aptos" w:eastAsia="Times New Roman" w:hAnsi="Aptos" w:cs="Times New Roman"/>
          <w:color w:val="000000"/>
          <w:sz w:val="24"/>
          <w:szCs w:val="24"/>
        </w:rPr>
        <w:t xml:space="preserve"> thus make them benefit from a 3-year transition period.  </w:t>
      </w:r>
    </w:p>
    <w:p w14:paraId="2F5EBBDD" w14:textId="77777777" w:rsidR="008E6AA4" w:rsidRPr="00EC2D0B" w:rsidRDefault="008E6AA4" w:rsidP="008E6AA4">
      <w:pPr>
        <w:rPr>
          <w:rFonts w:ascii="Aptos" w:hAnsi="Aptos"/>
          <w:color w:val="000000"/>
        </w:rPr>
      </w:pPr>
      <w:r w:rsidRPr="00EC2D0B">
        <w:rPr>
          <w:rFonts w:ascii="Aptos" w:hAnsi="Aptos"/>
          <w:color w:val="000000"/>
        </w:rPr>
        <w:t> </w:t>
      </w:r>
    </w:p>
    <w:p w14:paraId="6059D07F" w14:textId="3C035ECD" w:rsidR="008E6AA4" w:rsidRPr="00EC2D0B" w:rsidRDefault="008E6AA4" w:rsidP="00742C6A">
      <w:pPr>
        <w:pStyle w:val="Titre2"/>
        <w:numPr>
          <w:ilvl w:val="0"/>
          <w:numId w:val="0"/>
        </w:numPr>
        <w:rPr>
          <w:rFonts w:ascii="Aptos" w:hAnsi="Aptos"/>
        </w:rPr>
      </w:pPr>
      <w:bookmarkStart w:id="4" w:name="_Toc201329000"/>
      <w:r w:rsidRPr="00EC2D0B">
        <w:rPr>
          <w:rFonts w:ascii="Aptos" w:hAnsi="Aptos"/>
        </w:rPr>
        <w:t>Issue of Concern</w:t>
      </w:r>
      <w:r w:rsidR="00742C6A">
        <w:rPr>
          <w:rFonts w:ascii="Aptos" w:hAnsi="Aptos"/>
        </w:rPr>
        <w:t xml:space="preserve"> 2.2</w:t>
      </w:r>
      <w:r w:rsidRPr="00EC2D0B">
        <w:rPr>
          <w:rFonts w:ascii="Aptos" w:hAnsi="Aptos"/>
        </w:rPr>
        <w:t>: Clarification on definitions of consulting activities</w:t>
      </w:r>
      <w:bookmarkEnd w:id="4"/>
      <w:r w:rsidRPr="00EC2D0B">
        <w:rPr>
          <w:rFonts w:ascii="Aptos" w:hAnsi="Aptos"/>
        </w:rPr>
        <w:t xml:space="preserve"> </w:t>
      </w:r>
    </w:p>
    <w:p w14:paraId="3D452000" w14:textId="77777777" w:rsidR="00EB6CEB" w:rsidRDefault="00EB6CEB" w:rsidP="008E6AA4">
      <w:pPr>
        <w:rPr>
          <w:rFonts w:ascii="Aptos" w:hAnsi="Aptos"/>
        </w:rPr>
      </w:pPr>
    </w:p>
    <w:p w14:paraId="70A06F5A" w14:textId="54AAF350" w:rsidR="008E6AA4" w:rsidRPr="00EC2D0B" w:rsidRDefault="008E6AA4" w:rsidP="008E6AA4">
      <w:pPr>
        <w:rPr>
          <w:rFonts w:ascii="Aptos" w:hAnsi="Aptos"/>
        </w:rPr>
      </w:pPr>
      <w:r w:rsidRPr="00EC2D0B">
        <w:rPr>
          <w:rFonts w:ascii="Aptos" w:hAnsi="Aptos"/>
        </w:rPr>
        <w:t>EASRA acknowledges that remunerated advisory services provided to rated entities represents a strong risk of potential conflicts of interest. Such services, should they be provided, should be strictly separated from ESG rating activities.</w:t>
      </w:r>
    </w:p>
    <w:p w14:paraId="55DCBA04" w14:textId="77777777" w:rsidR="008E6AA4" w:rsidRPr="00EC2D0B" w:rsidRDefault="008E6AA4" w:rsidP="008E6AA4">
      <w:pPr>
        <w:rPr>
          <w:rFonts w:ascii="Aptos" w:hAnsi="Aptos"/>
        </w:rPr>
      </w:pPr>
    </w:p>
    <w:p w14:paraId="0FD92211" w14:textId="77777777" w:rsidR="008E6AA4" w:rsidRPr="00EC2D0B" w:rsidRDefault="008E6AA4" w:rsidP="008E6AA4">
      <w:pPr>
        <w:rPr>
          <w:rFonts w:ascii="Aptos" w:hAnsi="Aptos"/>
        </w:rPr>
      </w:pPr>
      <w:r w:rsidRPr="00EC2D0B">
        <w:rPr>
          <w:rFonts w:ascii="Aptos" w:hAnsi="Aptos"/>
        </w:rPr>
        <w:t xml:space="preserve">However, EASRA is not aligned with the categoric assumption that advisory services provided to investor clients represent a conflict of interest. In fact, such services often go </w:t>
      </w:r>
      <w:proofErr w:type="gramStart"/>
      <w:r w:rsidRPr="00EC2D0B">
        <w:rPr>
          <w:rFonts w:ascii="Aptos" w:hAnsi="Aptos"/>
        </w:rPr>
        <w:t>hand-in-hand</w:t>
      </w:r>
      <w:proofErr w:type="gramEnd"/>
      <w:r w:rsidRPr="00EC2D0B">
        <w:rPr>
          <w:rFonts w:ascii="Aptos" w:hAnsi="Aptos"/>
        </w:rPr>
        <w:t xml:space="preserve"> with the provision of ESG ratings and data to investor subscription clients. Some providers deliver such services via their customer relations teams and their fees are embedded in the subscription fees, while others have decided to deliver them as a paid stand-alone service. Especially from the standpoint of smaller providers, such services allow to diversify their revenues and be able to compete against very large providers.</w:t>
      </w:r>
    </w:p>
    <w:p w14:paraId="17FCAE42" w14:textId="77777777" w:rsidR="008E6AA4" w:rsidRPr="00EC2D0B" w:rsidRDefault="008E6AA4" w:rsidP="008E6AA4">
      <w:pPr>
        <w:rPr>
          <w:rFonts w:ascii="Aptos" w:hAnsi="Aptos"/>
        </w:rPr>
      </w:pPr>
    </w:p>
    <w:p w14:paraId="53B5E9C6" w14:textId="77777777" w:rsidR="008E6AA4" w:rsidRPr="00EC2D0B" w:rsidRDefault="008E6AA4" w:rsidP="008E6AA4">
      <w:pPr>
        <w:rPr>
          <w:rFonts w:ascii="Aptos" w:hAnsi="Aptos"/>
        </w:rPr>
      </w:pPr>
      <w:r w:rsidRPr="00EC2D0B">
        <w:rPr>
          <w:rFonts w:ascii="Aptos" w:hAnsi="Aptos"/>
        </w:rPr>
        <w:t>As an example, the following services are provided to financial institutions by some of EASRA members:</w:t>
      </w:r>
    </w:p>
    <w:p w14:paraId="04D63BEE" w14:textId="77777777" w:rsidR="008E6AA4" w:rsidRPr="00313E54" w:rsidRDefault="008E6AA4" w:rsidP="008E6AA4">
      <w:pPr>
        <w:pStyle w:val="Paragraphedeliste"/>
        <w:numPr>
          <w:ilvl w:val="0"/>
          <w:numId w:val="43"/>
        </w:numPr>
        <w:tabs>
          <w:tab w:val="clear" w:pos="0"/>
          <w:tab w:val="clear" w:pos="142"/>
          <w:tab w:val="clear" w:pos="284"/>
          <w:tab w:val="clear" w:pos="567"/>
        </w:tabs>
        <w:autoSpaceDE/>
        <w:autoSpaceDN/>
        <w:adjustRightInd/>
        <w:spacing w:line="276" w:lineRule="auto"/>
        <w:contextualSpacing/>
        <w:jc w:val="left"/>
        <w:rPr>
          <w:rFonts w:ascii="Aptos" w:eastAsia="Times New Roman" w:hAnsi="Aptos" w:cs="Times New Roman"/>
          <w:color w:val="000000"/>
          <w:sz w:val="24"/>
          <w:szCs w:val="24"/>
        </w:rPr>
      </w:pPr>
      <w:r w:rsidRPr="00313E54">
        <w:rPr>
          <w:rFonts w:ascii="Aptos" w:eastAsia="Times New Roman" w:hAnsi="Aptos" w:cs="Times New Roman"/>
          <w:color w:val="000000"/>
          <w:sz w:val="24"/>
          <w:szCs w:val="24"/>
        </w:rPr>
        <w:t>Reporting services</w:t>
      </w:r>
    </w:p>
    <w:p w14:paraId="29C5DBA0" w14:textId="77777777" w:rsidR="008E6AA4" w:rsidRPr="00313E54" w:rsidRDefault="008E6AA4" w:rsidP="008E6AA4">
      <w:pPr>
        <w:pStyle w:val="Paragraphedeliste"/>
        <w:numPr>
          <w:ilvl w:val="0"/>
          <w:numId w:val="43"/>
        </w:numPr>
        <w:tabs>
          <w:tab w:val="clear" w:pos="0"/>
          <w:tab w:val="clear" w:pos="142"/>
          <w:tab w:val="clear" w:pos="284"/>
          <w:tab w:val="clear" w:pos="567"/>
        </w:tabs>
        <w:autoSpaceDE/>
        <w:autoSpaceDN/>
        <w:adjustRightInd/>
        <w:spacing w:line="276" w:lineRule="auto"/>
        <w:contextualSpacing/>
        <w:jc w:val="left"/>
        <w:rPr>
          <w:rFonts w:ascii="Aptos" w:eastAsia="Times New Roman" w:hAnsi="Aptos" w:cs="Times New Roman"/>
          <w:color w:val="000000"/>
          <w:sz w:val="24"/>
          <w:szCs w:val="24"/>
        </w:rPr>
      </w:pPr>
      <w:r w:rsidRPr="00313E54">
        <w:rPr>
          <w:rFonts w:ascii="Aptos" w:eastAsia="Times New Roman" w:hAnsi="Aptos" w:cs="Times New Roman"/>
          <w:color w:val="000000"/>
          <w:sz w:val="24"/>
          <w:szCs w:val="24"/>
        </w:rPr>
        <w:t xml:space="preserve">Portfolio analysis </w:t>
      </w:r>
    </w:p>
    <w:p w14:paraId="26874B83" w14:textId="77777777" w:rsidR="008E6AA4" w:rsidRPr="00313E54" w:rsidRDefault="008E6AA4" w:rsidP="008E6AA4">
      <w:pPr>
        <w:pStyle w:val="Paragraphedeliste"/>
        <w:numPr>
          <w:ilvl w:val="0"/>
          <w:numId w:val="43"/>
        </w:numPr>
        <w:tabs>
          <w:tab w:val="clear" w:pos="0"/>
          <w:tab w:val="clear" w:pos="142"/>
          <w:tab w:val="clear" w:pos="284"/>
          <w:tab w:val="clear" w:pos="567"/>
        </w:tabs>
        <w:autoSpaceDE/>
        <w:autoSpaceDN/>
        <w:adjustRightInd/>
        <w:spacing w:line="276" w:lineRule="auto"/>
        <w:contextualSpacing/>
        <w:jc w:val="left"/>
        <w:rPr>
          <w:rFonts w:ascii="Aptos" w:eastAsia="Times New Roman" w:hAnsi="Aptos" w:cs="Times New Roman"/>
          <w:color w:val="000000"/>
          <w:sz w:val="24"/>
          <w:szCs w:val="24"/>
        </w:rPr>
      </w:pPr>
      <w:r w:rsidRPr="00313E54">
        <w:rPr>
          <w:rFonts w:ascii="Aptos" w:eastAsia="Times New Roman" w:hAnsi="Aptos" w:cs="Times New Roman"/>
          <w:color w:val="000000"/>
          <w:sz w:val="24"/>
          <w:szCs w:val="24"/>
        </w:rPr>
        <w:t>Strategy advice</w:t>
      </w:r>
    </w:p>
    <w:p w14:paraId="2F68B7E2" w14:textId="77777777" w:rsidR="008E6AA4" w:rsidRPr="00313E54" w:rsidRDefault="008E6AA4" w:rsidP="008E6AA4">
      <w:pPr>
        <w:pStyle w:val="Paragraphedeliste"/>
        <w:numPr>
          <w:ilvl w:val="0"/>
          <w:numId w:val="43"/>
        </w:numPr>
        <w:tabs>
          <w:tab w:val="clear" w:pos="0"/>
          <w:tab w:val="clear" w:pos="142"/>
          <w:tab w:val="clear" w:pos="284"/>
          <w:tab w:val="clear" w:pos="567"/>
        </w:tabs>
        <w:autoSpaceDE/>
        <w:autoSpaceDN/>
        <w:adjustRightInd/>
        <w:spacing w:line="276" w:lineRule="auto"/>
        <w:contextualSpacing/>
        <w:jc w:val="left"/>
        <w:rPr>
          <w:rFonts w:ascii="Aptos" w:eastAsia="Times New Roman" w:hAnsi="Aptos" w:cs="Times New Roman"/>
          <w:color w:val="000000"/>
          <w:sz w:val="24"/>
          <w:szCs w:val="24"/>
        </w:rPr>
      </w:pPr>
      <w:r w:rsidRPr="00313E54">
        <w:rPr>
          <w:rFonts w:ascii="Aptos" w:eastAsia="Times New Roman" w:hAnsi="Aptos" w:cs="Times New Roman"/>
          <w:color w:val="000000"/>
          <w:sz w:val="24"/>
          <w:szCs w:val="24"/>
        </w:rPr>
        <w:t xml:space="preserve">ESG client training </w:t>
      </w:r>
    </w:p>
    <w:p w14:paraId="5F632407" w14:textId="77777777" w:rsidR="008E6AA4" w:rsidRPr="00313E54" w:rsidRDefault="008E6AA4" w:rsidP="008E6AA4">
      <w:pPr>
        <w:pStyle w:val="Paragraphedeliste"/>
        <w:numPr>
          <w:ilvl w:val="0"/>
          <w:numId w:val="43"/>
        </w:numPr>
        <w:tabs>
          <w:tab w:val="clear" w:pos="0"/>
          <w:tab w:val="clear" w:pos="142"/>
          <w:tab w:val="clear" w:pos="284"/>
          <w:tab w:val="clear" w:pos="567"/>
        </w:tabs>
        <w:autoSpaceDE/>
        <w:autoSpaceDN/>
        <w:adjustRightInd/>
        <w:spacing w:line="276" w:lineRule="auto"/>
        <w:contextualSpacing/>
        <w:jc w:val="left"/>
        <w:rPr>
          <w:rFonts w:ascii="Aptos" w:eastAsia="Times New Roman" w:hAnsi="Aptos" w:cs="Times New Roman"/>
          <w:color w:val="000000"/>
          <w:sz w:val="24"/>
          <w:szCs w:val="24"/>
        </w:rPr>
      </w:pPr>
      <w:r w:rsidRPr="00313E54">
        <w:rPr>
          <w:rFonts w:ascii="Aptos" w:eastAsia="Times New Roman" w:hAnsi="Aptos" w:cs="Times New Roman"/>
          <w:color w:val="000000"/>
          <w:sz w:val="24"/>
          <w:szCs w:val="24"/>
        </w:rPr>
        <w:t>Advisory services to asset managers (funds)</w:t>
      </w:r>
    </w:p>
    <w:p w14:paraId="796A12F5" w14:textId="77777777" w:rsidR="008E6AA4" w:rsidRPr="00313E54" w:rsidRDefault="008E6AA4" w:rsidP="008E6AA4">
      <w:pPr>
        <w:pStyle w:val="Paragraphedeliste"/>
        <w:numPr>
          <w:ilvl w:val="0"/>
          <w:numId w:val="43"/>
        </w:numPr>
        <w:tabs>
          <w:tab w:val="clear" w:pos="0"/>
          <w:tab w:val="clear" w:pos="142"/>
          <w:tab w:val="clear" w:pos="284"/>
          <w:tab w:val="clear" w:pos="567"/>
        </w:tabs>
        <w:autoSpaceDE/>
        <w:autoSpaceDN/>
        <w:adjustRightInd/>
        <w:spacing w:line="276" w:lineRule="auto"/>
        <w:contextualSpacing/>
        <w:jc w:val="left"/>
        <w:rPr>
          <w:rFonts w:ascii="Aptos" w:eastAsia="Times New Roman" w:hAnsi="Aptos" w:cs="Times New Roman"/>
          <w:color w:val="000000"/>
          <w:sz w:val="24"/>
          <w:szCs w:val="24"/>
        </w:rPr>
      </w:pPr>
      <w:r w:rsidRPr="00313E54">
        <w:rPr>
          <w:rFonts w:ascii="Aptos" w:eastAsia="Times New Roman" w:hAnsi="Aptos" w:cs="Times New Roman"/>
          <w:color w:val="000000"/>
          <w:sz w:val="24"/>
          <w:szCs w:val="24"/>
        </w:rPr>
        <w:t>Proxy advisory services</w:t>
      </w:r>
    </w:p>
    <w:p w14:paraId="756628DA" w14:textId="77777777" w:rsidR="008E6AA4" w:rsidRPr="00313E54" w:rsidRDefault="008E6AA4" w:rsidP="008E6AA4">
      <w:pPr>
        <w:pStyle w:val="Paragraphedeliste"/>
        <w:numPr>
          <w:ilvl w:val="0"/>
          <w:numId w:val="43"/>
        </w:numPr>
        <w:tabs>
          <w:tab w:val="clear" w:pos="0"/>
          <w:tab w:val="clear" w:pos="142"/>
          <w:tab w:val="clear" w:pos="284"/>
          <w:tab w:val="clear" w:pos="567"/>
        </w:tabs>
        <w:autoSpaceDE/>
        <w:autoSpaceDN/>
        <w:adjustRightInd/>
        <w:spacing w:line="276" w:lineRule="auto"/>
        <w:contextualSpacing/>
        <w:jc w:val="left"/>
        <w:rPr>
          <w:rFonts w:ascii="Aptos" w:eastAsia="Times New Roman" w:hAnsi="Aptos" w:cs="Times New Roman"/>
          <w:color w:val="000000"/>
          <w:sz w:val="24"/>
          <w:szCs w:val="24"/>
        </w:rPr>
      </w:pPr>
      <w:r w:rsidRPr="00313E54">
        <w:rPr>
          <w:rFonts w:ascii="Aptos" w:eastAsia="Times New Roman" w:hAnsi="Aptos" w:cs="Times New Roman"/>
          <w:color w:val="000000"/>
          <w:sz w:val="24"/>
          <w:szCs w:val="24"/>
        </w:rPr>
        <w:t>Engagement services</w:t>
      </w:r>
    </w:p>
    <w:p w14:paraId="6B3A2A1B" w14:textId="77777777" w:rsidR="008E6AA4" w:rsidRPr="00EC2D0B" w:rsidRDefault="008E6AA4" w:rsidP="008E6AA4">
      <w:pPr>
        <w:rPr>
          <w:rFonts w:ascii="Aptos" w:hAnsi="Aptos"/>
        </w:rPr>
      </w:pPr>
    </w:p>
    <w:p w14:paraId="316E31D7" w14:textId="77777777" w:rsidR="008E6AA4" w:rsidRPr="00EC2D0B" w:rsidRDefault="008E6AA4" w:rsidP="008E6AA4">
      <w:pPr>
        <w:rPr>
          <w:rFonts w:ascii="Aptos" w:hAnsi="Aptos"/>
        </w:rPr>
      </w:pPr>
      <w:r w:rsidRPr="00EC2D0B">
        <w:rPr>
          <w:rFonts w:ascii="Aptos" w:hAnsi="Aptos"/>
        </w:rPr>
        <w:t>The current technical standard does not adequately define what is intended by consulting services to investors. It would thus be appreciated if ESMA could explain and categorise what constitutes a consulting and advisory services and which of the above would constitute, from ESMA’s perspective, a conflict of interest.</w:t>
      </w:r>
    </w:p>
    <w:p w14:paraId="6B7ACB76" w14:textId="77777777" w:rsidR="008E6AA4" w:rsidRPr="00EC2D0B" w:rsidRDefault="008E6AA4" w:rsidP="008E6AA4">
      <w:pPr>
        <w:rPr>
          <w:rFonts w:ascii="Aptos" w:hAnsi="Aptos"/>
        </w:rPr>
      </w:pPr>
    </w:p>
    <w:p w14:paraId="60DC5D35" w14:textId="77777777" w:rsidR="008E6AA4" w:rsidRPr="00EC2D0B" w:rsidRDefault="008E6AA4" w:rsidP="008E6AA4">
      <w:pPr>
        <w:rPr>
          <w:rFonts w:ascii="Aptos" w:hAnsi="Aptos"/>
        </w:rPr>
      </w:pPr>
      <w:r w:rsidRPr="00EC2D0B">
        <w:rPr>
          <w:rFonts w:ascii="Aptos" w:hAnsi="Aptos"/>
        </w:rPr>
        <w:t xml:space="preserve">EASRA members consider that such services should not be considered in the scope of the separation requested and recommend excluding these from the obligation of legal separation. </w:t>
      </w:r>
    </w:p>
    <w:p w14:paraId="00F0B777" w14:textId="70788756" w:rsidR="008E6AA4" w:rsidRPr="00EC2D0B" w:rsidRDefault="008E6AA4" w:rsidP="008E6AA4">
      <w:pPr>
        <w:pStyle w:val="Titre2"/>
        <w:numPr>
          <w:ilvl w:val="0"/>
          <w:numId w:val="0"/>
        </w:numPr>
        <w:rPr>
          <w:rFonts w:ascii="Aptos" w:hAnsi="Aptos"/>
        </w:rPr>
      </w:pPr>
      <w:bookmarkStart w:id="5" w:name="_Toc201329001"/>
      <w:r w:rsidRPr="00EC2D0B">
        <w:rPr>
          <w:rFonts w:ascii="Aptos" w:hAnsi="Aptos"/>
        </w:rPr>
        <w:lastRenderedPageBreak/>
        <w:t>Issue of Concern</w:t>
      </w:r>
      <w:r w:rsidR="00742C6A">
        <w:rPr>
          <w:rFonts w:ascii="Aptos" w:hAnsi="Aptos"/>
        </w:rPr>
        <w:t xml:space="preserve"> 2.3</w:t>
      </w:r>
      <w:r w:rsidRPr="00EC2D0B">
        <w:rPr>
          <w:rFonts w:ascii="Aptos" w:hAnsi="Aptos"/>
        </w:rPr>
        <w:t>: The Need to Establish a Permanent Independent Oversight Function (Issue III, Ch. 1, Art.15, point 10)</w:t>
      </w:r>
      <w:bookmarkEnd w:id="5"/>
    </w:p>
    <w:p w14:paraId="702E30D5" w14:textId="77777777" w:rsidR="008E6AA4" w:rsidRDefault="008E6AA4" w:rsidP="008E6AA4">
      <w:pPr>
        <w:shd w:val="clear" w:color="auto" w:fill="FFFFFF" w:themeFill="background1"/>
        <w:rPr>
          <w:rFonts w:ascii="Aptos" w:hAnsi="Aptos"/>
        </w:rPr>
      </w:pPr>
    </w:p>
    <w:p w14:paraId="2DBAF15A" w14:textId="1F3FDDD7" w:rsidR="008E6AA4" w:rsidRPr="00EC2D0B" w:rsidRDefault="008E6AA4" w:rsidP="008E6AA4">
      <w:pPr>
        <w:shd w:val="clear" w:color="auto" w:fill="FFFFFF" w:themeFill="background1"/>
        <w:rPr>
          <w:rFonts w:ascii="Aptos" w:hAnsi="Aptos"/>
        </w:rPr>
      </w:pPr>
      <w:r w:rsidRPr="00EC2D0B">
        <w:rPr>
          <w:rFonts w:ascii="Aptos" w:hAnsi="Aptos"/>
        </w:rPr>
        <w:t>EASRA welcomes the governance requirements set by the regulatory text. However, ESMA does not address the issue of the setting up of an independent oversight function in the RTS, which has both operational and cost impacts.</w:t>
      </w:r>
    </w:p>
    <w:p w14:paraId="77C9C81C" w14:textId="77777777" w:rsidR="008E6AA4" w:rsidRPr="00EC2D0B" w:rsidRDefault="008E6AA4" w:rsidP="008E6AA4">
      <w:pPr>
        <w:rPr>
          <w:rFonts w:ascii="Aptos" w:hAnsi="Aptos"/>
        </w:rPr>
      </w:pPr>
    </w:p>
    <w:p w14:paraId="130ECB47" w14:textId="77777777" w:rsidR="008E6AA4" w:rsidRPr="00EC2D0B" w:rsidRDefault="008E6AA4" w:rsidP="008E6AA4">
      <w:pPr>
        <w:rPr>
          <w:rFonts w:ascii="Aptos" w:hAnsi="Aptos"/>
        </w:rPr>
      </w:pPr>
      <w:r w:rsidRPr="00EC2D0B">
        <w:rPr>
          <w:rFonts w:ascii="Aptos" w:hAnsi="Aptos"/>
        </w:rPr>
        <w:t>We would appreciate ESMA providing a more granular definition of this function, and if entities are:</w:t>
      </w:r>
    </w:p>
    <w:p w14:paraId="399930A5" w14:textId="77777777" w:rsidR="008E6AA4" w:rsidRPr="00EC2D0B" w:rsidRDefault="008E6AA4" w:rsidP="008E6AA4">
      <w:pPr>
        <w:pStyle w:val="Paragraphedeliste"/>
        <w:numPr>
          <w:ilvl w:val="0"/>
          <w:numId w:val="44"/>
        </w:numPr>
        <w:tabs>
          <w:tab w:val="clear" w:pos="0"/>
          <w:tab w:val="clear" w:pos="142"/>
          <w:tab w:val="clear" w:pos="284"/>
          <w:tab w:val="clear" w:pos="567"/>
        </w:tabs>
        <w:autoSpaceDE/>
        <w:autoSpaceDN/>
        <w:adjustRightInd/>
        <w:spacing w:line="276" w:lineRule="auto"/>
        <w:contextualSpacing/>
        <w:jc w:val="left"/>
        <w:rPr>
          <w:rFonts w:ascii="Aptos" w:hAnsi="Aptos"/>
          <w:sz w:val="24"/>
          <w:szCs w:val="24"/>
        </w:rPr>
      </w:pPr>
      <w:r w:rsidRPr="00EC2D0B">
        <w:rPr>
          <w:rFonts w:ascii="Aptos" w:hAnsi="Aptos"/>
          <w:sz w:val="24"/>
          <w:szCs w:val="24"/>
        </w:rPr>
        <w:t>required to put in place a new function that assumes the above-mentioned role,</w:t>
      </w:r>
    </w:p>
    <w:p w14:paraId="44EBF937" w14:textId="77777777" w:rsidR="008E6AA4" w:rsidRPr="00EC2D0B" w:rsidRDefault="008E6AA4" w:rsidP="008E6AA4">
      <w:pPr>
        <w:pStyle w:val="Paragraphedeliste"/>
        <w:numPr>
          <w:ilvl w:val="0"/>
          <w:numId w:val="44"/>
        </w:numPr>
        <w:tabs>
          <w:tab w:val="clear" w:pos="0"/>
          <w:tab w:val="clear" w:pos="142"/>
          <w:tab w:val="clear" w:pos="284"/>
          <w:tab w:val="clear" w:pos="567"/>
        </w:tabs>
        <w:autoSpaceDE/>
        <w:autoSpaceDN/>
        <w:adjustRightInd/>
        <w:spacing w:line="276" w:lineRule="auto"/>
        <w:contextualSpacing/>
        <w:jc w:val="left"/>
        <w:rPr>
          <w:rFonts w:ascii="Aptos" w:hAnsi="Aptos"/>
          <w:sz w:val="24"/>
          <w:szCs w:val="24"/>
        </w:rPr>
      </w:pPr>
      <w:r w:rsidRPr="00EC2D0B">
        <w:rPr>
          <w:rFonts w:ascii="Aptos" w:hAnsi="Aptos"/>
          <w:sz w:val="24"/>
          <w:szCs w:val="24"/>
        </w:rPr>
        <w:t xml:space="preserve">required to outsource this function, </w:t>
      </w:r>
    </w:p>
    <w:p w14:paraId="2BC49391" w14:textId="77777777" w:rsidR="008E6AA4" w:rsidRPr="00EC2D0B" w:rsidRDefault="008E6AA4" w:rsidP="008E6AA4">
      <w:pPr>
        <w:pStyle w:val="Paragraphedeliste"/>
        <w:numPr>
          <w:ilvl w:val="0"/>
          <w:numId w:val="44"/>
        </w:numPr>
        <w:tabs>
          <w:tab w:val="clear" w:pos="0"/>
          <w:tab w:val="clear" w:pos="142"/>
          <w:tab w:val="clear" w:pos="284"/>
          <w:tab w:val="clear" w:pos="567"/>
        </w:tabs>
        <w:autoSpaceDE/>
        <w:autoSpaceDN/>
        <w:adjustRightInd/>
        <w:spacing w:line="276" w:lineRule="auto"/>
        <w:contextualSpacing/>
        <w:jc w:val="left"/>
        <w:rPr>
          <w:rFonts w:ascii="Aptos" w:hAnsi="Aptos"/>
          <w:sz w:val="24"/>
          <w:szCs w:val="24"/>
        </w:rPr>
      </w:pPr>
      <w:r w:rsidRPr="00EC2D0B">
        <w:rPr>
          <w:rFonts w:ascii="Aptos" w:hAnsi="Aptos"/>
          <w:sz w:val="24"/>
          <w:szCs w:val="24"/>
        </w:rPr>
        <w:t xml:space="preserve">permitted to include this oversight function in an existing role, </w:t>
      </w:r>
    </w:p>
    <w:p w14:paraId="2F5DDA53" w14:textId="77777777" w:rsidR="008E6AA4" w:rsidRPr="00EC2D0B" w:rsidRDefault="008E6AA4" w:rsidP="008E6AA4">
      <w:pPr>
        <w:pStyle w:val="Paragraphedeliste"/>
        <w:numPr>
          <w:ilvl w:val="0"/>
          <w:numId w:val="44"/>
        </w:numPr>
        <w:tabs>
          <w:tab w:val="clear" w:pos="0"/>
          <w:tab w:val="clear" w:pos="142"/>
          <w:tab w:val="clear" w:pos="284"/>
          <w:tab w:val="clear" w:pos="567"/>
        </w:tabs>
        <w:autoSpaceDE/>
        <w:autoSpaceDN/>
        <w:adjustRightInd/>
        <w:spacing w:line="276" w:lineRule="auto"/>
        <w:contextualSpacing/>
        <w:jc w:val="left"/>
        <w:rPr>
          <w:rFonts w:ascii="Aptos" w:hAnsi="Aptos"/>
          <w:sz w:val="24"/>
          <w:szCs w:val="24"/>
        </w:rPr>
      </w:pPr>
      <w:r w:rsidRPr="00EC2D0B">
        <w:rPr>
          <w:rFonts w:ascii="Aptos" w:hAnsi="Aptos"/>
          <w:sz w:val="24"/>
          <w:szCs w:val="24"/>
        </w:rPr>
        <w:t xml:space="preserve">allowed to </w:t>
      </w:r>
      <w:r w:rsidRPr="00EC2D0B">
        <w:rPr>
          <w:rFonts w:ascii="Aptos" w:eastAsia="Times New Roman" w:hAnsi="Aptos" w:cs="Times New Roman"/>
          <w:color w:val="000000"/>
          <w:sz w:val="24"/>
          <w:szCs w:val="24"/>
        </w:rPr>
        <w:t>mutualise this new function at the group level (if applicable) as a support function.</w:t>
      </w:r>
    </w:p>
    <w:p w14:paraId="3E8D61EB" w14:textId="77777777" w:rsidR="008E6AA4" w:rsidRPr="00EC2D0B" w:rsidRDefault="008E6AA4" w:rsidP="008E6AA4">
      <w:pPr>
        <w:rPr>
          <w:rFonts w:ascii="Aptos" w:hAnsi="Aptos"/>
          <w:color w:val="000000"/>
        </w:rPr>
      </w:pPr>
      <w:r w:rsidRPr="00EC2D0B">
        <w:rPr>
          <w:rFonts w:ascii="Aptos" w:hAnsi="Aptos"/>
          <w:color w:val="000000"/>
        </w:rPr>
        <w:t> </w:t>
      </w:r>
    </w:p>
    <w:p w14:paraId="578EB98F" w14:textId="459174C9"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AB2C3F">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_2&gt;</w:t>
      </w:r>
    </w:p>
    <w:p w14:paraId="19719837" w14:textId="77777777" w:rsidR="001B1B48" w:rsidRDefault="001B1B48" w:rsidP="001B1B48">
      <w:pPr>
        <w:spacing w:after="160" w:line="259" w:lineRule="auto"/>
        <w:rPr>
          <w:rFonts w:ascii="Calibri" w:eastAsia="Calibri" w:hAnsi="Calibri"/>
          <w:kern w:val="2"/>
          <w:sz w:val="22"/>
          <w:szCs w:val="22"/>
          <w:lang w:eastAsia="en-US"/>
          <w14:ligatures w14:val="standardContextual"/>
        </w:rPr>
      </w:pPr>
    </w:p>
    <w:p w14:paraId="73205DA4" w14:textId="77777777" w:rsidR="00742C6A" w:rsidRPr="001B1B48" w:rsidRDefault="00742C6A" w:rsidP="00742C6A">
      <w:pPr>
        <w:pBdr>
          <w:top w:val="single" w:sz="4" w:space="1" w:color="auto"/>
        </w:pBdr>
        <w:spacing w:after="160" w:line="259" w:lineRule="auto"/>
        <w:rPr>
          <w:rFonts w:ascii="Calibri" w:eastAsia="Calibri" w:hAnsi="Calibri"/>
          <w:kern w:val="2"/>
          <w:sz w:val="22"/>
          <w:szCs w:val="22"/>
          <w:lang w:eastAsia="en-US"/>
          <w14:ligatures w14:val="standardContextual"/>
        </w:rPr>
      </w:pPr>
    </w:p>
    <w:p w14:paraId="30B5FCEB" w14:textId="7A17AB27" w:rsidR="006372FE" w:rsidRPr="006372FE" w:rsidRDefault="006372FE" w:rsidP="00FC3B26">
      <w:pPr>
        <w:pStyle w:val="Paragraph"/>
        <w:numPr>
          <w:ilvl w:val="0"/>
          <w:numId w:val="0"/>
        </w:numPr>
        <w:ind w:left="708" w:hanging="708"/>
        <w:rPr>
          <w:b/>
          <w:bCs/>
        </w:rPr>
      </w:pPr>
      <w:r>
        <w:rPr>
          <w:b/>
          <w:bCs/>
        </w:rPr>
        <w:t xml:space="preserve">Q3. </w:t>
      </w:r>
      <w:r w:rsidR="00FC3B26">
        <w:rPr>
          <w:b/>
          <w:bCs/>
        </w:rPr>
        <w:tab/>
      </w:r>
      <w:r w:rsidRPr="006372FE">
        <w:rPr>
          <w:b/>
          <w:bCs/>
        </w:rPr>
        <w:t>Do you agree with ESMA’s proposals for the draft technical standard under Articles 23(4) and 24(3)?</w:t>
      </w:r>
    </w:p>
    <w:p w14:paraId="4E720D75" w14:textId="47BCF34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322B55">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_3&gt;</w:t>
      </w:r>
    </w:p>
    <w:p w14:paraId="2FE3CAAF" w14:textId="77777777" w:rsidR="003C34CF" w:rsidRPr="00EC2D0B" w:rsidRDefault="003C34CF" w:rsidP="003C34CF">
      <w:pPr>
        <w:rPr>
          <w:rFonts w:ascii="Aptos" w:hAnsi="Aptos"/>
          <w:bCs/>
          <w:color w:val="000000" w:themeColor="text1"/>
        </w:rPr>
      </w:pPr>
      <w:r w:rsidRPr="00EC2D0B">
        <w:rPr>
          <w:rFonts w:ascii="Aptos" w:hAnsi="Aptos"/>
          <w:bCs/>
          <w:color w:val="000000" w:themeColor="text1"/>
        </w:rPr>
        <w:t xml:space="preserve">EASRA welcomes the efforts to clarify the disclosure obligations of the regulation through the draft RTS. However, some aspects represent strong negative impacts on the operations of providers, which may result in loss of revenues and </w:t>
      </w:r>
      <w:r>
        <w:rPr>
          <w:rFonts w:ascii="Aptos" w:hAnsi="Aptos"/>
          <w:bCs/>
          <w:color w:val="000000" w:themeColor="text1"/>
        </w:rPr>
        <w:t>substantially</w:t>
      </w:r>
      <w:r w:rsidRPr="00EC2D0B">
        <w:rPr>
          <w:rFonts w:ascii="Aptos" w:hAnsi="Aptos"/>
          <w:bCs/>
          <w:color w:val="000000" w:themeColor="text1"/>
        </w:rPr>
        <w:t xml:space="preserve"> increased costs. This is especially the case for the pre-notification requirements (3.1). In addition, some clarifications could be provided on the disclosures of underlying data (3.2).</w:t>
      </w:r>
    </w:p>
    <w:p w14:paraId="50E36035" w14:textId="50611D73" w:rsidR="003C34CF" w:rsidRPr="00740733" w:rsidRDefault="003C34CF" w:rsidP="003C34CF">
      <w:pPr>
        <w:pStyle w:val="Titre2"/>
        <w:numPr>
          <w:ilvl w:val="0"/>
          <w:numId w:val="0"/>
        </w:numPr>
        <w:rPr>
          <w:rFonts w:ascii="Aptos" w:hAnsi="Aptos"/>
        </w:rPr>
      </w:pPr>
      <w:bookmarkStart w:id="6" w:name="_Toc201329003"/>
      <w:r w:rsidRPr="00EC2D0B">
        <w:rPr>
          <w:rFonts w:ascii="Aptos" w:hAnsi="Aptos"/>
        </w:rPr>
        <w:t>Issue of Concern</w:t>
      </w:r>
      <w:r>
        <w:rPr>
          <w:rFonts w:ascii="Aptos" w:hAnsi="Aptos"/>
        </w:rPr>
        <w:t xml:space="preserve"> 3.1</w:t>
      </w:r>
      <w:r w:rsidRPr="00EC2D0B">
        <w:rPr>
          <w:rFonts w:ascii="Aptos" w:hAnsi="Aptos"/>
        </w:rPr>
        <w:t>: Limitations to Pre-notification Requirements for First Issuance of ESG Ratings</w:t>
      </w:r>
      <w:bookmarkEnd w:id="6"/>
    </w:p>
    <w:p w14:paraId="5FB8EF79" w14:textId="77777777" w:rsidR="003C34CF" w:rsidRDefault="003C34CF" w:rsidP="003C34CF">
      <w:pPr>
        <w:keepNext/>
        <w:keepLines/>
        <w:rPr>
          <w:rFonts w:ascii="Aptos" w:hAnsi="Aptos"/>
          <w:b/>
        </w:rPr>
      </w:pPr>
    </w:p>
    <w:p w14:paraId="3DEEB9C8" w14:textId="38B3AB21" w:rsidR="003C34CF" w:rsidRPr="00EC2D0B" w:rsidRDefault="003C34CF" w:rsidP="003C34CF">
      <w:pPr>
        <w:keepNext/>
        <w:keepLines/>
        <w:rPr>
          <w:rFonts w:ascii="Aptos" w:hAnsi="Aptos"/>
          <w:b/>
        </w:rPr>
      </w:pPr>
      <w:r w:rsidRPr="00EC2D0B">
        <w:rPr>
          <w:rFonts w:ascii="Aptos" w:hAnsi="Aptos"/>
          <w:b/>
        </w:rPr>
        <w:t>Scope and Volume of Coverage</w:t>
      </w:r>
    </w:p>
    <w:p w14:paraId="0A59F00C" w14:textId="77777777" w:rsidR="003C34CF" w:rsidRPr="00EC2D0B" w:rsidRDefault="003C34CF" w:rsidP="003C34CF">
      <w:pPr>
        <w:pStyle w:val="Paragraphedeliste"/>
        <w:numPr>
          <w:ilvl w:val="0"/>
          <w:numId w:val="45"/>
        </w:numPr>
        <w:tabs>
          <w:tab w:val="clear" w:pos="0"/>
          <w:tab w:val="clear" w:pos="142"/>
          <w:tab w:val="clear" w:pos="284"/>
          <w:tab w:val="clear" w:pos="567"/>
        </w:tabs>
        <w:autoSpaceDE/>
        <w:autoSpaceDN/>
        <w:adjustRightInd/>
        <w:spacing w:line="276" w:lineRule="auto"/>
        <w:contextualSpacing/>
        <w:jc w:val="left"/>
        <w:rPr>
          <w:rFonts w:ascii="Aptos" w:hAnsi="Aptos"/>
          <w:sz w:val="24"/>
          <w:szCs w:val="24"/>
        </w:rPr>
      </w:pPr>
      <w:r w:rsidRPr="00EC2D0B">
        <w:rPr>
          <w:rFonts w:ascii="Aptos" w:hAnsi="Aptos"/>
          <w:sz w:val="24"/>
          <w:szCs w:val="24"/>
        </w:rPr>
        <w:t>For some ESG rating providers (especially controversies providers), the methodology implies continuously analysing billions of news items, web-scraped data feeds, and proprietary data sources to generate ESG scores for over a million issuers (covering large, medium, and smaller entities across multiple jurisdictions).</w:t>
      </w:r>
    </w:p>
    <w:p w14:paraId="375AAD4A" w14:textId="77777777" w:rsidR="003C34CF" w:rsidRPr="00EC2D0B" w:rsidRDefault="003C34CF" w:rsidP="003C34CF">
      <w:pPr>
        <w:numPr>
          <w:ilvl w:val="0"/>
          <w:numId w:val="45"/>
        </w:numPr>
        <w:spacing w:line="276" w:lineRule="auto"/>
        <w:rPr>
          <w:rFonts w:ascii="Aptos" w:hAnsi="Aptos"/>
        </w:rPr>
      </w:pPr>
      <w:r w:rsidRPr="00EC2D0B">
        <w:rPr>
          <w:rFonts w:ascii="Aptos" w:hAnsi="Aptos"/>
        </w:rPr>
        <w:lastRenderedPageBreak/>
        <w:t>Because ESG ratings are computed on a rolling basis (i.e., as soon as new data become available), there is no single “first issuance” event for each issuer in the traditional sense.)</w:t>
      </w:r>
      <w:r w:rsidRPr="00EC2D0B">
        <w:rPr>
          <w:rFonts w:ascii="Aptos" w:hAnsi="Aptos"/>
        </w:rPr>
        <w:br/>
      </w:r>
    </w:p>
    <w:p w14:paraId="2CB6BAD0" w14:textId="77777777" w:rsidR="003C34CF" w:rsidRPr="00EC2D0B" w:rsidRDefault="003C34CF" w:rsidP="003C34CF">
      <w:pPr>
        <w:rPr>
          <w:rFonts w:ascii="Aptos" w:hAnsi="Aptos"/>
          <w:b/>
        </w:rPr>
      </w:pPr>
      <w:r w:rsidRPr="00EC2D0B">
        <w:rPr>
          <w:rFonts w:ascii="Aptos" w:hAnsi="Aptos"/>
          <w:b/>
        </w:rPr>
        <w:t>Operational Scalability Challenges</w:t>
      </w:r>
    </w:p>
    <w:p w14:paraId="7929899D" w14:textId="77777777" w:rsidR="003C34CF" w:rsidRPr="00EC2D0B" w:rsidRDefault="003C34CF" w:rsidP="003C34CF">
      <w:pPr>
        <w:pStyle w:val="Paragraphedeliste"/>
        <w:numPr>
          <w:ilvl w:val="0"/>
          <w:numId w:val="46"/>
        </w:numPr>
        <w:tabs>
          <w:tab w:val="clear" w:pos="0"/>
          <w:tab w:val="clear" w:pos="142"/>
          <w:tab w:val="clear" w:pos="284"/>
          <w:tab w:val="clear" w:pos="567"/>
        </w:tabs>
        <w:autoSpaceDE/>
        <w:autoSpaceDN/>
        <w:adjustRightInd/>
        <w:spacing w:line="276" w:lineRule="auto"/>
        <w:contextualSpacing/>
        <w:jc w:val="left"/>
        <w:rPr>
          <w:rFonts w:ascii="Aptos" w:hAnsi="Aptos"/>
          <w:sz w:val="24"/>
          <w:szCs w:val="24"/>
        </w:rPr>
      </w:pPr>
      <w:r w:rsidRPr="00EC2D0B">
        <w:rPr>
          <w:rFonts w:ascii="Aptos" w:hAnsi="Aptos"/>
          <w:b/>
          <w:sz w:val="24"/>
          <w:szCs w:val="24"/>
        </w:rPr>
        <w:t>Notification Volume</w:t>
      </w:r>
      <w:r w:rsidRPr="00EC2D0B">
        <w:rPr>
          <w:rFonts w:ascii="Aptos" w:hAnsi="Aptos"/>
          <w:sz w:val="24"/>
          <w:szCs w:val="24"/>
        </w:rPr>
        <w:t xml:space="preserve">: Complying with a requirement to “notify during its working hours and at least two full working days before the first issuance” would obligate ESG rating providers to send individual pre-notification messages to potentially hundreds of thousands of issuers at any given time. </w:t>
      </w:r>
    </w:p>
    <w:p w14:paraId="499133E3" w14:textId="77777777" w:rsidR="003C34CF" w:rsidRPr="00EC2D0B" w:rsidRDefault="003C34CF" w:rsidP="003C34CF">
      <w:pPr>
        <w:pStyle w:val="Paragraphedeliste"/>
        <w:numPr>
          <w:ilvl w:val="0"/>
          <w:numId w:val="46"/>
        </w:numPr>
        <w:tabs>
          <w:tab w:val="clear" w:pos="0"/>
          <w:tab w:val="clear" w:pos="142"/>
          <w:tab w:val="clear" w:pos="284"/>
          <w:tab w:val="clear" w:pos="567"/>
        </w:tabs>
        <w:autoSpaceDE/>
        <w:autoSpaceDN/>
        <w:adjustRightInd/>
        <w:spacing w:line="276" w:lineRule="auto"/>
        <w:contextualSpacing/>
        <w:jc w:val="left"/>
        <w:rPr>
          <w:rFonts w:ascii="Aptos" w:hAnsi="Aptos"/>
          <w:sz w:val="24"/>
          <w:szCs w:val="24"/>
        </w:rPr>
      </w:pPr>
      <w:r w:rsidRPr="00EC2D0B">
        <w:rPr>
          <w:rFonts w:ascii="Aptos" w:hAnsi="Aptos"/>
          <w:b/>
          <w:sz w:val="24"/>
          <w:szCs w:val="24"/>
        </w:rPr>
        <w:t>Continuous vs. One-Off Issuance</w:t>
      </w:r>
      <w:r w:rsidRPr="00EC2D0B">
        <w:rPr>
          <w:rFonts w:ascii="Aptos" w:hAnsi="Aptos"/>
          <w:sz w:val="24"/>
          <w:szCs w:val="24"/>
        </w:rPr>
        <w:t>: Many small- and medium-sized enterprises (SMEs) are not accustomed to receiving regular ESG assessments. Yet, under the current interpretation, each time providers begin monitoring a previously uncovered SME (even if the amount of new data is minimal), they would need to treat that as a “first issuance” and notify the issuer. This creates an unbounded obligation as new entities come into scope.</w:t>
      </w:r>
      <w:r w:rsidRPr="00EC2D0B">
        <w:rPr>
          <w:rFonts w:ascii="Aptos" w:hAnsi="Aptos"/>
          <w:sz w:val="24"/>
          <w:szCs w:val="24"/>
        </w:rPr>
        <w:br/>
      </w:r>
    </w:p>
    <w:p w14:paraId="62805C03" w14:textId="77777777" w:rsidR="003C34CF" w:rsidRPr="00EC2D0B" w:rsidRDefault="003C34CF" w:rsidP="003C34CF">
      <w:pPr>
        <w:rPr>
          <w:rFonts w:ascii="Aptos" w:hAnsi="Aptos"/>
          <w:b/>
        </w:rPr>
      </w:pPr>
      <w:r w:rsidRPr="00EC2D0B">
        <w:rPr>
          <w:rFonts w:ascii="Aptos" w:hAnsi="Aptos"/>
          <w:b/>
        </w:rPr>
        <w:t>Implications for product relevance and integrity</w:t>
      </w:r>
    </w:p>
    <w:p w14:paraId="7156C30B" w14:textId="77777777" w:rsidR="003C34CF" w:rsidRPr="00EC2D0B" w:rsidRDefault="003C34CF" w:rsidP="003C34CF">
      <w:pPr>
        <w:pStyle w:val="Paragraphedeliste"/>
        <w:numPr>
          <w:ilvl w:val="0"/>
          <w:numId w:val="47"/>
        </w:numPr>
        <w:tabs>
          <w:tab w:val="clear" w:pos="0"/>
          <w:tab w:val="clear" w:pos="142"/>
          <w:tab w:val="clear" w:pos="284"/>
          <w:tab w:val="clear" w:pos="567"/>
        </w:tabs>
        <w:autoSpaceDE/>
        <w:autoSpaceDN/>
        <w:adjustRightInd/>
        <w:spacing w:line="276" w:lineRule="auto"/>
        <w:contextualSpacing/>
        <w:jc w:val="left"/>
        <w:rPr>
          <w:rFonts w:ascii="Aptos" w:hAnsi="Aptos"/>
          <w:sz w:val="24"/>
          <w:szCs w:val="24"/>
        </w:rPr>
      </w:pPr>
      <w:r w:rsidRPr="00EC2D0B">
        <w:rPr>
          <w:rFonts w:ascii="Aptos" w:hAnsi="Aptos"/>
          <w:sz w:val="24"/>
          <w:szCs w:val="24"/>
        </w:rPr>
        <w:t xml:space="preserve">While EASRA fully supports the principle that issuers should have the opportunity to correct material factual errors, applying a “two-day pre-notification” would result in delays in meaningful, timely ESG information to end-investors who are typically expecting real-time updates. </w:t>
      </w:r>
    </w:p>
    <w:p w14:paraId="288562AD" w14:textId="77777777" w:rsidR="003C34CF" w:rsidRPr="00EC2D0B" w:rsidRDefault="003C34CF" w:rsidP="003C34CF">
      <w:pPr>
        <w:rPr>
          <w:rFonts w:ascii="Aptos" w:hAnsi="Aptos"/>
        </w:rPr>
      </w:pPr>
    </w:p>
    <w:p w14:paraId="20274D0F" w14:textId="77777777" w:rsidR="003C34CF" w:rsidRPr="00EC2D0B" w:rsidRDefault="003C34CF" w:rsidP="003C34CF">
      <w:pPr>
        <w:rPr>
          <w:rFonts w:ascii="Aptos" w:hAnsi="Aptos"/>
        </w:rPr>
      </w:pPr>
      <w:r w:rsidRPr="00EC2D0B">
        <w:rPr>
          <w:rFonts w:ascii="Aptos" w:hAnsi="Aptos"/>
        </w:rPr>
        <w:t>For all the above reasons, EASRA suggest that the pre-notification rule is made applicable only to “standard” ESG ratings but not to ESG controversies.</w:t>
      </w:r>
    </w:p>
    <w:p w14:paraId="1EC3F37F" w14:textId="40DD3F8B" w:rsidR="003C34CF" w:rsidRPr="00EC2D0B" w:rsidRDefault="003C34CF" w:rsidP="003C34CF">
      <w:pPr>
        <w:pStyle w:val="Titre2"/>
        <w:numPr>
          <w:ilvl w:val="1"/>
          <w:numId w:val="49"/>
        </w:numPr>
        <w:rPr>
          <w:rFonts w:ascii="Aptos" w:hAnsi="Aptos"/>
        </w:rPr>
      </w:pPr>
      <w:bookmarkStart w:id="7" w:name="_Toc201329004"/>
      <w:r w:rsidRPr="00EC2D0B">
        <w:rPr>
          <w:rFonts w:ascii="Aptos" w:hAnsi="Aptos"/>
        </w:rPr>
        <w:t>Issue of Concern: Practicality of Disclosure requirements</w:t>
      </w:r>
      <w:bookmarkEnd w:id="7"/>
    </w:p>
    <w:p w14:paraId="1849805F" w14:textId="77777777" w:rsidR="003C34CF" w:rsidRDefault="003C34CF" w:rsidP="003C34CF">
      <w:pPr>
        <w:rPr>
          <w:rFonts w:ascii="Aptos" w:hAnsi="Aptos"/>
          <w:bCs/>
          <w:color w:val="000000" w:themeColor="text1"/>
        </w:rPr>
      </w:pPr>
    </w:p>
    <w:p w14:paraId="5E6107B5" w14:textId="3915E6F1" w:rsidR="003C34CF" w:rsidRPr="00EC2D0B" w:rsidRDefault="003C34CF" w:rsidP="003C34CF">
      <w:pPr>
        <w:rPr>
          <w:rFonts w:ascii="Aptos" w:hAnsi="Aptos"/>
          <w:bCs/>
          <w:color w:val="000000" w:themeColor="text1"/>
        </w:rPr>
      </w:pPr>
      <w:r w:rsidRPr="00EC2D0B">
        <w:rPr>
          <w:rFonts w:ascii="Aptos" w:hAnsi="Aptos"/>
          <w:bCs/>
          <w:color w:val="000000" w:themeColor="text1"/>
        </w:rPr>
        <w:t>While EASRA is generally in favour of disclosures on methodology, some suggested items go too far from its’ members’ perspective, and some others need further clarification.</w:t>
      </w:r>
    </w:p>
    <w:p w14:paraId="4B7189EA" w14:textId="77777777" w:rsidR="003C34CF" w:rsidRPr="00EC2D0B" w:rsidRDefault="003C34CF" w:rsidP="003C34CF">
      <w:pPr>
        <w:rPr>
          <w:rFonts w:ascii="Aptos" w:hAnsi="Aptos"/>
          <w:u w:val="single"/>
        </w:rPr>
      </w:pPr>
    </w:p>
    <w:p w14:paraId="5DC4A3B5" w14:textId="77777777" w:rsidR="003C34CF" w:rsidRPr="00EC2D0B" w:rsidRDefault="003C34CF" w:rsidP="003C34CF">
      <w:pPr>
        <w:pStyle w:val="Paragraphedeliste"/>
        <w:numPr>
          <w:ilvl w:val="0"/>
          <w:numId w:val="48"/>
        </w:numPr>
        <w:tabs>
          <w:tab w:val="clear" w:pos="0"/>
          <w:tab w:val="clear" w:pos="142"/>
          <w:tab w:val="clear" w:pos="284"/>
          <w:tab w:val="clear" w:pos="567"/>
        </w:tabs>
        <w:autoSpaceDE/>
        <w:autoSpaceDN/>
        <w:adjustRightInd/>
        <w:spacing w:line="276" w:lineRule="auto"/>
        <w:contextualSpacing/>
        <w:jc w:val="left"/>
        <w:rPr>
          <w:rFonts w:ascii="Aptos" w:hAnsi="Aptos"/>
          <w:sz w:val="24"/>
          <w:szCs w:val="24"/>
          <w:u w:val="single"/>
        </w:rPr>
      </w:pPr>
      <w:r w:rsidRPr="00EC2D0B">
        <w:rPr>
          <w:rFonts w:ascii="Aptos" w:hAnsi="Aptos"/>
          <w:sz w:val="24"/>
          <w:szCs w:val="24"/>
          <w:u w:val="single"/>
        </w:rPr>
        <w:t>Clarification of link between RTS and Regulation</w:t>
      </w:r>
    </w:p>
    <w:p w14:paraId="5BC93E74" w14:textId="77777777" w:rsidR="003C34CF" w:rsidRPr="00EC2D0B" w:rsidRDefault="003C34CF" w:rsidP="003C34CF">
      <w:pPr>
        <w:rPr>
          <w:rFonts w:ascii="Aptos" w:hAnsi="Aptos"/>
        </w:rPr>
      </w:pPr>
      <w:r w:rsidRPr="00EC2D0B">
        <w:rPr>
          <w:rFonts w:ascii="Aptos" w:hAnsi="Aptos"/>
        </w:rPr>
        <w:t>We believe that there is a discrepancy between RTS on Articles 23(4) and 24(3) Article 3, Section 1 and the reference to the Regulations Annex 3 Article 1(f). With that in mind, could ESMA clarify the proposed Article 3(1) of the RTS?</w:t>
      </w:r>
    </w:p>
    <w:p w14:paraId="526DD0F7" w14:textId="77777777" w:rsidR="003C34CF" w:rsidRPr="00EC2D0B" w:rsidRDefault="003C34CF" w:rsidP="003C34CF">
      <w:pPr>
        <w:rPr>
          <w:rFonts w:ascii="Aptos" w:hAnsi="Aptos"/>
        </w:rPr>
      </w:pPr>
    </w:p>
    <w:p w14:paraId="59F671FD" w14:textId="77777777" w:rsidR="003C34CF" w:rsidRPr="00EC2D0B" w:rsidRDefault="003C34CF" w:rsidP="003C34CF">
      <w:pPr>
        <w:pStyle w:val="Paragraphedeliste"/>
        <w:numPr>
          <w:ilvl w:val="0"/>
          <w:numId w:val="48"/>
        </w:numPr>
        <w:tabs>
          <w:tab w:val="clear" w:pos="0"/>
          <w:tab w:val="clear" w:pos="142"/>
          <w:tab w:val="clear" w:pos="284"/>
          <w:tab w:val="clear" w:pos="567"/>
        </w:tabs>
        <w:autoSpaceDE/>
        <w:autoSpaceDN/>
        <w:adjustRightInd/>
        <w:spacing w:line="276" w:lineRule="auto"/>
        <w:contextualSpacing/>
        <w:jc w:val="left"/>
        <w:rPr>
          <w:rFonts w:ascii="Aptos" w:hAnsi="Aptos"/>
          <w:sz w:val="24"/>
          <w:szCs w:val="24"/>
          <w:u w:val="single"/>
        </w:rPr>
      </w:pPr>
      <w:r w:rsidRPr="00EC2D0B">
        <w:rPr>
          <w:rFonts w:ascii="Aptos" w:hAnsi="Aptos"/>
          <w:sz w:val="24"/>
          <w:szCs w:val="24"/>
          <w:u w:val="single"/>
        </w:rPr>
        <w:t>Clarification on disclosure of list of rated entities</w:t>
      </w:r>
    </w:p>
    <w:p w14:paraId="5E7FE414" w14:textId="77777777" w:rsidR="003C34CF" w:rsidRPr="00EC2D0B" w:rsidRDefault="003C34CF" w:rsidP="003C34CF">
      <w:pPr>
        <w:rPr>
          <w:rFonts w:ascii="Aptos" w:hAnsi="Aptos"/>
        </w:rPr>
      </w:pPr>
      <w:r w:rsidRPr="00EC2D0B">
        <w:rPr>
          <w:rFonts w:ascii="Aptos" w:hAnsi="Aptos"/>
        </w:rPr>
        <w:t xml:space="preserve">Can ESMA confirm that providers are </w:t>
      </w:r>
      <w:r w:rsidRPr="00EC2D0B">
        <w:rPr>
          <w:rFonts w:ascii="Aptos" w:hAnsi="Aptos"/>
          <w:b/>
          <w:bCs/>
        </w:rPr>
        <w:t xml:space="preserve">not </w:t>
      </w:r>
      <w:r w:rsidRPr="00EC2D0B">
        <w:rPr>
          <w:rFonts w:ascii="Aptos" w:hAnsi="Aptos"/>
        </w:rPr>
        <w:t xml:space="preserve">expected to disclose to the public the names of every rated item covered by the provider’s ESG ratings, thus disclosing publicly each provider’s confidential ratings coverage universe? </w:t>
      </w:r>
    </w:p>
    <w:p w14:paraId="6B5DC60E" w14:textId="77777777" w:rsidR="003C34CF" w:rsidRPr="00EC2D0B" w:rsidRDefault="003C34CF" w:rsidP="003C34CF">
      <w:pPr>
        <w:rPr>
          <w:rFonts w:ascii="Aptos" w:hAnsi="Aptos"/>
        </w:rPr>
      </w:pPr>
    </w:p>
    <w:p w14:paraId="0783EB6B" w14:textId="77777777" w:rsidR="003C34CF" w:rsidRPr="00EC2D0B" w:rsidRDefault="003C34CF" w:rsidP="003C34CF">
      <w:pPr>
        <w:pStyle w:val="Paragraphedeliste"/>
        <w:numPr>
          <w:ilvl w:val="0"/>
          <w:numId w:val="48"/>
        </w:numPr>
        <w:tabs>
          <w:tab w:val="clear" w:pos="0"/>
          <w:tab w:val="clear" w:pos="142"/>
          <w:tab w:val="clear" w:pos="284"/>
          <w:tab w:val="clear" w:pos="567"/>
        </w:tabs>
        <w:autoSpaceDE/>
        <w:autoSpaceDN/>
        <w:adjustRightInd/>
        <w:spacing w:line="276" w:lineRule="auto"/>
        <w:contextualSpacing/>
        <w:jc w:val="left"/>
        <w:rPr>
          <w:rFonts w:ascii="Aptos" w:hAnsi="Aptos"/>
          <w:sz w:val="24"/>
          <w:szCs w:val="24"/>
          <w:u w:val="single"/>
        </w:rPr>
      </w:pPr>
      <w:r w:rsidRPr="00EC2D0B">
        <w:rPr>
          <w:rFonts w:ascii="Aptos" w:hAnsi="Aptos"/>
          <w:sz w:val="24"/>
          <w:szCs w:val="24"/>
          <w:u w:val="single"/>
        </w:rPr>
        <w:t>Clarification on Annex III Point 2.a.vi</w:t>
      </w:r>
    </w:p>
    <w:p w14:paraId="6AEB23BD" w14:textId="77777777" w:rsidR="003C34CF" w:rsidRPr="00EC2D0B" w:rsidRDefault="003C34CF" w:rsidP="003C34CF">
      <w:pPr>
        <w:rPr>
          <w:rFonts w:ascii="Aptos" w:hAnsi="Aptos"/>
        </w:rPr>
      </w:pPr>
      <w:r w:rsidRPr="00EC2D0B">
        <w:rPr>
          <w:rFonts w:ascii="Aptos" w:hAnsi="Aptos"/>
          <w:bCs/>
        </w:rPr>
        <w:t>Annex III 2.a.vi states: “when an ESG rating has been upgraded or downgraded due to</w:t>
      </w:r>
      <w:r w:rsidRPr="00EC2D0B">
        <w:rPr>
          <w:rFonts w:ascii="Aptos" w:hAnsi="Aptos"/>
        </w:rPr>
        <w:t xml:space="preserve"> any material changes to rating methodologies, models, key rating assumptions or data sources (including estimates), the reasons for those changes and their implications for the given rating must be disclosed”.</w:t>
      </w:r>
    </w:p>
    <w:p w14:paraId="59C6E885" w14:textId="77777777" w:rsidR="003C34CF" w:rsidRPr="00EC2D0B" w:rsidRDefault="003C34CF" w:rsidP="003C34CF">
      <w:pPr>
        <w:rPr>
          <w:rFonts w:ascii="Aptos" w:hAnsi="Aptos"/>
        </w:rPr>
      </w:pPr>
      <w:r w:rsidRPr="00EC2D0B">
        <w:rPr>
          <w:rFonts w:ascii="Aptos" w:hAnsi="Aptos"/>
        </w:rPr>
        <w:br/>
        <w:t>We would appreciate if ESMA could clarify whether this disclosure requirement demands item-level explanations tied to a specific score change, or whether providing a high-level methodology update (e.g., “we modified our controversy severity weights on 1 March 2025, affecting all scores by ±5 points”) is sufficient.</w:t>
      </w:r>
    </w:p>
    <w:p w14:paraId="3ED30EA8" w14:textId="77777777" w:rsidR="003C34CF" w:rsidRDefault="003C34CF" w:rsidP="003C34CF">
      <w:pPr>
        <w:rPr>
          <w:rFonts w:ascii="Aptos" w:hAnsi="Aptos"/>
        </w:rPr>
      </w:pPr>
      <w:r w:rsidRPr="00EC2D0B">
        <w:rPr>
          <w:rFonts w:ascii="Aptos" w:hAnsi="Aptos"/>
        </w:rPr>
        <w:br/>
        <w:t xml:space="preserve">Without this clarification, it is unclear if providers must track and report every issuer-specific impact of a methodological </w:t>
      </w:r>
      <w:r>
        <w:rPr>
          <w:rFonts w:ascii="Aptos" w:hAnsi="Aptos"/>
        </w:rPr>
        <w:t>modification</w:t>
      </w:r>
      <w:r w:rsidRPr="00EC2D0B">
        <w:rPr>
          <w:rFonts w:ascii="Aptos" w:hAnsi="Aptos"/>
        </w:rPr>
        <w:t xml:space="preserve"> (which could entail recalculating historical scores and issuing individualized downgrade/upgrade notices), or if a general methodology bulletin suffices.</w:t>
      </w:r>
    </w:p>
    <w:p w14:paraId="41E622CA" w14:textId="77777777" w:rsidR="003C34CF" w:rsidRDefault="003C34CF" w:rsidP="003C34CF">
      <w:pPr>
        <w:rPr>
          <w:rFonts w:ascii="Aptos" w:hAnsi="Aptos"/>
        </w:rPr>
      </w:pPr>
    </w:p>
    <w:p w14:paraId="34D17E78" w14:textId="77777777" w:rsidR="003C34CF" w:rsidRPr="00DA17CC" w:rsidRDefault="003C34CF" w:rsidP="003C34CF">
      <w:pPr>
        <w:pStyle w:val="Paragraphedeliste"/>
        <w:numPr>
          <w:ilvl w:val="0"/>
          <w:numId w:val="48"/>
        </w:numPr>
        <w:tabs>
          <w:tab w:val="clear" w:pos="0"/>
          <w:tab w:val="clear" w:pos="142"/>
          <w:tab w:val="clear" w:pos="284"/>
          <w:tab w:val="clear" w:pos="567"/>
        </w:tabs>
        <w:autoSpaceDE/>
        <w:autoSpaceDN/>
        <w:adjustRightInd/>
        <w:spacing w:line="276" w:lineRule="auto"/>
        <w:contextualSpacing/>
        <w:jc w:val="left"/>
        <w:rPr>
          <w:rFonts w:ascii="Aptos" w:hAnsi="Aptos"/>
          <w:sz w:val="24"/>
          <w:szCs w:val="24"/>
          <w:u w:val="single"/>
          <w:lang w:val="en-US"/>
        </w:rPr>
      </w:pPr>
      <w:r w:rsidRPr="00DA17CC">
        <w:rPr>
          <w:rFonts w:ascii="Aptos" w:hAnsi="Aptos"/>
          <w:sz w:val="24"/>
          <w:szCs w:val="24"/>
          <w:u w:val="single"/>
          <w:lang w:val="en-US"/>
        </w:rPr>
        <w:t>Clarification on pre-notification on single s</w:t>
      </w:r>
      <w:r>
        <w:rPr>
          <w:rFonts w:ascii="Aptos" w:hAnsi="Aptos"/>
          <w:sz w:val="24"/>
          <w:szCs w:val="24"/>
          <w:u w:val="single"/>
          <w:lang w:val="en-US"/>
        </w:rPr>
        <w:t>core changes</w:t>
      </w:r>
    </w:p>
    <w:p w14:paraId="63ED8853" w14:textId="77777777" w:rsidR="003C34CF" w:rsidRPr="00DA17CC" w:rsidRDefault="003C34CF" w:rsidP="003C34CF">
      <w:pPr>
        <w:rPr>
          <w:rFonts w:ascii="Aptos" w:hAnsi="Aptos"/>
          <w:lang w:val="en-US"/>
        </w:rPr>
      </w:pPr>
    </w:p>
    <w:p w14:paraId="2A93C3FA" w14:textId="77777777" w:rsidR="003C34CF" w:rsidRPr="00EF28F7" w:rsidRDefault="003C34CF" w:rsidP="003C34CF">
      <w:pPr>
        <w:rPr>
          <w:rFonts w:ascii="Aptos" w:hAnsi="Aptos"/>
          <w:lang w:val="en-US"/>
        </w:rPr>
      </w:pPr>
      <w:r w:rsidRPr="00EF28F7">
        <w:rPr>
          <w:rFonts w:ascii="Aptos" w:hAnsi="Aptos"/>
        </w:rPr>
        <w:t>Is it the view of ESMA that scores</w:t>
      </w:r>
      <w:r w:rsidRPr="00EF28F7">
        <w:rPr>
          <w:rFonts w:ascii="Aptos" w:hAnsi="Aptos"/>
          <w:lang w:val="en-US"/>
        </w:rPr>
        <w:t xml:space="preserve"> attached to singular datapoints constitute ESG ratings? And more broadly, does the 48-hour pre-notification duty apply to every metric/KPI contributing to an overall ESG assessment?</w:t>
      </w:r>
      <w:r>
        <w:rPr>
          <w:rFonts w:ascii="Aptos" w:hAnsi="Aptos"/>
          <w:lang w:val="en-US"/>
        </w:rPr>
        <w:t xml:space="preserve"> Similarly, if a provider produces various types of ratings and scores (e.g. climate, biodiversity, SDG, human rights etc.) that packages into single products, will the pre-notification obligation apply to every single product?</w:t>
      </w:r>
    </w:p>
    <w:p w14:paraId="01D20FE9" w14:textId="77777777" w:rsidR="003C34CF" w:rsidRPr="00EF28F7" w:rsidRDefault="003C34CF" w:rsidP="003C34CF">
      <w:pPr>
        <w:rPr>
          <w:rFonts w:ascii="Aptos" w:hAnsi="Aptos"/>
          <w:lang w:val="en-US"/>
        </w:rPr>
      </w:pPr>
    </w:p>
    <w:p w14:paraId="72B9190F" w14:textId="0B6D139F" w:rsidR="003C34CF" w:rsidRPr="00EC2D0B" w:rsidRDefault="003C34CF" w:rsidP="003C34CF">
      <w:pPr>
        <w:pStyle w:val="Titre2"/>
        <w:numPr>
          <w:ilvl w:val="0"/>
          <w:numId w:val="0"/>
        </w:numPr>
        <w:rPr>
          <w:rFonts w:ascii="Aptos" w:hAnsi="Aptos"/>
        </w:rPr>
      </w:pPr>
      <w:bookmarkStart w:id="8" w:name="_Toc201329005"/>
      <w:r w:rsidRPr="00EC2D0B">
        <w:rPr>
          <w:rFonts w:ascii="Aptos" w:hAnsi="Aptos"/>
        </w:rPr>
        <w:t>Issue of Concern</w:t>
      </w:r>
      <w:r>
        <w:rPr>
          <w:rFonts w:ascii="Aptos" w:hAnsi="Aptos"/>
        </w:rPr>
        <w:t xml:space="preserve"> 3.3</w:t>
      </w:r>
      <w:r w:rsidRPr="00EC2D0B">
        <w:rPr>
          <w:rFonts w:ascii="Aptos" w:hAnsi="Aptos"/>
        </w:rPr>
        <w:t xml:space="preserve">: </w:t>
      </w:r>
      <w:r>
        <w:rPr>
          <w:rFonts w:ascii="Aptos" w:hAnsi="Aptos"/>
        </w:rPr>
        <w:t>R</w:t>
      </w:r>
      <w:r w:rsidRPr="00EC2D0B">
        <w:rPr>
          <w:rFonts w:ascii="Aptos" w:hAnsi="Aptos"/>
        </w:rPr>
        <w:t>equirements of “</w:t>
      </w:r>
      <w:r>
        <w:rPr>
          <w:rFonts w:ascii="Aptos" w:hAnsi="Aptos"/>
        </w:rPr>
        <w:t>d</w:t>
      </w:r>
      <w:r w:rsidRPr="00EC2D0B">
        <w:rPr>
          <w:rFonts w:ascii="Aptos" w:hAnsi="Aptos"/>
        </w:rPr>
        <w:t>eep” disclosure</w:t>
      </w:r>
      <w:r>
        <w:rPr>
          <w:rFonts w:ascii="Aptos" w:hAnsi="Aptos"/>
        </w:rPr>
        <w:t>s of</w:t>
      </w:r>
      <w:r w:rsidRPr="00EC2D0B">
        <w:rPr>
          <w:rFonts w:ascii="Aptos" w:hAnsi="Aptos"/>
        </w:rPr>
        <w:t xml:space="preserve"> underlying data and scoring models</w:t>
      </w:r>
      <w:bookmarkEnd w:id="8"/>
    </w:p>
    <w:p w14:paraId="0DE804AA" w14:textId="77777777" w:rsidR="003C34CF" w:rsidRDefault="003C34CF" w:rsidP="003C34CF">
      <w:pPr>
        <w:rPr>
          <w:rFonts w:ascii="Aptos" w:hAnsi="Aptos"/>
          <w:bCs/>
        </w:rPr>
      </w:pPr>
    </w:p>
    <w:p w14:paraId="4203563A" w14:textId="72965FD9" w:rsidR="003C34CF" w:rsidRDefault="003C34CF" w:rsidP="003C34CF">
      <w:pPr>
        <w:rPr>
          <w:rFonts w:ascii="Aptos" w:hAnsi="Aptos"/>
          <w:bCs/>
        </w:rPr>
      </w:pPr>
      <w:r w:rsidRPr="00EC2D0B">
        <w:rPr>
          <w:rFonts w:ascii="Aptos" w:hAnsi="Aptos"/>
          <w:bCs/>
        </w:rPr>
        <w:t>EASRA is concerned with the risk of giving away too much of its members’ intellectual property when disclosing the full set of</w:t>
      </w:r>
      <w:r w:rsidRPr="00EC2D0B">
        <w:rPr>
          <w:rFonts w:ascii="Aptos" w:hAnsi="Aptos"/>
        </w:rPr>
        <w:t xml:space="preserve"> derived variables</w:t>
      </w:r>
      <w:r>
        <w:rPr>
          <w:rFonts w:ascii="Aptos" w:hAnsi="Aptos"/>
        </w:rPr>
        <w:t xml:space="preserve">, </w:t>
      </w:r>
      <w:r w:rsidRPr="00EC2D0B">
        <w:rPr>
          <w:rFonts w:ascii="Aptos" w:hAnsi="Aptos"/>
        </w:rPr>
        <w:t>intermediate “engineered features”</w:t>
      </w:r>
      <w:r>
        <w:rPr>
          <w:rFonts w:ascii="Aptos" w:hAnsi="Aptos"/>
        </w:rPr>
        <w:t xml:space="preserve"> or detailed scoring algorithms</w:t>
      </w:r>
      <w:r w:rsidRPr="00EC2D0B">
        <w:rPr>
          <w:rFonts w:ascii="Aptos" w:hAnsi="Aptos"/>
        </w:rPr>
        <w:t xml:space="preserve">, which effectively reveals proprietary data-science </w:t>
      </w:r>
      <w:r>
        <w:rPr>
          <w:rFonts w:ascii="Aptos" w:hAnsi="Aptos"/>
        </w:rPr>
        <w:t>processes</w:t>
      </w:r>
      <w:r w:rsidRPr="00EC2D0B">
        <w:rPr>
          <w:rFonts w:ascii="Aptos" w:hAnsi="Aptos"/>
        </w:rPr>
        <w:t xml:space="preserve">. Competitors could reverse-engineer </w:t>
      </w:r>
      <w:r>
        <w:rPr>
          <w:rFonts w:ascii="Aptos" w:hAnsi="Aptos"/>
        </w:rPr>
        <w:t>the</w:t>
      </w:r>
      <w:r w:rsidRPr="00EC2D0B">
        <w:rPr>
          <w:rFonts w:ascii="Aptos" w:hAnsi="Aptos"/>
        </w:rPr>
        <w:t xml:space="preserve"> approach</w:t>
      </w:r>
      <w:r>
        <w:rPr>
          <w:rFonts w:ascii="Aptos" w:hAnsi="Aptos"/>
        </w:rPr>
        <w:t>es</w:t>
      </w:r>
      <w:r w:rsidRPr="00EC2D0B">
        <w:rPr>
          <w:rFonts w:ascii="Aptos" w:hAnsi="Aptos"/>
        </w:rPr>
        <w:t>, weakening our ability to invest in ongoing research and penalizing innovation.</w:t>
      </w:r>
      <w:r>
        <w:rPr>
          <w:rFonts w:ascii="Aptos" w:hAnsi="Aptos"/>
        </w:rPr>
        <w:t xml:space="preserve"> </w:t>
      </w:r>
      <w:r w:rsidRPr="00216FE9">
        <w:rPr>
          <w:rFonts w:ascii="Aptos" w:hAnsi="Aptos"/>
          <w:bCs/>
        </w:rPr>
        <w:t xml:space="preserve">In addition, providers’ underlying data is sometimes subject to premium news licensing agreements and </w:t>
      </w:r>
      <w:r>
        <w:rPr>
          <w:rFonts w:ascii="Aptos" w:hAnsi="Aptos"/>
          <w:bCs/>
        </w:rPr>
        <w:t xml:space="preserve">thus </w:t>
      </w:r>
      <w:r w:rsidRPr="00216FE9">
        <w:rPr>
          <w:rFonts w:ascii="Aptos" w:hAnsi="Aptos"/>
          <w:bCs/>
        </w:rPr>
        <w:t>cannot be legally shared without a license.</w:t>
      </w:r>
    </w:p>
    <w:p w14:paraId="150FD0B4" w14:textId="77777777" w:rsidR="003C34CF" w:rsidRDefault="003C34CF" w:rsidP="003C34CF">
      <w:pPr>
        <w:rPr>
          <w:rFonts w:ascii="Aptos" w:hAnsi="Aptos"/>
          <w:bCs/>
        </w:rPr>
      </w:pPr>
    </w:p>
    <w:p w14:paraId="1AC656DE" w14:textId="77777777" w:rsidR="003C34CF" w:rsidRDefault="003C34CF" w:rsidP="003C34CF">
      <w:pPr>
        <w:rPr>
          <w:rFonts w:ascii="Aptos" w:hAnsi="Aptos"/>
          <w:bCs/>
        </w:rPr>
      </w:pPr>
      <w:r>
        <w:rPr>
          <w:rFonts w:ascii="Aptos" w:hAnsi="Aptos"/>
          <w:bCs/>
        </w:rPr>
        <w:t>Can ESMA confirm that it won’t be mandatory to disclose such detailed information?</w:t>
      </w:r>
    </w:p>
    <w:p w14:paraId="584DA39A" w14:textId="77777777" w:rsidR="003C34CF" w:rsidRPr="00EC2D0B" w:rsidRDefault="003C34CF" w:rsidP="003C34CF">
      <w:pPr>
        <w:rPr>
          <w:rFonts w:ascii="Aptos" w:hAnsi="Aptos"/>
        </w:rPr>
      </w:pPr>
    </w:p>
    <w:p w14:paraId="77645EA9" w14:textId="67311EC5" w:rsid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322B55">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_3&gt;</w:t>
      </w:r>
    </w:p>
    <w:p w14:paraId="4AF80607" w14:textId="77777777" w:rsidR="00742C6A" w:rsidRPr="001B1B48" w:rsidRDefault="00742C6A" w:rsidP="001B1B48">
      <w:pPr>
        <w:spacing w:after="160" w:line="259" w:lineRule="auto"/>
        <w:rPr>
          <w:rFonts w:ascii="Calibri" w:eastAsia="Calibri" w:hAnsi="Calibri"/>
          <w:kern w:val="2"/>
          <w:sz w:val="22"/>
          <w:szCs w:val="22"/>
          <w:lang w:eastAsia="en-US"/>
          <w14:ligatures w14:val="standardContextual"/>
        </w:rPr>
      </w:pPr>
    </w:p>
    <w:p w14:paraId="374EDE5B" w14:textId="29DF36F2" w:rsidR="00513DA2" w:rsidRPr="00513DA2" w:rsidRDefault="00655791" w:rsidP="00513DA2">
      <w:pPr>
        <w:pStyle w:val="Paragraph"/>
        <w:numPr>
          <w:ilvl w:val="0"/>
          <w:numId w:val="0"/>
        </w:numPr>
        <w:ind w:left="708" w:hanging="708"/>
        <w:rPr>
          <w:b/>
          <w:bCs/>
        </w:rPr>
      </w:pPr>
      <w:r>
        <w:rPr>
          <w:b/>
          <w:bCs/>
        </w:rPr>
        <w:lastRenderedPageBreak/>
        <w:t>Q4.</w:t>
      </w:r>
      <w:r>
        <w:rPr>
          <w:b/>
          <w:bCs/>
        </w:rPr>
        <w:tab/>
      </w:r>
      <w:r w:rsidR="00513DA2" w:rsidRPr="00513DA2">
        <w:rPr>
          <w:b/>
          <w:bCs/>
        </w:rPr>
        <w:t xml:space="preserve">Do you consider that the draft technical standards under Articles 23(4) or 24(3) </w:t>
      </w:r>
      <w:proofErr w:type="gramStart"/>
      <w:r w:rsidR="00513DA2" w:rsidRPr="00513DA2">
        <w:rPr>
          <w:b/>
          <w:bCs/>
        </w:rPr>
        <w:t>should  instead</w:t>
      </w:r>
      <w:proofErr w:type="gramEnd"/>
      <w:r w:rsidR="00513DA2" w:rsidRPr="00513DA2">
        <w:rPr>
          <w:b/>
          <w:bCs/>
        </w:rPr>
        <w:t xml:space="preserve"> provide an expanded table in Annex proposing a sequence and structure for all disclosures to be made under parts 1 and 2 of Annex III? If yes, please explain the benefits of such an approach.</w:t>
      </w:r>
    </w:p>
    <w:p w14:paraId="052AF9D6" w14:textId="43D4216A"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655791">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_4&gt;</w:t>
      </w:r>
    </w:p>
    <w:p w14:paraId="2572BC3D" w14:textId="77777777" w:rsidR="007211A9" w:rsidRPr="00EC2D0B" w:rsidRDefault="007211A9" w:rsidP="007211A9">
      <w:pPr>
        <w:rPr>
          <w:rFonts w:ascii="Aptos" w:hAnsi="Aptos"/>
        </w:rPr>
      </w:pPr>
      <w:r w:rsidRPr="00EC2D0B">
        <w:rPr>
          <w:rFonts w:ascii="Aptos" w:hAnsi="Aptos"/>
        </w:rPr>
        <w:t xml:space="preserve">Yes, it would be more readable and easier to understand. Also, it would be more efficient to have only one table with all the disclosure requirements, instead of two separate documents. </w:t>
      </w:r>
    </w:p>
    <w:p w14:paraId="68FD6B4D" w14:textId="77777777" w:rsidR="007211A9" w:rsidRDefault="007211A9" w:rsidP="001B1B48">
      <w:pPr>
        <w:spacing w:after="160" w:line="259" w:lineRule="auto"/>
        <w:rPr>
          <w:rFonts w:ascii="Calibri" w:eastAsia="Calibri" w:hAnsi="Calibri"/>
          <w:kern w:val="2"/>
          <w:sz w:val="22"/>
          <w:szCs w:val="22"/>
          <w:lang w:eastAsia="en-US"/>
          <w14:ligatures w14:val="standardContextual"/>
        </w:rPr>
      </w:pPr>
    </w:p>
    <w:p w14:paraId="2F0C894F" w14:textId="4B892FD9"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655791">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_4&gt;</w:t>
      </w:r>
    </w:p>
    <w:p w14:paraId="0EFC77F0"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0691FCAC" w14:textId="5B24CD2A" w:rsidR="001B1B48" w:rsidRPr="00EA357E" w:rsidRDefault="00EA357E" w:rsidP="00EA357E">
      <w:pPr>
        <w:pStyle w:val="Paragraph"/>
        <w:numPr>
          <w:ilvl w:val="0"/>
          <w:numId w:val="0"/>
        </w:numPr>
        <w:rPr>
          <w:b/>
          <w:bCs/>
        </w:rPr>
      </w:pPr>
      <w:proofErr w:type="gramStart"/>
      <w:r w:rsidRPr="00EA357E">
        <w:rPr>
          <w:b/>
          <w:bCs/>
        </w:rPr>
        <w:t>Q5</w:t>
      </w:r>
      <w:proofErr w:type="gramEnd"/>
      <w:r w:rsidRPr="00EA357E">
        <w:rPr>
          <w:b/>
          <w:bCs/>
        </w:rPr>
        <w:t xml:space="preserve"> </w:t>
      </w:r>
      <w:r w:rsidRPr="00EA357E">
        <w:rPr>
          <w:b/>
          <w:bCs/>
        </w:rPr>
        <w:tab/>
        <w:t>Do you agree with ESMA’s proposed cost benefit analysis? If not, please explain.</w:t>
      </w:r>
    </w:p>
    <w:p w14:paraId="2996F4BA" w14:textId="36938C88"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p w14:paraId="1C7A5ABB" w14:textId="77777777" w:rsidR="004371BB" w:rsidRPr="00EC2D0B" w:rsidRDefault="004371BB" w:rsidP="004371BB">
      <w:pPr>
        <w:rPr>
          <w:rFonts w:ascii="Aptos" w:hAnsi="Aptos"/>
        </w:rPr>
      </w:pPr>
      <w:r w:rsidRPr="00EC2D0B">
        <w:rPr>
          <w:rFonts w:ascii="Aptos" w:hAnsi="Aptos"/>
        </w:rPr>
        <w:t>EASRA appreciates ESMA’s first draft of cost-benefit analysis. However, we see two issues of concern around supervisory costs (5.1) and operational costs (5.2) that are not adequately represented.</w:t>
      </w:r>
    </w:p>
    <w:p w14:paraId="1CF77C32" w14:textId="1839EAD6" w:rsidR="004371BB" w:rsidRPr="00EC2D0B" w:rsidRDefault="004371BB" w:rsidP="004371BB">
      <w:pPr>
        <w:pStyle w:val="Titre2"/>
        <w:numPr>
          <w:ilvl w:val="0"/>
          <w:numId w:val="0"/>
        </w:numPr>
        <w:ind w:left="576" w:hanging="576"/>
        <w:rPr>
          <w:rFonts w:ascii="Aptos" w:hAnsi="Aptos"/>
        </w:rPr>
      </w:pPr>
      <w:bookmarkStart w:id="9" w:name="_Toc201329008"/>
      <w:r w:rsidRPr="00EC2D0B">
        <w:rPr>
          <w:rFonts w:ascii="Aptos" w:hAnsi="Aptos"/>
        </w:rPr>
        <w:t>Issue of Concern</w:t>
      </w:r>
      <w:r>
        <w:rPr>
          <w:rFonts w:ascii="Aptos" w:hAnsi="Aptos"/>
        </w:rPr>
        <w:t xml:space="preserve"> 5.1</w:t>
      </w:r>
      <w:r w:rsidRPr="00EC2D0B">
        <w:rPr>
          <w:rFonts w:ascii="Aptos" w:hAnsi="Aptos"/>
        </w:rPr>
        <w:t>: Supervisory Costs</w:t>
      </w:r>
      <w:bookmarkEnd w:id="9"/>
    </w:p>
    <w:p w14:paraId="7E4FCFD0" w14:textId="77777777" w:rsidR="004371BB" w:rsidRDefault="004371BB" w:rsidP="004371BB">
      <w:pPr>
        <w:rPr>
          <w:rFonts w:ascii="Aptos" w:hAnsi="Aptos"/>
        </w:rPr>
      </w:pPr>
    </w:p>
    <w:p w14:paraId="5D644FD9" w14:textId="00F2D130" w:rsidR="004371BB" w:rsidRPr="00EC2D0B" w:rsidRDefault="004371BB" w:rsidP="004371BB">
      <w:pPr>
        <w:rPr>
          <w:rFonts w:ascii="Aptos" w:hAnsi="Aptos"/>
        </w:rPr>
      </w:pPr>
      <w:r w:rsidRPr="00EC2D0B">
        <w:rPr>
          <w:rFonts w:ascii="Aptos" w:hAnsi="Aptos"/>
        </w:rPr>
        <w:t xml:space="preserve">The costs of supervision are not mentioned in the RTS. Our concern notably comes from the fact that very high costs have been announced in the case of the EUGBS at registration and annually (EUR 40K as one-off costs; minimum of EUR 30K on an annual basis). This is </w:t>
      </w:r>
      <w:proofErr w:type="gramStart"/>
      <w:r w:rsidRPr="00EC2D0B">
        <w:rPr>
          <w:rFonts w:ascii="Aptos" w:hAnsi="Aptos"/>
        </w:rPr>
        <w:t>all the more</w:t>
      </w:r>
      <w:proofErr w:type="gramEnd"/>
      <w:r w:rsidRPr="00EC2D0B">
        <w:rPr>
          <w:rFonts w:ascii="Aptos" w:hAnsi="Aptos"/>
        </w:rPr>
        <w:t xml:space="preserve"> surprising that it relates to one product only (provided by many ESG ratings providers). Costs of this level may lead to many small players not applying for supervision and thus reinforce market concentration. </w:t>
      </w:r>
    </w:p>
    <w:p w14:paraId="6C580ED2" w14:textId="77777777" w:rsidR="004371BB" w:rsidRPr="00EC2D0B" w:rsidRDefault="004371BB" w:rsidP="004371BB">
      <w:pPr>
        <w:rPr>
          <w:rFonts w:ascii="Aptos" w:hAnsi="Aptos"/>
          <w:color w:val="000000"/>
        </w:rPr>
      </w:pPr>
      <w:r w:rsidRPr="00EC2D0B">
        <w:rPr>
          <w:rFonts w:ascii="Aptos" w:hAnsi="Aptos"/>
          <w:color w:val="000000"/>
        </w:rPr>
        <w:t> </w:t>
      </w:r>
    </w:p>
    <w:p w14:paraId="093D8A13" w14:textId="77777777" w:rsidR="004371BB" w:rsidRPr="00EC2D0B" w:rsidRDefault="004371BB" w:rsidP="004371BB">
      <w:pPr>
        <w:rPr>
          <w:rFonts w:ascii="Aptos" w:hAnsi="Aptos"/>
          <w:color w:val="000000"/>
        </w:rPr>
      </w:pPr>
      <w:r w:rsidRPr="00EC2D0B">
        <w:rPr>
          <w:rFonts w:ascii="Aptos" w:hAnsi="Aptos"/>
          <w:color w:val="000000"/>
        </w:rPr>
        <w:t>We would therefore recommend defining</w:t>
      </w:r>
      <w:r w:rsidRPr="00EC2D0B">
        <w:rPr>
          <w:rFonts w:ascii="Aptos" w:hAnsi="Aptos"/>
          <w:color w:val="000000"/>
          <w:u w:val="single"/>
        </w:rPr>
        <w:t>:</w:t>
      </w:r>
      <w:r w:rsidRPr="00EC2D0B">
        <w:rPr>
          <w:rFonts w:ascii="Aptos" w:hAnsi="Aptos"/>
          <w:color w:val="000000"/>
        </w:rPr>
        <w:t>  </w:t>
      </w:r>
    </w:p>
    <w:p w14:paraId="18E6B114" w14:textId="77777777" w:rsidR="004371BB" w:rsidRPr="00EC2D0B" w:rsidRDefault="004371BB" w:rsidP="004371BB">
      <w:pPr>
        <w:pStyle w:val="Paragraphedeliste"/>
        <w:numPr>
          <w:ilvl w:val="0"/>
          <w:numId w:val="47"/>
        </w:numPr>
        <w:tabs>
          <w:tab w:val="clear" w:pos="0"/>
          <w:tab w:val="clear" w:pos="142"/>
          <w:tab w:val="clear" w:pos="284"/>
          <w:tab w:val="clear" w:pos="567"/>
        </w:tabs>
        <w:autoSpaceDE/>
        <w:autoSpaceDN/>
        <w:adjustRightInd/>
        <w:spacing w:line="276" w:lineRule="auto"/>
        <w:contextualSpacing/>
        <w:jc w:val="left"/>
        <w:rPr>
          <w:rFonts w:ascii="Aptos" w:eastAsia="Times New Roman" w:hAnsi="Aptos" w:cs="Times New Roman"/>
          <w:color w:val="000000"/>
          <w:sz w:val="24"/>
          <w:szCs w:val="24"/>
        </w:rPr>
      </w:pPr>
      <w:r w:rsidRPr="00EC2D0B">
        <w:rPr>
          <w:rFonts w:ascii="Aptos" w:eastAsia="Times New Roman" w:hAnsi="Aptos" w:cs="Times New Roman"/>
          <w:color w:val="000000"/>
          <w:sz w:val="24"/>
          <w:szCs w:val="24"/>
        </w:rPr>
        <w:t>A tiered approach to supervision fees that would consider the revenues of the activities at stake instead of the level of the group of entities (as it is currently the case for credit rating agencies). For example, below EUR 10 million of revenues in ESG ratings, no charging of fees; above this threshold, EUR 10,000 annual supervision fees.  </w:t>
      </w:r>
    </w:p>
    <w:p w14:paraId="65240C41" w14:textId="77777777" w:rsidR="004371BB" w:rsidRPr="00EC2D0B" w:rsidRDefault="004371BB" w:rsidP="004371BB">
      <w:pPr>
        <w:pStyle w:val="Paragraphedeliste"/>
        <w:numPr>
          <w:ilvl w:val="0"/>
          <w:numId w:val="47"/>
        </w:numPr>
        <w:tabs>
          <w:tab w:val="clear" w:pos="0"/>
          <w:tab w:val="clear" w:pos="142"/>
          <w:tab w:val="clear" w:pos="284"/>
          <w:tab w:val="clear" w:pos="567"/>
        </w:tabs>
        <w:autoSpaceDE/>
        <w:autoSpaceDN/>
        <w:adjustRightInd/>
        <w:spacing w:line="276" w:lineRule="auto"/>
        <w:contextualSpacing/>
        <w:jc w:val="left"/>
        <w:rPr>
          <w:rFonts w:ascii="Aptos" w:eastAsia="Times New Roman" w:hAnsi="Aptos" w:cs="Times New Roman"/>
          <w:color w:val="000000"/>
          <w:sz w:val="24"/>
          <w:szCs w:val="24"/>
        </w:rPr>
      </w:pPr>
      <w:r w:rsidRPr="00EC2D0B">
        <w:rPr>
          <w:rFonts w:ascii="Aptos" w:eastAsia="Times New Roman" w:hAnsi="Aptos" w:cs="Times New Roman"/>
          <w:color w:val="000000"/>
          <w:sz w:val="24"/>
          <w:szCs w:val="24"/>
        </w:rPr>
        <w:t>A transition period of 3 years for small and medium providers before charging any fees.  </w:t>
      </w:r>
    </w:p>
    <w:p w14:paraId="32F6F819" w14:textId="77777777" w:rsidR="004371BB" w:rsidRPr="00EC2D0B" w:rsidRDefault="004371BB" w:rsidP="004371BB">
      <w:pPr>
        <w:rPr>
          <w:rFonts w:ascii="Aptos" w:hAnsi="Aptos"/>
        </w:rPr>
      </w:pPr>
    </w:p>
    <w:p w14:paraId="4798B2CB" w14:textId="77777777" w:rsidR="004371BB" w:rsidRPr="00EC2D0B" w:rsidRDefault="004371BB" w:rsidP="004371BB">
      <w:pPr>
        <w:rPr>
          <w:rFonts w:ascii="Aptos" w:hAnsi="Aptos"/>
          <w:color w:val="000000"/>
        </w:rPr>
      </w:pPr>
      <w:r w:rsidRPr="00EC2D0B">
        <w:rPr>
          <w:rFonts w:ascii="Aptos" w:hAnsi="Aptos"/>
        </w:rPr>
        <w:t>We note that the definitive supervisory fees are expected to be adopted by January 2026. EASRA’s members would therefore welcome ESMA’s clarification on the intended nature, recurrence and materiality thresholds of these fees.</w:t>
      </w:r>
    </w:p>
    <w:p w14:paraId="480FFC2C" w14:textId="1BF7F992" w:rsidR="004371BB" w:rsidRPr="00EC2D0B" w:rsidRDefault="004371BB" w:rsidP="004371BB">
      <w:pPr>
        <w:pStyle w:val="Titre2"/>
        <w:numPr>
          <w:ilvl w:val="0"/>
          <w:numId w:val="0"/>
        </w:numPr>
        <w:ind w:left="576" w:hanging="576"/>
        <w:rPr>
          <w:rFonts w:ascii="Aptos" w:hAnsi="Aptos"/>
        </w:rPr>
      </w:pPr>
      <w:bookmarkStart w:id="10" w:name="_Toc201329009"/>
      <w:r w:rsidRPr="00EC2D0B">
        <w:rPr>
          <w:rFonts w:ascii="Aptos" w:hAnsi="Aptos"/>
        </w:rPr>
        <w:lastRenderedPageBreak/>
        <w:t>Issue of Concern</w:t>
      </w:r>
      <w:r>
        <w:rPr>
          <w:rFonts w:ascii="Aptos" w:hAnsi="Aptos"/>
        </w:rPr>
        <w:t xml:space="preserve"> 5.2</w:t>
      </w:r>
      <w:r w:rsidRPr="00EC2D0B">
        <w:rPr>
          <w:rFonts w:ascii="Aptos" w:hAnsi="Aptos"/>
        </w:rPr>
        <w:t>: Operational costs</w:t>
      </w:r>
      <w:bookmarkEnd w:id="10"/>
    </w:p>
    <w:p w14:paraId="693B3298" w14:textId="77777777" w:rsidR="004371BB" w:rsidRDefault="004371BB" w:rsidP="004371BB">
      <w:pPr>
        <w:pStyle w:val="Paragraphedeliste"/>
        <w:numPr>
          <w:ilvl w:val="0"/>
          <w:numId w:val="0"/>
        </w:numPr>
        <w:rPr>
          <w:rFonts w:ascii="Aptos" w:eastAsia="Times New Roman" w:hAnsi="Aptos" w:cs="Times New Roman"/>
          <w:color w:val="000000"/>
          <w:sz w:val="24"/>
          <w:szCs w:val="24"/>
        </w:rPr>
      </w:pPr>
    </w:p>
    <w:p w14:paraId="284A0970" w14:textId="132E107C" w:rsidR="004371BB" w:rsidRPr="00EC2D0B" w:rsidRDefault="004371BB" w:rsidP="004371BB">
      <w:pPr>
        <w:pStyle w:val="Paragraphedeliste"/>
        <w:numPr>
          <w:ilvl w:val="0"/>
          <w:numId w:val="0"/>
        </w:numPr>
        <w:rPr>
          <w:rFonts w:ascii="Aptos" w:eastAsia="Times New Roman" w:hAnsi="Aptos" w:cs="Times New Roman"/>
          <w:color w:val="000000"/>
          <w:sz w:val="24"/>
          <w:szCs w:val="24"/>
        </w:rPr>
      </w:pPr>
      <w:r w:rsidRPr="00EC2D0B">
        <w:rPr>
          <w:rFonts w:ascii="Aptos" w:eastAsia="Times New Roman" w:hAnsi="Aptos" w:cs="Times New Roman"/>
          <w:color w:val="000000"/>
          <w:sz w:val="24"/>
          <w:szCs w:val="24"/>
        </w:rPr>
        <w:t>Becoming fully compliant with the ESG rating regulation will also imply important operational costs and investments for providers. This includes but is not limited to IT developments and maintenance for disclosure obligations. EASRA’s members will be happy to provide more detailed information to ESMA on cost estimations for compliance.</w:t>
      </w:r>
    </w:p>
    <w:p w14:paraId="3B58E547" w14:textId="77777777" w:rsidR="004371BB" w:rsidRPr="00EC2D0B" w:rsidRDefault="004371BB" w:rsidP="004371BB">
      <w:pPr>
        <w:pStyle w:val="Paragraphedeliste"/>
        <w:numPr>
          <w:ilvl w:val="0"/>
          <w:numId w:val="0"/>
        </w:numPr>
        <w:rPr>
          <w:rFonts w:ascii="Aptos" w:eastAsia="Times New Roman" w:hAnsi="Aptos" w:cs="Times New Roman"/>
          <w:color w:val="000000"/>
          <w:sz w:val="24"/>
          <w:szCs w:val="24"/>
        </w:rPr>
      </w:pPr>
    </w:p>
    <w:p w14:paraId="2A15B62C" w14:textId="1A40E171"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sectPr w:rsidR="001B1B48" w:rsidRPr="001B1B48"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896D3" w14:textId="77777777" w:rsidR="004C6326" w:rsidRDefault="004C6326" w:rsidP="007E7997">
      <w:r>
        <w:separator/>
      </w:r>
    </w:p>
  </w:endnote>
  <w:endnote w:type="continuationSeparator" w:id="0">
    <w:p w14:paraId="20E71FFD" w14:textId="77777777" w:rsidR="004C6326" w:rsidRDefault="004C6326" w:rsidP="007E7997">
      <w:r>
        <w:continuationSeparator/>
      </w:r>
    </w:p>
  </w:endnote>
  <w:endnote w:type="continuationNotice" w:id="1">
    <w:p w14:paraId="1AF2C770" w14:textId="77777777" w:rsidR="004C6326" w:rsidRDefault="004C63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Pieddepage"/>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Pieddepage"/>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Pieddepage"/>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Pieddepage"/>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E3A18" w14:textId="77777777" w:rsidR="004C6326" w:rsidRDefault="004C6326" w:rsidP="007E7997">
      <w:r>
        <w:separator/>
      </w:r>
    </w:p>
  </w:footnote>
  <w:footnote w:type="continuationSeparator" w:id="0">
    <w:p w14:paraId="11A600DF" w14:textId="77777777" w:rsidR="004C6326" w:rsidRDefault="004C6326" w:rsidP="007E7997">
      <w:r>
        <w:continuationSeparator/>
      </w:r>
    </w:p>
  </w:footnote>
  <w:footnote w:type="continuationNotice" w:id="1">
    <w:p w14:paraId="3F08F7CB" w14:textId="77777777" w:rsidR="004C6326" w:rsidRDefault="004C63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En-tte"/>
    </w:pPr>
  </w:p>
  <w:p w14:paraId="59FA3C9D" w14:textId="77777777" w:rsidR="00E36813" w:rsidRDefault="00E3681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11D11F90" w:rsidR="00FA64BE" w:rsidRDefault="00FA64BE" w:rsidP="00FA64BE">
    <w:pPr>
      <w:pStyle w:val="En-tte"/>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 May 2025</w:t>
    </w:r>
    <w:r w:rsidR="00C00D4F">
      <w:rPr>
        <w:rFonts w:asciiTheme="minorHAnsi" w:eastAsiaTheme="minorEastAsia" w:hAnsiTheme="minorHAnsi" w:cstheme="minorBidi"/>
        <w:color w:val="000000" w:themeColor="text1" w:themeShade="80"/>
        <w:sz w:val="16"/>
        <w:szCs w:val="20"/>
        <w:lang w:eastAsia="en-US"/>
      </w:rPr>
      <w:br/>
    </w:r>
    <w:r w:rsidR="0013090E" w:rsidRPr="0013090E">
      <w:rPr>
        <w:rFonts w:asciiTheme="minorHAnsi" w:eastAsiaTheme="minorEastAsia" w:hAnsiTheme="minorHAnsi" w:cstheme="minorBidi"/>
        <w:color w:val="000000" w:themeColor="text1" w:themeShade="80"/>
        <w:sz w:val="16"/>
        <w:szCs w:val="20"/>
        <w:lang w:eastAsia="en-US"/>
      </w:rPr>
      <w:t>ESMA</w:t>
    </w:r>
    <w:r w:rsidR="00373AB8">
      <w:rPr>
        <w:rFonts w:asciiTheme="minorHAnsi" w:eastAsiaTheme="minorEastAsia" w:hAnsiTheme="minorHAnsi" w:cstheme="minorBidi"/>
        <w:color w:val="000000" w:themeColor="text1" w:themeShade="80"/>
        <w:sz w:val="16"/>
        <w:szCs w:val="20"/>
        <w:lang w:eastAsia="en-US"/>
      </w:rPr>
      <w:t>84</w:t>
    </w:r>
    <w:r w:rsidR="0013090E" w:rsidRPr="0013090E">
      <w:rPr>
        <w:rFonts w:asciiTheme="minorHAnsi" w:eastAsiaTheme="minorEastAsia" w:hAnsiTheme="minorHAnsi" w:cstheme="minorBidi"/>
        <w:color w:val="000000" w:themeColor="text1" w:themeShade="80"/>
        <w:sz w:val="16"/>
        <w:szCs w:val="20"/>
        <w:lang w:eastAsia="en-US"/>
      </w:rPr>
      <w:t>-</w:t>
    </w:r>
    <w:r w:rsidR="00373AB8">
      <w:rPr>
        <w:rFonts w:asciiTheme="minorHAnsi" w:eastAsiaTheme="minorEastAsia" w:hAnsiTheme="minorHAnsi" w:cstheme="minorBidi"/>
        <w:color w:val="000000" w:themeColor="text1" w:themeShade="80"/>
        <w:sz w:val="16"/>
        <w:szCs w:val="20"/>
        <w:lang w:eastAsia="en-US"/>
      </w:rPr>
      <w:t>858037815-6</w:t>
    </w:r>
    <w:r w:rsidR="006072C6">
      <w:rPr>
        <w:rFonts w:asciiTheme="minorHAnsi" w:eastAsiaTheme="minorEastAsia" w:hAnsiTheme="minorHAnsi" w:cstheme="minorBidi"/>
        <w:color w:val="000000" w:themeColor="text1" w:themeShade="80"/>
        <w:sz w:val="16"/>
        <w:szCs w:val="20"/>
        <w:lang w:eastAsia="en-US"/>
      </w:rPr>
      <w:t>83</w:t>
    </w:r>
  </w:p>
  <w:p w14:paraId="70391035" w14:textId="0FE57758" w:rsidR="00E36813" w:rsidRDefault="00FA64BE" w:rsidP="00FA64BE">
    <w:pPr>
      <w:pStyle w:val="En-tte"/>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6AFB6F"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En-tte"/>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En-tte"/>
      <w:jc w:val="right"/>
      <w:rPr>
        <w:rFonts w:asciiTheme="minorHAnsi" w:hAnsiTheme="minorHAnsi" w:cstheme="minorHAnsi"/>
        <w:color w:val="2F5496" w:themeColor="accent5" w:themeShade="BF"/>
        <w:sz w:val="20"/>
      </w:rPr>
    </w:pPr>
  </w:p>
  <w:p w14:paraId="3E983FE8" w14:textId="71D87355" w:rsidR="00FA64BE" w:rsidRDefault="00FA64BE" w:rsidP="00FA64BE">
    <w:pPr>
      <w:pStyle w:val="En-tte"/>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En-tte"/>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En-tte"/>
      <w:jc w:val="right"/>
      <w:rPr>
        <w:color w:val="2F5496" w:themeColor="accent5" w:themeShade="BF"/>
        <w:sz w:val="20"/>
      </w:rPr>
    </w:pPr>
  </w:p>
  <w:p w14:paraId="5EAB6EC6" w14:textId="77777777" w:rsidR="00E36813" w:rsidRPr="00B50534" w:rsidRDefault="00E36813" w:rsidP="00B50534">
    <w:pPr>
      <w:pStyle w:val="En-tte"/>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53320"/>
    <w:multiLevelType w:val="multilevel"/>
    <w:tmpl w:val="105E4448"/>
    <w:lvl w:ilvl="0">
      <w:start w:val="3"/>
      <w:numFmt w:val="decimal"/>
      <w:lvlText w:val="%1"/>
      <w:lvlJc w:val="left"/>
      <w:pPr>
        <w:ind w:left="380" w:hanging="3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AC705F"/>
    <w:multiLevelType w:val="hybridMultilevel"/>
    <w:tmpl w:val="7DE438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BDA56CA"/>
    <w:multiLevelType w:val="hybridMultilevel"/>
    <w:tmpl w:val="C1603258"/>
    <w:lvl w:ilvl="0" w:tplc="040C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FFE2631"/>
    <w:multiLevelType w:val="hybridMultilevel"/>
    <w:tmpl w:val="88046BB2"/>
    <w:lvl w:ilvl="0" w:tplc="040C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817FAD"/>
    <w:multiLevelType w:val="multilevel"/>
    <w:tmpl w:val="A9C468B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B9E089E"/>
    <w:multiLevelType w:val="hybridMultilevel"/>
    <w:tmpl w:val="87960D64"/>
    <w:lvl w:ilvl="0" w:tplc="4F30587E">
      <w:start w:val="1"/>
      <w:numFmt w:val="lowerLetter"/>
      <w:pStyle w:val="Titre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181D69"/>
    <w:multiLevelType w:val="hybridMultilevel"/>
    <w:tmpl w:val="0A189E10"/>
    <w:lvl w:ilvl="0" w:tplc="52DE78C0">
      <w:start w:val="1"/>
      <w:numFmt w:val="upperLetter"/>
      <w:pStyle w:val="Paragraphedeliste"/>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1"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4838D2"/>
    <w:multiLevelType w:val="multilevel"/>
    <w:tmpl w:val="A9C468B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9E29C7"/>
    <w:multiLevelType w:val="hybridMultilevel"/>
    <w:tmpl w:val="E26CEB44"/>
    <w:lvl w:ilvl="0" w:tplc="AFA4B33C">
      <w:numFmt w:val="bullet"/>
      <w:lvlText w:val="-"/>
      <w:lvlJc w:val="left"/>
      <w:pPr>
        <w:ind w:left="720" w:hanging="360"/>
      </w:pPr>
      <w:rPr>
        <w:rFonts w:ascii="Arial" w:eastAsia="Arial"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0"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1" w15:restartNumberingAfterBreak="0">
    <w:nsid w:val="45574C76"/>
    <w:multiLevelType w:val="hybridMultilevel"/>
    <w:tmpl w:val="F57EAB8E"/>
    <w:lvl w:ilvl="0" w:tplc="D0002864">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45702A3B"/>
    <w:multiLevelType w:val="hybridMultilevel"/>
    <w:tmpl w:val="FFCA7280"/>
    <w:lvl w:ilvl="0" w:tplc="040C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524FA7"/>
    <w:multiLevelType w:val="multilevel"/>
    <w:tmpl w:val="A9C468B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57C0244A"/>
    <w:multiLevelType w:val="hybridMultilevel"/>
    <w:tmpl w:val="46D0F370"/>
    <w:lvl w:ilvl="0" w:tplc="040C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F2A27B0"/>
    <w:multiLevelType w:val="hybridMultilevel"/>
    <w:tmpl w:val="B0702D1C"/>
    <w:lvl w:ilvl="0" w:tplc="FD822F1C">
      <w:start w:val="2"/>
      <w:numFmt w:val="bullet"/>
      <w:lvlText w:val="-"/>
      <w:lvlJc w:val="left"/>
      <w:pPr>
        <w:ind w:left="360" w:hanging="360"/>
      </w:pPr>
      <w:rPr>
        <w:rFonts w:ascii="Aptos" w:eastAsia="Times New Roman" w:hAnsi="Aptos"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BAD1101"/>
    <w:multiLevelType w:val="multilevel"/>
    <w:tmpl w:val="766C753E"/>
    <w:lvl w:ilvl="0">
      <w:start w:val="1"/>
      <w:numFmt w:val="upperRoman"/>
      <w:pStyle w:val="Titre1"/>
      <w:lvlText w:val="%1."/>
      <w:lvlJc w:val="righ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37" w15:restartNumberingAfterBreak="0">
    <w:nsid w:val="6C29204C"/>
    <w:multiLevelType w:val="hybridMultilevel"/>
    <w:tmpl w:val="65E448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7"/>
  </w:num>
  <w:num w:numId="2" w16cid:durableId="1495532731">
    <w:abstractNumId w:val="7"/>
  </w:num>
  <w:num w:numId="3" w16cid:durableId="994409496">
    <w:abstractNumId w:val="36"/>
  </w:num>
  <w:num w:numId="4" w16cid:durableId="1880320868">
    <w:abstractNumId w:val="8"/>
  </w:num>
  <w:num w:numId="5" w16cid:durableId="290864581">
    <w:abstractNumId w:val="20"/>
  </w:num>
  <w:num w:numId="6" w16cid:durableId="952590553">
    <w:abstractNumId w:val="39"/>
  </w:num>
  <w:num w:numId="7" w16cid:durableId="1159686949">
    <w:abstractNumId w:val="19"/>
  </w:num>
  <w:num w:numId="8" w16cid:durableId="765269892">
    <w:abstractNumId w:val="10"/>
  </w:num>
  <w:num w:numId="9" w16cid:durableId="1301960395">
    <w:abstractNumId w:val="14"/>
  </w:num>
  <w:num w:numId="10" w16cid:durableId="1228616548">
    <w:abstractNumId w:val="12"/>
  </w:num>
  <w:num w:numId="11" w16cid:durableId="2051027016">
    <w:abstractNumId w:val="11"/>
  </w:num>
  <w:num w:numId="12" w16cid:durableId="83380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40"/>
  </w:num>
  <w:num w:numId="15" w16cid:durableId="986476960">
    <w:abstractNumId w:val="33"/>
  </w:num>
  <w:num w:numId="16" w16cid:durableId="398749299">
    <w:abstractNumId w:val="38"/>
  </w:num>
  <w:num w:numId="17" w16cid:durableId="14076118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34"/>
  </w:num>
  <w:num w:numId="19" w16cid:durableId="558588771">
    <w:abstractNumId w:val="39"/>
  </w:num>
  <w:num w:numId="20" w16cid:durableId="1306933315">
    <w:abstractNumId w:val="17"/>
  </w:num>
  <w:num w:numId="21" w16cid:durableId="1623876054">
    <w:abstractNumId w:val="35"/>
  </w:num>
  <w:num w:numId="22" w16cid:durableId="783383837">
    <w:abstractNumId w:val="23"/>
  </w:num>
  <w:num w:numId="23" w16cid:durableId="2112964618">
    <w:abstractNumId w:val="31"/>
  </w:num>
  <w:num w:numId="24" w16cid:durableId="1958565453">
    <w:abstractNumId w:val="1"/>
  </w:num>
  <w:num w:numId="25" w16cid:durableId="1372725395">
    <w:abstractNumId w:val="29"/>
  </w:num>
  <w:num w:numId="26" w16cid:durableId="1686445133">
    <w:abstractNumId w:val="26"/>
  </w:num>
  <w:num w:numId="27" w16cid:durableId="1247768697">
    <w:abstractNumId w:val="15"/>
  </w:num>
  <w:num w:numId="28" w16cid:durableId="954170948">
    <w:abstractNumId w:val="5"/>
  </w:num>
  <w:num w:numId="29" w16cid:durableId="837424337">
    <w:abstractNumId w:val="27"/>
  </w:num>
  <w:num w:numId="30" w16cid:durableId="299657983">
    <w:abstractNumId w:val="9"/>
  </w:num>
  <w:num w:numId="31" w16cid:durableId="699822250">
    <w:abstractNumId w:val="24"/>
  </w:num>
  <w:num w:numId="32" w16cid:durableId="730466929">
    <w:abstractNumId w:val="18"/>
    <w:lvlOverride w:ilvl="0">
      <w:startOverride w:val="1"/>
    </w:lvlOverride>
  </w:num>
  <w:num w:numId="33" w16cid:durableId="552498262">
    <w:abstractNumId w:val="30"/>
  </w:num>
  <w:num w:numId="34" w16cid:durableId="1829132647">
    <w:abstractNumId w:val="18"/>
    <w:lvlOverride w:ilvl="0">
      <w:startOverride w:val="1"/>
    </w:lvlOverride>
  </w:num>
  <w:num w:numId="35" w16cid:durableId="1915964461">
    <w:abstractNumId w:val="18"/>
    <w:lvlOverride w:ilvl="0">
      <w:startOverride w:val="1"/>
    </w:lvlOverride>
  </w:num>
  <w:num w:numId="36" w16cid:durableId="1385182617">
    <w:abstractNumId w:val="18"/>
    <w:lvlOverride w:ilvl="0">
      <w:startOverride w:val="1"/>
    </w:lvlOverride>
  </w:num>
  <w:num w:numId="37" w16cid:durableId="1303003855">
    <w:abstractNumId w:val="4"/>
  </w:num>
  <w:num w:numId="38" w16cid:durableId="1529946657">
    <w:abstractNumId w:val="22"/>
  </w:num>
  <w:num w:numId="39" w16cid:durableId="1339887755">
    <w:abstractNumId w:val="3"/>
  </w:num>
  <w:num w:numId="40" w16cid:durableId="1366907055">
    <w:abstractNumId w:val="32"/>
  </w:num>
  <w:num w:numId="41" w16cid:durableId="904334381">
    <w:abstractNumId w:val="16"/>
  </w:num>
  <w:num w:numId="42" w16cid:durableId="1705212978">
    <w:abstractNumId w:val="28"/>
  </w:num>
  <w:num w:numId="43" w16cid:durableId="771783484">
    <w:abstractNumId w:val="2"/>
  </w:num>
  <w:num w:numId="44" w16cid:durableId="2008437164">
    <w:abstractNumId w:val="37"/>
  </w:num>
  <w:num w:numId="45" w16cid:durableId="321544664">
    <w:abstractNumId w:val="13"/>
  </w:num>
  <w:num w:numId="46" w16cid:durableId="1894999857">
    <w:abstractNumId w:val="6"/>
  </w:num>
  <w:num w:numId="47" w16cid:durableId="389033658">
    <w:abstractNumId w:val="25"/>
  </w:num>
  <w:num w:numId="48" w16cid:durableId="1164124517">
    <w:abstractNumId w:val="21"/>
  </w:num>
  <w:num w:numId="49" w16cid:durableId="1742554547">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US" w:vendorID="64" w:dllVersion="0" w:nlCheck="1" w:checkStyle="0"/>
  <w:activeWritingStyle w:appName="MSWord" w:lang="en-GB" w:vendorID="64" w:dllVersion="0" w:nlCheck="1" w:checkStyle="0"/>
  <w:proofState w:spelling="clean" w:grammar="clean"/>
  <w:attachedTemplate r:id="rId1"/>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10AB"/>
    <w:rsid w:val="00033934"/>
    <w:rsid w:val="00036C09"/>
    <w:rsid w:val="000372BF"/>
    <w:rsid w:val="00040A52"/>
    <w:rsid w:val="00044C5A"/>
    <w:rsid w:val="00044E0A"/>
    <w:rsid w:val="00047C57"/>
    <w:rsid w:val="00054E00"/>
    <w:rsid w:val="00061B2B"/>
    <w:rsid w:val="000627C5"/>
    <w:rsid w:val="0006448C"/>
    <w:rsid w:val="0006449B"/>
    <w:rsid w:val="000655AD"/>
    <w:rsid w:val="00066FD1"/>
    <w:rsid w:val="00072BF9"/>
    <w:rsid w:val="00073DF9"/>
    <w:rsid w:val="0007767E"/>
    <w:rsid w:val="0007796D"/>
    <w:rsid w:val="000830DA"/>
    <w:rsid w:val="00083FBB"/>
    <w:rsid w:val="00086F71"/>
    <w:rsid w:val="000921E6"/>
    <w:rsid w:val="00092D6C"/>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D50CE"/>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90E"/>
    <w:rsid w:val="00130EF9"/>
    <w:rsid w:val="001319C7"/>
    <w:rsid w:val="001355E6"/>
    <w:rsid w:val="0013644A"/>
    <w:rsid w:val="00140762"/>
    <w:rsid w:val="00140BA6"/>
    <w:rsid w:val="00141946"/>
    <w:rsid w:val="00143DCA"/>
    <w:rsid w:val="00144AAD"/>
    <w:rsid w:val="001455E7"/>
    <w:rsid w:val="0014624E"/>
    <w:rsid w:val="001522DD"/>
    <w:rsid w:val="00155BAB"/>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97AAF"/>
    <w:rsid w:val="001A1EF4"/>
    <w:rsid w:val="001A7046"/>
    <w:rsid w:val="001A710D"/>
    <w:rsid w:val="001A7E6F"/>
    <w:rsid w:val="001B0A77"/>
    <w:rsid w:val="001B1727"/>
    <w:rsid w:val="001B1B48"/>
    <w:rsid w:val="001B2151"/>
    <w:rsid w:val="001B3CFF"/>
    <w:rsid w:val="001B4957"/>
    <w:rsid w:val="001B4996"/>
    <w:rsid w:val="001C0E59"/>
    <w:rsid w:val="001C432D"/>
    <w:rsid w:val="001C469E"/>
    <w:rsid w:val="001C56C3"/>
    <w:rsid w:val="001C5D8C"/>
    <w:rsid w:val="001C7E0A"/>
    <w:rsid w:val="001D0112"/>
    <w:rsid w:val="001D19F5"/>
    <w:rsid w:val="001D385A"/>
    <w:rsid w:val="001D3AC4"/>
    <w:rsid w:val="001D6B39"/>
    <w:rsid w:val="001E1ECD"/>
    <w:rsid w:val="001E3E0D"/>
    <w:rsid w:val="001E4A45"/>
    <w:rsid w:val="001E5AB7"/>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802"/>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B5ED8"/>
    <w:rsid w:val="002C03FD"/>
    <w:rsid w:val="002C044D"/>
    <w:rsid w:val="002C1AA5"/>
    <w:rsid w:val="002C2A46"/>
    <w:rsid w:val="002C3048"/>
    <w:rsid w:val="002C76AE"/>
    <w:rsid w:val="002D2992"/>
    <w:rsid w:val="002D37A0"/>
    <w:rsid w:val="002D5AB5"/>
    <w:rsid w:val="002D6667"/>
    <w:rsid w:val="002D761A"/>
    <w:rsid w:val="002D79F3"/>
    <w:rsid w:val="002E1C11"/>
    <w:rsid w:val="002E3D0B"/>
    <w:rsid w:val="002E3E7D"/>
    <w:rsid w:val="002E6A8E"/>
    <w:rsid w:val="002F6279"/>
    <w:rsid w:val="00300F55"/>
    <w:rsid w:val="003013B7"/>
    <w:rsid w:val="00301993"/>
    <w:rsid w:val="00301E55"/>
    <w:rsid w:val="00307397"/>
    <w:rsid w:val="003101EF"/>
    <w:rsid w:val="00312BDD"/>
    <w:rsid w:val="00314117"/>
    <w:rsid w:val="00317EDF"/>
    <w:rsid w:val="00322B55"/>
    <w:rsid w:val="003279E7"/>
    <w:rsid w:val="00327B62"/>
    <w:rsid w:val="00331FE9"/>
    <w:rsid w:val="0033324D"/>
    <w:rsid w:val="0033587C"/>
    <w:rsid w:val="0033696D"/>
    <w:rsid w:val="00336BF9"/>
    <w:rsid w:val="003371E8"/>
    <w:rsid w:val="00337471"/>
    <w:rsid w:val="0034151D"/>
    <w:rsid w:val="00342B5B"/>
    <w:rsid w:val="00343532"/>
    <w:rsid w:val="00345469"/>
    <w:rsid w:val="003454ED"/>
    <w:rsid w:val="00345EB9"/>
    <w:rsid w:val="0035030F"/>
    <w:rsid w:val="003519DD"/>
    <w:rsid w:val="00351B68"/>
    <w:rsid w:val="00351F68"/>
    <w:rsid w:val="00353C4B"/>
    <w:rsid w:val="003545A6"/>
    <w:rsid w:val="00356C60"/>
    <w:rsid w:val="003578D1"/>
    <w:rsid w:val="00362F57"/>
    <w:rsid w:val="00363639"/>
    <w:rsid w:val="00366D42"/>
    <w:rsid w:val="0036748C"/>
    <w:rsid w:val="00372615"/>
    <w:rsid w:val="00372EA3"/>
    <w:rsid w:val="0037311D"/>
    <w:rsid w:val="0037358E"/>
    <w:rsid w:val="00373A3C"/>
    <w:rsid w:val="00373AB8"/>
    <w:rsid w:val="00373FCF"/>
    <w:rsid w:val="00376233"/>
    <w:rsid w:val="00380B30"/>
    <w:rsid w:val="00381784"/>
    <w:rsid w:val="00381EB0"/>
    <w:rsid w:val="00382A72"/>
    <w:rsid w:val="00382EBA"/>
    <w:rsid w:val="0038331A"/>
    <w:rsid w:val="0039135B"/>
    <w:rsid w:val="003A34E7"/>
    <w:rsid w:val="003A3CB1"/>
    <w:rsid w:val="003A3D55"/>
    <w:rsid w:val="003A73A4"/>
    <w:rsid w:val="003B102E"/>
    <w:rsid w:val="003B26BA"/>
    <w:rsid w:val="003B4E3D"/>
    <w:rsid w:val="003C167E"/>
    <w:rsid w:val="003C34CF"/>
    <w:rsid w:val="003C481D"/>
    <w:rsid w:val="003C4EB5"/>
    <w:rsid w:val="003D1099"/>
    <w:rsid w:val="003D2CED"/>
    <w:rsid w:val="003D344A"/>
    <w:rsid w:val="003D3BB8"/>
    <w:rsid w:val="003D72F4"/>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4ED5"/>
    <w:rsid w:val="0040743A"/>
    <w:rsid w:val="00407623"/>
    <w:rsid w:val="00407A74"/>
    <w:rsid w:val="004114D5"/>
    <w:rsid w:val="00414210"/>
    <w:rsid w:val="004159DB"/>
    <w:rsid w:val="00420FD4"/>
    <w:rsid w:val="004242B3"/>
    <w:rsid w:val="00424A4F"/>
    <w:rsid w:val="00426D62"/>
    <w:rsid w:val="00427A89"/>
    <w:rsid w:val="00430C5B"/>
    <w:rsid w:val="00431968"/>
    <w:rsid w:val="00433936"/>
    <w:rsid w:val="0043475E"/>
    <w:rsid w:val="00435FE9"/>
    <w:rsid w:val="00436279"/>
    <w:rsid w:val="004371BB"/>
    <w:rsid w:val="0044199E"/>
    <w:rsid w:val="0044206D"/>
    <w:rsid w:val="00444803"/>
    <w:rsid w:val="00445696"/>
    <w:rsid w:val="00446E5F"/>
    <w:rsid w:val="00450C4E"/>
    <w:rsid w:val="00455577"/>
    <w:rsid w:val="00456795"/>
    <w:rsid w:val="004578B3"/>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2701"/>
    <w:rsid w:val="004950B7"/>
    <w:rsid w:val="0049534D"/>
    <w:rsid w:val="00497FEA"/>
    <w:rsid w:val="004A75F5"/>
    <w:rsid w:val="004B059E"/>
    <w:rsid w:val="004B07B2"/>
    <w:rsid w:val="004B0955"/>
    <w:rsid w:val="004B143D"/>
    <w:rsid w:val="004B1842"/>
    <w:rsid w:val="004B25D0"/>
    <w:rsid w:val="004B3553"/>
    <w:rsid w:val="004B5E92"/>
    <w:rsid w:val="004B6859"/>
    <w:rsid w:val="004C0A30"/>
    <w:rsid w:val="004C357C"/>
    <w:rsid w:val="004C3D18"/>
    <w:rsid w:val="004C6326"/>
    <w:rsid w:val="004D42B1"/>
    <w:rsid w:val="004D526F"/>
    <w:rsid w:val="004E0583"/>
    <w:rsid w:val="004E19C0"/>
    <w:rsid w:val="004E1C54"/>
    <w:rsid w:val="004E2C37"/>
    <w:rsid w:val="004E5285"/>
    <w:rsid w:val="004F0CF3"/>
    <w:rsid w:val="004F5740"/>
    <w:rsid w:val="004F58C9"/>
    <w:rsid w:val="005028B9"/>
    <w:rsid w:val="00503A3F"/>
    <w:rsid w:val="00505E17"/>
    <w:rsid w:val="00511A59"/>
    <w:rsid w:val="00511C3B"/>
    <w:rsid w:val="00513DA2"/>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664AB"/>
    <w:rsid w:val="005725BD"/>
    <w:rsid w:val="005730B0"/>
    <w:rsid w:val="00575DCC"/>
    <w:rsid w:val="005821B0"/>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0E60"/>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34FE"/>
    <w:rsid w:val="00623840"/>
    <w:rsid w:val="006255EC"/>
    <w:rsid w:val="00625A25"/>
    <w:rsid w:val="0062736A"/>
    <w:rsid w:val="0063565E"/>
    <w:rsid w:val="00636E02"/>
    <w:rsid w:val="006372FE"/>
    <w:rsid w:val="00640691"/>
    <w:rsid w:val="00641DB1"/>
    <w:rsid w:val="00642297"/>
    <w:rsid w:val="00644A34"/>
    <w:rsid w:val="00654824"/>
    <w:rsid w:val="00655791"/>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5E48"/>
    <w:rsid w:val="006A7A10"/>
    <w:rsid w:val="006B0DA4"/>
    <w:rsid w:val="006B1B6B"/>
    <w:rsid w:val="006B2C57"/>
    <w:rsid w:val="006B391B"/>
    <w:rsid w:val="006B79E0"/>
    <w:rsid w:val="006C0B2D"/>
    <w:rsid w:val="006C1633"/>
    <w:rsid w:val="006C5BF8"/>
    <w:rsid w:val="006C7CCB"/>
    <w:rsid w:val="006D3F14"/>
    <w:rsid w:val="006D3FDF"/>
    <w:rsid w:val="006D6009"/>
    <w:rsid w:val="006D7D41"/>
    <w:rsid w:val="006D7F26"/>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1A9"/>
    <w:rsid w:val="00721256"/>
    <w:rsid w:val="007217AD"/>
    <w:rsid w:val="007219A9"/>
    <w:rsid w:val="00723BA1"/>
    <w:rsid w:val="00724A1B"/>
    <w:rsid w:val="0073173E"/>
    <w:rsid w:val="007319C3"/>
    <w:rsid w:val="0073454F"/>
    <w:rsid w:val="00735C00"/>
    <w:rsid w:val="007364C6"/>
    <w:rsid w:val="00740BF3"/>
    <w:rsid w:val="00741D5C"/>
    <w:rsid w:val="00742C6A"/>
    <w:rsid w:val="0074352F"/>
    <w:rsid w:val="00747C5E"/>
    <w:rsid w:val="00750210"/>
    <w:rsid w:val="0075162F"/>
    <w:rsid w:val="00754844"/>
    <w:rsid w:val="00754B57"/>
    <w:rsid w:val="0075671D"/>
    <w:rsid w:val="0076002F"/>
    <w:rsid w:val="0076038B"/>
    <w:rsid w:val="00761744"/>
    <w:rsid w:val="00764582"/>
    <w:rsid w:val="00765FA3"/>
    <w:rsid w:val="00766961"/>
    <w:rsid w:val="00766B5A"/>
    <w:rsid w:val="0077026A"/>
    <w:rsid w:val="00770C33"/>
    <w:rsid w:val="007741C3"/>
    <w:rsid w:val="00777BE0"/>
    <w:rsid w:val="00777CFF"/>
    <w:rsid w:val="00780923"/>
    <w:rsid w:val="00781265"/>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642"/>
    <w:rsid w:val="007F5822"/>
    <w:rsid w:val="007F5B86"/>
    <w:rsid w:val="00800A7F"/>
    <w:rsid w:val="0080285D"/>
    <w:rsid w:val="0081028F"/>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BF"/>
    <w:rsid w:val="00872209"/>
    <w:rsid w:val="008731EB"/>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28FD"/>
    <w:rsid w:val="008D59F9"/>
    <w:rsid w:val="008D5C28"/>
    <w:rsid w:val="008E00A6"/>
    <w:rsid w:val="008E2D26"/>
    <w:rsid w:val="008E3C8E"/>
    <w:rsid w:val="008E4076"/>
    <w:rsid w:val="008E6AA4"/>
    <w:rsid w:val="008E7DBA"/>
    <w:rsid w:val="008F1993"/>
    <w:rsid w:val="008F3386"/>
    <w:rsid w:val="008F3AD9"/>
    <w:rsid w:val="008F4642"/>
    <w:rsid w:val="008F4C29"/>
    <w:rsid w:val="008F4E00"/>
    <w:rsid w:val="008F6163"/>
    <w:rsid w:val="008F761D"/>
    <w:rsid w:val="00900D44"/>
    <w:rsid w:val="00902520"/>
    <w:rsid w:val="00906DC4"/>
    <w:rsid w:val="009114CB"/>
    <w:rsid w:val="00911A61"/>
    <w:rsid w:val="0091457F"/>
    <w:rsid w:val="0091729E"/>
    <w:rsid w:val="009213F8"/>
    <w:rsid w:val="0093261E"/>
    <w:rsid w:val="0094008E"/>
    <w:rsid w:val="00941C0C"/>
    <w:rsid w:val="009437F2"/>
    <w:rsid w:val="0094528B"/>
    <w:rsid w:val="00960A8B"/>
    <w:rsid w:val="00965128"/>
    <w:rsid w:val="00967068"/>
    <w:rsid w:val="00973F43"/>
    <w:rsid w:val="0097785D"/>
    <w:rsid w:val="0098011D"/>
    <w:rsid w:val="00981912"/>
    <w:rsid w:val="009819C0"/>
    <w:rsid w:val="009835AD"/>
    <w:rsid w:val="00987A75"/>
    <w:rsid w:val="00990C72"/>
    <w:rsid w:val="00991A8A"/>
    <w:rsid w:val="00992611"/>
    <w:rsid w:val="00994303"/>
    <w:rsid w:val="0099526D"/>
    <w:rsid w:val="00996C8B"/>
    <w:rsid w:val="009A0054"/>
    <w:rsid w:val="009A0F6E"/>
    <w:rsid w:val="009A2D9C"/>
    <w:rsid w:val="009A38D9"/>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055DD"/>
    <w:rsid w:val="00A11D0C"/>
    <w:rsid w:val="00A16579"/>
    <w:rsid w:val="00A24843"/>
    <w:rsid w:val="00A25AB7"/>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299"/>
    <w:rsid w:val="00A73949"/>
    <w:rsid w:val="00A76707"/>
    <w:rsid w:val="00A7697E"/>
    <w:rsid w:val="00A76C98"/>
    <w:rsid w:val="00A76E20"/>
    <w:rsid w:val="00A8284E"/>
    <w:rsid w:val="00A870EE"/>
    <w:rsid w:val="00A91D91"/>
    <w:rsid w:val="00A94983"/>
    <w:rsid w:val="00A96F81"/>
    <w:rsid w:val="00A9709D"/>
    <w:rsid w:val="00AA054E"/>
    <w:rsid w:val="00AA0A10"/>
    <w:rsid w:val="00AA2094"/>
    <w:rsid w:val="00AA2947"/>
    <w:rsid w:val="00AA7461"/>
    <w:rsid w:val="00AB1894"/>
    <w:rsid w:val="00AB22DF"/>
    <w:rsid w:val="00AB2C3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406"/>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D4F"/>
    <w:rsid w:val="00C00F1C"/>
    <w:rsid w:val="00C0346D"/>
    <w:rsid w:val="00C0358F"/>
    <w:rsid w:val="00C03BB0"/>
    <w:rsid w:val="00C041CF"/>
    <w:rsid w:val="00C0696A"/>
    <w:rsid w:val="00C11CFA"/>
    <w:rsid w:val="00C12034"/>
    <w:rsid w:val="00C1396B"/>
    <w:rsid w:val="00C16775"/>
    <w:rsid w:val="00C1698A"/>
    <w:rsid w:val="00C17150"/>
    <w:rsid w:val="00C17E6C"/>
    <w:rsid w:val="00C249CC"/>
    <w:rsid w:val="00C24E5F"/>
    <w:rsid w:val="00C255B6"/>
    <w:rsid w:val="00C262E7"/>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5616E"/>
    <w:rsid w:val="00C61B1A"/>
    <w:rsid w:val="00C62A53"/>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97F9B"/>
    <w:rsid w:val="00CA112D"/>
    <w:rsid w:val="00CA1F9F"/>
    <w:rsid w:val="00CA2179"/>
    <w:rsid w:val="00CA2B53"/>
    <w:rsid w:val="00CA3D8A"/>
    <w:rsid w:val="00CA4A87"/>
    <w:rsid w:val="00CB0C0C"/>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64F5"/>
    <w:rsid w:val="00CF7221"/>
    <w:rsid w:val="00CF724E"/>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5E02"/>
    <w:rsid w:val="00D378C9"/>
    <w:rsid w:val="00D37B9F"/>
    <w:rsid w:val="00D41425"/>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5402"/>
    <w:rsid w:val="00D775F3"/>
    <w:rsid w:val="00D77868"/>
    <w:rsid w:val="00D77F25"/>
    <w:rsid w:val="00D84C2A"/>
    <w:rsid w:val="00D9064B"/>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3DEA"/>
    <w:rsid w:val="00DB40BD"/>
    <w:rsid w:val="00DB4B8E"/>
    <w:rsid w:val="00DB4F4B"/>
    <w:rsid w:val="00DC070F"/>
    <w:rsid w:val="00DC3462"/>
    <w:rsid w:val="00DC3858"/>
    <w:rsid w:val="00DC3A57"/>
    <w:rsid w:val="00DC7A95"/>
    <w:rsid w:val="00DD1DAF"/>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1A5B"/>
    <w:rsid w:val="00E333AC"/>
    <w:rsid w:val="00E3456B"/>
    <w:rsid w:val="00E35C16"/>
    <w:rsid w:val="00E36085"/>
    <w:rsid w:val="00E36813"/>
    <w:rsid w:val="00E42382"/>
    <w:rsid w:val="00E603DF"/>
    <w:rsid w:val="00E63745"/>
    <w:rsid w:val="00E6699F"/>
    <w:rsid w:val="00E67845"/>
    <w:rsid w:val="00E67B40"/>
    <w:rsid w:val="00E703AE"/>
    <w:rsid w:val="00E72373"/>
    <w:rsid w:val="00E74A40"/>
    <w:rsid w:val="00E76AF9"/>
    <w:rsid w:val="00E84EF0"/>
    <w:rsid w:val="00E8649C"/>
    <w:rsid w:val="00E87886"/>
    <w:rsid w:val="00E87CDE"/>
    <w:rsid w:val="00E91FC1"/>
    <w:rsid w:val="00E92D54"/>
    <w:rsid w:val="00E9323C"/>
    <w:rsid w:val="00E95FD8"/>
    <w:rsid w:val="00EA0283"/>
    <w:rsid w:val="00EA357E"/>
    <w:rsid w:val="00EA5DE1"/>
    <w:rsid w:val="00EB0C86"/>
    <w:rsid w:val="00EB0E16"/>
    <w:rsid w:val="00EB1A57"/>
    <w:rsid w:val="00EB236F"/>
    <w:rsid w:val="00EB237E"/>
    <w:rsid w:val="00EB6CEB"/>
    <w:rsid w:val="00EC1546"/>
    <w:rsid w:val="00EC15D5"/>
    <w:rsid w:val="00EC4D18"/>
    <w:rsid w:val="00EC5B23"/>
    <w:rsid w:val="00EC5DED"/>
    <w:rsid w:val="00EC6BD8"/>
    <w:rsid w:val="00ED0356"/>
    <w:rsid w:val="00ED0D71"/>
    <w:rsid w:val="00ED3DCD"/>
    <w:rsid w:val="00ED3DD5"/>
    <w:rsid w:val="00ED4FDB"/>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14C3F"/>
    <w:rsid w:val="00F22013"/>
    <w:rsid w:val="00F22356"/>
    <w:rsid w:val="00F226E0"/>
    <w:rsid w:val="00F2522F"/>
    <w:rsid w:val="00F30180"/>
    <w:rsid w:val="00F31A29"/>
    <w:rsid w:val="00F3279A"/>
    <w:rsid w:val="00F37236"/>
    <w:rsid w:val="00F44634"/>
    <w:rsid w:val="00F45473"/>
    <w:rsid w:val="00F505EC"/>
    <w:rsid w:val="00F5088F"/>
    <w:rsid w:val="00F51657"/>
    <w:rsid w:val="00F5223C"/>
    <w:rsid w:val="00F55F69"/>
    <w:rsid w:val="00F57787"/>
    <w:rsid w:val="00F61E82"/>
    <w:rsid w:val="00F6243A"/>
    <w:rsid w:val="00F63323"/>
    <w:rsid w:val="00F636FE"/>
    <w:rsid w:val="00F648B2"/>
    <w:rsid w:val="00F67EBD"/>
    <w:rsid w:val="00F70EA4"/>
    <w:rsid w:val="00F77851"/>
    <w:rsid w:val="00F80FAB"/>
    <w:rsid w:val="00F81AAC"/>
    <w:rsid w:val="00F81E3B"/>
    <w:rsid w:val="00F827E1"/>
    <w:rsid w:val="00F927B5"/>
    <w:rsid w:val="00F94BD0"/>
    <w:rsid w:val="00F95403"/>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7086"/>
    <w:rsid w:val="00FC081F"/>
    <w:rsid w:val="00FC1B94"/>
    <w:rsid w:val="00FC3B26"/>
    <w:rsid w:val="00FC6384"/>
    <w:rsid w:val="00FC6733"/>
    <w:rsid w:val="00FD2677"/>
    <w:rsid w:val="00FD28B8"/>
    <w:rsid w:val="00FD4D00"/>
    <w:rsid w:val="00FE0BD8"/>
    <w:rsid w:val="00FE1709"/>
    <w:rsid w:val="00FE1FC9"/>
    <w:rsid w:val="00FF32DE"/>
    <w:rsid w:val="00FF4205"/>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12FC402E-3C4A-4D9E-A44D-1C36B76C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Titre1">
    <w:name w:val="heading 1"/>
    <w:basedOn w:val="Normal"/>
    <w:next w:val="Normal"/>
    <w:link w:val="Titre1C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Titre2">
    <w:name w:val="heading 2"/>
    <w:basedOn w:val="Normal"/>
    <w:next w:val="Normal"/>
    <w:link w:val="Titre2C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Titre3">
    <w:name w:val="heading 3"/>
    <w:basedOn w:val="Normal"/>
    <w:next w:val="Normal"/>
    <w:link w:val="Titre3C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Titre4">
    <w:name w:val="heading 4"/>
    <w:basedOn w:val="Normal"/>
    <w:next w:val="Normal"/>
    <w:link w:val="Titre4C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Titre5">
    <w:name w:val="heading 5"/>
    <w:basedOn w:val="Normal"/>
    <w:next w:val="Normal"/>
    <w:link w:val="Titre5C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Titre6">
    <w:name w:val="heading 6"/>
    <w:basedOn w:val="Normal"/>
    <w:next w:val="Normal"/>
    <w:link w:val="Titre6C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Titre7">
    <w:name w:val="heading 7"/>
    <w:basedOn w:val="Normal"/>
    <w:next w:val="Normal"/>
    <w:link w:val="Titre7C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Titre8">
    <w:name w:val="heading 8"/>
    <w:basedOn w:val="Normal"/>
    <w:next w:val="Normal"/>
    <w:link w:val="Titre8C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Titre9">
    <w:name w:val="heading 9"/>
    <w:basedOn w:val="Normal"/>
    <w:next w:val="Normal"/>
    <w:link w:val="Titre9C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5B6B12"/>
    <w:pPr>
      <w:spacing w:after="0" w:line="240" w:lineRule="auto"/>
    </w:pPr>
    <w:rPr>
      <w:lang w:val="en-GB"/>
    </w:rPr>
  </w:style>
  <w:style w:type="character" w:customStyle="1" w:styleId="Titre4Car">
    <w:name w:val="Titre 4 Car"/>
    <w:basedOn w:val="Policepardfaut"/>
    <w:link w:val="Titre4"/>
    <w:rsid w:val="00020300"/>
    <w:rPr>
      <w:rFonts w:asciiTheme="majorHAnsi" w:eastAsiaTheme="majorEastAsia" w:hAnsiTheme="majorHAnsi" w:cstheme="majorBidi"/>
      <w:sz w:val="24"/>
      <w:szCs w:val="22"/>
      <w:lang w:val="en-GB" w:eastAsia="en-GB"/>
    </w:rPr>
  </w:style>
  <w:style w:type="character" w:customStyle="1" w:styleId="Titre3Car">
    <w:name w:val="Titre 3 Car"/>
    <w:basedOn w:val="Policepardfaut"/>
    <w:link w:val="Titre3"/>
    <w:rsid w:val="00020300"/>
    <w:rPr>
      <w:rFonts w:asciiTheme="majorHAnsi" w:eastAsiaTheme="majorEastAsia" w:hAnsiTheme="majorHAnsi" w:cstheme="majorBidi"/>
      <w:sz w:val="24"/>
      <w:szCs w:val="24"/>
      <w:lang w:val="en-GB" w:eastAsia="en-GB"/>
    </w:rPr>
  </w:style>
  <w:style w:type="character" w:customStyle="1" w:styleId="Titre1Car">
    <w:name w:val="Titre 1 Car"/>
    <w:basedOn w:val="Policepardfaut"/>
    <w:link w:val="Titre1"/>
    <w:rsid w:val="00FE0BD8"/>
    <w:rPr>
      <w:rFonts w:asciiTheme="majorHAnsi" w:eastAsiaTheme="majorEastAsia" w:hAnsiTheme="majorHAnsi" w:cstheme="majorBidi"/>
      <w:b/>
      <w:sz w:val="32"/>
      <w:szCs w:val="32"/>
      <w:lang w:val="en-GB" w:eastAsia="en-GB"/>
    </w:rPr>
  </w:style>
  <w:style w:type="character" w:customStyle="1" w:styleId="Titre2Car">
    <w:name w:val="Titre 2 Car"/>
    <w:basedOn w:val="Policepardfaut"/>
    <w:link w:val="Titre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Policepardfaut"/>
    <w:link w:val="Subtitle1"/>
    <w:rsid w:val="003C4EB5"/>
    <w:rPr>
      <w:rFonts w:cs="Times New Roman"/>
      <w:b/>
      <w:sz w:val="20"/>
      <w:szCs w:val="24"/>
      <w:lang w:val="en-GB" w:eastAsia="de-DE"/>
    </w:rPr>
  </w:style>
  <w:style w:type="paragraph" w:customStyle="1" w:styleId="Title1">
    <w:name w:val="Title 1"/>
    <w:basedOn w:val="Paragraphedeliste"/>
    <w:link w:val="Title1Char"/>
    <w:autoRedefine/>
    <w:rsid w:val="002574D1"/>
    <w:pPr>
      <w:numPr>
        <w:numId w:val="2"/>
      </w:numPr>
    </w:pPr>
    <w:rPr>
      <w:b/>
      <w:sz w:val="28"/>
    </w:rPr>
  </w:style>
  <w:style w:type="character" w:customStyle="1" w:styleId="Title1Char">
    <w:name w:val="Title 1 Char"/>
    <w:basedOn w:val="Policepardfaut"/>
    <w:link w:val="Title1"/>
    <w:rsid w:val="003C4EB5"/>
    <w:rPr>
      <w:rFonts w:eastAsiaTheme="majorEastAsia" w:cstheme="minorHAnsi"/>
      <w:b/>
      <w:sz w:val="28"/>
      <w:szCs w:val="22"/>
      <w:lang w:val="en-GB" w:eastAsia="en-GB"/>
    </w:rPr>
  </w:style>
  <w:style w:type="paragraph" w:styleId="Paragraphedeliste">
    <w:name w:val="List Paragraph"/>
    <w:aliases w:val="Paragraphe EI,Paragraphe de liste1,EC,Normal Nivel 1,List Paragraph Main,List first level,List Paragraph_Sections"/>
    <w:basedOn w:val="Normal"/>
    <w:link w:val="ParagraphedelisteC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Paragraphedeliste"/>
    <w:link w:val="Title3Char"/>
    <w:autoRedefine/>
    <w:rsid w:val="002574D1"/>
    <w:pPr>
      <w:numPr>
        <w:ilvl w:val="3"/>
        <w:numId w:val="2"/>
      </w:numPr>
    </w:pPr>
  </w:style>
  <w:style w:type="character" w:customStyle="1" w:styleId="Title3Char">
    <w:name w:val="Title 3 Char"/>
    <w:basedOn w:val="Policepardfau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Policepardfau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Policepardfau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Policepardfau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Policepardfau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Policepardfaut"/>
    <w:link w:val="Introductionheading"/>
    <w:rsid w:val="00044C5A"/>
    <w:rPr>
      <w:rFonts w:ascii="Arial" w:eastAsia="Times New Roman" w:hAnsi="Arial" w:cs="Times New Roman"/>
      <w:b/>
      <w:sz w:val="28"/>
      <w:szCs w:val="24"/>
      <w:lang w:val="en-GB" w:eastAsia="de-DE"/>
    </w:rPr>
  </w:style>
  <w:style w:type="character" w:customStyle="1" w:styleId="Titre5Car">
    <w:name w:val="Titre 5 Car"/>
    <w:basedOn w:val="Policepardfaut"/>
    <w:link w:val="Titre5"/>
    <w:uiPriority w:val="9"/>
    <w:rsid w:val="007E7997"/>
    <w:rPr>
      <w:rFonts w:asciiTheme="majorHAnsi" w:eastAsiaTheme="majorEastAsia" w:hAnsiTheme="majorHAnsi" w:cstheme="majorBidi"/>
      <w:sz w:val="24"/>
      <w:szCs w:val="22"/>
      <w:lang w:val="en-GB" w:eastAsia="en-GB"/>
    </w:rPr>
  </w:style>
  <w:style w:type="paragraph" w:styleId="Corpsdetexte">
    <w:name w:val="Body Text"/>
    <w:basedOn w:val="Normal"/>
    <w:link w:val="CorpsdetexteCar"/>
    <w:uiPriority w:val="99"/>
    <w:semiHidden/>
    <w:unhideWhenUsed/>
    <w:rsid w:val="00044C5A"/>
  </w:style>
  <w:style w:type="character" w:customStyle="1" w:styleId="CorpsdetexteCar">
    <w:name w:val="Corps de texte Car"/>
    <w:basedOn w:val="Policepardfaut"/>
    <w:link w:val="Corpsdetexte"/>
    <w:uiPriority w:val="99"/>
    <w:semiHidden/>
    <w:rsid w:val="00044C5A"/>
    <w:rPr>
      <w:rFonts w:ascii="Arial" w:eastAsiaTheme="minorEastAsia" w:hAnsi="Arial"/>
    </w:rPr>
  </w:style>
  <w:style w:type="paragraph" w:styleId="Retrait1religne">
    <w:name w:val="Body Text First Indent"/>
    <w:basedOn w:val="Corpsdetexte"/>
    <w:link w:val="Retrait1religneCar"/>
    <w:uiPriority w:val="99"/>
    <w:semiHidden/>
    <w:unhideWhenUsed/>
    <w:rsid w:val="00044C5A"/>
    <w:pPr>
      <w:ind w:firstLine="360"/>
    </w:pPr>
  </w:style>
  <w:style w:type="character" w:customStyle="1" w:styleId="Retrait1religneCar">
    <w:name w:val="Retrait 1re ligne Car"/>
    <w:basedOn w:val="CorpsdetexteCar"/>
    <w:link w:val="Retrait1religne"/>
    <w:uiPriority w:val="99"/>
    <w:semiHidden/>
    <w:rsid w:val="00044C5A"/>
    <w:rPr>
      <w:rFonts w:ascii="Arial" w:eastAsiaTheme="minorEastAsia" w:hAnsi="Arial"/>
    </w:rPr>
  </w:style>
  <w:style w:type="character" w:customStyle="1" w:styleId="Titre6Car">
    <w:name w:val="Titre 6 Car"/>
    <w:basedOn w:val="Policepardfaut"/>
    <w:link w:val="Titre6"/>
    <w:rsid w:val="00AA054E"/>
    <w:rPr>
      <w:rFonts w:asciiTheme="majorHAnsi" w:eastAsiaTheme="majorEastAsia" w:hAnsiTheme="majorHAnsi" w:cstheme="majorBidi"/>
      <w:i/>
      <w:iCs/>
      <w:color w:val="44546A" w:themeColor="text2"/>
      <w:sz w:val="21"/>
      <w:szCs w:val="21"/>
      <w:lang w:val="en-GB" w:eastAsia="en-GB"/>
    </w:rPr>
  </w:style>
  <w:style w:type="paragraph" w:styleId="Titre">
    <w:name w:val="Title"/>
    <w:basedOn w:val="Normal"/>
    <w:next w:val="Normal"/>
    <w:link w:val="TitreC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reCar">
    <w:name w:val="Titre Car"/>
    <w:basedOn w:val="Policepardfaut"/>
    <w:link w:val="Titr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ous-titre">
    <w:name w:val="Subtitle"/>
    <w:basedOn w:val="Normal"/>
    <w:next w:val="Normal"/>
    <w:link w:val="Sous-titreCar"/>
    <w:uiPriority w:val="11"/>
    <w:qFormat/>
    <w:rsid w:val="00366D42"/>
    <w:pPr>
      <w:numPr>
        <w:ilvl w:val="1"/>
      </w:numPr>
    </w:pPr>
    <w:rPr>
      <w:rFonts w:asciiTheme="majorHAnsi" w:eastAsiaTheme="majorEastAsia" w:hAnsiTheme="majorHAnsi" w:cstheme="majorBidi"/>
      <w:b/>
      <w:sz w:val="28"/>
    </w:rPr>
  </w:style>
  <w:style w:type="character" w:customStyle="1" w:styleId="Sous-titreCar">
    <w:name w:val="Sous-titre Car"/>
    <w:basedOn w:val="Policepardfaut"/>
    <w:link w:val="Sous-titre"/>
    <w:uiPriority w:val="11"/>
    <w:rsid w:val="00366D42"/>
    <w:rPr>
      <w:rFonts w:asciiTheme="majorHAnsi" w:eastAsiaTheme="majorEastAsia" w:hAnsiTheme="majorHAnsi" w:cstheme="majorBidi"/>
      <w:b/>
      <w:sz w:val="28"/>
      <w:szCs w:val="24"/>
      <w:lang w:val="en-GB"/>
    </w:rPr>
  </w:style>
  <w:style w:type="character" w:customStyle="1" w:styleId="Titre7Car">
    <w:name w:val="Titre 7 Car"/>
    <w:basedOn w:val="Policepardfaut"/>
    <w:link w:val="Titre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Titre8Car">
    <w:name w:val="Titre 8 Car"/>
    <w:basedOn w:val="Policepardfaut"/>
    <w:link w:val="Titre8"/>
    <w:rsid w:val="00AA054E"/>
    <w:rPr>
      <w:rFonts w:asciiTheme="majorHAnsi" w:eastAsiaTheme="majorEastAsia" w:hAnsiTheme="majorHAnsi" w:cstheme="majorBidi"/>
      <w:b/>
      <w:bCs/>
      <w:color w:val="44546A" w:themeColor="text2"/>
      <w:sz w:val="24"/>
      <w:szCs w:val="24"/>
      <w:lang w:val="en-GB" w:eastAsia="en-GB"/>
    </w:rPr>
  </w:style>
  <w:style w:type="character" w:customStyle="1" w:styleId="Titre9Car">
    <w:name w:val="Titre 9 Car"/>
    <w:basedOn w:val="Policepardfaut"/>
    <w:link w:val="Titre9"/>
    <w:rsid w:val="00AA054E"/>
    <w:rPr>
      <w:rFonts w:asciiTheme="majorHAnsi" w:eastAsiaTheme="majorEastAsia" w:hAnsiTheme="majorHAnsi" w:cstheme="majorBidi"/>
      <w:b/>
      <w:bCs/>
      <w:i/>
      <w:iCs/>
      <w:color w:val="44546A" w:themeColor="text2"/>
      <w:sz w:val="24"/>
      <w:szCs w:val="24"/>
      <w:lang w:val="en-GB" w:eastAsia="en-GB"/>
    </w:rPr>
  </w:style>
  <w:style w:type="paragraph" w:styleId="Lgende">
    <w:name w:val="caption"/>
    <w:basedOn w:val="Normal"/>
    <w:next w:val="Normal"/>
    <w:uiPriority w:val="35"/>
    <w:semiHidden/>
    <w:unhideWhenUsed/>
    <w:qFormat/>
    <w:rsid w:val="00AA054E"/>
    <w:rPr>
      <w:b/>
      <w:bCs/>
      <w:smallCaps/>
      <w:color w:val="595959" w:themeColor="text1" w:themeTint="A6"/>
      <w:spacing w:val="6"/>
    </w:rPr>
  </w:style>
  <w:style w:type="character" w:styleId="lev">
    <w:name w:val="Strong"/>
    <w:basedOn w:val="Policepardfaut"/>
    <w:uiPriority w:val="22"/>
    <w:qFormat/>
    <w:rsid w:val="00AA054E"/>
    <w:rPr>
      <w:b/>
      <w:bCs/>
    </w:rPr>
  </w:style>
  <w:style w:type="character" w:styleId="Accentuation">
    <w:name w:val="Emphasis"/>
    <w:basedOn w:val="Policepardfaut"/>
    <w:uiPriority w:val="20"/>
    <w:qFormat/>
    <w:rsid w:val="00AA054E"/>
    <w:rPr>
      <w:i/>
      <w:iCs/>
    </w:rPr>
  </w:style>
  <w:style w:type="paragraph" w:styleId="Citation">
    <w:name w:val="Quote"/>
    <w:basedOn w:val="Normal"/>
    <w:next w:val="Normal"/>
    <w:link w:val="CitationCar"/>
    <w:uiPriority w:val="29"/>
    <w:qFormat/>
    <w:rsid w:val="00AA054E"/>
    <w:pPr>
      <w:spacing w:before="160"/>
      <w:ind w:left="720" w:right="720"/>
    </w:pPr>
    <w:rPr>
      <w:i/>
      <w:iCs/>
      <w:color w:val="404040" w:themeColor="text1" w:themeTint="BF"/>
    </w:rPr>
  </w:style>
  <w:style w:type="character" w:customStyle="1" w:styleId="CitationCar">
    <w:name w:val="Citation Car"/>
    <w:basedOn w:val="Policepardfaut"/>
    <w:link w:val="Citation"/>
    <w:uiPriority w:val="29"/>
    <w:rsid w:val="00AA054E"/>
    <w:rPr>
      <w:i/>
      <w:iCs/>
      <w:color w:val="404040" w:themeColor="text1" w:themeTint="BF"/>
    </w:rPr>
  </w:style>
  <w:style w:type="paragraph" w:styleId="Citationintense">
    <w:name w:val="Intense Quote"/>
    <w:basedOn w:val="Normal"/>
    <w:next w:val="Normal"/>
    <w:link w:val="CitationintenseC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CitationintenseCar">
    <w:name w:val="Citation intense Car"/>
    <w:basedOn w:val="Policepardfaut"/>
    <w:link w:val="Citationintense"/>
    <w:uiPriority w:val="30"/>
    <w:rsid w:val="00AA054E"/>
    <w:rPr>
      <w:rFonts w:asciiTheme="majorHAnsi" w:eastAsiaTheme="majorEastAsia" w:hAnsiTheme="majorHAnsi" w:cstheme="majorBidi"/>
      <w:color w:val="5B9BD5" w:themeColor="accent1"/>
      <w:sz w:val="28"/>
      <w:szCs w:val="28"/>
    </w:rPr>
  </w:style>
  <w:style w:type="character" w:styleId="Accentuationlgre">
    <w:name w:val="Subtle Emphasis"/>
    <w:aliases w:val="Text,Emphase pâle,Diskret betoning"/>
    <w:basedOn w:val="Policepardfaut"/>
    <w:uiPriority w:val="19"/>
    <w:qFormat/>
    <w:rsid w:val="00287C8F"/>
    <w:rPr>
      <w:rFonts w:asciiTheme="majorHAnsi" w:hAnsiTheme="majorHAnsi"/>
      <w:i/>
      <w:iCs/>
      <w:color w:val="auto"/>
      <w:sz w:val="22"/>
    </w:rPr>
  </w:style>
  <w:style w:type="character" w:styleId="Accentuationintense">
    <w:name w:val="Intense Emphasis"/>
    <w:basedOn w:val="Policepardfaut"/>
    <w:uiPriority w:val="21"/>
    <w:qFormat/>
    <w:rsid w:val="00AA054E"/>
    <w:rPr>
      <w:b/>
      <w:bCs/>
      <w:i/>
      <w:iCs/>
    </w:rPr>
  </w:style>
  <w:style w:type="character" w:styleId="Rfrencelgre">
    <w:name w:val="Subtle Reference"/>
    <w:basedOn w:val="Policepardfaut"/>
    <w:uiPriority w:val="31"/>
    <w:qFormat/>
    <w:rsid w:val="00AA054E"/>
    <w:rPr>
      <w:smallCaps/>
      <w:color w:val="404040" w:themeColor="text1" w:themeTint="BF"/>
      <w:u w:val="single" w:color="7F7F7F" w:themeColor="text1" w:themeTint="80"/>
    </w:rPr>
  </w:style>
  <w:style w:type="character" w:styleId="Rfrenceintense">
    <w:name w:val="Intense Reference"/>
    <w:basedOn w:val="Policepardfaut"/>
    <w:uiPriority w:val="32"/>
    <w:qFormat/>
    <w:rsid w:val="00AA054E"/>
    <w:rPr>
      <w:b/>
      <w:bCs/>
      <w:smallCaps/>
      <w:spacing w:val="5"/>
      <w:u w:val="single"/>
    </w:rPr>
  </w:style>
  <w:style w:type="character" w:styleId="Titredulivre">
    <w:name w:val="Book Title"/>
    <w:basedOn w:val="Policepardfaut"/>
    <w:uiPriority w:val="33"/>
    <w:qFormat/>
    <w:rsid w:val="00AA054E"/>
    <w:rPr>
      <w:b/>
      <w:bCs/>
      <w:smallCaps/>
    </w:rPr>
  </w:style>
  <w:style w:type="paragraph" w:styleId="En-ttedetabledesmatires">
    <w:name w:val="TOC Heading"/>
    <w:basedOn w:val="Titre1"/>
    <w:next w:val="Normal"/>
    <w:uiPriority w:val="39"/>
    <w:unhideWhenUsed/>
    <w:qFormat/>
    <w:rsid w:val="00AA054E"/>
    <w:pPr>
      <w:outlineLvl w:val="9"/>
    </w:pPr>
  </w:style>
  <w:style w:type="character" w:customStyle="1" w:styleId="SansinterligneCar">
    <w:name w:val="Sans interligne Car"/>
    <w:basedOn w:val="Policepardfaut"/>
    <w:link w:val="Sansinterligne"/>
    <w:uiPriority w:val="1"/>
    <w:rsid w:val="005B6B12"/>
    <w:rPr>
      <w:lang w:val="en-GB"/>
    </w:rPr>
  </w:style>
  <w:style w:type="paragraph" w:styleId="En-tte">
    <w:name w:val="header"/>
    <w:basedOn w:val="Normal"/>
    <w:link w:val="En-tteCar"/>
    <w:unhideWhenUsed/>
    <w:qFormat/>
    <w:rsid w:val="007E7997"/>
    <w:pPr>
      <w:tabs>
        <w:tab w:val="center" w:pos="4536"/>
        <w:tab w:val="right" w:pos="9072"/>
      </w:tabs>
    </w:pPr>
  </w:style>
  <w:style w:type="character" w:customStyle="1" w:styleId="En-tteCar">
    <w:name w:val="En-tête Car"/>
    <w:basedOn w:val="Policepardfaut"/>
    <w:link w:val="En-tte"/>
    <w:rsid w:val="007E7997"/>
    <w:rPr>
      <w:sz w:val="22"/>
    </w:rPr>
  </w:style>
  <w:style w:type="paragraph" w:styleId="Pieddepage">
    <w:name w:val="footer"/>
    <w:basedOn w:val="Normal"/>
    <w:link w:val="PieddepageCar"/>
    <w:uiPriority w:val="99"/>
    <w:unhideWhenUsed/>
    <w:rsid w:val="007E7997"/>
    <w:pPr>
      <w:tabs>
        <w:tab w:val="center" w:pos="4536"/>
        <w:tab w:val="right" w:pos="9072"/>
      </w:tabs>
    </w:pPr>
  </w:style>
  <w:style w:type="character" w:customStyle="1" w:styleId="PieddepageCar">
    <w:name w:val="Pied de page Car"/>
    <w:basedOn w:val="Policepardfaut"/>
    <w:link w:val="Pieddepage"/>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M1">
    <w:name w:val="toc 1"/>
    <w:basedOn w:val="Normal"/>
    <w:next w:val="Normal"/>
    <w:autoRedefine/>
    <w:uiPriority w:val="39"/>
    <w:unhideWhenUsed/>
    <w:rsid w:val="00B81A44"/>
    <w:pPr>
      <w:tabs>
        <w:tab w:val="left" w:pos="440"/>
        <w:tab w:val="right" w:leader="dot" w:pos="9062"/>
      </w:tabs>
      <w:spacing w:after="100"/>
    </w:pPr>
  </w:style>
  <w:style w:type="paragraph" w:styleId="TM2">
    <w:name w:val="toc 2"/>
    <w:basedOn w:val="Normal"/>
    <w:next w:val="Normal"/>
    <w:autoRedefine/>
    <w:uiPriority w:val="39"/>
    <w:unhideWhenUsed/>
    <w:rsid w:val="00BC422A"/>
    <w:pPr>
      <w:spacing w:after="100"/>
      <w:ind w:left="220"/>
    </w:pPr>
  </w:style>
  <w:style w:type="paragraph" w:styleId="TM3">
    <w:name w:val="toc 3"/>
    <w:basedOn w:val="Normal"/>
    <w:next w:val="Normal"/>
    <w:autoRedefine/>
    <w:uiPriority w:val="39"/>
    <w:unhideWhenUsed/>
    <w:rsid w:val="00BC422A"/>
    <w:pPr>
      <w:spacing w:after="100"/>
      <w:ind w:left="440"/>
    </w:pPr>
  </w:style>
  <w:style w:type="character" w:styleId="Lienhypertexte">
    <w:name w:val="Hyperlink"/>
    <w:basedOn w:val="Policepardfau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Policepardfau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Policepardfaut"/>
    <w:link w:val="Listing2"/>
    <w:rsid w:val="00DF3785"/>
    <w:rPr>
      <w:lang w:val="en-GB"/>
    </w:rPr>
  </w:style>
  <w:style w:type="table" w:styleId="Grilledutableau">
    <w:name w:val="Table Grid"/>
    <w:basedOn w:val="Tableau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fin">
    <w:name w:val="endnote text"/>
    <w:basedOn w:val="Normal"/>
    <w:link w:val="NotedefinCar"/>
    <w:uiPriority w:val="99"/>
    <w:semiHidden/>
    <w:unhideWhenUsed/>
    <w:rsid w:val="00B50534"/>
  </w:style>
  <w:style w:type="character" w:customStyle="1" w:styleId="NotedefinCar">
    <w:name w:val="Note de fin Car"/>
    <w:basedOn w:val="Policepardfaut"/>
    <w:link w:val="Notedefin"/>
    <w:uiPriority w:val="99"/>
    <w:semiHidden/>
    <w:rsid w:val="00B50534"/>
    <w:rPr>
      <w:lang w:val="en-GB"/>
    </w:rPr>
  </w:style>
  <w:style w:type="character" w:styleId="Appeldenotedefin">
    <w:name w:val="endnote reference"/>
    <w:basedOn w:val="Policepardfaut"/>
    <w:uiPriority w:val="99"/>
    <w:semiHidden/>
    <w:unhideWhenUsed/>
    <w:rsid w:val="00B50534"/>
    <w:rPr>
      <w:vertAlign w:val="superscript"/>
    </w:rPr>
  </w:style>
  <w:style w:type="paragraph" w:styleId="Notedebasdepage">
    <w:name w:val="footnote text"/>
    <w:basedOn w:val="Normal"/>
    <w:link w:val="NotedebasdepageCar"/>
    <w:autoRedefine/>
    <w:uiPriority w:val="99"/>
    <w:semiHidden/>
    <w:unhideWhenUsed/>
    <w:qFormat/>
    <w:rsid w:val="006F53E8"/>
    <w:rPr>
      <w:sz w:val="16"/>
    </w:rPr>
  </w:style>
  <w:style w:type="character" w:customStyle="1" w:styleId="NotedebasdepageCar">
    <w:name w:val="Note de bas de page Car"/>
    <w:basedOn w:val="Policepardfaut"/>
    <w:link w:val="Notedebasdepage"/>
    <w:uiPriority w:val="99"/>
    <w:semiHidden/>
    <w:rsid w:val="006F53E8"/>
    <w:rPr>
      <w:sz w:val="16"/>
      <w:lang w:val="en-GB"/>
    </w:rPr>
  </w:style>
  <w:style w:type="character" w:styleId="Appelnotedebasdep">
    <w:name w:val="footnote reference"/>
    <w:aliases w:val="SUPERS,Footnote reference number,Footnote symbol,note TESI,-E Fußnotenzeichen,number,BVI fnr,Footnote Reference Superscript,(Footnote Reference),EN Footnote Reference,Voetnootverwijzing,Times 10 Point,Exposant 3 Poi,16 Point"/>
    <w:basedOn w:val="Policepardfaut"/>
    <w:uiPriority w:val="99"/>
    <w:unhideWhenUsed/>
    <w:qFormat/>
    <w:rsid w:val="00A91D91"/>
    <w:rPr>
      <w:rFonts w:asciiTheme="majorHAnsi" w:hAnsiTheme="majorHAnsi"/>
      <w:sz w:val="16"/>
      <w:vertAlign w:val="superscript"/>
    </w:rPr>
  </w:style>
  <w:style w:type="paragraph" w:customStyle="1" w:styleId="Footnote">
    <w:name w:val="Footnote"/>
    <w:basedOn w:val="Notedebasdepage"/>
    <w:link w:val="FootnoteChar"/>
    <w:rsid w:val="00B50534"/>
    <w:rPr>
      <w:lang w:val="nl-BE"/>
    </w:rPr>
  </w:style>
  <w:style w:type="character" w:customStyle="1" w:styleId="FootnoteChar">
    <w:name w:val="Footnote Char"/>
    <w:basedOn w:val="NotedebasdepageCar"/>
    <w:link w:val="Footnote"/>
    <w:rsid w:val="00B50534"/>
    <w:rPr>
      <w:sz w:val="16"/>
      <w:lang w:val="en-GB"/>
    </w:rPr>
  </w:style>
  <w:style w:type="table" w:customStyle="1" w:styleId="GridTable4-Accent11">
    <w:name w:val="Grid Table 4 - Accent 11"/>
    <w:basedOn w:val="Tableau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Textedebulles">
    <w:name w:val="Balloon Text"/>
    <w:basedOn w:val="Normal"/>
    <w:link w:val="TextedebullesCar"/>
    <w:uiPriority w:val="99"/>
    <w:semiHidden/>
    <w:unhideWhenUsed/>
    <w:rsid w:val="003C167E"/>
    <w:rPr>
      <w:rFonts w:ascii="Tahoma" w:hAnsi="Tahoma" w:cs="Tahoma"/>
      <w:sz w:val="16"/>
      <w:szCs w:val="16"/>
    </w:rPr>
  </w:style>
  <w:style w:type="character" w:customStyle="1" w:styleId="TextedebullesCar">
    <w:name w:val="Texte de bulles Car"/>
    <w:basedOn w:val="Policepardfaut"/>
    <w:link w:val="Textedebulles"/>
    <w:uiPriority w:val="99"/>
    <w:semiHidden/>
    <w:rsid w:val="003C167E"/>
    <w:rPr>
      <w:rFonts w:ascii="Tahoma" w:hAnsi="Tahoma" w:cs="Tahoma"/>
      <w:sz w:val="16"/>
      <w:szCs w:val="16"/>
      <w:lang w:val="en-GB"/>
    </w:rPr>
  </w:style>
  <w:style w:type="character" w:styleId="Marquedecommentaire">
    <w:name w:val="annotation reference"/>
    <w:basedOn w:val="Policepardfaut"/>
    <w:uiPriority w:val="99"/>
    <w:semiHidden/>
    <w:unhideWhenUsed/>
    <w:rsid w:val="00FA2400"/>
    <w:rPr>
      <w:sz w:val="16"/>
      <w:szCs w:val="16"/>
    </w:rPr>
  </w:style>
  <w:style w:type="paragraph" w:styleId="Commentaire">
    <w:name w:val="annotation text"/>
    <w:basedOn w:val="Normal"/>
    <w:link w:val="CommentaireCar"/>
    <w:uiPriority w:val="99"/>
    <w:unhideWhenUsed/>
    <w:rsid w:val="00FA2400"/>
    <w:rPr>
      <w:sz w:val="20"/>
    </w:rPr>
  </w:style>
  <w:style w:type="character" w:customStyle="1" w:styleId="CommentaireCar">
    <w:name w:val="Commentaire Car"/>
    <w:basedOn w:val="Policepardfaut"/>
    <w:link w:val="Commentaire"/>
    <w:uiPriority w:val="99"/>
    <w:rsid w:val="00FA2400"/>
    <w:rPr>
      <w:lang w:val="en-GB"/>
    </w:rPr>
  </w:style>
  <w:style w:type="paragraph" w:styleId="Objetducommentaire">
    <w:name w:val="annotation subject"/>
    <w:basedOn w:val="Commentaire"/>
    <w:next w:val="Commentaire"/>
    <w:link w:val="ObjetducommentaireCar"/>
    <w:uiPriority w:val="99"/>
    <w:semiHidden/>
    <w:unhideWhenUsed/>
    <w:rsid w:val="00FA2400"/>
    <w:rPr>
      <w:b/>
      <w:bCs/>
    </w:rPr>
  </w:style>
  <w:style w:type="character" w:customStyle="1" w:styleId="ObjetducommentaireCar">
    <w:name w:val="Objet du commentaire Car"/>
    <w:basedOn w:val="CommentaireCar"/>
    <w:link w:val="Objetducommentaire"/>
    <w:uiPriority w:val="99"/>
    <w:semiHidden/>
    <w:rsid w:val="00FA2400"/>
    <w:rPr>
      <w:b/>
      <w:bCs/>
      <w:lang w:val="en-GB"/>
    </w:rPr>
  </w:style>
  <w:style w:type="paragraph" w:styleId="R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Lienhypertextesuivivisit">
    <w:name w:val="FollowedHyperlink"/>
    <w:basedOn w:val="Policepardfau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Policepardfau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auNormal"/>
    <w:next w:val="Grilledutableau"/>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aliases w:val="Paragraphe EI Car,Paragraphe de liste1 Car,EC Car,Normal Nivel 1 Car,List Paragraph Main Car,List first level Car,List Paragraph_Sections Car"/>
    <w:basedOn w:val="Policepardfaut"/>
    <w:link w:val="Paragraphedeliste"/>
    <w:uiPriority w:val="34"/>
    <w:rsid w:val="00695AF2"/>
    <w:rPr>
      <w:rFonts w:eastAsiaTheme="majorEastAsia" w:cstheme="minorHAnsi"/>
      <w:sz w:val="22"/>
      <w:szCs w:val="22"/>
      <w:lang w:val="en-GB" w:eastAsia="en-GB"/>
    </w:rPr>
  </w:style>
  <w:style w:type="table" w:customStyle="1" w:styleId="TableGrid3">
    <w:name w:val="Table Grid3"/>
    <w:basedOn w:val="Tableau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auNormal"/>
    <w:next w:val="Grilledutableau"/>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lev"/>
    <w:uiPriority w:val="1"/>
    <w:qFormat/>
    <w:rsid w:val="00FA64BE"/>
    <w:rPr>
      <w:b w:val="0"/>
      <w:bCs/>
      <w:caps/>
      <w:smallCaps w:val="0"/>
      <w:color w:val="70AD47" w:themeColor="accent6"/>
      <w:sz w:val="22"/>
    </w:rPr>
  </w:style>
  <w:style w:type="paragraph" w:customStyle="1" w:styleId="Paragraph">
    <w:name w:val="Paragraph"/>
    <w:basedOn w:val="Paragraphedeliste"/>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Policepardfaut"/>
    <w:link w:val="Paragraph"/>
    <w:rsid w:val="00CB0C0C"/>
    <w:rPr>
      <w:rFonts w:ascii="Arial" w:hAnsi="Arial" w:cs="Arial"/>
      <w:color w:val="1A1A1A" w:themeColor="background1" w:themeShade="1A"/>
      <w:sz w:val="22"/>
      <w:szCs w:val="22"/>
      <w:lang w:val="en-GB" w:eastAsia="en-GB"/>
    </w:rPr>
  </w:style>
  <w:style w:type="character" w:customStyle="1" w:styleId="normaltextrun">
    <w:name w:val="normaltextrun"/>
    <w:basedOn w:val="Policepardfaut"/>
    <w:rsid w:val="00FC081F"/>
  </w:style>
  <w:style w:type="character" w:customStyle="1" w:styleId="eop">
    <w:name w:val="eop"/>
    <w:basedOn w:val="Policepardfaut"/>
    <w:rsid w:val="00FC08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olicy Document" ma:contentTypeID="0x01010027D61B08324E424895FDA0DDD821312D02001CC94A2DC0878047AC79B02E1A10AE02" ma:contentTypeVersion="26" ma:contentTypeDescription="" ma:contentTypeScope="" ma:versionID="6f488500bae95708088b3fc3aa0ff7d6">
  <xsd:schema xmlns:xsd="http://www.w3.org/2001/XMLSchema" xmlns:xs="http://www.w3.org/2001/XMLSchema" xmlns:p="http://schemas.microsoft.com/office/2006/metadata/properties" xmlns:ns2="d0fb0f98-34f9-4d57-9559-eb8efd17aa5e" xmlns:ns3="85a93b33-139e-46e0-b278-f2636ec41d6c" xmlns:ns4="http://schemas.microsoft.com/sharepoint/v4" targetNamespace="http://schemas.microsoft.com/office/2006/metadata/properties" ma:root="true" ma:fieldsID="3df2a5322de19772e33045280ac2c293" ns2:_="" ns3:_="" ns4:_="">
    <xsd:import namespace="d0fb0f98-34f9-4d57-9559-eb8efd17aa5e"/>
    <xsd:import namespace="85a93b33-139e-46e0-b278-f2636ec41d6c"/>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f289fbc384b1484ea5f6ff6b522b513c" minOccurs="0"/>
                <xsd:element ref="ns2:TaxCatchAllLabel" minOccurs="0"/>
                <xsd:element ref="ns2:dd0664d3f47447a8943f346211d0253e" minOccurs="0"/>
                <xsd:element ref="ns2:hb56520e44e642c88c7a09896d1bc2ee" minOccurs="0"/>
                <xsd:element ref="ns2:ab8b5864a6dc4f2ea5aeb44d6d375f74" minOccurs="0"/>
                <xsd:element ref="ns2:k47b2c662a4d451c94b6991b27ccdf61" minOccurs="0"/>
                <xsd:element ref="ns2:i3322e601ac8421cbd1b686355963f37"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4:IconOverla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5b907423-e2da-4975-b472-6afe0f796169}"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f289fbc384b1484ea5f6ff6b522b513c" ma:index="17" nillable="true" ma:taxonomy="true" ma:internalName="f289fbc384b1484ea5f6ff6b522b513c" ma:taxonomyFieldName="DocumentType" ma:displayName="Document Type" ma:readOnly="false" ma:default="-1;#Note|b9e1c92e-303a-4555-86f0-5c711c65937e" ma:fieldId="{f289fbc3-84b1-484e-a5f6-ff6b522b513c}"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5b907423-e2da-4975-b472-6afe0f796169}"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dd0664d3f47447a8943f346211d0253e" ma:index="19" ma:taxonomy="true" ma:internalName="dd0664d3f47447a8943f346211d0253e" ma:taxonomyFieldName="ConfidentialityLevel" ma:displayName="Confidentiality Level" ma:readOnly="false" ma:default="8;#Regular|07f1e362-856b-423d-bea6-a14079762141" ma:fieldId="{dd0664d3-f474-47a8-943f-346211d0253e}"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hb56520e44e642c88c7a09896d1bc2ee" ma:index="20" nillable="true" ma:taxonomy="true" ma:internalName="hb56520e44e642c88c7a09896d1bc2ee" ma:taxonomyFieldName="EsmaAudience" ma:displayName="Audience" ma:readOnly="false" ma:fieldId="{1b56520e-44e6-42c8-8c7a-09896d1bc2ee}"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ab8b5864a6dc4f2ea5aeb44d6d375f74" ma:index="21" nillable="true" ma:taxonomy="true" ma:internalName="ab8b5864a6dc4f2ea5aeb44d6d375f74" ma:taxonomyFieldName="Topic" ma:displayName="Topic" ma:readOnly="false" ma:default="" ma:fieldId="{ab8b5864-a6dc-4f2e-a5ae-b44d6d375f74}" ma:sspId="d4b01e31-ead0-4f68-a8e9-2aaca35f2e62" ma:termSetId="62b2e372-4427-4135-8089-e892b057348d" ma:anchorId="00000000-0000-0000-0000-000000000000" ma:open="true" ma:isKeyword="false">
      <xsd:complexType>
        <xsd:sequence>
          <xsd:element ref="pc:Terms" minOccurs="0" maxOccurs="1"/>
        </xsd:sequence>
      </xsd:complexType>
    </xsd:element>
    <xsd:element name="k47b2c662a4d451c94b6991b27ccdf61" ma:index="22" nillable="true" ma:taxonomy="true" ma:internalName="k47b2c662a4d451c94b6991b27ccdf61" ma:taxonomyFieldName="SubTopic" ma:displayName="Sub Topic" ma:readOnly="false" ma:default="" ma:fieldId="{447b2c66-2a4d-451c-94b6-991b27ccdf61}" ma:sspId="d4b01e31-ead0-4f68-a8e9-2aaca35f2e62" ma:termSetId="714f31ba-385c-4cd5-bfdf-fc4e6400a430" ma:anchorId="00000000-0000-0000-0000-000000000000" ma:open="true" ma:isKeyword="false">
      <xsd:complexType>
        <xsd:sequence>
          <xsd:element ref="pc:Terms" minOccurs="0" maxOccurs="1"/>
        </xsd:sequence>
      </xsd:complexType>
    </xsd:element>
    <xsd:element name="i3322e601ac8421cbd1b686355963f37" ma:index="23" nillable="true" ma:taxonomy="true" ma:internalName="i3322e601ac8421cbd1b686355963f37" ma:taxonomyFieldName="TeamName" ma:displayName="Team Name" ma:readOnly="false" ma:fieldId="{23322e60-1ac8-421c-bd1b-686355963f37}"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a93b33-139e-46e0-b278-f2636ec41d6c"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d0fb0f98-34f9-4d57-9559-eb8efd17aa5e">ESMA84-2037069784-2285</_dlc_DocId>
    <TaxCatchAll xmlns="d0fb0f98-34f9-4d57-9559-eb8efd17aa5e">
      <Value>425</Value>
      <Value>500</Value>
      <Value>9</Value>
      <Value>8</Value>
      <Value>86</Value>
    </TaxCatchAll>
    <_dlc_DocIdUrl xmlns="d0fb0f98-34f9-4d57-9559-eb8efd17aa5e">
      <Url>https://securitiesandmarketsauth.sharepoint.com/sites/sherpa-craunit/_layouts/15/DocIdRedir.aspx?ID=ESMA84-2037069784-2285</Url>
      <Description>ESMA84-2037069784-2285</Description>
    </_dlc_DocIdUrl>
    <Year xmlns="d0fb0f98-34f9-4d57-9559-eb8efd17aa5e">2024</Year>
    <MeetingDate xmlns="d0fb0f98-34f9-4d57-9559-eb8efd17aa5e" xsi:nil="true"/>
    <dd0664d3f47447a8943f346211d0253e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dd0664d3f47447a8943f346211d0253e>
    <f289fbc384b1484ea5f6ff6b522b513c xmlns="d0fb0f98-34f9-4d57-9559-eb8efd17aa5e">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f289fbc384b1484ea5f6ff6b522b513c>
    <ab8b5864a6dc4f2ea5aeb44d6d375f74 xmlns="d0fb0f98-34f9-4d57-9559-eb8efd17aa5e">
      <Terms xmlns="http://schemas.microsoft.com/office/infopath/2007/PartnerControls">
        <TermInfo xmlns="http://schemas.microsoft.com/office/infopath/2007/PartnerControls">
          <TermName xmlns="http://schemas.microsoft.com/office/infopath/2007/PartnerControls">European Green Bonds</TermName>
          <TermId xmlns="http://schemas.microsoft.com/office/infopath/2007/PartnerControls">f68cfe7f-8b0c-4445-b5d7-ad808afd8270</TermId>
        </TermInfo>
      </Terms>
    </ab8b5864a6dc4f2ea5aeb44d6d375f74>
    <i3322e601ac8421cbd1b686355963f37 xmlns="d0fb0f98-34f9-4d57-9559-eb8efd17aa5e">
      <Terms xmlns="http://schemas.microsoft.com/office/infopath/2007/PartnerControls">
        <TermInfo xmlns="http://schemas.microsoft.com/office/infopath/2007/PartnerControls">
          <TermName xmlns="http://schemas.microsoft.com/office/infopath/2007/PartnerControls">Credit Ratings Agency Unit</TermName>
          <TermId xmlns="http://schemas.microsoft.com/office/infopath/2007/PartnerControls">ac587c9e-f6a3-4205-8197-96cf16201777</TermId>
        </TermInfo>
      </Terms>
    </i3322e601ac8421cbd1b686355963f37>
    <k47b2c662a4d451c94b6991b27ccdf61 xmlns="d0fb0f98-34f9-4d57-9559-eb8efd17aa5e">
      <Terms xmlns="http://schemas.microsoft.com/office/infopath/2007/PartnerControls">
        <TermInfo xmlns="http://schemas.microsoft.com/office/infopath/2007/PartnerControls">
          <TermName xmlns="http://schemas.microsoft.com/office/infopath/2007/PartnerControls">Qualification of crypto-assets - ESMA Guidelines on classification</TermName>
          <TermId xmlns="http://schemas.microsoft.com/office/infopath/2007/PartnerControls">4332d316-c095-4f91-9af2-56426177b6b7</TermId>
        </TermInfo>
      </Terms>
    </k47b2c662a4d451c94b6991b27ccdf61>
    <hb56520e44e642c88c7a09896d1bc2ee xmlns="d0fb0f98-34f9-4d57-9559-eb8efd17aa5e">
      <Terms xmlns="http://schemas.microsoft.com/office/infopath/2007/PartnerControls"/>
    </hb56520e44e642c88c7a09896d1bc2ee>
    <IconOverlay xmlns="http://schemas.microsoft.com/sharepoint/v4" xsi:nil="true"/>
  </documentManagement>
</p:properties>
</file>

<file path=customXml/itemProps1.xml><?xml version="1.0" encoding="utf-8"?>
<ds:datastoreItem xmlns:ds="http://schemas.openxmlformats.org/officeDocument/2006/customXml" ds:itemID="{A2427B20-4B54-4527-A38C-7303C74BA0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85a93b33-139e-46e0-b278-f2636ec41d6c"/>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4FA6A0-161D-491E-A20C-FF2A62A7B680}">
  <ds:schemaRefs>
    <ds:schemaRef ds:uri="http://schemas.microsoft.com/sharepoint/events"/>
  </ds:schemaRefs>
</ds:datastoreItem>
</file>

<file path=customXml/itemProps3.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4.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5.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d0fb0f98-34f9-4d57-9559-eb8efd17aa5e"/>
    <ds:schemaRef ds:uri="http://schemas.microsoft.com/sharepoint/v4"/>
  </ds:schemaRefs>
</ds:datastoreItem>
</file>

<file path=docMetadata/LabelInfo.xml><?xml version="1.0" encoding="utf-8"?>
<clbl:labelList xmlns:clbl="http://schemas.microsoft.com/office/2020/mipLabelMetadata">
  <clbl:label id="{285f4823-41f1-4bc9-ad03-346e3fbcafd9}" enabled="0" method="" siteId="{285f4823-41f1-4bc9-ad03-346e3fbcafd9}" removed="1"/>
</clbl:labelList>
</file>

<file path=docProps/app.xml><?xml version="1.0" encoding="utf-8"?>
<Properties xmlns="http://schemas.openxmlformats.org/officeDocument/2006/extended-properties" xmlns:vt="http://schemas.openxmlformats.org/officeDocument/2006/docPropsVTypes">
  <Template>GuidelinesAndRecommendations_Template_Regular</Template>
  <TotalTime>12</TotalTime>
  <Pages>13</Pages>
  <Words>3506</Words>
  <Characters>19286</Characters>
  <Application>Microsoft Office Word</Application>
  <DocSecurity>0</DocSecurity>
  <Lines>160</Lines>
  <Paragraphs>45</Paragraphs>
  <ScaleCrop>false</ScaleCrop>
  <Company>ESMA</Company>
  <LinksUpToDate>false</LinksUpToDate>
  <CharactersWithSpaces>22747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Julia Haake</cp:lastModifiedBy>
  <cp:revision>16</cp:revision>
  <cp:lastPrinted>2017-07-24T14:47:00Z</cp:lastPrinted>
  <dcterms:created xsi:type="dcterms:W3CDTF">2025-06-20T14:28:00Z</dcterms:created>
  <dcterms:modified xsi:type="dcterms:W3CDTF">2025-06-20T14:41:00Z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8;#Regular|07f1e362-856b-423d-bea6-a14079762141</vt:lpwstr>
  </property>
  <property fmtid="{D5CDD505-2E9C-101B-9397-08002B2CF9AE}" pid="4" name="ContentTypeId">
    <vt:lpwstr>0x01010027D61B08324E424895FDA0DDD821312D02001CC94A2DC0878047AC79B02E1A10AE02</vt:lpwstr>
  </property>
  <property fmtid="{D5CDD505-2E9C-101B-9397-08002B2CF9AE}" pid="5" name="_dlc_DocIdItemGuid">
    <vt:lpwstr>374eb300-0e59-42cf-be6a-f8786a7b085e</vt:lpwstr>
  </property>
  <property fmtid="{D5CDD505-2E9C-101B-9397-08002B2CF9AE}" pid="6" name="DocumentType">
    <vt:lpwstr>86;#Report|78753201-1e9e-4a21-a088-6ff602b5c999</vt:lpwstr>
  </property>
  <property fmtid="{D5CDD505-2E9C-101B-9397-08002B2CF9AE}" pid="7" name="Topic">
    <vt:lpwstr>425;#European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500;#Qualification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e5413819-eea3-48a9-a4ad-6a99e0a978e6_Enabled">
    <vt:lpwstr>True</vt:lpwstr>
  </property>
  <property fmtid="{D5CDD505-2E9C-101B-9397-08002B2CF9AE}" pid="22" name="MSIP_Label_e5413819-eea3-48a9-a4ad-6a99e0a978e6_SiteId">
    <vt:lpwstr>e406f268-4ae7-4c80-8994-02493da00c03</vt:lpwstr>
  </property>
  <property fmtid="{D5CDD505-2E9C-101B-9397-08002B2CF9AE}" pid="23" name="MSIP_Label_e5413819-eea3-48a9-a4ad-6a99e0a978e6_SetDate">
    <vt:lpwstr>2025-05-02T09:49:13Z</vt:lpwstr>
  </property>
  <property fmtid="{D5CDD505-2E9C-101B-9397-08002B2CF9AE}" pid="24" name="MSIP_Label_e5413819-eea3-48a9-a4ad-6a99e0a978e6_Name">
    <vt:lpwstr>Generic</vt:lpwstr>
  </property>
  <property fmtid="{D5CDD505-2E9C-101B-9397-08002B2CF9AE}" pid="25" name="MSIP_Label_e5413819-eea3-48a9-a4ad-6a99e0a978e6_ActionId">
    <vt:lpwstr>80c57b31-08da-4cb1-bed9-328fd72d4919</vt:lpwstr>
  </property>
  <property fmtid="{D5CDD505-2E9C-101B-9397-08002B2CF9AE}" pid="26" name="MSIP_Label_e5413819-eea3-48a9-a4ad-6a99e0a978e6_Removed">
    <vt:lpwstr>False</vt:lpwstr>
  </property>
  <property fmtid="{D5CDD505-2E9C-101B-9397-08002B2CF9AE}" pid="27" name="MSIP_Label_e5413819-eea3-48a9-a4ad-6a99e0a978e6_Parent">
    <vt:lpwstr/>
  </property>
  <property fmtid="{D5CDD505-2E9C-101B-9397-08002B2CF9AE}" pid="28" name="MSIP_Label_e5413819-eea3-48a9-a4ad-6a99e0a978e6_Extended_MSFT_Method">
    <vt:lpwstr>Standard</vt:lpwstr>
  </property>
  <property fmtid="{D5CDD505-2E9C-101B-9397-08002B2CF9AE}" pid="29" name="Sensitivity">
    <vt:lpwstr>Generic</vt:lpwstr>
  </property>
</Properties>
</file>