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7AC89"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390FC2">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390FC2">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390FC2">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390FC2">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0E3663">
          <w:pPr>
            <w:pStyle w:val="ListParagraph"/>
            <w:numPr>
              <w:ilvl w:val="0"/>
              <w:numId w:val="9"/>
            </w:numPr>
            <w:rPr>
              <w:lang w:eastAsia="en-US"/>
            </w:rPr>
          </w:pPr>
          <w:r w:rsidRPr="00A409C2">
            <w:rPr>
              <w:lang w:eastAsia="en-US"/>
            </w:rPr>
            <w:t xml:space="preserve">Insert your responses to the questions in the Consultation Paper in the present response form. </w:t>
          </w:r>
        </w:p>
        <w:p w14:paraId="28D63108" w14:textId="0392516A" w:rsidR="00A409C2" w:rsidRPr="00871163" w:rsidRDefault="008279D3" w:rsidP="000E3663">
          <w:pPr>
            <w:pStyle w:val="ListParagraph"/>
            <w:numPr>
              <w:ilvl w:val="0"/>
              <w:numId w:val="9"/>
            </w:numPr>
            <w:rPr>
              <w:lang w:eastAsia="en-US"/>
            </w:rPr>
          </w:pPr>
          <w:r>
            <w:rPr>
              <w:lang w:eastAsia="en-US"/>
            </w:rPr>
            <w:t>U</w:t>
          </w:r>
          <w:r w:rsidR="00A409C2" w:rsidRPr="00A409C2">
            <w:rPr>
              <w:lang w:eastAsia="en-US"/>
            </w:rPr>
            <w:t>se this form and send your responses in Word format (</w:t>
          </w:r>
          <w:r w:rsidR="00A409C2" w:rsidRPr="00871163">
            <w:rPr>
              <w:b/>
              <w:bCs/>
              <w:lang w:eastAsia="en-US"/>
            </w:rPr>
            <w:t>pdf documents will not be considered except for annexes</w:t>
          </w:r>
          <w:r w:rsidR="00A409C2" w:rsidRPr="00871163">
            <w:rPr>
              <w:lang w:eastAsia="en-US"/>
            </w:rPr>
            <w:t>);</w:t>
          </w:r>
        </w:p>
        <w:p w14:paraId="6692798E" w14:textId="1F3ED354" w:rsidR="00B16706" w:rsidRPr="00A409C2" w:rsidRDefault="00B16706" w:rsidP="000E3663">
          <w:pPr>
            <w:pStyle w:val="ListParagraph"/>
            <w:numPr>
              <w:ilvl w:val="0"/>
              <w:numId w:val="9"/>
            </w:numPr>
            <w:rPr>
              <w:lang w:eastAsia="en-US"/>
            </w:rPr>
          </w:pPr>
          <w:r w:rsidRPr="00A409C2">
            <w:rPr>
              <w:lang w:eastAsia="en-US"/>
            </w:rPr>
            <w:t>Please do not remove tags of the type &lt;ESMA_QUESTION</w:t>
          </w:r>
          <w:r w:rsidR="007148CC" w:rsidRPr="00A409C2">
            <w:rPr>
              <w:lang w:eastAsia="en-US"/>
            </w:rPr>
            <w:t xml:space="preserve"> </w:t>
          </w:r>
          <w:r w:rsidRPr="00A409C2">
            <w:rPr>
              <w:lang w:eastAsia="en-US"/>
            </w:rPr>
            <w:t>_</w:t>
          </w:r>
          <w:r w:rsidR="003B26BA">
            <w:rPr>
              <w:lang w:eastAsia="en-US"/>
            </w:rPr>
            <w:t>E</w:t>
          </w:r>
          <w:r w:rsidR="004578B3">
            <w:rPr>
              <w:lang w:eastAsia="en-US"/>
            </w:rPr>
            <w:t>SGR</w:t>
          </w:r>
          <w:r w:rsidRPr="00A409C2">
            <w:rPr>
              <w:lang w:eastAsia="en-US"/>
            </w:rPr>
            <w:t>_1&gt;. Your response to each question has to be framed by the two tags corresponding to the question.</w:t>
          </w:r>
        </w:p>
        <w:p w14:paraId="1C4E226A" w14:textId="1D43AA8A" w:rsidR="00B16706" w:rsidRPr="00A409C2" w:rsidRDefault="00B16706" w:rsidP="000E3663">
          <w:pPr>
            <w:pStyle w:val="ListParagraph"/>
            <w:numPr>
              <w:ilvl w:val="0"/>
              <w:numId w:val="9"/>
            </w:numPr>
            <w:rPr>
              <w:lang w:eastAsia="en-US"/>
            </w:rPr>
          </w:pPr>
          <w:r w:rsidRPr="00A409C2">
            <w:rPr>
              <w:lang w:eastAsia="en-US"/>
            </w:rPr>
            <w:t>If you do not wish to respond to a given question, please do not delete it but simply leave the text “TYPE YOUR TEXT HERE” between the tags.</w:t>
          </w:r>
        </w:p>
        <w:p w14:paraId="7C8B1093" w14:textId="5318C045" w:rsidR="00B16706" w:rsidRPr="00A409C2" w:rsidRDefault="00B16706" w:rsidP="000E3663">
          <w:pPr>
            <w:pStyle w:val="ListParagraph"/>
            <w:numPr>
              <w:ilvl w:val="0"/>
              <w:numId w:val="9"/>
            </w:numPr>
            <w:rPr>
              <w:lang w:eastAsia="en-US"/>
            </w:rPr>
          </w:pPr>
          <w:r w:rsidRPr="00A409C2">
            <w:rPr>
              <w:lang w:eastAsia="en-US"/>
            </w:rPr>
            <w:t>When you have drafted your response, name your response form according to the following convention: ESMA_</w:t>
          </w:r>
          <w:r w:rsidR="003B26BA">
            <w:rPr>
              <w:lang w:eastAsia="en-US"/>
            </w:rPr>
            <w:t>EUGB</w:t>
          </w:r>
          <w:r w:rsidRPr="00A409C2">
            <w:rPr>
              <w:lang w:eastAsia="en-US"/>
            </w:rPr>
            <w:t>_nameofrespondent_RESPONSEFORM. For example, for a respondent named ABCD, the response form would be entitled ESMA_</w:t>
          </w:r>
          <w:r w:rsidR="0037311D">
            <w:rPr>
              <w:lang w:eastAsia="en-US"/>
            </w:rPr>
            <w:t>E</w:t>
          </w:r>
          <w:r w:rsidR="001522DD">
            <w:rPr>
              <w:lang w:eastAsia="en-US"/>
            </w:rPr>
            <w:t>SGR</w:t>
          </w:r>
          <w:r w:rsidRPr="00A409C2">
            <w:rPr>
              <w:lang w:eastAsia="en-US"/>
            </w:rPr>
            <w:t>_ABCD_RESPONSEFORM.</w:t>
          </w:r>
        </w:p>
        <w:p w14:paraId="28EEA743" w14:textId="2B8D6968" w:rsidR="00A02199" w:rsidRPr="00A409C2" w:rsidRDefault="00B16706" w:rsidP="000E3663">
          <w:pPr>
            <w:pStyle w:val="ListParagraph"/>
            <w:numPr>
              <w:ilvl w:val="0"/>
              <w:numId w:val="9"/>
            </w:numPr>
            <w:rPr>
              <w:lang w:eastAsia="en-US"/>
            </w:rPr>
          </w:pPr>
          <w:r w:rsidRPr="00A409C2">
            <w:rPr>
              <w:lang w:eastAsia="en-US"/>
            </w:rPr>
            <w:t xml:space="preserve">Upload the form containing your responses, </w:t>
          </w:r>
          <w:r w:rsidRPr="00A409C2">
            <w:rPr>
              <w:b/>
              <w:bCs/>
              <w:lang w:eastAsia="en-US"/>
            </w:rPr>
            <w:t>in Word format</w:t>
          </w:r>
          <w:r w:rsidRPr="00A409C2">
            <w:rPr>
              <w:lang w:eastAsia="en-US"/>
            </w:rPr>
            <w:t xml:space="preserve">, to ESMA’s website (www.esma.europa.eu under the heading “Your input – Open Consultations” -&gt;  Consultation Paper </w:t>
          </w:r>
          <w:r w:rsidR="003B26BA" w:rsidRPr="003B26BA">
            <w:rPr>
              <w:lang w:eastAsia="en-US"/>
            </w:rPr>
            <w:t>on technical standards on the European Green Bonds Regulation</w:t>
          </w:r>
          <w:r w:rsidR="00A409C2" w:rsidRPr="00A409C2">
            <w:rPr>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sz w:val="16"/>
              <w:szCs w:val="20"/>
              <w:lang w:eastAsia="de-DE"/>
            </w:rPr>
            <w:id w:val="-1905066999"/>
            <w:text/>
          </w:sdtPr>
          <w:sdtContent>
            <w:tc>
              <w:tcPr>
                <w:tcW w:w="5595" w:type="dxa"/>
                <w:shd w:val="clear" w:color="auto" w:fill="auto"/>
              </w:tcPr>
              <w:p w14:paraId="1B67440D" w14:textId="2ECF81BC" w:rsidR="00C85C8B" w:rsidRPr="00B16706" w:rsidRDefault="00275FF9" w:rsidP="00C85C8B">
                <w:pPr>
                  <w:rPr>
                    <w:rFonts w:ascii="Arial" w:hAnsi="Arial" w:cs="Arial"/>
                    <w:color w:val="808080"/>
                    <w:sz w:val="16"/>
                    <w:szCs w:val="20"/>
                    <w:lang w:eastAsia="de-DE"/>
                  </w:rPr>
                </w:pPr>
                <w:r w:rsidRPr="009608FF">
                  <w:rPr>
                    <w:rFonts w:ascii="Arial" w:hAnsi="Arial" w:cs="Arial"/>
                    <w:sz w:val="16"/>
                    <w:szCs w:val="20"/>
                    <w:lang w:eastAsia="de-DE"/>
                  </w:rPr>
                  <w:t>RepRisk AG</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0BEBAB66"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294668">
                  <w:rPr>
                    <w:rFonts w:ascii="Arial" w:hAnsi="Arial" w:cs="Arial"/>
                    <w:sz w:val="16"/>
                    <w:szCs w:val="20"/>
                    <w:lang w:eastAsia="de-DE"/>
                  </w:rPr>
                  <w:t>Non-financial counterparty</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tc>
          <w:tcPr>
            <w:tcW w:w="5595" w:type="dxa"/>
            <w:shd w:val="clear" w:color="auto" w:fill="auto"/>
          </w:tcPr>
          <w:p w14:paraId="6C4423E1" w14:textId="16A6A558" w:rsidR="00C85C8B" w:rsidRPr="00B16706" w:rsidRDefault="00497BD1" w:rsidP="00C85C8B">
            <w:pPr>
              <w:rPr>
                <w:rFonts w:ascii="Arial" w:hAnsi="Arial" w:cs="Arial"/>
                <w:sz w:val="16"/>
                <w:szCs w:val="20"/>
                <w:lang w:eastAsia="de-DE"/>
              </w:rPr>
            </w:pPr>
            <w:r>
              <w:rPr>
                <w:rFonts w:ascii="Arial" w:hAnsi="Arial" w:cs="Arial"/>
                <w:sz w:val="16"/>
                <w:szCs w:val="20"/>
                <w:lang w:eastAsia="de-DE"/>
              </w:rPr>
              <w:t>N</w:t>
            </w:r>
            <w:r w:rsidR="007F56F4">
              <w:rPr>
                <w:rFonts w:ascii="Arial" w:hAnsi="Arial" w:cs="Arial"/>
                <w:sz w:val="16"/>
                <w:szCs w:val="20"/>
                <w:lang w:eastAsia="de-DE"/>
              </w:rPr>
              <w:t>o</w:t>
            </w:r>
            <w:r>
              <w:rPr>
                <w:rFonts w:ascii="Arial" w:hAnsi="Arial" w:cs="Arial"/>
                <w:sz w:val="16"/>
                <w:szCs w:val="20"/>
                <w:lang w:eastAsia="de-DE"/>
              </w:rPr>
              <w:t>]</w:t>
            </w:r>
          </w:p>
        </w:tc>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6A2FB6E0" w:rsidR="00C85C8B" w:rsidRPr="00B16706" w:rsidRDefault="00B46EC7" w:rsidP="00C85C8B">
                <w:pPr>
                  <w:rPr>
                    <w:rFonts w:ascii="Arial" w:hAnsi="Arial" w:cs="Arial"/>
                    <w:sz w:val="16"/>
                    <w:szCs w:val="20"/>
                    <w:lang w:eastAsia="de-DE"/>
                  </w:rPr>
                </w:pPr>
                <w:r>
                  <w:rPr>
                    <w:rFonts w:ascii="Arial" w:hAnsi="Arial" w:cs="Arial"/>
                    <w:sz w:val="16"/>
                    <w:szCs w:val="20"/>
                    <w:lang w:eastAsia="de-DE"/>
                  </w:rPr>
                  <w:t>Switzerland</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Pr="00074EA9" w:rsidRDefault="009835AD">
      <w:pPr>
        <w:spacing w:after="120" w:line="264" w:lineRule="auto"/>
        <w:rPr>
          <w:rFonts w:ascii="Arial" w:hAnsi="Arial" w:cs="Arial"/>
          <w:b/>
          <w:sz w:val="22"/>
          <w:szCs w:val="22"/>
          <w:lang w:val="en-US" w:eastAsia="en-US"/>
        </w:rPr>
      </w:pPr>
      <w:r w:rsidRPr="00074EA9">
        <w:rPr>
          <w:rFonts w:ascii="Arial" w:hAnsi="Arial" w:cs="Arial"/>
          <w:b/>
          <w:sz w:val="22"/>
          <w:szCs w:val="22"/>
          <w:lang w:val="en-US" w:eastAsia="en-US"/>
        </w:rPr>
        <w:lastRenderedPageBreak/>
        <w:t>Questions</w:t>
      </w:r>
    </w:p>
    <w:bookmarkEnd w:id="0"/>
    <w:p w14:paraId="5B87C99A" w14:textId="6906B0B4" w:rsidR="001B1B48" w:rsidRPr="00747F04" w:rsidRDefault="00CB0C0C" w:rsidP="000E3663">
      <w:pPr>
        <w:pStyle w:val="Paragraph"/>
        <w:numPr>
          <w:ilvl w:val="0"/>
          <w:numId w:val="0"/>
        </w:numPr>
        <w:ind w:left="709"/>
      </w:pPr>
      <w:r w:rsidRPr="00747F04">
        <w:t xml:space="preserve">Q1 </w:t>
      </w:r>
      <w:r w:rsidR="004578B3" w:rsidRPr="00747F04">
        <w:tab/>
      </w:r>
      <w:r w:rsidRPr="00747F04">
        <w:rPr>
          <w:lang w:eastAsia="en-US"/>
        </w:rPr>
        <w:t>Do you agree with ESMA’s proposals for the draft technical standard under Articles 6(3) and 12(9)?</w:t>
      </w:r>
      <w:r w:rsidR="00BB29AA" w:rsidRPr="00747F04">
        <w:rPr>
          <w:lang w:eastAsia="en-US"/>
        </w:rPr>
        <w:t xml:space="preserve"> </w:t>
      </w:r>
    </w:p>
    <w:p w14:paraId="034DFB41" w14:textId="7ABA3DFE"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E</w:t>
      </w:r>
      <w:r w:rsidR="004578B3"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_1&gt;</w:t>
      </w:r>
    </w:p>
    <w:p w14:paraId="6E896CFD" w14:textId="1EB31322" w:rsidR="0010132C" w:rsidRPr="00074EA9" w:rsidRDefault="0010132C" w:rsidP="00A976EA">
      <w:pPr>
        <w:spacing w:after="360"/>
        <w:rPr>
          <w:rFonts w:ascii="Arial" w:hAnsi="Arial" w:cs="Arial"/>
          <w:sz w:val="22"/>
          <w:szCs w:val="22"/>
          <w:lang w:val="en-US"/>
        </w:rPr>
      </w:pPr>
      <w:r w:rsidRPr="00074EA9">
        <w:rPr>
          <w:rFonts w:ascii="Arial" w:hAnsi="Arial" w:cs="Arial"/>
          <w:sz w:val="22"/>
          <w:szCs w:val="22"/>
          <w:lang w:val="en-US"/>
        </w:rPr>
        <w:t xml:space="preserve">RepRisk </w:t>
      </w:r>
      <w:r w:rsidR="0076513F" w:rsidRPr="00074EA9">
        <w:rPr>
          <w:rFonts w:ascii="Arial" w:hAnsi="Arial" w:cs="Arial"/>
          <w:sz w:val="22"/>
          <w:szCs w:val="22"/>
          <w:lang w:val="en-US"/>
        </w:rPr>
        <w:t xml:space="preserve">AG (RepRisk) </w:t>
      </w:r>
      <w:r w:rsidRPr="00074EA9">
        <w:rPr>
          <w:rFonts w:ascii="Arial" w:hAnsi="Arial" w:cs="Arial"/>
          <w:sz w:val="22"/>
          <w:szCs w:val="22"/>
          <w:lang w:val="en-US"/>
        </w:rPr>
        <w:t>has questions regarding certain sections of this draft Regulatory Technical Standard (RTS). Below, we list each section on which we request clarification from ESMA, with the relevant RTS wording in italics, followed by our requests for clarification.</w:t>
      </w:r>
    </w:p>
    <w:p w14:paraId="29270C44" w14:textId="77777777" w:rsidR="0010132C" w:rsidRPr="00074EA9" w:rsidRDefault="0010132C" w:rsidP="00747F04">
      <w:pPr>
        <w:spacing w:after="120"/>
        <w:rPr>
          <w:rFonts w:ascii="Arial" w:hAnsi="Arial" w:cs="Arial"/>
          <w:b/>
          <w:bCs/>
          <w:sz w:val="22"/>
          <w:szCs w:val="22"/>
          <w:lang w:val="en-US"/>
        </w:rPr>
      </w:pPr>
      <w:r w:rsidRPr="00074EA9">
        <w:rPr>
          <w:rFonts w:ascii="Arial" w:hAnsi="Arial" w:cs="Arial"/>
          <w:b/>
          <w:bCs/>
          <w:sz w:val="22"/>
          <w:szCs w:val="22"/>
          <w:lang w:val="en-US"/>
        </w:rPr>
        <w:t>Article 1, Annex II, Parts F)-I) (Information to be provided in an application for authorisation or recognition)</w:t>
      </w:r>
    </w:p>
    <w:p w14:paraId="5A0E505D" w14:textId="77777777" w:rsidR="0010132C" w:rsidRPr="00074EA9" w:rsidRDefault="0010132C" w:rsidP="00DC69CE">
      <w:pPr>
        <w:spacing w:after="120"/>
        <w:rPr>
          <w:rFonts w:ascii="Arial" w:hAnsi="Arial" w:cs="Arial"/>
          <w:sz w:val="22"/>
          <w:szCs w:val="22"/>
          <w:lang w:val="en-US"/>
        </w:rPr>
      </w:pPr>
      <w:r w:rsidRPr="00074EA9">
        <w:rPr>
          <w:rFonts w:ascii="Arial" w:hAnsi="Arial" w:cs="Arial"/>
          <w:b/>
          <w:bCs/>
          <w:sz w:val="22"/>
          <w:szCs w:val="22"/>
          <w:lang w:val="en-US"/>
        </w:rPr>
        <w:t>Part F, point 2), letter (f)</w:t>
      </w:r>
      <w:r w:rsidRPr="00074EA9">
        <w:rPr>
          <w:rFonts w:ascii="Arial" w:hAnsi="Arial" w:cs="Arial"/>
          <w:sz w:val="22"/>
          <w:szCs w:val="22"/>
          <w:lang w:val="en-US"/>
        </w:rPr>
        <w:t>: [The applicant shall include] a recent criminal-record file for each of the members of senior management from their countries of origin.</w:t>
      </w:r>
    </w:p>
    <w:p w14:paraId="544EC5DD" w14:textId="7635D098" w:rsidR="00747F04" w:rsidRDefault="0010132C" w:rsidP="007036DA">
      <w:pPr>
        <w:pStyle w:val="ListParagraph"/>
        <w:numPr>
          <w:ilvl w:val="0"/>
          <w:numId w:val="0"/>
        </w:numPr>
        <w:ind w:left="1259"/>
      </w:pPr>
      <w:r w:rsidRPr="00074EA9">
        <w:rPr>
          <w:b/>
          <w:bCs/>
        </w:rPr>
        <w:t>Clarification request</w:t>
      </w:r>
      <w:r w:rsidRPr="00074EA9">
        <w:t xml:space="preserve">: </w:t>
      </w:r>
      <w:r w:rsidR="00024179">
        <w:t>C</w:t>
      </w:r>
      <w:r w:rsidRPr="00074EA9">
        <w:t>an ESMA clarify whether the criminal record file must be notarised and apostilled if a senior management member’s country of residence differs from the country where the applicant is registered?</w:t>
      </w:r>
    </w:p>
    <w:p w14:paraId="49E97D69" w14:textId="77777777" w:rsidR="00747F04" w:rsidRDefault="00747F04" w:rsidP="000E3663">
      <w:pPr>
        <w:ind w:left="1259"/>
      </w:pPr>
    </w:p>
    <w:p w14:paraId="24F9DFC7" w14:textId="77777777" w:rsidR="00DC69CE" w:rsidRPr="00747F04" w:rsidRDefault="00DC69CE" w:rsidP="000E3663">
      <w:pPr>
        <w:ind w:left="1259"/>
      </w:pPr>
    </w:p>
    <w:p w14:paraId="64223F5F" w14:textId="77777777" w:rsidR="0010132C" w:rsidRPr="00074EA9" w:rsidRDefault="0010132C" w:rsidP="00A976EA">
      <w:pPr>
        <w:spacing w:after="120"/>
        <w:ind w:left="142"/>
        <w:rPr>
          <w:rFonts w:ascii="Arial" w:hAnsi="Arial" w:cs="Arial"/>
          <w:sz w:val="22"/>
          <w:szCs w:val="22"/>
          <w:lang w:val="en-US"/>
        </w:rPr>
      </w:pPr>
      <w:r w:rsidRPr="00074EA9">
        <w:rPr>
          <w:rFonts w:ascii="Arial" w:hAnsi="Arial" w:cs="Arial"/>
          <w:b/>
          <w:bCs/>
          <w:sz w:val="22"/>
          <w:szCs w:val="22"/>
          <w:lang w:val="en-US"/>
        </w:rPr>
        <w:t>Part G, point 1)</w:t>
      </w:r>
      <w:r w:rsidRPr="00074EA9">
        <w:rPr>
          <w:rFonts w:ascii="Arial" w:hAnsi="Arial" w:cs="Arial"/>
          <w:sz w:val="22"/>
          <w:szCs w:val="22"/>
          <w:lang w:val="en-US"/>
        </w:rPr>
        <w:t>: [The applicant shall specify] the number of rating analysts, employees and other persons working for the applicant who are directly involved in ESG rating activities.</w:t>
      </w:r>
    </w:p>
    <w:p w14:paraId="10E61860" w14:textId="3B92A7B7" w:rsidR="0010132C" w:rsidRPr="00074EA9" w:rsidRDefault="0010132C" w:rsidP="007036DA">
      <w:pPr>
        <w:pStyle w:val="ListParagraph"/>
        <w:numPr>
          <w:ilvl w:val="0"/>
          <w:numId w:val="0"/>
        </w:numPr>
        <w:ind w:left="1259"/>
      </w:pPr>
      <w:r w:rsidRPr="00074EA9">
        <w:rPr>
          <w:b/>
          <w:bCs/>
        </w:rPr>
        <w:t>Clarification request</w:t>
      </w:r>
      <w:r w:rsidRPr="00074EA9">
        <w:t xml:space="preserve">: </w:t>
      </w:r>
      <w:r w:rsidR="00024179">
        <w:t>C</w:t>
      </w:r>
      <w:r w:rsidRPr="00074EA9">
        <w:t>an ESMA clarify what is meant by “directly involved” in ESG rating activities? This term is difficult to interpret for providers whose rating process relies heavily on artificial intelligence, mathematical models, and strict rule-based human decision-making rather than on individuals’ judgment and assessments.</w:t>
      </w:r>
    </w:p>
    <w:p w14:paraId="6641CDD3" w14:textId="1957B3E7" w:rsidR="0010132C" w:rsidRDefault="0010132C" w:rsidP="007036DA">
      <w:pPr>
        <w:pStyle w:val="ListParagraph"/>
        <w:numPr>
          <w:ilvl w:val="0"/>
          <w:numId w:val="0"/>
        </w:numPr>
        <w:ind w:left="1259"/>
      </w:pPr>
      <w:r w:rsidRPr="00074EA9">
        <w:rPr>
          <w:b/>
          <w:bCs/>
        </w:rPr>
        <w:t>Clarification request</w:t>
      </w:r>
      <w:r w:rsidRPr="00074EA9">
        <w:t xml:space="preserve">: </w:t>
      </w:r>
      <w:r w:rsidR="00024179">
        <w:t>C</w:t>
      </w:r>
      <w:r w:rsidRPr="00074EA9">
        <w:t>an ESMA clarify whether and when providers must submit updates in case of personnel changes?</w:t>
      </w:r>
    </w:p>
    <w:p w14:paraId="0D09E469" w14:textId="77777777" w:rsidR="00747F04" w:rsidRDefault="00747F04" w:rsidP="000E3663">
      <w:pPr>
        <w:ind w:left="1259"/>
      </w:pPr>
    </w:p>
    <w:p w14:paraId="2D13B4E5" w14:textId="77777777" w:rsidR="00DC69CE" w:rsidRPr="00074EA9" w:rsidRDefault="00DC69CE" w:rsidP="000E3663">
      <w:pPr>
        <w:ind w:left="1259"/>
      </w:pPr>
    </w:p>
    <w:p w14:paraId="05820547" w14:textId="77777777" w:rsidR="0010132C" w:rsidRPr="00074EA9" w:rsidRDefault="0010132C" w:rsidP="00D93428">
      <w:pPr>
        <w:spacing w:after="120"/>
        <w:ind w:left="142"/>
        <w:rPr>
          <w:rFonts w:ascii="Arial" w:hAnsi="Arial" w:cs="Arial"/>
          <w:sz w:val="22"/>
          <w:szCs w:val="22"/>
          <w:lang w:val="en-US"/>
        </w:rPr>
      </w:pPr>
      <w:r w:rsidRPr="00074EA9">
        <w:rPr>
          <w:rFonts w:ascii="Arial" w:hAnsi="Arial" w:cs="Arial"/>
          <w:b/>
          <w:bCs/>
          <w:sz w:val="22"/>
          <w:szCs w:val="22"/>
          <w:lang w:val="en-US"/>
        </w:rPr>
        <w:t>Part H</w:t>
      </w:r>
      <w:r w:rsidRPr="00074EA9">
        <w:rPr>
          <w:rFonts w:ascii="Arial" w:hAnsi="Arial" w:cs="Arial"/>
          <w:sz w:val="22"/>
          <w:szCs w:val="22"/>
          <w:lang w:val="en-US"/>
        </w:rPr>
        <w:t>: [The applicant shall specify] the number of ESG rating products within the meaning of Article 3(1) of Regulation (EU) 2024/3005 that the applicant intends to provide in the Union.</w:t>
      </w:r>
    </w:p>
    <w:p w14:paraId="68111E4D" w14:textId="32CDD271" w:rsidR="0010132C" w:rsidRDefault="0010132C" w:rsidP="007036DA">
      <w:pPr>
        <w:pStyle w:val="ListParagraph"/>
        <w:numPr>
          <w:ilvl w:val="0"/>
          <w:numId w:val="0"/>
        </w:numPr>
        <w:ind w:left="1259"/>
      </w:pPr>
      <w:r w:rsidRPr="00074EA9">
        <w:rPr>
          <w:b/>
          <w:bCs/>
        </w:rPr>
        <w:t>Clarification request</w:t>
      </w:r>
      <w:r w:rsidRPr="00074EA9">
        <w:t xml:space="preserve">: </w:t>
      </w:r>
      <w:r w:rsidR="00024179">
        <w:t>C</w:t>
      </w:r>
      <w:r w:rsidRPr="00074EA9">
        <w:t>an ESMA clarify the definition of an “ESG rating product”? Is our understanding correct that where a provider provides different types of quantitative scores or metrics measuring different aspects of ESG risk, these different types of scores or metrics are each an ESG rating product?</w:t>
      </w:r>
    </w:p>
    <w:p w14:paraId="55F65ACF" w14:textId="77777777" w:rsidR="00747F04" w:rsidRDefault="00747F04" w:rsidP="000E3663">
      <w:pPr>
        <w:ind w:left="1259"/>
      </w:pPr>
    </w:p>
    <w:p w14:paraId="3473DFAC" w14:textId="77777777" w:rsidR="00DC69CE" w:rsidRPr="00074EA9" w:rsidRDefault="00DC69CE" w:rsidP="000E3663">
      <w:pPr>
        <w:ind w:left="1259"/>
      </w:pPr>
    </w:p>
    <w:p w14:paraId="73C461F0" w14:textId="77777777" w:rsidR="0010132C" w:rsidRPr="00074EA9" w:rsidRDefault="0010132C" w:rsidP="00D93428">
      <w:pPr>
        <w:spacing w:after="120"/>
        <w:ind w:left="142"/>
        <w:rPr>
          <w:rFonts w:ascii="Arial" w:hAnsi="Arial" w:cs="Arial"/>
          <w:b/>
          <w:bCs/>
          <w:sz w:val="22"/>
          <w:szCs w:val="22"/>
          <w:lang w:val="en-US"/>
        </w:rPr>
      </w:pPr>
      <w:r w:rsidRPr="00074EA9">
        <w:rPr>
          <w:rFonts w:ascii="Arial" w:hAnsi="Arial" w:cs="Arial"/>
          <w:b/>
          <w:bCs/>
          <w:sz w:val="22"/>
          <w:szCs w:val="22"/>
          <w:lang w:val="en-US"/>
        </w:rPr>
        <w:t>Part I, point 1)</w:t>
      </w:r>
      <w:r w:rsidRPr="00074EA9">
        <w:rPr>
          <w:rFonts w:ascii="Arial" w:hAnsi="Arial" w:cs="Arial"/>
          <w:sz w:val="22"/>
          <w:szCs w:val="22"/>
          <w:lang w:val="en-US"/>
        </w:rPr>
        <w:t>:</w:t>
      </w:r>
      <w:r w:rsidRPr="00074EA9">
        <w:rPr>
          <w:rFonts w:ascii="Arial" w:hAnsi="Arial" w:cs="Arial"/>
          <w:b/>
          <w:bCs/>
          <w:sz w:val="22"/>
          <w:szCs w:val="22"/>
          <w:lang w:val="en-US"/>
        </w:rPr>
        <w:t xml:space="preserve"> </w:t>
      </w:r>
      <w:r w:rsidRPr="00074EA9">
        <w:rPr>
          <w:rFonts w:ascii="Arial" w:hAnsi="Arial" w:cs="Arial"/>
          <w:sz w:val="22"/>
          <w:szCs w:val="22"/>
          <w:lang w:val="en-US"/>
        </w:rPr>
        <w:t xml:space="preserve">[The applicant shall specify] for each ESG rating product listed in Part H, the description of applicable procedures and methodologies, models and key rating assumptions to issue ESG ratings, including information on: </w:t>
      </w:r>
    </w:p>
    <w:p w14:paraId="143BF593" w14:textId="57BD859B" w:rsidR="00FC69AB" w:rsidRDefault="0010132C" w:rsidP="007036DA">
      <w:pPr>
        <w:pStyle w:val="ListParagraph"/>
        <w:numPr>
          <w:ilvl w:val="0"/>
          <w:numId w:val="0"/>
        </w:numPr>
        <w:ind w:left="1259"/>
      </w:pPr>
      <w:r w:rsidRPr="00074EA9">
        <w:rPr>
          <w:b/>
          <w:bCs/>
        </w:rPr>
        <w:t>Clarification request</w:t>
      </w:r>
      <w:r w:rsidRPr="00074EA9">
        <w:t xml:space="preserve">: </w:t>
      </w:r>
      <w:r w:rsidR="00024179">
        <w:t>C</w:t>
      </w:r>
      <w:r w:rsidRPr="00074EA9">
        <w:t xml:space="preserve">an ESMA clarify what “model” means in this context? </w:t>
      </w:r>
    </w:p>
    <w:p w14:paraId="05CDF210" w14:textId="77777777" w:rsidR="00747F04" w:rsidRPr="00D93428" w:rsidRDefault="00747F04" w:rsidP="000E3663">
      <w:pPr>
        <w:ind w:left="1259"/>
      </w:pPr>
    </w:p>
    <w:p w14:paraId="7C3241FA" w14:textId="6FF48FC2" w:rsidR="0010132C" w:rsidRPr="00074EA9" w:rsidRDefault="0010132C" w:rsidP="00642485">
      <w:pPr>
        <w:keepNext/>
        <w:spacing w:after="120"/>
        <w:ind w:left="142"/>
        <w:rPr>
          <w:rFonts w:ascii="Arial" w:hAnsi="Arial" w:cs="Arial"/>
          <w:b/>
          <w:bCs/>
          <w:sz w:val="22"/>
          <w:szCs w:val="22"/>
          <w:lang w:val="en-US"/>
        </w:rPr>
      </w:pPr>
      <w:r w:rsidRPr="00074EA9">
        <w:rPr>
          <w:rFonts w:ascii="Arial" w:hAnsi="Arial" w:cs="Arial"/>
          <w:b/>
          <w:bCs/>
          <w:sz w:val="22"/>
          <w:szCs w:val="22"/>
          <w:lang w:val="en-US"/>
        </w:rPr>
        <w:lastRenderedPageBreak/>
        <w:t>Part I, point 1, letter b)</w:t>
      </w:r>
      <w:r w:rsidRPr="00074EA9">
        <w:rPr>
          <w:rFonts w:ascii="Arial" w:hAnsi="Arial" w:cs="Arial"/>
          <w:sz w:val="22"/>
          <w:szCs w:val="22"/>
          <w:lang w:val="en-US"/>
        </w:rPr>
        <w:t>: [The applicant shall specify] for each ESG rating product listed in Part H, whether the applicant expects to use methodologies that are based on scientific evidence and takes into account the targets and objectives of the Paris Agreement or any other relevant international agreements.</w:t>
      </w:r>
    </w:p>
    <w:p w14:paraId="2F1A0DF4" w14:textId="6931EE57" w:rsidR="0010132C" w:rsidRPr="00DC69CE" w:rsidRDefault="0010132C" w:rsidP="007036DA">
      <w:pPr>
        <w:pStyle w:val="ListParagraph"/>
        <w:numPr>
          <w:ilvl w:val="0"/>
          <w:numId w:val="0"/>
        </w:numPr>
        <w:ind w:left="1259"/>
      </w:pPr>
      <w:r w:rsidRPr="00074EA9">
        <w:rPr>
          <w:b/>
          <w:bCs/>
        </w:rPr>
        <w:t>Clarification request</w:t>
      </w:r>
      <w:r w:rsidRPr="00074EA9">
        <w:t xml:space="preserve">: </w:t>
      </w:r>
      <w:r w:rsidR="00501058">
        <w:t>C</w:t>
      </w:r>
      <w:r w:rsidRPr="00074EA9">
        <w:t xml:space="preserve">an ESMA clarify what is meant by “scientific evidence”? Does this reference cover only scientific evidence connected to the Paris Agreement and similar international agreements (e.g., those relating to carbon goals or similar science-based target initiatives), or is it intended to broadly include scientific </w:t>
      </w:r>
      <w:r w:rsidRPr="00DC69CE">
        <w:t>evidence of any sort, e.g. academic research originally used to develop algorithms underlying the rating methodology?</w:t>
      </w:r>
    </w:p>
    <w:p w14:paraId="1596267B" w14:textId="77777777" w:rsidR="0010132C" w:rsidRPr="00DC69CE" w:rsidRDefault="0010132C" w:rsidP="00DC69CE">
      <w:pPr>
        <w:ind w:left="1259"/>
        <w:rPr>
          <w:rFonts w:ascii="Arial" w:hAnsi="Arial" w:cs="Arial"/>
          <w:sz w:val="22"/>
          <w:szCs w:val="22"/>
        </w:rPr>
      </w:pPr>
      <w:r w:rsidRPr="00DC69CE">
        <w:rPr>
          <w:rFonts w:ascii="Arial" w:hAnsi="Arial" w:cs="Arial"/>
          <w:b/>
          <w:bCs/>
          <w:sz w:val="22"/>
          <w:szCs w:val="22"/>
        </w:rPr>
        <w:t>Rationale:</w:t>
      </w:r>
      <w:r w:rsidRPr="00DC69CE">
        <w:rPr>
          <w:rFonts w:ascii="Arial" w:hAnsi="Arial" w:cs="Arial"/>
          <w:sz w:val="22"/>
          <w:szCs w:val="22"/>
        </w:rPr>
        <w:t xml:space="preserve"> It is RepRisk’s position that limiting “scientific evidence” to scientific evidence relating to climate goals or international frameworks such as OECD guidelines, Sustainable Development Goals, the Equator Principle, and the like will result in greater clarity and comparability regarding each applicant’s ratings.</w:t>
      </w:r>
    </w:p>
    <w:p w14:paraId="33B861AB" w14:textId="77777777" w:rsidR="00DC69CE" w:rsidRDefault="00DC69CE" w:rsidP="00747F04">
      <w:pPr>
        <w:spacing w:after="120"/>
        <w:ind w:left="1259"/>
        <w:rPr>
          <w:rFonts w:ascii="Arial" w:hAnsi="Arial" w:cs="Arial"/>
          <w:sz w:val="22"/>
          <w:szCs w:val="22"/>
          <w:lang w:val="en-US"/>
        </w:rPr>
      </w:pPr>
    </w:p>
    <w:p w14:paraId="5384D820" w14:textId="1F484CD6" w:rsidR="00747F04" w:rsidRPr="00DC69CE" w:rsidRDefault="0010132C" w:rsidP="00747F04">
      <w:pPr>
        <w:spacing w:after="120"/>
        <w:ind w:left="1259"/>
        <w:rPr>
          <w:rFonts w:ascii="Arial" w:hAnsi="Arial" w:cs="Arial"/>
          <w:sz w:val="22"/>
          <w:szCs w:val="22"/>
          <w:lang w:val="en-US"/>
        </w:rPr>
      </w:pPr>
      <w:r w:rsidRPr="00DC69CE">
        <w:rPr>
          <w:rFonts w:ascii="Arial" w:hAnsi="Arial" w:cs="Arial"/>
          <w:sz w:val="22"/>
          <w:szCs w:val="22"/>
          <w:lang w:val="en-US"/>
        </w:rPr>
        <w:t xml:space="preserve">By contrast, information on any and all scientific evidence relating to the development and implementation of algorithms, machine learning models, and the like is unlikely to add meaningful clarity and will not serve the purpose of rendering different providers’ product offerings more comparable. </w:t>
      </w:r>
    </w:p>
    <w:p w14:paraId="68932241" w14:textId="77777777" w:rsidR="00747F04" w:rsidRDefault="00747F04" w:rsidP="00747F04">
      <w:pPr>
        <w:spacing w:after="120"/>
        <w:ind w:left="1259"/>
        <w:rPr>
          <w:rFonts w:ascii="Arial" w:hAnsi="Arial" w:cs="Arial"/>
          <w:sz w:val="22"/>
          <w:szCs w:val="22"/>
          <w:lang w:val="en-US"/>
        </w:rPr>
      </w:pPr>
    </w:p>
    <w:p w14:paraId="47CDB530" w14:textId="77777777" w:rsidR="00DC69CE" w:rsidRPr="00074EA9" w:rsidRDefault="00DC69CE" w:rsidP="00747F04">
      <w:pPr>
        <w:spacing w:after="120"/>
        <w:ind w:left="1259"/>
        <w:rPr>
          <w:rFonts w:ascii="Arial" w:hAnsi="Arial" w:cs="Arial"/>
          <w:sz w:val="22"/>
          <w:szCs w:val="22"/>
          <w:lang w:val="en-US"/>
        </w:rPr>
      </w:pPr>
    </w:p>
    <w:p w14:paraId="3BADC313" w14:textId="56FB0437" w:rsidR="0010132C" w:rsidRPr="00074EA9" w:rsidRDefault="0010132C" w:rsidP="007036DA">
      <w:pPr>
        <w:pStyle w:val="ListParagraph"/>
        <w:numPr>
          <w:ilvl w:val="0"/>
          <w:numId w:val="0"/>
        </w:numPr>
        <w:ind w:left="1259"/>
      </w:pPr>
      <w:r w:rsidRPr="00074EA9">
        <w:rPr>
          <w:b/>
          <w:bCs/>
        </w:rPr>
        <w:t>Clarification request</w:t>
      </w:r>
      <w:r w:rsidRPr="00074EA9">
        <w:t xml:space="preserve">: </w:t>
      </w:r>
      <w:r w:rsidR="00501058">
        <w:t>C</w:t>
      </w:r>
      <w:r w:rsidRPr="00074EA9">
        <w:t>an ESMA clarify what is meant by “other relevant international agreements”?</w:t>
      </w:r>
    </w:p>
    <w:p w14:paraId="14218D1E" w14:textId="2E62243D" w:rsidR="0010132C" w:rsidRDefault="0010132C" w:rsidP="007036DA">
      <w:pPr>
        <w:pStyle w:val="ListParagraph"/>
        <w:numPr>
          <w:ilvl w:val="0"/>
          <w:numId w:val="0"/>
        </w:numPr>
        <w:ind w:left="1259"/>
      </w:pPr>
      <w:r w:rsidRPr="00074EA9">
        <w:rPr>
          <w:b/>
          <w:bCs/>
        </w:rPr>
        <w:t>Rationale:</w:t>
      </w:r>
      <w:r w:rsidRPr="00074EA9">
        <w:t xml:space="preserve"> It is RepRisk’s understanding that “other relevant agreements” in this context relates to agreements on climate goals or international frameworks like those mentioned in the preceding clarification request. Clarity on whether this understanding is correct will assist RepRisk and other providers in preparing clear, comprehensible authori</w:t>
      </w:r>
      <w:r w:rsidR="00FF54D0" w:rsidRPr="00074EA9">
        <w:t>sa</w:t>
      </w:r>
      <w:r w:rsidRPr="00074EA9">
        <w:t xml:space="preserve">tion applications. </w:t>
      </w:r>
    </w:p>
    <w:p w14:paraId="65F39B59" w14:textId="77777777" w:rsidR="00747F04" w:rsidRDefault="00747F04" w:rsidP="000E3663">
      <w:pPr>
        <w:ind w:left="1259"/>
      </w:pPr>
    </w:p>
    <w:p w14:paraId="33BE41A2" w14:textId="77777777" w:rsidR="00DC69CE" w:rsidRDefault="00DC69CE" w:rsidP="000E3663">
      <w:pPr>
        <w:ind w:left="1259"/>
      </w:pPr>
    </w:p>
    <w:p w14:paraId="0C6687A5" w14:textId="77777777" w:rsidR="00DC69CE" w:rsidRPr="00074EA9" w:rsidRDefault="00DC69CE" w:rsidP="000E3663">
      <w:pPr>
        <w:ind w:left="1259"/>
      </w:pPr>
    </w:p>
    <w:p w14:paraId="662F69E0" w14:textId="77777777" w:rsidR="0010132C" w:rsidRPr="00074EA9" w:rsidRDefault="0010132C" w:rsidP="00C53704">
      <w:pPr>
        <w:ind w:left="142"/>
        <w:rPr>
          <w:rFonts w:ascii="Arial" w:hAnsi="Arial" w:cs="Arial"/>
          <w:b/>
          <w:bCs/>
          <w:sz w:val="22"/>
          <w:szCs w:val="22"/>
          <w:lang w:val="en-US"/>
        </w:rPr>
      </w:pPr>
      <w:r w:rsidRPr="00074EA9">
        <w:rPr>
          <w:rFonts w:ascii="Arial" w:hAnsi="Arial" w:cs="Arial"/>
          <w:b/>
          <w:bCs/>
          <w:sz w:val="22"/>
          <w:szCs w:val="22"/>
          <w:lang w:val="en-US"/>
        </w:rPr>
        <w:t>Part I, point 3)</w:t>
      </w:r>
      <w:r w:rsidRPr="00074EA9">
        <w:rPr>
          <w:rFonts w:ascii="Arial" w:hAnsi="Arial" w:cs="Arial"/>
          <w:sz w:val="22"/>
          <w:szCs w:val="22"/>
          <w:lang w:val="en-US"/>
        </w:rPr>
        <w:t>: [The applicant shall specify] for each ESG rating product listed in Part H, procedures for the review of ESG rating methodologies, models and key rating assumptions.</w:t>
      </w:r>
    </w:p>
    <w:p w14:paraId="43FD9622" w14:textId="2FA2626C" w:rsidR="0010132C" w:rsidRDefault="0010132C" w:rsidP="007036DA">
      <w:pPr>
        <w:pStyle w:val="ListParagraph"/>
        <w:numPr>
          <w:ilvl w:val="0"/>
          <w:numId w:val="0"/>
        </w:numPr>
        <w:ind w:left="1259"/>
      </w:pPr>
      <w:r w:rsidRPr="00074EA9">
        <w:rPr>
          <w:b/>
          <w:bCs/>
        </w:rPr>
        <w:t>Clarification request</w:t>
      </w:r>
      <w:r w:rsidRPr="00074EA9">
        <w:t xml:space="preserve">: </w:t>
      </w:r>
      <w:r w:rsidR="00501058">
        <w:t>C</w:t>
      </w:r>
      <w:r w:rsidRPr="00074EA9">
        <w:t xml:space="preserve">an ESMA confirm our understanding that this requirement covers the procedures for the review and validation of a rating provider’s existing methodology, not the ongoing systematic review of the </w:t>
      </w:r>
      <w:r w:rsidRPr="00074EA9">
        <w:rPr>
          <w:i/>
          <w:iCs/>
        </w:rPr>
        <w:t xml:space="preserve">output </w:t>
      </w:r>
      <w:r w:rsidRPr="00074EA9">
        <w:t>resulting from that methodology?</w:t>
      </w:r>
    </w:p>
    <w:p w14:paraId="66559402" w14:textId="77777777" w:rsidR="00747F04" w:rsidRDefault="00747F04" w:rsidP="00747F04">
      <w:pPr>
        <w:rPr>
          <w:lang w:val="en-US"/>
        </w:rPr>
      </w:pPr>
    </w:p>
    <w:p w14:paraId="5686AF9F" w14:textId="77777777" w:rsidR="00747F04" w:rsidRDefault="00747F04" w:rsidP="00747F04">
      <w:pPr>
        <w:rPr>
          <w:lang w:val="en-US"/>
        </w:rPr>
      </w:pPr>
    </w:p>
    <w:p w14:paraId="2DAC8B6E" w14:textId="77777777" w:rsidR="00DC69CE" w:rsidRDefault="00DC69CE" w:rsidP="00747F04">
      <w:pPr>
        <w:rPr>
          <w:lang w:val="en-US"/>
        </w:rPr>
      </w:pPr>
    </w:p>
    <w:p w14:paraId="43FF68D8" w14:textId="77777777" w:rsidR="00DC69CE" w:rsidRDefault="00DC69CE" w:rsidP="00747F04">
      <w:pPr>
        <w:rPr>
          <w:lang w:val="en-US"/>
        </w:rPr>
      </w:pPr>
    </w:p>
    <w:p w14:paraId="39C263EB" w14:textId="77777777" w:rsidR="00DC69CE" w:rsidRDefault="00DC69CE" w:rsidP="00747F04">
      <w:pPr>
        <w:rPr>
          <w:lang w:val="en-US"/>
        </w:rPr>
      </w:pPr>
    </w:p>
    <w:p w14:paraId="570739F4" w14:textId="77777777" w:rsidR="00DC69CE" w:rsidRPr="00747F04" w:rsidRDefault="00DC69CE" w:rsidP="00747F04">
      <w:pPr>
        <w:rPr>
          <w:lang w:val="en-US"/>
        </w:rPr>
      </w:pPr>
    </w:p>
    <w:p w14:paraId="7275756F" w14:textId="77777777" w:rsidR="0010132C" w:rsidRPr="00074EA9" w:rsidRDefault="0010132C" w:rsidP="0010132C">
      <w:pPr>
        <w:spacing w:after="120"/>
        <w:rPr>
          <w:rFonts w:ascii="Arial" w:hAnsi="Arial" w:cs="Arial"/>
          <w:b/>
          <w:bCs/>
          <w:sz w:val="22"/>
          <w:szCs w:val="22"/>
          <w:lang w:val="en-US"/>
        </w:rPr>
      </w:pPr>
      <w:r w:rsidRPr="00074EA9">
        <w:rPr>
          <w:rFonts w:ascii="Arial" w:hAnsi="Arial" w:cs="Arial"/>
          <w:b/>
          <w:bCs/>
          <w:sz w:val="22"/>
          <w:szCs w:val="22"/>
          <w:lang w:val="en-US"/>
        </w:rPr>
        <w:lastRenderedPageBreak/>
        <w:t>Article 1, Annex IV, letter b) (Additional information to be provided related to endorsement of ESG ratings provided by ESG rating providers established outside the Union)</w:t>
      </w:r>
    </w:p>
    <w:p w14:paraId="1F27106C" w14:textId="77777777" w:rsidR="0010132C" w:rsidRPr="00074EA9" w:rsidRDefault="0010132C" w:rsidP="0010132C">
      <w:pPr>
        <w:spacing w:after="120"/>
        <w:rPr>
          <w:rFonts w:ascii="Arial" w:hAnsi="Arial" w:cs="Arial"/>
          <w:i/>
          <w:iCs/>
          <w:sz w:val="22"/>
          <w:szCs w:val="22"/>
          <w:lang w:val="en-US"/>
        </w:rPr>
      </w:pPr>
      <w:r w:rsidRPr="00074EA9">
        <w:rPr>
          <w:rFonts w:ascii="Arial" w:hAnsi="Arial" w:cs="Arial"/>
          <w:i/>
          <w:iCs/>
          <w:sz w:val="22"/>
          <w:szCs w:val="22"/>
          <w:lang w:val="en-US"/>
        </w:rPr>
        <w:t>[The applicant shall provide] information whether the ESG rating provider is lodging a request to be authorised to endorse ESG ratings provided by ESG Rating provider established outside the Union in accordance with Article 11(1)(a) of Regulation (EU) 2024/3005, and if so, for each expected endorsement:</w:t>
      </w:r>
    </w:p>
    <w:p w14:paraId="38ADC4B2" w14:textId="77777777" w:rsidR="0010132C" w:rsidRPr="00074EA9" w:rsidRDefault="0010132C" w:rsidP="0010132C">
      <w:pPr>
        <w:spacing w:after="120"/>
        <w:rPr>
          <w:rFonts w:ascii="Arial" w:hAnsi="Arial" w:cs="Arial"/>
          <w:i/>
          <w:iCs/>
          <w:sz w:val="22"/>
          <w:szCs w:val="22"/>
          <w:lang w:val="en-US"/>
        </w:rPr>
      </w:pPr>
      <w:r w:rsidRPr="00074EA9">
        <w:rPr>
          <w:rFonts w:ascii="Arial" w:hAnsi="Arial" w:cs="Arial"/>
          <w:i/>
          <w:iCs/>
          <w:sz w:val="22"/>
          <w:szCs w:val="22"/>
          <w:lang w:val="en-US"/>
        </w:rPr>
        <w:t>b) The information required under Part H, Annex II of this Regulation for each category of ESG ratings to be endorsed.</w:t>
      </w:r>
    </w:p>
    <w:p w14:paraId="7D5FA2BF" w14:textId="2AA86321" w:rsidR="0010132C" w:rsidRDefault="0010132C" w:rsidP="007036DA">
      <w:pPr>
        <w:pStyle w:val="ListParagraph"/>
        <w:numPr>
          <w:ilvl w:val="0"/>
          <w:numId w:val="0"/>
        </w:numPr>
        <w:ind w:left="1259"/>
      </w:pPr>
      <w:r w:rsidRPr="00074EA9">
        <w:rPr>
          <w:b/>
          <w:bCs/>
        </w:rPr>
        <w:t>Clarification request</w:t>
      </w:r>
      <w:r w:rsidRPr="00074EA9">
        <w:t xml:space="preserve">: </w:t>
      </w:r>
      <w:r w:rsidR="00501058">
        <w:t>C</w:t>
      </w:r>
      <w:r w:rsidRPr="00074EA9">
        <w:t>an ESMA clarify the definition of “category of ESG rating</w:t>
      </w:r>
      <w:r w:rsidR="003A4F72" w:rsidRPr="00074EA9">
        <w:t>s</w:t>
      </w:r>
      <w:r w:rsidRPr="00074EA9">
        <w:t>?” Does “category” in this context refer to the distinction between “opinion” and “score” as set forth in the definition of “ESG rating” in Article 3, point 1 of EU Regulation 2024/3005?</w:t>
      </w:r>
    </w:p>
    <w:p w14:paraId="03A376F2" w14:textId="77777777" w:rsidR="00DC69CE" w:rsidRPr="00074EA9" w:rsidRDefault="00DC69CE" w:rsidP="007036DA">
      <w:pPr>
        <w:pStyle w:val="ListParagraph"/>
        <w:numPr>
          <w:ilvl w:val="0"/>
          <w:numId w:val="0"/>
        </w:numPr>
        <w:ind w:left="1259"/>
      </w:pPr>
    </w:p>
    <w:p w14:paraId="38524F57" w14:textId="12DC62D2"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E</w:t>
      </w:r>
      <w:r w:rsidR="00AB2C3F"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_1&gt;</w:t>
      </w:r>
    </w:p>
    <w:p w14:paraId="58033208" w14:textId="77777777" w:rsidR="00747F04" w:rsidRDefault="00747F04" w:rsidP="000E3663">
      <w:pPr>
        <w:pStyle w:val="Paragraph"/>
        <w:numPr>
          <w:ilvl w:val="0"/>
          <w:numId w:val="0"/>
        </w:numPr>
        <w:ind w:left="709"/>
      </w:pPr>
    </w:p>
    <w:p w14:paraId="4B32BB24" w14:textId="77777777" w:rsidR="00747F04" w:rsidRDefault="00747F04" w:rsidP="000E3663">
      <w:pPr>
        <w:pStyle w:val="Paragraph"/>
        <w:numPr>
          <w:ilvl w:val="0"/>
          <w:numId w:val="0"/>
        </w:numPr>
        <w:ind w:left="709"/>
      </w:pPr>
    </w:p>
    <w:p w14:paraId="35B7ECCA" w14:textId="0DA3424A" w:rsidR="001B1B48" w:rsidRPr="00747F04" w:rsidRDefault="00ED4FDB" w:rsidP="000E3663">
      <w:pPr>
        <w:pStyle w:val="Paragraph"/>
        <w:numPr>
          <w:ilvl w:val="0"/>
          <w:numId w:val="0"/>
        </w:numPr>
        <w:ind w:left="709"/>
      </w:pPr>
      <w:r w:rsidRPr="00747F04">
        <w:t xml:space="preserve">Q2 </w:t>
      </w:r>
      <w:r w:rsidRPr="00747F04">
        <w:tab/>
        <w:t>Do you agree with ESMA’s proposals for the draft technical standard under Article 16(5)?</w:t>
      </w:r>
    </w:p>
    <w:p w14:paraId="6C03D9F2" w14:textId="65FA1CA4"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ED4FDB"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_2&gt;</w:t>
      </w:r>
    </w:p>
    <w:p w14:paraId="26ABF3EC" w14:textId="2DB959C9" w:rsidR="00747F04" w:rsidRDefault="002E2C00" w:rsidP="00747F04">
      <w:pPr>
        <w:keepNext/>
        <w:spacing w:after="120"/>
        <w:rPr>
          <w:rFonts w:ascii="Arial" w:hAnsi="Arial" w:cs="Arial"/>
          <w:sz w:val="22"/>
          <w:szCs w:val="22"/>
          <w:lang w:val="en-US"/>
        </w:rPr>
      </w:pPr>
      <w:r w:rsidRPr="00074EA9">
        <w:rPr>
          <w:rFonts w:ascii="Arial" w:hAnsi="Arial" w:cs="Arial"/>
          <w:sz w:val="22"/>
          <w:szCs w:val="22"/>
          <w:lang w:val="en-US"/>
        </w:rPr>
        <w:t>Yes. However, we would appreciate confirmation on a related item under Article 15 of EU Regulation 2024/3005, and also have one clarification request regarding Article 16 of EU Regulation 2024/3005.</w:t>
      </w:r>
    </w:p>
    <w:p w14:paraId="1BC03E22" w14:textId="77777777" w:rsidR="00747F04" w:rsidRPr="00074EA9" w:rsidRDefault="00747F04" w:rsidP="00747F04">
      <w:pPr>
        <w:keepNext/>
        <w:spacing w:after="120"/>
        <w:rPr>
          <w:rFonts w:ascii="Arial" w:hAnsi="Arial" w:cs="Arial"/>
          <w:sz w:val="22"/>
          <w:szCs w:val="22"/>
          <w:lang w:val="en-US"/>
        </w:rPr>
      </w:pPr>
    </w:p>
    <w:p w14:paraId="71C4E5BE" w14:textId="77777777" w:rsidR="002E2C00" w:rsidRPr="00074EA9" w:rsidRDefault="002E2C00" w:rsidP="002E2C00">
      <w:pPr>
        <w:keepNext/>
        <w:spacing w:after="120"/>
        <w:rPr>
          <w:rFonts w:ascii="Arial" w:hAnsi="Arial" w:cs="Arial"/>
          <w:b/>
          <w:bCs/>
          <w:sz w:val="22"/>
          <w:szCs w:val="22"/>
          <w:lang w:val="en-US"/>
        </w:rPr>
      </w:pPr>
      <w:r w:rsidRPr="00074EA9">
        <w:rPr>
          <w:rFonts w:ascii="Arial" w:hAnsi="Arial" w:cs="Arial"/>
          <w:b/>
          <w:bCs/>
          <w:sz w:val="22"/>
          <w:szCs w:val="22"/>
          <w:lang w:val="en-US"/>
        </w:rPr>
        <w:t>Article 15, point 10</w:t>
      </w:r>
    </w:p>
    <w:p w14:paraId="29AEACC6" w14:textId="2415622D" w:rsidR="002E2C00" w:rsidRPr="00074EA9" w:rsidRDefault="002E2C00" w:rsidP="002E2C00">
      <w:pPr>
        <w:keepNext/>
        <w:spacing w:after="120"/>
        <w:rPr>
          <w:rFonts w:ascii="Arial" w:hAnsi="Arial" w:cs="Arial"/>
          <w:i/>
          <w:iCs/>
          <w:sz w:val="22"/>
          <w:szCs w:val="22"/>
          <w:lang w:val="en-US"/>
        </w:rPr>
      </w:pPr>
      <w:r w:rsidRPr="00074EA9">
        <w:rPr>
          <w:rFonts w:ascii="Arial" w:hAnsi="Arial" w:cs="Arial"/>
          <w:i/>
          <w:iCs/>
          <w:sz w:val="22"/>
          <w:szCs w:val="22"/>
          <w:lang w:val="en-US"/>
        </w:rPr>
        <w:t>ESG rating providers shall establish and maintain a permanent, independent and effective oversight function to ensure oversight over all aspects of the provision of their ESG ratings</w:t>
      </w:r>
      <w:r w:rsidR="00156D60">
        <w:rPr>
          <w:rFonts w:ascii="Arial" w:hAnsi="Arial" w:cs="Arial"/>
          <w:i/>
          <w:iCs/>
          <w:sz w:val="22"/>
          <w:szCs w:val="22"/>
          <w:lang w:val="en-US"/>
        </w:rPr>
        <w:t>.</w:t>
      </w:r>
    </w:p>
    <w:p w14:paraId="2D27006C" w14:textId="3CEA808A" w:rsidR="002E2C00" w:rsidRDefault="002E2C00" w:rsidP="007036DA">
      <w:pPr>
        <w:pStyle w:val="ListParagraph"/>
        <w:numPr>
          <w:ilvl w:val="0"/>
          <w:numId w:val="0"/>
        </w:numPr>
        <w:ind w:left="1259"/>
      </w:pPr>
      <w:r w:rsidRPr="00074EA9">
        <w:rPr>
          <w:b/>
          <w:bCs/>
        </w:rPr>
        <w:t>Clarification request</w:t>
      </w:r>
      <w:r w:rsidRPr="00074EA9">
        <w:t xml:space="preserve">: </w:t>
      </w:r>
      <w:r w:rsidR="00501058">
        <w:t>C</w:t>
      </w:r>
      <w:r w:rsidRPr="00074EA9">
        <w:t>an ESMA confirm whether providers are(i) required to put in place a new function that assumes the above-mentioned role, (ii) required to outsource this function, or (iii) permitted to include this oversight function in an existing role?</w:t>
      </w:r>
    </w:p>
    <w:p w14:paraId="6E33288D" w14:textId="77777777" w:rsidR="00747F04" w:rsidRDefault="00747F04" w:rsidP="000E3663">
      <w:pPr>
        <w:ind w:left="1259"/>
      </w:pPr>
    </w:p>
    <w:p w14:paraId="52280478" w14:textId="77777777" w:rsidR="00DC69CE" w:rsidRPr="00074EA9" w:rsidRDefault="00DC69CE" w:rsidP="000E3663">
      <w:pPr>
        <w:ind w:left="1259"/>
      </w:pPr>
    </w:p>
    <w:p w14:paraId="4C47F691" w14:textId="77777777" w:rsidR="002E2C00" w:rsidRPr="00074EA9" w:rsidRDefault="002E2C00" w:rsidP="002E2C00">
      <w:pPr>
        <w:spacing w:after="120"/>
        <w:rPr>
          <w:rFonts w:ascii="Arial" w:hAnsi="Arial" w:cs="Arial"/>
          <w:b/>
          <w:bCs/>
          <w:sz w:val="22"/>
          <w:szCs w:val="22"/>
          <w:lang w:val="en-US"/>
        </w:rPr>
      </w:pPr>
      <w:r w:rsidRPr="00074EA9">
        <w:rPr>
          <w:rFonts w:ascii="Arial" w:hAnsi="Arial" w:cs="Arial"/>
          <w:b/>
          <w:bCs/>
          <w:sz w:val="22"/>
          <w:szCs w:val="22"/>
          <w:lang w:val="en-US"/>
        </w:rPr>
        <w:t>Article 16(5)</w:t>
      </w:r>
    </w:p>
    <w:p w14:paraId="7FCAEF84" w14:textId="77777777" w:rsidR="002E2C00" w:rsidRPr="00074EA9" w:rsidRDefault="002E2C00" w:rsidP="002E2C00">
      <w:pPr>
        <w:spacing w:after="120"/>
        <w:rPr>
          <w:rFonts w:ascii="Arial" w:hAnsi="Arial" w:cs="Arial"/>
          <w:i/>
          <w:iCs/>
          <w:sz w:val="22"/>
          <w:szCs w:val="22"/>
          <w:lang w:val="en-US"/>
        </w:rPr>
      </w:pPr>
      <w:r w:rsidRPr="00074EA9">
        <w:rPr>
          <w:rFonts w:ascii="Arial" w:hAnsi="Arial" w:cs="Arial"/>
          <w:i/>
          <w:iCs/>
          <w:sz w:val="22"/>
          <w:szCs w:val="22"/>
          <w:lang w:val="en-US"/>
        </w:rPr>
        <w:t>ESMA shall develop draft regulatory technical standards to specify the details of the measures and safeguards to be implemented pursuant to paragraphs 2, 3 and 4.</w:t>
      </w:r>
    </w:p>
    <w:p w14:paraId="275388CD" w14:textId="6381BEB7" w:rsidR="002E2C00" w:rsidRPr="00074EA9" w:rsidRDefault="002E2C00" w:rsidP="007036DA">
      <w:pPr>
        <w:pStyle w:val="ListParagraph"/>
        <w:numPr>
          <w:ilvl w:val="0"/>
          <w:numId w:val="0"/>
        </w:numPr>
        <w:ind w:left="1259"/>
      </w:pPr>
      <w:r w:rsidRPr="00074EA9">
        <w:rPr>
          <w:b/>
          <w:bCs/>
        </w:rPr>
        <w:t>Clarification request</w:t>
      </w:r>
      <w:r w:rsidRPr="00074EA9">
        <w:t xml:space="preserve">: </w:t>
      </w:r>
      <w:r w:rsidR="00501058">
        <w:t>C</w:t>
      </w:r>
      <w:r w:rsidRPr="00074EA9">
        <w:t xml:space="preserve">an ESMA confirm that the methodology and other disclosure requirements under EU Regulation 2024/3005 will, in particular, also require providers to disclose </w:t>
      </w:r>
      <w:r w:rsidR="00E53D5D">
        <w:t xml:space="preserve">the </w:t>
      </w:r>
      <w:r w:rsidRPr="00074EA9">
        <w:t xml:space="preserve">purpose </w:t>
      </w:r>
      <w:r w:rsidR="00E53D5D">
        <w:t>for every</w:t>
      </w:r>
      <w:r w:rsidRPr="00074EA9">
        <w:t xml:space="preserve"> ESG rating where a provider uses its ESG ratings for index construction?</w:t>
      </w:r>
    </w:p>
    <w:p w14:paraId="58573C0A" w14:textId="6C3257A6" w:rsidR="005B013B" w:rsidRPr="00074EA9" w:rsidRDefault="002E2C00" w:rsidP="007036DA">
      <w:pPr>
        <w:pStyle w:val="ListParagraph"/>
        <w:numPr>
          <w:ilvl w:val="0"/>
          <w:numId w:val="0"/>
        </w:numPr>
        <w:ind w:left="1361"/>
      </w:pPr>
      <w:r w:rsidRPr="00074EA9">
        <w:rPr>
          <w:b/>
          <w:bCs/>
        </w:rPr>
        <w:lastRenderedPageBreak/>
        <w:t>Rationale</w:t>
      </w:r>
      <w:r w:rsidRPr="00074EA9">
        <w:t xml:space="preserve">: </w:t>
      </w:r>
      <w:r w:rsidR="00C73614">
        <w:t>B</w:t>
      </w:r>
      <w:r w:rsidRPr="00074EA9">
        <w:t>enchmark providers receive favourable treatment under EU Regulation 2024/3005 in light of the derogation reflected in Article 16(3) of EU Regulation 2024/3005. It is our position that a substantial conflict of interest arises where the methodology underlying ESG ratings is determined by the needs of index/benchmark construction. To identify and mitigate such conflicts of interest, we request that ESMA consider this potential for conflicts of interest in applying the methodology disclosure requirements of EU Regulation 2024/3005 to ratings providers who issue benchmarks.</w:t>
      </w:r>
    </w:p>
    <w:p w14:paraId="578EB98F" w14:textId="459174C9"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AB2C3F"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_2&gt;</w:t>
      </w:r>
    </w:p>
    <w:p w14:paraId="72BB1A21" w14:textId="77777777" w:rsidR="00747F04" w:rsidRDefault="00747F04" w:rsidP="000E3663">
      <w:pPr>
        <w:pStyle w:val="Paragraph"/>
        <w:numPr>
          <w:ilvl w:val="0"/>
          <w:numId w:val="0"/>
        </w:numPr>
        <w:ind w:left="709"/>
      </w:pPr>
    </w:p>
    <w:p w14:paraId="30B5FCEB" w14:textId="357C0AE7" w:rsidR="006372FE" w:rsidRPr="00747F04" w:rsidRDefault="006372FE" w:rsidP="000E3663">
      <w:pPr>
        <w:pStyle w:val="Paragraph"/>
        <w:numPr>
          <w:ilvl w:val="0"/>
          <w:numId w:val="0"/>
        </w:numPr>
        <w:ind w:left="709"/>
      </w:pPr>
      <w:r w:rsidRPr="00747F04">
        <w:t xml:space="preserve">Q3. </w:t>
      </w:r>
      <w:r w:rsidR="00FC3B26" w:rsidRPr="00747F04">
        <w:tab/>
      </w:r>
      <w:r w:rsidRPr="00747F04">
        <w:t>Do you agree with ESMA’s proposals for the draft technical standard under Articles 23(4) and 24(3)?</w:t>
      </w:r>
    </w:p>
    <w:p w14:paraId="4E720D75" w14:textId="47BCF34E"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322B55"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_3&gt;</w:t>
      </w:r>
    </w:p>
    <w:p w14:paraId="6FF73F0D" w14:textId="31217818" w:rsidR="00C62D1A" w:rsidRDefault="00C62D1A" w:rsidP="00BE2A14">
      <w:pPr>
        <w:keepNext/>
        <w:spacing w:after="120"/>
        <w:rPr>
          <w:rFonts w:ascii="Arial" w:hAnsi="Arial" w:cs="Arial"/>
          <w:sz w:val="22"/>
          <w:szCs w:val="22"/>
          <w:lang w:val="en-US"/>
        </w:rPr>
      </w:pPr>
      <w:r w:rsidRPr="00074EA9">
        <w:rPr>
          <w:rFonts w:ascii="Arial" w:hAnsi="Arial" w:cs="Arial"/>
          <w:sz w:val="22"/>
          <w:szCs w:val="22"/>
          <w:lang w:val="en-US"/>
        </w:rPr>
        <w:t>RepRisk has questions regarding certain sections of this draft Regulatory Technical Standard (RTS). Below, we list each section on which we request clarification from ESMA, with the relevant RTS wording in italics, followed by our requests for clarification or confirmation. In addition, RepRisk wishes to raise questions regarding a related section of EU Regulation 2024/3005.</w:t>
      </w:r>
    </w:p>
    <w:p w14:paraId="3EB69CDB" w14:textId="77777777" w:rsidR="00BE2A14" w:rsidRPr="00074EA9" w:rsidRDefault="00BE2A14" w:rsidP="00BE2A14">
      <w:pPr>
        <w:keepNext/>
        <w:spacing w:after="120"/>
        <w:rPr>
          <w:rFonts w:ascii="Arial" w:hAnsi="Arial" w:cs="Arial"/>
          <w:sz w:val="22"/>
          <w:szCs w:val="22"/>
          <w:lang w:val="en-US"/>
        </w:rPr>
      </w:pPr>
    </w:p>
    <w:p w14:paraId="7B3AC344"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t>Article 3, point 1, letter (a)</w:t>
      </w:r>
    </w:p>
    <w:p w14:paraId="1861F720"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 (f), of Regulation (EU) 2024/3005, ESG rating providers shall specify:</w:t>
      </w:r>
    </w:p>
    <w:p w14:paraId="01523E00"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(a) the name of the rated item […].</w:t>
      </w:r>
    </w:p>
    <w:p w14:paraId="0A9AF651" w14:textId="1CCA48A6" w:rsidR="00134890" w:rsidRDefault="00C62D1A" w:rsidP="007036DA">
      <w:pPr>
        <w:pStyle w:val="ListParagraph"/>
        <w:numPr>
          <w:ilvl w:val="0"/>
          <w:numId w:val="0"/>
        </w:numPr>
        <w:ind w:left="1259"/>
      </w:pPr>
      <w:r w:rsidRPr="00074EA9">
        <w:rPr>
          <w:b/>
          <w:bCs/>
        </w:rPr>
        <w:t>Clarification request</w:t>
      </w:r>
      <w:r w:rsidRPr="00074EA9">
        <w:t xml:space="preserve">: </w:t>
      </w:r>
      <w:r w:rsidR="00C73614">
        <w:t>C</w:t>
      </w:r>
      <w:r w:rsidRPr="00074EA9">
        <w:t>an ESMA confirm that this disclosure requirement applies only to providers that publish their ESG ratings on their website or through other means (as referenced in EU Regulation 2024/3005, Article 2, point 1, letter a(i))?</w:t>
      </w:r>
    </w:p>
    <w:p w14:paraId="4B214264" w14:textId="75E84010" w:rsidR="00C62D1A" w:rsidRPr="00DC69CE" w:rsidRDefault="00C62D1A" w:rsidP="00A976EA">
      <w:pPr>
        <w:ind w:left="641"/>
        <w:rPr>
          <w:rFonts w:ascii="Arial" w:hAnsi="Arial" w:cs="Arial"/>
          <w:sz w:val="22"/>
          <w:szCs w:val="22"/>
          <w:lang w:val="en-US"/>
        </w:rPr>
      </w:pPr>
      <w:r w:rsidRPr="00DC69CE">
        <w:rPr>
          <w:rFonts w:ascii="Arial" w:hAnsi="Arial" w:cs="Arial"/>
          <w:sz w:val="22"/>
          <w:szCs w:val="22"/>
          <w:lang w:val="en-US"/>
        </w:rPr>
        <w:t xml:space="preserve">By contrast, providers that do </w:t>
      </w:r>
      <w:r w:rsidRPr="00DC69CE">
        <w:rPr>
          <w:rFonts w:ascii="Arial" w:hAnsi="Arial" w:cs="Arial"/>
          <w:b/>
          <w:bCs/>
          <w:sz w:val="22"/>
          <w:szCs w:val="22"/>
          <w:lang w:val="en-US"/>
        </w:rPr>
        <w:t>not</w:t>
      </w:r>
      <w:r w:rsidRPr="00DC69CE">
        <w:rPr>
          <w:rFonts w:ascii="Arial" w:hAnsi="Arial" w:cs="Arial"/>
          <w:sz w:val="22"/>
          <w:szCs w:val="22"/>
          <w:lang w:val="en-US"/>
        </w:rPr>
        <w:t xml:space="preserve"> make their ratings public, and instead distribute their EGS ratings by subscription or other contractual relationships (as referenced in EU Regulation 2024/3005, Article 2, point 1, letter a(ii)), then are </w:t>
      </w:r>
      <w:r w:rsidRPr="00DC69CE">
        <w:rPr>
          <w:rFonts w:ascii="Arial" w:hAnsi="Arial" w:cs="Arial"/>
          <w:b/>
          <w:bCs/>
          <w:sz w:val="22"/>
          <w:szCs w:val="22"/>
          <w:lang w:val="en-US"/>
        </w:rPr>
        <w:t xml:space="preserve">not </w:t>
      </w:r>
      <w:r w:rsidRPr="00DC69CE">
        <w:rPr>
          <w:rFonts w:ascii="Arial" w:hAnsi="Arial" w:cs="Arial"/>
          <w:sz w:val="22"/>
          <w:szCs w:val="22"/>
          <w:lang w:val="en-US"/>
        </w:rPr>
        <w:t xml:space="preserve">expected to disclose to the public the names of every rated item covered by the provider’s ESG ratings, i.e. publicly disclosing their confidential ratings coverage universe. </w:t>
      </w:r>
    </w:p>
    <w:p w14:paraId="55FCDF9A" w14:textId="77777777" w:rsidR="00C62D1A" w:rsidRPr="00DC69CE" w:rsidRDefault="00C62D1A" w:rsidP="002F0EA9">
      <w:pPr>
        <w:spacing w:after="240"/>
        <w:ind w:left="641"/>
        <w:rPr>
          <w:rFonts w:ascii="Arial" w:hAnsi="Arial" w:cs="Arial"/>
          <w:sz w:val="22"/>
          <w:szCs w:val="22"/>
          <w:lang w:val="en-US"/>
        </w:rPr>
      </w:pPr>
      <w:r w:rsidRPr="00DC69CE">
        <w:rPr>
          <w:rFonts w:ascii="Arial" w:hAnsi="Arial" w:cs="Arial"/>
          <w:sz w:val="22"/>
          <w:szCs w:val="22"/>
          <w:lang w:val="en-US"/>
        </w:rPr>
        <w:t>Further, if the requirement were to apply to all rating providers, we would welcome ESMA’s assessment of whether we could rely on the disclosure exclusion in Article 15, point 13 for intellectual property qualifying as trade secrets, to obtain a derogation from the requirement.</w:t>
      </w:r>
      <w:r w:rsidRPr="00C53704">
        <w:rPr>
          <w:rFonts w:ascii="Arial" w:eastAsiaTheme="majorEastAsia" w:hAnsi="Arial" w:cs="Arial"/>
          <w:b/>
          <w:sz w:val="22"/>
          <w:szCs w:val="22"/>
          <w:lang w:val="en-US"/>
        </w:rPr>
        <w:t> </w:t>
      </w:r>
      <w:r w:rsidRPr="00DC69CE">
        <w:rPr>
          <w:rFonts w:ascii="Arial" w:hAnsi="Arial" w:cs="Arial"/>
          <w:b/>
          <w:bCs/>
          <w:sz w:val="22"/>
          <w:szCs w:val="22"/>
          <w:lang w:val="en-US"/>
        </w:rPr>
        <w:t xml:space="preserve"> </w:t>
      </w:r>
    </w:p>
    <w:p w14:paraId="611B041D" w14:textId="77777777" w:rsidR="00C62D1A" w:rsidRPr="00F039D6" w:rsidRDefault="00C62D1A" w:rsidP="00DC69CE">
      <w:pPr>
        <w:ind w:left="1259" w:hanging="357"/>
        <w:rPr>
          <w:rFonts w:ascii="Arial" w:hAnsi="Arial" w:cs="Arial"/>
          <w:sz w:val="22"/>
          <w:szCs w:val="22"/>
        </w:rPr>
      </w:pPr>
      <w:r w:rsidRPr="00F039D6">
        <w:rPr>
          <w:rFonts w:ascii="Arial" w:hAnsi="Arial" w:cs="Arial"/>
          <w:b/>
          <w:bCs/>
          <w:sz w:val="22"/>
          <w:szCs w:val="22"/>
        </w:rPr>
        <w:t>Rationale</w:t>
      </w:r>
      <w:r w:rsidRPr="00F039D6">
        <w:rPr>
          <w:rFonts w:ascii="Arial" w:hAnsi="Arial" w:cs="Arial"/>
          <w:sz w:val="22"/>
          <w:szCs w:val="22"/>
        </w:rPr>
        <w:t xml:space="preserve">: </w:t>
      </w:r>
    </w:p>
    <w:p w14:paraId="6479BF53" w14:textId="399FEB29" w:rsidR="00C62D1A" w:rsidRPr="00074EA9" w:rsidRDefault="00C62D1A" w:rsidP="00C53704">
      <w:pPr>
        <w:ind w:left="924"/>
        <w:rPr>
          <w:rFonts w:ascii="Arial" w:hAnsi="Arial" w:cs="Arial"/>
          <w:sz w:val="22"/>
          <w:szCs w:val="22"/>
          <w:lang w:val="en-US"/>
        </w:rPr>
      </w:pPr>
      <w:r w:rsidRPr="00074EA9">
        <w:rPr>
          <w:rFonts w:ascii="Arial" w:hAnsi="Arial" w:cs="Arial"/>
          <w:b/>
          <w:bCs/>
          <w:sz w:val="22"/>
          <w:szCs w:val="22"/>
          <w:lang w:val="en-US"/>
        </w:rPr>
        <w:t>Intellectual property and confidentiality</w:t>
      </w:r>
      <w:r w:rsidRPr="00074EA9">
        <w:rPr>
          <w:rFonts w:ascii="Arial" w:hAnsi="Arial" w:cs="Arial"/>
          <w:sz w:val="22"/>
          <w:szCs w:val="22"/>
          <w:lang w:val="en-US"/>
        </w:rPr>
        <w:t xml:space="preserve">: </w:t>
      </w:r>
      <w:r w:rsidR="00C73614">
        <w:rPr>
          <w:rFonts w:ascii="Arial" w:hAnsi="Arial" w:cs="Arial"/>
          <w:sz w:val="22"/>
          <w:szCs w:val="22"/>
          <w:lang w:val="en-US"/>
        </w:rPr>
        <w:t>F</w:t>
      </w:r>
      <w:r w:rsidRPr="00074EA9">
        <w:rPr>
          <w:rFonts w:ascii="Arial" w:hAnsi="Arial" w:cs="Arial"/>
          <w:sz w:val="22"/>
          <w:szCs w:val="22"/>
          <w:lang w:val="en-US"/>
        </w:rPr>
        <w:t xml:space="preserve">or business confidentiality and intellectual property protection reasons, we do not make our ratings or the names of rated items public. Requiring us to publicly disclose the names of every rated item would raise serious confidentiality concerns, without any countervailing benefit to the public. </w:t>
      </w:r>
    </w:p>
    <w:p w14:paraId="2DADB77C" w14:textId="7D035879" w:rsidR="00C62D1A" w:rsidRPr="00074EA9" w:rsidRDefault="00C62D1A" w:rsidP="00C62D1A">
      <w:pPr>
        <w:spacing w:after="120"/>
        <w:ind w:left="901"/>
        <w:rPr>
          <w:rFonts w:ascii="Arial" w:hAnsi="Arial" w:cs="Arial"/>
          <w:sz w:val="22"/>
          <w:szCs w:val="22"/>
          <w:lang w:val="en-US"/>
        </w:rPr>
      </w:pPr>
      <w:r w:rsidRPr="00074EA9">
        <w:rPr>
          <w:rFonts w:ascii="Arial" w:hAnsi="Arial" w:cs="Arial"/>
          <w:sz w:val="22"/>
          <w:szCs w:val="22"/>
          <w:lang w:val="en-US"/>
        </w:rPr>
        <w:t xml:space="preserve">Our coverage universe, i.e. information on which rated items we cover, constitutes highly sensitive and confidential intellectual property. Access to information on our </w:t>
      </w:r>
      <w:r w:rsidRPr="00074EA9">
        <w:rPr>
          <w:rFonts w:ascii="Arial" w:hAnsi="Arial" w:cs="Arial"/>
          <w:sz w:val="22"/>
          <w:szCs w:val="22"/>
          <w:lang w:val="en-US"/>
        </w:rPr>
        <w:lastRenderedPageBreak/>
        <w:t xml:space="preserve">coverage would enable competitors to easily conduct a gap analysis on </w:t>
      </w:r>
      <w:r w:rsidR="007B2F7F">
        <w:rPr>
          <w:rFonts w:ascii="Arial" w:hAnsi="Arial" w:cs="Arial"/>
          <w:sz w:val="22"/>
          <w:szCs w:val="22"/>
          <w:lang w:val="en-US"/>
        </w:rPr>
        <w:t>our</w:t>
      </w:r>
      <w:r w:rsidRPr="00074EA9">
        <w:rPr>
          <w:rFonts w:ascii="Arial" w:hAnsi="Arial" w:cs="Arial"/>
          <w:sz w:val="22"/>
          <w:szCs w:val="22"/>
          <w:lang w:val="en-US"/>
        </w:rPr>
        <w:t xml:space="preserve"> ratings offering vs. their own, and to use that information to enhance their own offering at our expense.</w:t>
      </w:r>
    </w:p>
    <w:p w14:paraId="7C64CBD6" w14:textId="395097F8" w:rsidR="00C62D1A" w:rsidRPr="00074EA9" w:rsidRDefault="00C62D1A" w:rsidP="00C53704">
      <w:pPr>
        <w:ind w:left="924"/>
        <w:rPr>
          <w:rFonts w:ascii="Arial" w:hAnsi="Arial" w:cs="Arial"/>
          <w:sz w:val="22"/>
          <w:szCs w:val="22"/>
          <w:lang w:val="en-US"/>
        </w:rPr>
      </w:pPr>
      <w:r w:rsidRPr="00074EA9">
        <w:rPr>
          <w:rFonts w:ascii="Arial" w:hAnsi="Arial" w:cs="Arial"/>
          <w:sz w:val="22"/>
          <w:szCs w:val="22"/>
          <w:lang w:val="en-US"/>
        </w:rPr>
        <w:t xml:space="preserve">For that reason, we make our coverage universe accessible only to clients with licensing agreements containing appropriate confidentiality protections. Prospective clients who wish to learn the scope of our coverage can also trial our product offering at no cost, subject to non-disclosure agreements. In this way, our confidential business information remains protected, while current and prospective clients have full transparency on the </w:t>
      </w:r>
      <w:r w:rsidR="000837E7">
        <w:rPr>
          <w:rFonts w:ascii="Arial" w:hAnsi="Arial" w:cs="Arial"/>
          <w:sz w:val="22"/>
          <w:szCs w:val="22"/>
          <w:lang w:val="en-US"/>
        </w:rPr>
        <w:t xml:space="preserve">universe of </w:t>
      </w:r>
      <w:r w:rsidRPr="00074EA9">
        <w:rPr>
          <w:rFonts w:ascii="Arial" w:hAnsi="Arial" w:cs="Arial"/>
          <w:sz w:val="22"/>
          <w:szCs w:val="22"/>
          <w:lang w:val="en-US"/>
        </w:rPr>
        <w:t xml:space="preserve">rated items we cover. </w:t>
      </w:r>
    </w:p>
    <w:p w14:paraId="41ECCEFF" w14:textId="77777777" w:rsidR="00C62D1A" w:rsidRPr="00074EA9" w:rsidRDefault="00C62D1A" w:rsidP="00C53704">
      <w:pPr>
        <w:ind w:left="924"/>
        <w:rPr>
          <w:rFonts w:ascii="Arial" w:hAnsi="Arial" w:cs="Arial"/>
          <w:sz w:val="22"/>
          <w:szCs w:val="22"/>
          <w:lang w:val="en-US"/>
        </w:rPr>
      </w:pPr>
      <w:r w:rsidRPr="00074EA9">
        <w:rPr>
          <w:rFonts w:ascii="Arial" w:hAnsi="Arial" w:cs="Arial"/>
          <w:sz w:val="22"/>
          <w:szCs w:val="22"/>
          <w:lang w:val="en-US"/>
        </w:rPr>
        <w:t>We see no offsetting benefit to the public in making our coverage universe publicly available. There is no scenario in which a member of the public would inadvertently obtain our ESG ratings and require information on our coverage universe to provide context.</w:t>
      </w:r>
    </w:p>
    <w:p w14:paraId="34CDE906" w14:textId="64BDFEE4" w:rsidR="00C62D1A" w:rsidRDefault="00C62D1A" w:rsidP="00C53704">
      <w:pPr>
        <w:ind w:left="924"/>
        <w:rPr>
          <w:rFonts w:ascii="Arial" w:hAnsi="Arial" w:cs="Arial"/>
          <w:sz w:val="22"/>
          <w:szCs w:val="22"/>
          <w:lang w:val="en-US"/>
        </w:rPr>
      </w:pPr>
      <w:r w:rsidRPr="00074EA9">
        <w:rPr>
          <w:rFonts w:ascii="Arial" w:hAnsi="Arial" w:cs="Arial"/>
          <w:b/>
          <w:bCs/>
          <w:sz w:val="22"/>
          <w:szCs w:val="22"/>
          <w:lang w:val="en-US"/>
        </w:rPr>
        <w:t>Cost</w:t>
      </w:r>
      <w:r w:rsidRPr="00074EA9">
        <w:rPr>
          <w:rFonts w:ascii="Arial" w:hAnsi="Arial" w:cs="Arial"/>
          <w:sz w:val="22"/>
          <w:szCs w:val="22"/>
          <w:lang w:val="en-US"/>
        </w:rPr>
        <w:t xml:space="preserve">: </w:t>
      </w:r>
      <w:r w:rsidR="00C73614">
        <w:rPr>
          <w:rFonts w:ascii="Arial" w:hAnsi="Arial" w:cs="Arial"/>
          <w:sz w:val="22"/>
          <w:szCs w:val="22"/>
          <w:lang w:val="en-US"/>
        </w:rPr>
        <w:t>R</w:t>
      </w:r>
      <w:r w:rsidRPr="00074EA9">
        <w:rPr>
          <w:rFonts w:ascii="Arial" w:hAnsi="Arial" w:cs="Arial"/>
          <w:sz w:val="22"/>
          <w:szCs w:val="22"/>
          <w:lang w:val="en-US"/>
        </w:rPr>
        <w:t>equiring public disclosure of the name of every rated item in our coverage universe would also impose significant costs. We update our coverage universe daily at a rate of several hundred new rated entities. Maintaining a constantly updated public list of rated entities would impose substantial logistical costs and organi</w:t>
      </w:r>
      <w:r w:rsidR="00F84F83">
        <w:rPr>
          <w:rFonts w:ascii="Arial" w:hAnsi="Arial" w:cs="Arial"/>
          <w:sz w:val="22"/>
          <w:szCs w:val="22"/>
          <w:lang w:val="en-US"/>
        </w:rPr>
        <w:t>sa</w:t>
      </w:r>
      <w:r w:rsidRPr="00074EA9">
        <w:rPr>
          <w:rFonts w:ascii="Arial" w:hAnsi="Arial" w:cs="Arial"/>
          <w:sz w:val="22"/>
          <w:szCs w:val="22"/>
          <w:lang w:val="en-US"/>
        </w:rPr>
        <w:t>tional burden.</w:t>
      </w:r>
    </w:p>
    <w:p w14:paraId="001CED1C" w14:textId="77777777" w:rsidR="00DC69CE" w:rsidRDefault="00DC69CE" w:rsidP="00C53704">
      <w:pPr>
        <w:ind w:left="924"/>
        <w:rPr>
          <w:rFonts w:ascii="Arial" w:hAnsi="Arial" w:cs="Arial"/>
          <w:sz w:val="22"/>
          <w:szCs w:val="22"/>
          <w:lang w:val="en-US"/>
        </w:rPr>
      </w:pPr>
    </w:p>
    <w:p w14:paraId="35860888" w14:textId="77777777" w:rsidR="00DC69CE" w:rsidRDefault="00DC69CE" w:rsidP="00C53704">
      <w:pPr>
        <w:ind w:left="924"/>
        <w:rPr>
          <w:rFonts w:ascii="Arial" w:hAnsi="Arial" w:cs="Arial"/>
          <w:sz w:val="22"/>
          <w:szCs w:val="22"/>
          <w:lang w:val="en-US"/>
        </w:rPr>
      </w:pPr>
    </w:p>
    <w:p w14:paraId="0972515A" w14:textId="77777777" w:rsidR="00126995" w:rsidRPr="00074EA9" w:rsidRDefault="00126995" w:rsidP="00C53704">
      <w:pPr>
        <w:ind w:left="924"/>
        <w:rPr>
          <w:rFonts w:ascii="Arial" w:hAnsi="Arial" w:cs="Arial"/>
          <w:sz w:val="22"/>
          <w:szCs w:val="22"/>
          <w:lang w:val="en-US"/>
        </w:rPr>
      </w:pPr>
    </w:p>
    <w:p w14:paraId="5A716398" w14:textId="77777777" w:rsidR="00C62D1A" w:rsidRPr="00074EA9" w:rsidRDefault="00C62D1A" w:rsidP="00C62D1A">
      <w:pPr>
        <w:keepNext/>
        <w:spacing w:after="120"/>
        <w:rPr>
          <w:rFonts w:ascii="Arial" w:hAnsi="Arial" w:cs="Arial"/>
          <w:b/>
          <w:bCs/>
          <w:sz w:val="22"/>
          <w:szCs w:val="22"/>
          <w:lang w:val="fr-CH"/>
        </w:rPr>
      </w:pPr>
      <w:r w:rsidRPr="00074EA9">
        <w:rPr>
          <w:rFonts w:ascii="Arial" w:hAnsi="Arial" w:cs="Arial"/>
          <w:b/>
          <w:bCs/>
          <w:sz w:val="22"/>
          <w:szCs w:val="22"/>
          <w:lang w:val="fr-CH"/>
        </w:rPr>
        <w:t>Article 3, point 1, letters (b)-(e)</w:t>
      </w:r>
    </w:p>
    <w:p w14:paraId="4B06A4F2"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 (f), of Regulation (EU) 2024/3005, ESG rating providers shall specify:</w:t>
      </w:r>
    </w:p>
    <w:p w14:paraId="58F2B2E0"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 xml:space="preserve">(b) the specific risks covered, where the ESG rating is assessing risks; </w:t>
      </w:r>
    </w:p>
    <w:p w14:paraId="71C528D8"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 xml:space="preserve">(c) the specific impacts covered, where the ESG rating is assessing impacts; </w:t>
      </w:r>
    </w:p>
    <w:p w14:paraId="33BCCEC5"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 xml:space="preserve">(d) how the proportion of the risk and impact materiality is determined in the case of the double materiality principle; </w:t>
      </w:r>
    </w:p>
    <w:p w14:paraId="6D552F69" w14:textId="77777777" w:rsidR="00C62D1A" w:rsidRPr="00074EA9" w:rsidRDefault="00C62D1A" w:rsidP="00C62D1A">
      <w:pPr>
        <w:keepNext/>
        <w:spacing w:after="120"/>
        <w:rPr>
          <w:rFonts w:ascii="Arial" w:hAnsi="Arial" w:cs="Arial"/>
          <w:sz w:val="22"/>
          <w:szCs w:val="22"/>
          <w:lang w:val="en-US"/>
        </w:rPr>
      </w:pPr>
      <w:r w:rsidRPr="00074EA9">
        <w:rPr>
          <w:rFonts w:ascii="Arial" w:hAnsi="Arial" w:cs="Arial"/>
          <w:i/>
          <w:iCs/>
          <w:sz w:val="22"/>
          <w:szCs w:val="22"/>
          <w:lang w:val="en-US"/>
        </w:rPr>
        <w:t>(e) where the ESG rating product is based on other materiality dimensions, a description of those dimensions</w:t>
      </w:r>
      <w:r w:rsidRPr="00074EA9">
        <w:rPr>
          <w:rFonts w:ascii="Arial" w:hAnsi="Arial" w:cs="Arial"/>
          <w:sz w:val="22"/>
          <w:szCs w:val="22"/>
          <w:lang w:val="en-US"/>
        </w:rPr>
        <w:t>.</w:t>
      </w:r>
    </w:p>
    <w:p w14:paraId="7808B2CC" w14:textId="5A78FAC2" w:rsidR="00C62D1A" w:rsidRPr="00074EA9" w:rsidRDefault="00C62D1A" w:rsidP="007036DA">
      <w:pPr>
        <w:pStyle w:val="ListParagraph"/>
        <w:numPr>
          <w:ilvl w:val="0"/>
          <w:numId w:val="0"/>
        </w:numPr>
        <w:ind w:left="720"/>
      </w:pPr>
      <w:r w:rsidRPr="00074EA9">
        <w:rPr>
          <w:b/>
          <w:bCs/>
        </w:rPr>
        <w:t>Clarification request</w:t>
      </w:r>
      <w:r w:rsidRPr="00074EA9">
        <w:t xml:space="preserve">: </w:t>
      </w:r>
      <w:r w:rsidR="00C73614">
        <w:t>C</w:t>
      </w:r>
      <w:r w:rsidRPr="00074EA9">
        <w:t xml:space="preserve">an ESMA confirm that “risks” and “impacts” are used in this context to refer to the two aspects of double materiality: with “risk” referring to risks that affect companies, e.g. financial risk resulting from environmental disasters or similar events, whereas “impact” refers to the impact of a company on the environment? </w:t>
      </w:r>
    </w:p>
    <w:p w14:paraId="00C02C6E" w14:textId="1573725D" w:rsidR="00C62D1A" w:rsidRDefault="00C62D1A" w:rsidP="007036DA">
      <w:pPr>
        <w:pStyle w:val="ListParagraph"/>
        <w:numPr>
          <w:ilvl w:val="0"/>
          <w:numId w:val="0"/>
        </w:numPr>
        <w:ind w:left="720"/>
      </w:pPr>
      <w:r w:rsidRPr="00074EA9">
        <w:rPr>
          <w:b/>
          <w:bCs/>
        </w:rPr>
        <w:t>Clarification request</w:t>
      </w:r>
      <w:r w:rsidRPr="00074EA9">
        <w:t xml:space="preserve">: </w:t>
      </w:r>
      <w:r w:rsidR="00C73614">
        <w:t>C</w:t>
      </w:r>
      <w:r w:rsidRPr="00074EA9">
        <w:t>an ESMA confirm that “impact” is intended to cover only negative impact?</w:t>
      </w:r>
    </w:p>
    <w:p w14:paraId="57B5B20E" w14:textId="77777777" w:rsidR="00DC69CE" w:rsidRDefault="00DC69CE" w:rsidP="007036DA">
      <w:pPr>
        <w:pStyle w:val="ListParagraph"/>
        <w:numPr>
          <w:ilvl w:val="0"/>
          <w:numId w:val="0"/>
        </w:numPr>
        <w:ind w:left="720"/>
      </w:pPr>
    </w:p>
    <w:p w14:paraId="7BF84F96" w14:textId="77777777" w:rsidR="00DC69CE" w:rsidRDefault="00DC69CE" w:rsidP="007036DA">
      <w:pPr>
        <w:pStyle w:val="ListParagraph"/>
        <w:numPr>
          <w:ilvl w:val="0"/>
          <w:numId w:val="0"/>
        </w:numPr>
        <w:ind w:left="720"/>
      </w:pPr>
    </w:p>
    <w:p w14:paraId="195ECEF7" w14:textId="77777777" w:rsidR="00126995" w:rsidRPr="00074EA9" w:rsidRDefault="00126995" w:rsidP="000E3663">
      <w:pPr>
        <w:ind w:left="720"/>
      </w:pPr>
    </w:p>
    <w:p w14:paraId="67753639"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t>Article 3, point 3</w:t>
      </w:r>
    </w:p>
    <w:p w14:paraId="16AE26BE"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As part of the information disclosed in accordance with Annex III, point 1, letters (o) and (p), of Regulation (EU) 2024/3005, ESG rating providers shall, where applicable: </w:t>
      </w:r>
    </w:p>
    <w:p w14:paraId="3210F388"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lastRenderedPageBreak/>
        <w:t>(a) include an indication of whether the rating takes into account the targets and objectives of the Paris Agreement and which other international agreements are taken into account, with reference to basic identifying information on these agreements together with an explanation of their relevance to the rating;</w:t>
      </w:r>
    </w:p>
    <w:p w14:paraId="4F5B7E33"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(b) specify whether the rating is benchmarking commitments against the objectives of those agreements.</w:t>
      </w:r>
    </w:p>
    <w:p w14:paraId="0405438C" w14:textId="77777777" w:rsidR="00C62D1A" w:rsidRPr="00074EA9" w:rsidRDefault="00C62D1A" w:rsidP="007036DA">
      <w:pPr>
        <w:pStyle w:val="ListParagraph"/>
        <w:numPr>
          <w:ilvl w:val="0"/>
          <w:numId w:val="0"/>
        </w:numPr>
        <w:ind w:left="720"/>
      </w:pPr>
      <w:r w:rsidRPr="00074EA9">
        <w:rPr>
          <w:b/>
          <w:bCs/>
        </w:rPr>
        <w:t>Clarification request</w:t>
      </w:r>
      <w:r w:rsidRPr="00074EA9">
        <w:t xml:space="preserve">: Can ESMA confirm that rather than requiring providers to give a simple yes/no answer on whether or not their ratings take into account the targets of the Paris Agreement and other relevant agreements, this duty requires providers to clearly state which factors their ratings do take into account? </w:t>
      </w:r>
    </w:p>
    <w:p w14:paraId="58FCFD3E" w14:textId="77777777" w:rsidR="00C62D1A" w:rsidRDefault="00C62D1A" w:rsidP="007036DA">
      <w:pPr>
        <w:pStyle w:val="ListParagraph"/>
        <w:numPr>
          <w:ilvl w:val="0"/>
          <w:numId w:val="0"/>
        </w:numPr>
        <w:ind w:left="1261"/>
      </w:pPr>
      <w:r w:rsidRPr="00074EA9">
        <w:rPr>
          <w:b/>
          <w:bCs/>
        </w:rPr>
        <w:t>Rationale</w:t>
      </w:r>
      <w:r w:rsidRPr="00074EA9">
        <w:t>: Our rationale for requesting confirmation is that the Paris agreement and similar international agreements are – by design and definition – out of scope for some providers’ rating products because their rating methodologies are intentionally designed to exclude any self-reported information. A simple yes/no answer on whether such ratings take into account the targets of the Paris Agreement would result in an incorrect perception of the ratings and their intended use. By contrast, an explanation of the specific factors which play a role in a provider’s ratings offers a more transparent, accurate view of such ratings and their intended use.</w:t>
      </w:r>
    </w:p>
    <w:p w14:paraId="7AC830EC" w14:textId="77777777" w:rsidR="00126995" w:rsidRDefault="00126995" w:rsidP="000E3663">
      <w:pPr>
        <w:ind w:left="1261"/>
      </w:pPr>
    </w:p>
    <w:p w14:paraId="563BC2B8" w14:textId="77777777" w:rsidR="00DC69CE" w:rsidRDefault="00DC69CE" w:rsidP="000E3663">
      <w:pPr>
        <w:ind w:left="1261"/>
      </w:pPr>
    </w:p>
    <w:p w14:paraId="09E9C80D" w14:textId="77777777" w:rsidR="00DC69CE" w:rsidRPr="00074EA9" w:rsidRDefault="00DC69CE" w:rsidP="000E3663">
      <w:pPr>
        <w:ind w:left="1261"/>
      </w:pPr>
    </w:p>
    <w:p w14:paraId="7C8C13E1"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t>Article 3, point 4</w:t>
      </w:r>
    </w:p>
    <w:p w14:paraId="24E38F35"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 (j), of Regulation (EU) 2024/3005, ESG rating providers shall describe the absolute or relative values referred to within the ranking system used.</w:t>
      </w:r>
    </w:p>
    <w:p w14:paraId="48F9B075" w14:textId="5629C5FB" w:rsidR="00C62D1A" w:rsidRPr="00074EA9" w:rsidRDefault="00C62D1A" w:rsidP="007036DA">
      <w:pPr>
        <w:pStyle w:val="ListParagraph"/>
        <w:numPr>
          <w:ilvl w:val="0"/>
          <w:numId w:val="0"/>
        </w:numPr>
        <w:ind w:left="720"/>
      </w:pPr>
      <w:r w:rsidRPr="00074EA9">
        <w:rPr>
          <w:b/>
          <w:bCs/>
        </w:rPr>
        <w:t>Clarification request</w:t>
      </w:r>
      <w:r w:rsidRPr="00074EA9">
        <w:t xml:space="preserve">: Can ESMA confirm that the following definitions of “absolute” and </w:t>
      </w:r>
      <w:r w:rsidR="0071290D">
        <w:t>“</w:t>
      </w:r>
      <w:r w:rsidRPr="00074EA9">
        <w:t>relative” values, which are common in the data and ratings industry, can be used in this context:</w:t>
      </w:r>
    </w:p>
    <w:p w14:paraId="2DF347EE" w14:textId="77777777" w:rsidR="00C62D1A" w:rsidRPr="00074EA9" w:rsidRDefault="00C62D1A" w:rsidP="00C62D1A">
      <w:pPr>
        <w:spacing w:after="120"/>
        <w:ind w:left="720"/>
        <w:rPr>
          <w:rFonts w:ascii="Arial" w:hAnsi="Arial" w:cs="Arial"/>
          <w:sz w:val="22"/>
          <w:szCs w:val="22"/>
          <w:lang w:val="en-US"/>
        </w:rPr>
      </w:pPr>
      <w:r w:rsidRPr="00074EA9">
        <w:rPr>
          <w:rFonts w:ascii="Arial" w:hAnsi="Arial" w:cs="Arial"/>
          <w:b/>
          <w:bCs/>
          <w:sz w:val="22"/>
          <w:szCs w:val="22"/>
          <w:lang w:val="en-US"/>
        </w:rPr>
        <w:t>absolute</w:t>
      </w:r>
      <w:r w:rsidRPr="00074EA9">
        <w:rPr>
          <w:rFonts w:ascii="Arial" w:hAnsi="Arial" w:cs="Arial"/>
          <w:sz w:val="22"/>
          <w:szCs w:val="22"/>
          <w:lang w:val="en-US"/>
        </w:rPr>
        <w:t>: refers to the raw, standalone value of a risk rating or metric, without comparison to other entities, time periods, or baselines. </w:t>
      </w:r>
    </w:p>
    <w:p w14:paraId="691B3D9D" w14:textId="5B1CA142" w:rsidR="00C62D1A" w:rsidRPr="00074EA9" w:rsidRDefault="00C62D1A" w:rsidP="00390FC2">
      <w:pPr>
        <w:numPr>
          <w:ilvl w:val="1"/>
          <w:numId w:val="21"/>
        </w:numPr>
        <w:spacing w:after="120"/>
        <w:rPr>
          <w:rFonts w:ascii="Arial" w:hAnsi="Arial" w:cs="Arial"/>
          <w:sz w:val="22"/>
          <w:szCs w:val="22"/>
          <w:lang w:val="en-US"/>
        </w:rPr>
      </w:pPr>
      <w:r w:rsidRPr="00074EA9">
        <w:rPr>
          <w:rFonts w:ascii="Arial" w:hAnsi="Arial" w:cs="Arial"/>
          <w:sz w:val="22"/>
          <w:szCs w:val="22"/>
          <w:lang w:val="en-US"/>
        </w:rPr>
        <w:t>Interpretation: this value quantifies the risk in concrete terms, based on</w:t>
      </w:r>
      <w:r w:rsidR="00DB2D6B">
        <w:rPr>
          <w:rFonts w:ascii="Arial" w:hAnsi="Arial" w:cs="Arial"/>
          <w:sz w:val="22"/>
          <w:szCs w:val="22"/>
          <w:lang w:val="en-US"/>
        </w:rPr>
        <w:t xml:space="preserve"> the </w:t>
      </w:r>
      <w:r w:rsidRPr="00074EA9">
        <w:rPr>
          <w:rFonts w:ascii="Arial" w:hAnsi="Arial" w:cs="Arial"/>
          <w:sz w:val="22"/>
          <w:szCs w:val="22"/>
          <w:lang w:val="en-US"/>
        </w:rPr>
        <w:t>underlying data, useful for understanding severity or magnitude independently.</w:t>
      </w:r>
    </w:p>
    <w:p w14:paraId="5517AD2A" w14:textId="77777777" w:rsidR="00C62D1A" w:rsidRPr="00074EA9" w:rsidRDefault="00C62D1A" w:rsidP="00C62D1A">
      <w:pPr>
        <w:spacing w:after="120"/>
        <w:ind w:left="720"/>
        <w:rPr>
          <w:rFonts w:ascii="Arial" w:hAnsi="Arial" w:cs="Arial"/>
          <w:sz w:val="22"/>
          <w:szCs w:val="22"/>
          <w:lang w:val="en-US"/>
        </w:rPr>
      </w:pPr>
      <w:r w:rsidRPr="00074EA9">
        <w:rPr>
          <w:rFonts w:ascii="Arial" w:hAnsi="Arial" w:cs="Arial"/>
          <w:b/>
          <w:bCs/>
          <w:sz w:val="22"/>
          <w:szCs w:val="22"/>
          <w:lang w:val="en-US"/>
        </w:rPr>
        <w:t>relative</w:t>
      </w:r>
      <w:r w:rsidRPr="00074EA9">
        <w:rPr>
          <w:rFonts w:ascii="Arial" w:hAnsi="Arial" w:cs="Arial"/>
          <w:sz w:val="22"/>
          <w:szCs w:val="22"/>
          <w:lang w:val="en-US"/>
        </w:rPr>
        <w:t>: refers to a comparative value of a risk rating or metric, expressed in relation to another entity, benchmark, or time-period. This is often represented as a ratio, rate of change, normalized value, or comparison.</w:t>
      </w:r>
    </w:p>
    <w:p w14:paraId="085B0B23" w14:textId="77777777" w:rsidR="00C62D1A" w:rsidRDefault="00C62D1A" w:rsidP="00126995">
      <w:pPr>
        <w:numPr>
          <w:ilvl w:val="1"/>
          <w:numId w:val="21"/>
        </w:numPr>
        <w:spacing w:after="120"/>
        <w:ind w:left="1434" w:hanging="357"/>
        <w:rPr>
          <w:rFonts w:ascii="Arial" w:hAnsi="Arial" w:cs="Arial"/>
          <w:sz w:val="22"/>
          <w:szCs w:val="22"/>
          <w:lang w:val="en-US"/>
        </w:rPr>
      </w:pPr>
      <w:r w:rsidRPr="00074EA9">
        <w:rPr>
          <w:rFonts w:ascii="Arial" w:hAnsi="Arial" w:cs="Arial"/>
          <w:sz w:val="22"/>
          <w:szCs w:val="22"/>
          <w:lang w:val="en-US"/>
        </w:rPr>
        <w:t>Interpretation: this value provides information on how “risky” something is compared to something else, which is useful for prioritization, benchmarking, rankings, or trend analysis.</w:t>
      </w:r>
    </w:p>
    <w:p w14:paraId="06CCDD36" w14:textId="77777777" w:rsidR="00126995" w:rsidRPr="00074EA9" w:rsidRDefault="00126995" w:rsidP="00126995">
      <w:pPr>
        <w:spacing w:after="120"/>
        <w:ind w:left="1434"/>
        <w:rPr>
          <w:rFonts w:ascii="Arial" w:hAnsi="Arial" w:cs="Arial"/>
          <w:sz w:val="22"/>
          <w:szCs w:val="22"/>
          <w:lang w:val="en-US"/>
        </w:rPr>
      </w:pPr>
    </w:p>
    <w:p w14:paraId="27C70041"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lastRenderedPageBreak/>
        <w:t>Article 4, point 1</w:t>
      </w:r>
    </w:p>
    <w:p w14:paraId="18617C7B"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 (a), of Regulation (EU) 2024/3005, ESG rating providers shall include all of the following:</w:t>
      </w:r>
    </w:p>
    <w:p w14:paraId="6EF13D5E"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(a) the name or unique identifier of the applicable methodology;</w:t>
      </w:r>
    </w:p>
    <w:p w14:paraId="37CC3250"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(b) the list and overview of relevant supporting models and key rating assumptions;</w:t>
      </w:r>
    </w:p>
    <w:p w14:paraId="2FB307F2"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(c) the time-horizon over which the ESG rating is considered valid; </w:t>
      </w:r>
    </w:p>
    <w:p w14:paraId="0244A370"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(d) the time-horizon of the backward-looking data and forward-looking data taken into </w:t>
      </w:r>
    </w:p>
    <w:p w14:paraId="1E3EAEF8"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consideration;</w:t>
      </w:r>
    </w:p>
    <w:p w14:paraId="65CB2B2C"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(e) how major new information is taken into account in the methodology;</w:t>
      </w:r>
    </w:p>
    <w:p w14:paraId="3E4427FA"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(f) the dates of the last update of the methodology and the changes made compared to the previous version</w:t>
      </w:r>
    </w:p>
    <w:p w14:paraId="57BE785D"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(g) data estimation methods and methods to address limitations in data sources;</w:t>
      </w:r>
    </w:p>
    <w:p w14:paraId="411C59C2"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(h) a description of the ranking system used with reference to:</w:t>
      </w:r>
    </w:p>
    <w:p w14:paraId="77AC365F" w14:textId="77777777" w:rsidR="00C62D1A" w:rsidRPr="00074EA9" w:rsidRDefault="00C62D1A" w:rsidP="00C62D1A">
      <w:pPr>
        <w:spacing w:after="120"/>
        <w:ind w:left="142"/>
        <w:rPr>
          <w:rFonts w:ascii="Arial" w:hAnsi="Arial" w:cs="Arial"/>
          <w:i/>
          <w:iCs/>
          <w:sz w:val="22"/>
          <w:szCs w:val="22"/>
          <w:lang w:val="en-US"/>
        </w:rPr>
      </w:pPr>
      <w:r w:rsidRPr="00074EA9">
        <w:rPr>
          <w:rFonts w:ascii="Arial" w:hAnsi="Arial" w:cs="Arial"/>
          <w:i/>
          <w:iCs/>
          <w:sz w:val="22"/>
          <w:szCs w:val="22"/>
          <w:lang w:val="en-US"/>
        </w:rPr>
        <w:t xml:space="preserve">(i) how the ranking system should be understood, with an illustrative example where </w:t>
      </w:r>
    </w:p>
    <w:p w14:paraId="24AEE4FB" w14:textId="77777777" w:rsidR="00C62D1A" w:rsidRPr="00074EA9" w:rsidRDefault="00C62D1A" w:rsidP="00C62D1A">
      <w:pPr>
        <w:spacing w:after="120"/>
        <w:ind w:left="142"/>
        <w:rPr>
          <w:rFonts w:ascii="Arial" w:hAnsi="Arial" w:cs="Arial"/>
          <w:i/>
          <w:iCs/>
          <w:sz w:val="22"/>
          <w:szCs w:val="22"/>
          <w:lang w:val="en-US"/>
        </w:rPr>
      </w:pPr>
      <w:r w:rsidRPr="00074EA9">
        <w:rPr>
          <w:rFonts w:ascii="Arial" w:hAnsi="Arial" w:cs="Arial"/>
          <w:i/>
          <w:iCs/>
          <w:sz w:val="22"/>
          <w:szCs w:val="22"/>
          <w:lang w:val="en-US"/>
        </w:rPr>
        <w:t>relevant;</w:t>
      </w:r>
    </w:p>
    <w:p w14:paraId="64933E6F" w14:textId="77777777" w:rsidR="00C62D1A" w:rsidRPr="00074EA9" w:rsidRDefault="00C62D1A" w:rsidP="00C62D1A">
      <w:pPr>
        <w:spacing w:after="120"/>
        <w:ind w:left="142"/>
        <w:rPr>
          <w:rFonts w:ascii="Arial" w:hAnsi="Arial" w:cs="Arial"/>
          <w:i/>
          <w:iCs/>
          <w:sz w:val="22"/>
          <w:szCs w:val="22"/>
          <w:lang w:val="en-US"/>
        </w:rPr>
      </w:pPr>
      <w:r w:rsidRPr="00074EA9">
        <w:rPr>
          <w:rFonts w:ascii="Arial" w:hAnsi="Arial" w:cs="Arial"/>
          <w:i/>
          <w:iCs/>
          <w:sz w:val="22"/>
          <w:szCs w:val="22"/>
          <w:lang w:val="en-US"/>
        </w:rPr>
        <w:t>(ii) the meaning of each rating category for absolute and relative values;</w:t>
      </w:r>
    </w:p>
    <w:p w14:paraId="7FCF0C93" w14:textId="77777777" w:rsidR="00C62D1A" w:rsidRPr="00074EA9" w:rsidRDefault="00C62D1A" w:rsidP="00C62D1A">
      <w:pPr>
        <w:spacing w:after="120"/>
        <w:ind w:left="142"/>
        <w:rPr>
          <w:rFonts w:ascii="Arial" w:hAnsi="Arial" w:cs="Arial"/>
          <w:i/>
          <w:iCs/>
          <w:sz w:val="22"/>
          <w:szCs w:val="22"/>
          <w:lang w:val="en-US"/>
        </w:rPr>
      </w:pPr>
      <w:r w:rsidRPr="00074EA9">
        <w:rPr>
          <w:rFonts w:ascii="Arial" w:hAnsi="Arial" w:cs="Arial"/>
          <w:i/>
          <w:iCs/>
          <w:sz w:val="22"/>
          <w:szCs w:val="22"/>
          <w:lang w:val="en-US"/>
        </w:rPr>
        <w:t>(iii) in case of relative values, an explanation as to whether they are relative to a specific industry, geographical area, peer groups or other comparison values and a description of their relevance and available related links.</w:t>
      </w:r>
    </w:p>
    <w:p w14:paraId="452264F4" w14:textId="77777777" w:rsidR="00C62D1A" w:rsidRDefault="00C62D1A" w:rsidP="007036DA">
      <w:pPr>
        <w:pStyle w:val="ListParagraph"/>
        <w:numPr>
          <w:ilvl w:val="0"/>
          <w:numId w:val="0"/>
        </w:numPr>
        <w:ind w:left="720"/>
      </w:pPr>
      <w:r w:rsidRPr="00074EA9">
        <w:rPr>
          <w:b/>
          <w:bCs/>
        </w:rPr>
        <w:t>Clarification request</w:t>
      </w:r>
      <w:r w:rsidRPr="00074EA9">
        <w:t>: Can ESMA confirm that the rating methodology on which providers shall disclose information under this section refers to the algorithm or other quantitative methodology by which ratings are calculated?</w:t>
      </w:r>
    </w:p>
    <w:p w14:paraId="3F0C9C47" w14:textId="77777777" w:rsidR="0012378C" w:rsidRPr="00074EA9" w:rsidRDefault="0012378C" w:rsidP="000E3663">
      <w:pPr>
        <w:ind w:left="720"/>
      </w:pPr>
    </w:p>
    <w:p w14:paraId="5387C0BA" w14:textId="77777777" w:rsidR="00C62D1A" w:rsidRPr="006A0D8C" w:rsidRDefault="00C62D1A" w:rsidP="007036DA">
      <w:pPr>
        <w:pStyle w:val="ListParagraph"/>
        <w:numPr>
          <w:ilvl w:val="0"/>
          <w:numId w:val="0"/>
        </w:numPr>
        <w:ind w:left="720"/>
      </w:pPr>
      <w:r w:rsidRPr="00074EA9">
        <w:rPr>
          <w:b/>
          <w:bCs/>
        </w:rPr>
        <w:t>Clarification request</w:t>
      </w:r>
      <w:r w:rsidRPr="00074EA9">
        <w:t xml:space="preserve">: Can ESMA clarify what is meant by “major new information?” Is our understanding correct that it is sufficient to explain the safeguards to ensure a ratings methodology is robust and designed to account for new information, e.g., </w:t>
      </w:r>
      <w:r w:rsidRPr="006A0D8C">
        <w:t xml:space="preserve">because the methodology is issue-agnostic by design? </w:t>
      </w:r>
    </w:p>
    <w:p w14:paraId="19F9827A" w14:textId="77777777" w:rsidR="00C62D1A" w:rsidRPr="006A0D8C" w:rsidRDefault="00C62D1A" w:rsidP="006A0D8C">
      <w:pPr>
        <w:ind w:left="1259" w:hanging="357"/>
        <w:rPr>
          <w:rFonts w:ascii="Arial" w:hAnsi="Arial" w:cs="Arial"/>
          <w:sz w:val="22"/>
          <w:szCs w:val="22"/>
        </w:rPr>
      </w:pPr>
      <w:r w:rsidRPr="006A0D8C">
        <w:rPr>
          <w:rFonts w:ascii="Arial" w:hAnsi="Arial" w:cs="Arial"/>
          <w:b/>
          <w:bCs/>
          <w:sz w:val="22"/>
          <w:szCs w:val="22"/>
        </w:rPr>
        <w:t>Rationale</w:t>
      </w:r>
      <w:r w:rsidRPr="006A0D8C">
        <w:rPr>
          <w:rFonts w:ascii="Arial" w:hAnsi="Arial" w:cs="Arial"/>
          <w:sz w:val="22"/>
          <w:szCs w:val="22"/>
        </w:rPr>
        <w:t>: We are concerned that a more granular response detailing precisely how, when, and in which ways new information is incorporated would force providers to reveal trade secrets and other confidential information to the public and competitors.</w:t>
      </w:r>
    </w:p>
    <w:p w14:paraId="2405F540" w14:textId="77777777" w:rsidR="0012378C" w:rsidRPr="00074EA9" w:rsidRDefault="0012378C" w:rsidP="000E3663">
      <w:pPr>
        <w:ind w:left="1261"/>
      </w:pPr>
    </w:p>
    <w:p w14:paraId="140F532C" w14:textId="77777777" w:rsidR="00C62D1A" w:rsidRDefault="00C62D1A" w:rsidP="007036DA">
      <w:pPr>
        <w:pStyle w:val="ListParagraph"/>
        <w:numPr>
          <w:ilvl w:val="0"/>
          <w:numId w:val="0"/>
        </w:numPr>
        <w:ind w:left="720"/>
      </w:pPr>
      <w:r w:rsidRPr="00074EA9">
        <w:rPr>
          <w:b/>
          <w:bCs/>
        </w:rPr>
        <w:t>Clarification request</w:t>
      </w:r>
      <w:r w:rsidRPr="00074EA9">
        <w:t>: Can ESMA clarify what is meant by a “rating category” in Article 4, point 1, letter (h)(ii)?</w:t>
      </w:r>
    </w:p>
    <w:p w14:paraId="68523FD4" w14:textId="77777777" w:rsidR="0012378C" w:rsidRDefault="0012378C" w:rsidP="000E3663">
      <w:pPr>
        <w:ind w:left="720"/>
      </w:pPr>
    </w:p>
    <w:p w14:paraId="3554EB4B" w14:textId="77777777" w:rsidR="00DC69CE" w:rsidRDefault="00DC69CE" w:rsidP="000E3663">
      <w:pPr>
        <w:ind w:left="720"/>
      </w:pPr>
    </w:p>
    <w:p w14:paraId="6DC1CC03" w14:textId="77777777" w:rsidR="00DC69CE" w:rsidRDefault="00DC69CE" w:rsidP="000E3663">
      <w:pPr>
        <w:ind w:left="720"/>
      </w:pPr>
    </w:p>
    <w:p w14:paraId="62C3A2B6" w14:textId="77777777" w:rsidR="00DC69CE" w:rsidRDefault="00DC69CE" w:rsidP="000E3663">
      <w:pPr>
        <w:ind w:left="720"/>
      </w:pPr>
    </w:p>
    <w:p w14:paraId="4AAEE2D5" w14:textId="77777777" w:rsidR="00DC69CE" w:rsidRDefault="00DC69CE" w:rsidP="000E3663">
      <w:pPr>
        <w:ind w:left="720"/>
      </w:pPr>
    </w:p>
    <w:p w14:paraId="14E74F95" w14:textId="77777777" w:rsidR="0012378C" w:rsidRPr="00074EA9" w:rsidRDefault="0012378C" w:rsidP="000E3663">
      <w:pPr>
        <w:ind w:left="720"/>
      </w:pPr>
    </w:p>
    <w:p w14:paraId="2AF67216"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lastRenderedPageBreak/>
        <w:t>Article 4, point 3</w:t>
      </w:r>
    </w:p>
    <w:p w14:paraId="4B838B2F"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 (e), of Regulation (EU) 2024/3005, ESG rating providers shall provide, where applicable, an explanation of the relevance of scientific evidence to the rating methodology, including the title, author and publication dates of the studies, models or frameworks taken into account.</w:t>
      </w:r>
    </w:p>
    <w:p w14:paraId="4A253A7D" w14:textId="1E741A97" w:rsidR="0012378C" w:rsidRDefault="00C62D1A" w:rsidP="007036DA">
      <w:pPr>
        <w:pStyle w:val="ListParagraph"/>
        <w:numPr>
          <w:ilvl w:val="0"/>
          <w:numId w:val="0"/>
        </w:numPr>
        <w:ind w:left="720"/>
      </w:pPr>
      <w:r w:rsidRPr="00074EA9">
        <w:rPr>
          <w:b/>
          <w:bCs/>
        </w:rPr>
        <w:t>Clarification request</w:t>
      </w:r>
      <w:r w:rsidRPr="00074EA9">
        <w:t>: Can ESMA clarify what “the relevance of scientific evidence to the rating methodology” means in this context?</w:t>
      </w:r>
    </w:p>
    <w:p w14:paraId="2898F567" w14:textId="77777777" w:rsidR="0012378C" w:rsidRDefault="0012378C" w:rsidP="0012378C">
      <w:pPr>
        <w:rPr>
          <w:lang w:val="en-US"/>
        </w:rPr>
      </w:pPr>
    </w:p>
    <w:p w14:paraId="7E6411A4" w14:textId="77777777" w:rsidR="00DC69CE" w:rsidRDefault="00DC69CE" w:rsidP="0012378C">
      <w:pPr>
        <w:rPr>
          <w:lang w:val="en-US"/>
        </w:rPr>
      </w:pPr>
    </w:p>
    <w:p w14:paraId="3BA8E021" w14:textId="77777777" w:rsidR="0012378C" w:rsidRPr="0012378C" w:rsidRDefault="0012378C" w:rsidP="0012378C">
      <w:pPr>
        <w:rPr>
          <w:lang w:val="en-US"/>
        </w:rPr>
      </w:pPr>
    </w:p>
    <w:p w14:paraId="052E16E5"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t>Article 4, point 4</w:t>
      </w:r>
    </w:p>
    <w:p w14:paraId="54310630" w14:textId="77777777" w:rsidR="00C62D1A" w:rsidRPr="00074EA9" w:rsidRDefault="00C62D1A" w:rsidP="00C62D1A">
      <w:pPr>
        <w:keepNext/>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 (k), of Regulation (EU) 2024/3005, ESG rating providers shall specify the risks and limitations per types of artificial intelligence technologies employed and their use in data collection and the rating process.</w:t>
      </w:r>
    </w:p>
    <w:p w14:paraId="77C745B6" w14:textId="77777777" w:rsidR="00C62D1A" w:rsidRPr="00DD362D" w:rsidRDefault="00C62D1A" w:rsidP="007036DA">
      <w:pPr>
        <w:pStyle w:val="ListParagraph"/>
        <w:numPr>
          <w:ilvl w:val="0"/>
          <w:numId w:val="0"/>
        </w:numPr>
        <w:ind w:left="720"/>
      </w:pPr>
      <w:r w:rsidRPr="00074EA9">
        <w:rPr>
          <w:b/>
          <w:bCs/>
        </w:rPr>
        <w:t>Clarification request</w:t>
      </w:r>
      <w:r w:rsidRPr="00074EA9">
        <w:t xml:space="preserve">: Can ESMA confirm that “types of artificial intelligence </w:t>
      </w:r>
      <w:r w:rsidRPr="00DD362D">
        <w:t>technologies” refers to categories of artificial intelligence (AI), e.g.</w:t>
      </w:r>
    </w:p>
    <w:p w14:paraId="32CA54FF" w14:textId="245E79F7" w:rsidR="00C62D1A" w:rsidRPr="00DD362D" w:rsidRDefault="00C62D1A" w:rsidP="00DD362D">
      <w:pPr>
        <w:pStyle w:val="ListParagraph"/>
        <w:numPr>
          <w:ilvl w:val="0"/>
          <w:numId w:val="28"/>
        </w:numPr>
      </w:pPr>
      <w:r w:rsidRPr="00DD362D">
        <w:t>traditional AI (task-specific or rule-based AI systems designed to carry out specific actions or commands)</w:t>
      </w:r>
    </w:p>
    <w:p w14:paraId="172B9A79" w14:textId="1BD3C806" w:rsidR="00C62D1A" w:rsidRPr="00DD362D" w:rsidRDefault="00C62D1A" w:rsidP="007036DA">
      <w:pPr>
        <w:pStyle w:val="ListParagraph"/>
        <w:numPr>
          <w:ilvl w:val="0"/>
          <w:numId w:val="28"/>
        </w:numPr>
      </w:pPr>
      <w:r w:rsidRPr="00DD362D">
        <w:t xml:space="preserve">generative AI (using large language models to generate content), including whether the use of generative AI includes retrieval-augmented generation (RAG) </w:t>
      </w:r>
    </w:p>
    <w:p w14:paraId="7ED1D3A4" w14:textId="0491F595" w:rsidR="00C62D1A" w:rsidRPr="00DD362D" w:rsidRDefault="00C62D1A" w:rsidP="007036DA">
      <w:pPr>
        <w:pStyle w:val="ListParagraph"/>
        <w:numPr>
          <w:ilvl w:val="0"/>
          <w:numId w:val="28"/>
        </w:numPr>
      </w:pPr>
      <w:r w:rsidRPr="00DD362D">
        <w:t>agentic AI (designed for autonomous decision-making and taking action with minimal human intervention)?</w:t>
      </w:r>
    </w:p>
    <w:p w14:paraId="37812F6D" w14:textId="77777777" w:rsidR="0012378C" w:rsidRPr="00DD362D" w:rsidRDefault="0012378C" w:rsidP="000E3663">
      <w:pPr>
        <w:ind w:left="1504"/>
        <w:rPr>
          <w:rFonts w:ascii="Arial" w:hAnsi="Arial" w:cs="Arial"/>
        </w:rPr>
      </w:pPr>
    </w:p>
    <w:p w14:paraId="52B149EA" w14:textId="77777777" w:rsidR="00C62D1A" w:rsidRPr="00DD362D" w:rsidRDefault="00C62D1A" w:rsidP="007036DA">
      <w:pPr>
        <w:pStyle w:val="ListParagraph"/>
        <w:numPr>
          <w:ilvl w:val="0"/>
          <w:numId w:val="0"/>
        </w:numPr>
        <w:ind w:left="720"/>
      </w:pPr>
      <w:r w:rsidRPr="00DD362D">
        <w:rPr>
          <w:b/>
          <w:bCs/>
        </w:rPr>
        <w:t>Clarification request</w:t>
      </w:r>
      <w:r w:rsidRPr="00DD362D">
        <w:t>: With regard to “risks and limitations,” can ESMA confirm our understanding that this disclosure obligation requires providers to disclose, for each category of AI it employs, risks and limitations such as:</w:t>
      </w:r>
    </w:p>
    <w:p w14:paraId="766D8247" w14:textId="0218B8FA" w:rsidR="00C62D1A" w:rsidRPr="00DD362D" w:rsidRDefault="00C62D1A" w:rsidP="00EA766A">
      <w:pPr>
        <w:pStyle w:val="ListParagraph"/>
        <w:numPr>
          <w:ilvl w:val="0"/>
          <w:numId w:val="29"/>
        </w:numPr>
      </w:pPr>
      <w:r w:rsidRPr="00DD362D">
        <w:t>bias resulting from the underlying data set or the prompts used</w:t>
      </w:r>
    </w:p>
    <w:p w14:paraId="622BC9B0" w14:textId="2A856958" w:rsidR="00C62D1A" w:rsidRPr="00DD362D" w:rsidRDefault="00C62D1A" w:rsidP="00EA766A">
      <w:pPr>
        <w:pStyle w:val="ListParagraph"/>
        <w:numPr>
          <w:ilvl w:val="0"/>
          <w:numId w:val="29"/>
        </w:numPr>
      </w:pPr>
      <w:r w:rsidRPr="00DD362D">
        <w:t>hallucinations or incomplete information</w:t>
      </w:r>
    </w:p>
    <w:p w14:paraId="44E5545B" w14:textId="3D8922A3" w:rsidR="00C62D1A" w:rsidRPr="00DD362D" w:rsidRDefault="00C62D1A" w:rsidP="00EA766A">
      <w:pPr>
        <w:pStyle w:val="ListParagraph"/>
        <w:numPr>
          <w:ilvl w:val="0"/>
          <w:numId w:val="29"/>
        </w:numPr>
      </w:pPr>
      <w:r w:rsidRPr="00DD362D">
        <w:t>limitations resulting from the use of AI models developed by third-party providers</w:t>
      </w:r>
    </w:p>
    <w:p w14:paraId="2CE204B8" w14:textId="7D8D7993" w:rsidR="00C62D1A" w:rsidRPr="00DD362D" w:rsidRDefault="00C62D1A" w:rsidP="00EA766A">
      <w:pPr>
        <w:pStyle w:val="ListParagraph"/>
        <w:numPr>
          <w:ilvl w:val="0"/>
          <w:numId w:val="29"/>
        </w:numPr>
      </w:pPr>
      <w:r w:rsidRPr="00DD362D">
        <w:t xml:space="preserve">limitations as to the tasks each AI category can perform and the results it can achieve compared to what human intelligence would be able to achieve? </w:t>
      </w:r>
    </w:p>
    <w:p w14:paraId="4B2C5E64" w14:textId="77777777" w:rsidR="0012378C" w:rsidRDefault="0012378C" w:rsidP="000E3663">
      <w:pPr>
        <w:ind w:left="1515"/>
      </w:pPr>
    </w:p>
    <w:p w14:paraId="56FB3366" w14:textId="77777777" w:rsidR="00DC69CE" w:rsidRDefault="00DC69CE" w:rsidP="000E3663">
      <w:pPr>
        <w:ind w:left="1515"/>
      </w:pPr>
    </w:p>
    <w:p w14:paraId="72B9754B" w14:textId="77777777" w:rsidR="00DC69CE" w:rsidRDefault="00DC69CE" w:rsidP="000E3663">
      <w:pPr>
        <w:ind w:left="1515"/>
      </w:pPr>
    </w:p>
    <w:p w14:paraId="55E6D44D" w14:textId="77777777" w:rsidR="00DC69CE" w:rsidRDefault="00DC69CE" w:rsidP="000E3663">
      <w:pPr>
        <w:ind w:left="1515"/>
      </w:pPr>
    </w:p>
    <w:p w14:paraId="19695486" w14:textId="77777777" w:rsidR="00DC69CE" w:rsidRDefault="00DC69CE" w:rsidP="000E3663">
      <w:pPr>
        <w:ind w:left="1515"/>
      </w:pPr>
    </w:p>
    <w:p w14:paraId="7EA015C1" w14:textId="77777777" w:rsidR="0012378C" w:rsidRPr="00074EA9" w:rsidRDefault="0012378C" w:rsidP="000E3663">
      <w:pPr>
        <w:ind w:left="1515"/>
      </w:pPr>
    </w:p>
    <w:p w14:paraId="75DBE2A1"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lastRenderedPageBreak/>
        <w:t>Article 5, letters (a)-(d)</w:t>
      </w:r>
    </w:p>
    <w:p w14:paraId="0F9227E3"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1, letters (m) and (q), of Regulation (EU) 2024/3005, ESG rating providers shall explain any limitations in respect of the following:</w:t>
      </w:r>
    </w:p>
    <w:p w14:paraId="7510EA6E" w14:textId="77777777" w:rsidR="00C62D1A" w:rsidRPr="007036DA"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(a) </w:t>
      </w:r>
      <w:r w:rsidRPr="007036DA">
        <w:rPr>
          <w:rFonts w:ascii="Arial" w:hAnsi="Arial" w:cs="Arial"/>
          <w:i/>
          <w:iCs/>
          <w:sz w:val="22"/>
          <w:szCs w:val="22"/>
          <w:lang w:val="en-US"/>
        </w:rPr>
        <w:t>the availability or consistency of data used in the rating process</w:t>
      </w:r>
    </w:p>
    <w:p w14:paraId="24FE7C4B" w14:textId="77777777" w:rsidR="00C62D1A" w:rsidRPr="007036DA" w:rsidRDefault="00C62D1A" w:rsidP="007036DA">
      <w:pPr>
        <w:pStyle w:val="ListParagraph"/>
        <w:numPr>
          <w:ilvl w:val="0"/>
          <w:numId w:val="0"/>
        </w:numPr>
        <w:ind w:left="720"/>
      </w:pPr>
      <w:r w:rsidRPr="007036DA">
        <w:rPr>
          <w:b/>
          <w:bCs/>
        </w:rPr>
        <w:t>Clarification request</w:t>
      </w:r>
      <w:r w:rsidRPr="007036DA">
        <w:t>: Can ESMA confirm that a disclosure listing the general categories of bias and limitations regarding data availability and consistency in the rating process will suffice?</w:t>
      </w:r>
    </w:p>
    <w:p w14:paraId="7A9E24C2" w14:textId="28D37327" w:rsidR="0012378C" w:rsidRPr="007036DA" w:rsidRDefault="00C62D1A" w:rsidP="007036DA">
      <w:pPr>
        <w:ind w:left="1259" w:hanging="357"/>
        <w:rPr>
          <w:rFonts w:ascii="Arial" w:hAnsi="Arial" w:cs="Arial"/>
          <w:sz w:val="22"/>
          <w:szCs w:val="22"/>
        </w:rPr>
      </w:pPr>
      <w:r w:rsidRPr="007036DA">
        <w:rPr>
          <w:rFonts w:ascii="Arial" w:hAnsi="Arial" w:cs="Arial"/>
          <w:b/>
          <w:bCs/>
          <w:sz w:val="22"/>
          <w:szCs w:val="22"/>
        </w:rPr>
        <w:t>Rationale</w:t>
      </w:r>
      <w:r w:rsidRPr="007036DA">
        <w:rPr>
          <w:rFonts w:ascii="Arial" w:hAnsi="Arial" w:cs="Arial"/>
          <w:sz w:val="22"/>
          <w:szCs w:val="22"/>
        </w:rPr>
        <w:t>: we are concerned that providing granular, technical detail on all limitations regarding the availability or consistency of data throughout each step of the rating process will lead to obfuscation rather than transparency. We strongly believe that a clear, high-level description of such limitations will better serve the public’s overall understanding of each rating’s limitations.</w:t>
      </w:r>
    </w:p>
    <w:p w14:paraId="73460653" w14:textId="77777777" w:rsidR="00C62D1A" w:rsidRPr="007036DA" w:rsidRDefault="00C62D1A" w:rsidP="007036DA">
      <w:pPr>
        <w:ind w:left="1259" w:hanging="357"/>
        <w:rPr>
          <w:rFonts w:ascii="Arial" w:hAnsi="Arial" w:cs="Arial"/>
          <w:sz w:val="22"/>
          <w:szCs w:val="22"/>
        </w:rPr>
      </w:pPr>
      <w:r w:rsidRPr="007036DA">
        <w:rPr>
          <w:rFonts w:ascii="Arial" w:hAnsi="Arial" w:cs="Arial"/>
          <w:b/>
          <w:bCs/>
          <w:sz w:val="22"/>
          <w:szCs w:val="22"/>
        </w:rPr>
        <w:t>Clarification request</w:t>
      </w:r>
      <w:r w:rsidRPr="007036DA">
        <w:rPr>
          <w:rFonts w:ascii="Arial" w:hAnsi="Arial" w:cs="Arial"/>
          <w:sz w:val="22"/>
          <w:szCs w:val="22"/>
        </w:rPr>
        <w:t>: Can ESMA confirm whether this disclosure requirement applies to each ESG rating product or to the rating process overall?</w:t>
      </w:r>
    </w:p>
    <w:p w14:paraId="7C81795A" w14:textId="77777777" w:rsidR="0012378C" w:rsidRPr="00074EA9" w:rsidRDefault="0012378C" w:rsidP="000E3663">
      <w:pPr>
        <w:ind w:left="720"/>
      </w:pPr>
    </w:p>
    <w:p w14:paraId="606D8122"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 (b) the engagement with rated items and issuers of rated items</w:t>
      </w:r>
    </w:p>
    <w:p w14:paraId="63FFCD3E" w14:textId="08D1722E" w:rsidR="00C62D1A" w:rsidRPr="00074EA9" w:rsidRDefault="00C62D1A" w:rsidP="000E3663">
      <w:pPr>
        <w:pStyle w:val="ListParagraph"/>
        <w:numPr>
          <w:ilvl w:val="0"/>
          <w:numId w:val="19"/>
        </w:numPr>
      </w:pPr>
      <w:r w:rsidRPr="00074EA9">
        <w:rPr>
          <w:b/>
          <w:bCs/>
        </w:rPr>
        <w:t>Clarification request</w:t>
      </w:r>
      <w:r w:rsidRPr="00074EA9">
        <w:t xml:space="preserve">: Can ESMA confirm that a provider’s decision not to engage with rated items should </w:t>
      </w:r>
      <w:r w:rsidRPr="003576D2">
        <w:rPr>
          <w:b/>
          <w:bCs/>
        </w:rPr>
        <w:t xml:space="preserve">not </w:t>
      </w:r>
      <w:r w:rsidRPr="00074EA9">
        <w:t xml:space="preserve">be deemed a limitation where the provider’s methodology, by definition and design, omits all self-reported information </w:t>
      </w:r>
      <w:r w:rsidR="00C748FF">
        <w:t>issued by</w:t>
      </w:r>
      <w:r w:rsidR="00E87ACC">
        <w:t xml:space="preserve"> or obtained</w:t>
      </w:r>
      <w:r w:rsidRPr="00074EA9">
        <w:t xml:space="preserve"> from rated items? </w:t>
      </w:r>
    </w:p>
    <w:p w14:paraId="67719FD5" w14:textId="556880AF" w:rsidR="00C62D1A" w:rsidRDefault="00C62D1A" w:rsidP="000E3663">
      <w:pPr>
        <w:pStyle w:val="ListParagraph"/>
        <w:numPr>
          <w:ilvl w:val="0"/>
          <w:numId w:val="26"/>
        </w:numPr>
      </w:pPr>
      <w:r w:rsidRPr="00074EA9">
        <w:rPr>
          <w:b/>
          <w:bCs/>
        </w:rPr>
        <w:t>Rationale</w:t>
      </w:r>
      <w:r w:rsidRPr="00074EA9">
        <w:t xml:space="preserve">: the fact that we, like several other providers, do not engage with rated items is a defining feature of our methodology, not a limitation. We </w:t>
      </w:r>
      <w:r w:rsidR="00122126">
        <w:t xml:space="preserve">are concerned </w:t>
      </w:r>
      <w:r w:rsidRPr="00074EA9">
        <w:t>that characterizing this fact as a limitation would lead to an inaccurate, biased perception of ESG ratings that provide an outside-in view on ESG risks.</w:t>
      </w:r>
    </w:p>
    <w:p w14:paraId="2B9AF125" w14:textId="77777777" w:rsidR="0012378C" w:rsidRPr="00074EA9" w:rsidRDefault="0012378C" w:rsidP="000E3663">
      <w:pPr>
        <w:ind w:left="1440"/>
      </w:pPr>
    </w:p>
    <w:p w14:paraId="0D0DA631"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(c) the lack of completeness, timeliness and accuracy of information</w:t>
      </w:r>
    </w:p>
    <w:p w14:paraId="5FAD6A49" w14:textId="77777777" w:rsidR="00C62D1A" w:rsidRPr="00074EA9" w:rsidRDefault="00C62D1A" w:rsidP="000E3663">
      <w:pPr>
        <w:pStyle w:val="ListParagraph"/>
        <w:numPr>
          <w:ilvl w:val="0"/>
          <w:numId w:val="19"/>
        </w:numPr>
      </w:pPr>
      <w:r w:rsidRPr="00074EA9">
        <w:rPr>
          <w:b/>
          <w:bCs/>
        </w:rPr>
        <w:t>Clarification request</w:t>
      </w:r>
      <w:r w:rsidRPr="00074EA9">
        <w:t>: Can ESMA confirm that “information” in this context is intended to be synonymous with “data” as used in letter (a)?</w:t>
      </w:r>
    </w:p>
    <w:p w14:paraId="1AD34D1C" w14:textId="77777777" w:rsidR="00C62D1A" w:rsidRDefault="00C62D1A" w:rsidP="000E3663">
      <w:pPr>
        <w:pStyle w:val="ListParagraph"/>
        <w:numPr>
          <w:ilvl w:val="0"/>
          <w:numId w:val="19"/>
        </w:numPr>
      </w:pPr>
      <w:r w:rsidRPr="00074EA9">
        <w:rPr>
          <w:b/>
          <w:bCs/>
        </w:rPr>
        <w:t>Clarification request</w:t>
      </w:r>
      <w:r w:rsidRPr="00074EA9">
        <w:t>: Can ESMA clarify the difference in the requirements imposed by letter (a) and letter (c)?</w:t>
      </w:r>
    </w:p>
    <w:p w14:paraId="19981A01" w14:textId="77777777" w:rsidR="0012378C" w:rsidRPr="00074EA9" w:rsidRDefault="0012378C" w:rsidP="000E3663">
      <w:pPr>
        <w:ind w:left="720"/>
      </w:pPr>
    </w:p>
    <w:p w14:paraId="3741F5CD"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(d) the use of assumptions, proxy reference points and data estimation</w:t>
      </w:r>
    </w:p>
    <w:p w14:paraId="787F9003" w14:textId="77777777" w:rsidR="00C62D1A" w:rsidRDefault="00C62D1A" w:rsidP="000E3663">
      <w:pPr>
        <w:pStyle w:val="ListParagraph"/>
        <w:numPr>
          <w:ilvl w:val="0"/>
          <w:numId w:val="24"/>
        </w:numPr>
      </w:pPr>
      <w:r w:rsidRPr="00074EA9">
        <w:rPr>
          <w:b/>
          <w:bCs/>
        </w:rPr>
        <w:t>Clarification request</w:t>
      </w:r>
      <w:r w:rsidRPr="00074EA9">
        <w:t xml:space="preserve">: Can ESMA confirm whether letter (d) refers only to ESG ratings that use estimated or proxy information, e.g. information on one company that can be used to infer information on another company, e.g. country or sector information? </w:t>
      </w:r>
    </w:p>
    <w:p w14:paraId="24FC171E" w14:textId="77777777" w:rsidR="0012378C" w:rsidRDefault="0012378C" w:rsidP="0012378C">
      <w:pPr>
        <w:rPr>
          <w:lang w:val="en-US"/>
        </w:rPr>
      </w:pPr>
    </w:p>
    <w:p w14:paraId="377EFF67" w14:textId="77777777" w:rsidR="00DC69CE" w:rsidRDefault="00DC69CE" w:rsidP="0012378C">
      <w:pPr>
        <w:rPr>
          <w:lang w:val="en-US"/>
        </w:rPr>
      </w:pPr>
    </w:p>
    <w:p w14:paraId="3977DC54" w14:textId="77777777" w:rsidR="00DC69CE" w:rsidRDefault="00DC69CE" w:rsidP="0012378C">
      <w:pPr>
        <w:rPr>
          <w:lang w:val="en-US"/>
        </w:rPr>
      </w:pPr>
    </w:p>
    <w:p w14:paraId="467BE99C" w14:textId="77777777" w:rsidR="0012378C" w:rsidRPr="0012378C" w:rsidRDefault="0012378C" w:rsidP="0012378C">
      <w:pPr>
        <w:rPr>
          <w:lang w:val="en-US"/>
        </w:rPr>
      </w:pPr>
    </w:p>
    <w:p w14:paraId="50C4BB6D"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lastRenderedPageBreak/>
        <w:t>Article 6, point 3</w:t>
      </w:r>
    </w:p>
    <w:p w14:paraId="265713A6"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As part of the information disclosed in accordance with Annex III, point 1, letter (l), of Regulation (EU) 2024/3005, ESG rating providers shall explain: </w:t>
      </w:r>
    </w:p>
    <w:p w14:paraId="759992FB"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(a) how the criteria applied by ESG rating providers for establishing fees align with the steps required to ensure that they are charged in a fair, reasonable, transparent and non-discriminatory manner</w:t>
      </w:r>
    </w:p>
    <w:p w14:paraId="1FA8928F"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(b) whether the ESG rating provider operates a subscription-paid model, an issuer-paid model, a combination of these, or another model </w:t>
      </w:r>
    </w:p>
    <w:p w14:paraId="210B36AB"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(c) a description of the relevant business model, and the proportion of total annual revenue including total turnover, of the ESG rating provider derived from each model</w:t>
      </w:r>
    </w:p>
    <w:p w14:paraId="463CF2DF" w14:textId="77777777" w:rsidR="00C62D1A" w:rsidRPr="00074EA9" w:rsidRDefault="00C62D1A" w:rsidP="00C62D1A">
      <w:pPr>
        <w:spacing w:after="120"/>
        <w:rPr>
          <w:rFonts w:ascii="Arial" w:hAnsi="Arial" w:cs="Arial"/>
          <w:i/>
          <w:iCs/>
          <w:sz w:val="22"/>
          <w:szCs w:val="22"/>
          <w:lang w:val="en-US"/>
        </w:rPr>
      </w:pPr>
      <w:r w:rsidRPr="00074EA9">
        <w:rPr>
          <w:rFonts w:ascii="Arial" w:hAnsi="Arial" w:cs="Arial"/>
          <w:i/>
          <w:iCs/>
          <w:sz w:val="22"/>
          <w:szCs w:val="22"/>
          <w:lang w:val="en-US"/>
        </w:rPr>
        <w:t xml:space="preserve"> (d) where applicable, the impact of fees charged for services other than ESG rating activities on establishing fees charged in respect of ESG ratings and a description of those services.</w:t>
      </w:r>
    </w:p>
    <w:p w14:paraId="2B3E2A0F" w14:textId="77777777" w:rsidR="00C62D1A" w:rsidRPr="00074EA9" w:rsidRDefault="00C62D1A" w:rsidP="000E3663">
      <w:pPr>
        <w:pStyle w:val="ListParagraph"/>
        <w:numPr>
          <w:ilvl w:val="0"/>
          <w:numId w:val="16"/>
        </w:numPr>
        <w:rPr>
          <w:b/>
          <w:bCs/>
        </w:rPr>
      </w:pPr>
      <w:r w:rsidRPr="00074EA9">
        <w:rPr>
          <w:b/>
          <w:bCs/>
        </w:rPr>
        <w:t>Clarification request</w:t>
      </w:r>
      <w:r w:rsidRPr="00074EA9">
        <w:t xml:space="preserve">: Can ESMA confirm that this disclosure requirement does not require providers to publicly disclose any actual pricing data, statistics or metrics on pricing, or information on fee segmentation across client size, type of client, markets, and similar criteria?  </w:t>
      </w:r>
    </w:p>
    <w:p w14:paraId="0AE03B26" w14:textId="77777777" w:rsidR="00C62D1A" w:rsidRPr="000E3663" w:rsidRDefault="00C62D1A" w:rsidP="000E3663">
      <w:pPr>
        <w:pStyle w:val="ListParagraph"/>
        <w:numPr>
          <w:ilvl w:val="0"/>
          <w:numId w:val="26"/>
        </w:numPr>
        <w:rPr>
          <w:b/>
          <w:bCs/>
        </w:rPr>
      </w:pPr>
      <w:r w:rsidRPr="00074EA9">
        <w:rPr>
          <w:b/>
          <w:bCs/>
        </w:rPr>
        <w:t>Rationale</w:t>
      </w:r>
      <w:r w:rsidRPr="00074EA9">
        <w:t>: This information is confidential because it is highly commercially sensitive. Public disclosure thereof would severely prejudice providers’ commercial interests. For the avoidance of doubt, we have no concerns with providing such information to ESMA, subject to confidentiality assurances.</w:t>
      </w:r>
    </w:p>
    <w:p w14:paraId="255C8901" w14:textId="77777777" w:rsidR="000E3663" w:rsidRPr="00074EA9" w:rsidRDefault="000E3663" w:rsidP="000E3663">
      <w:pPr>
        <w:ind w:left="1440"/>
      </w:pPr>
    </w:p>
    <w:p w14:paraId="5749CF09" w14:textId="77777777" w:rsidR="00C62D1A" w:rsidRPr="000E3663" w:rsidRDefault="00C62D1A" w:rsidP="000E3663">
      <w:pPr>
        <w:pStyle w:val="ListParagraph"/>
        <w:numPr>
          <w:ilvl w:val="0"/>
          <w:numId w:val="16"/>
        </w:numPr>
        <w:rPr>
          <w:b/>
          <w:bCs/>
        </w:rPr>
      </w:pPr>
      <w:r w:rsidRPr="00074EA9">
        <w:rPr>
          <w:b/>
          <w:bCs/>
        </w:rPr>
        <w:t>Clarification request</w:t>
      </w:r>
      <w:r w:rsidRPr="00074EA9">
        <w:t>: Can ESMA confirm that to the extent a provider must provide its fee schedules and pricing policy to ESMA upon request, as part of the provider’s authorisation application, such information provided to ESMA will remain confidential?</w:t>
      </w:r>
    </w:p>
    <w:p w14:paraId="39555C2D" w14:textId="77777777" w:rsidR="000E3663" w:rsidRPr="00074EA9" w:rsidRDefault="000E3663" w:rsidP="000E3663">
      <w:pPr>
        <w:ind w:left="720"/>
      </w:pPr>
    </w:p>
    <w:p w14:paraId="459868E2" w14:textId="77777777" w:rsidR="00C62D1A" w:rsidRPr="00074EA9" w:rsidRDefault="00C62D1A" w:rsidP="000E3663">
      <w:pPr>
        <w:pStyle w:val="ListParagraph"/>
        <w:numPr>
          <w:ilvl w:val="0"/>
          <w:numId w:val="16"/>
        </w:numPr>
        <w:rPr>
          <w:b/>
          <w:bCs/>
        </w:rPr>
      </w:pPr>
      <w:r w:rsidRPr="00074EA9">
        <w:rPr>
          <w:b/>
          <w:bCs/>
        </w:rPr>
        <w:t>Clarification request</w:t>
      </w:r>
      <w:r w:rsidRPr="00074EA9">
        <w:t>: With regard to letter (b), can ESMA provide clarification on what is meant by “subscription-paid model” and by “issuer-paid model”? Is this distinction between the two types of models intended to reflect:</w:t>
      </w:r>
    </w:p>
    <w:p w14:paraId="02FC6D10" w14:textId="77777777" w:rsidR="00C62D1A" w:rsidRPr="00074EA9" w:rsidRDefault="00C62D1A" w:rsidP="000E3663">
      <w:pPr>
        <w:pStyle w:val="ListParagraph"/>
        <w:numPr>
          <w:ilvl w:val="0"/>
          <w:numId w:val="27"/>
        </w:numPr>
      </w:pPr>
      <w:r w:rsidRPr="00074EA9">
        <w:t>whether the business employs a licensing model vs. individual ratings purchases, or</w:t>
      </w:r>
    </w:p>
    <w:p w14:paraId="28F0B2D1" w14:textId="77777777" w:rsidR="00C62D1A" w:rsidRDefault="00C62D1A" w:rsidP="000E3663">
      <w:pPr>
        <w:pStyle w:val="ListParagraph"/>
        <w:numPr>
          <w:ilvl w:val="0"/>
          <w:numId w:val="27"/>
        </w:numPr>
      </w:pPr>
      <w:r w:rsidRPr="00074EA9">
        <w:t>whether issuers vs. subscribers/investors pay for the rating?</w:t>
      </w:r>
    </w:p>
    <w:p w14:paraId="076E4EB5" w14:textId="77777777" w:rsidR="000E3663" w:rsidRDefault="000E3663" w:rsidP="000E3663">
      <w:pPr>
        <w:rPr>
          <w:lang w:val="en-US"/>
        </w:rPr>
      </w:pPr>
    </w:p>
    <w:p w14:paraId="73162BEC" w14:textId="77777777" w:rsidR="000E3663" w:rsidRDefault="000E3663" w:rsidP="000E3663">
      <w:pPr>
        <w:rPr>
          <w:lang w:val="en-US"/>
        </w:rPr>
      </w:pPr>
    </w:p>
    <w:p w14:paraId="774405F9" w14:textId="77777777" w:rsidR="00DC69CE" w:rsidRDefault="00DC69CE" w:rsidP="000E3663">
      <w:pPr>
        <w:rPr>
          <w:lang w:val="en-US"/>
        </w:rPr>
      </w:pPr>
    </w:p>
    <w:p w14:paraId="0AF8E70F" w14:textId="77777777" w:rsidR="00DC69CE" w:rsidRPr="000E3663" w:rsidRDefault="00DC69CE" w:rsidP="000E3663">
      <w:pPr>
        <w:rPr>
          <w:lang w:val="en-US"/>
        </w:rPr>
      </w:pPr>
    </w:p>
    <w:p w14:paraId="3508B1A7" w14:textId="77777777" w:rsidR="00C62D1A" w:rsidRPr="00074EA9" w:rsidRDefault="00C62D1A" w:rsidP="00C62D1A">
      <w:pPr>
        <w:keepNext/>
        <w:spacing w:after="120"/>
        <w:rPr>
          <w:rFonts w:ascii="Arial" w:hAnsi="Arial" w:cs="Arial"/>
          <w:b/>
          <w:bCs/>
          <w:sz w:val="22"/>
          <w:szCs w:val="22"/>
          <w:lang w:val="en-US"/>
        </w:rPr>
      </w:pPr>
      <w:r w:rsidRPr="00074EA9">
        <w:rPr>
          <w:rFonts w:ascii="Arial" w:hAnsi="Arial" w:cs="Arial"/>
          <w:b/>
          <w:bCs/>
          <w:sz w:val="22"/>
          <w:szCs w:val="22"/>
          <w:lang w:val="en-US"/>
        </w:rPr>
        <w:t>Article 7, point 3</w:t>
      </w:r>
    </w:p>
    <w:p w14:paraId="29942737" w14:textId="77777777" w:rsidR="00C62D1A" w:rsidRPr="00074EA9" w:rsidRDefault="00C62D1A" w:rsidP="00C62D1A">
      <w:pPr>
        <w:tabs>
          <w:tab w:val="left" w:pos="1419"/>
        </w:tabs>
        <w:spacing w:after="120"/>
        <w:rPr>
          <w:rFonts w:ascii="Arial" w:hAnsi="Arial" w:cs="Arial"/>
          <w:i/>
          <w:iCs/>
          <w:sz w:val="22"/>
          <w:szCs w:val="22"/>
          <w:lang w:val="en-US"/>
        </w:rPr>
      </w:pPr>
      <w:r w:rsidRPr="00074EA9">
        <w:rPr>
          <w:rFonts w:ascii="Arial" w:hAnsi="Arial" w:cs="Arial"/>
          <w:i/>
          <w:iCs/>
          <w:sz w:val="22"/>
          <w:szCs w:val="22"/>
          <w:lang w:val="en-US"/>
        </w:rPr>
        <w:t>As part of the information disclosed in accordance with Annex III, point 2, letter (a), subpoint (iv), of Regulation (EU) 2024/3005, ESG rating providers shall include a description of any potential shortcomings relating to the use of preestablished statistical or algorithmic systems or models in ESG measures.</w:t>
      </w:r>
    </w:p>
    <w:p w14:paraId="33B130C3" w14:textId="23B4E0DC" w:rsidR="00C62D1A" w:rsidRPr="00074EA9" w:rsidRDefault="00C62D1A" w:rsidP="000E3663">
      <w:pPr>
        <w:pStyle w:val="ListParagraph"/>
        <w:numPr>
          <w:ilvl w:val="0"/>
          <w:numId w:val="20"/>
        </w:numPr>
      </w:pPr>
      <w:r w:rsidRPr="00074EA9">
        <w:rPr>
          <w:b/>
          <w:bCs/>
        </w:rPr>
        <w:t>Clarification request</w:t>
      </w:r>
      <w:r w:rsidRPr="00074EA9">
        <w:t xml:space="preserve">: Can ESMA confirm that the requirement to describe “potential shortcomings of methodologies” relates only to potential shortcomings regarding “the </w:t>
      </w:r>
      <w:r w:rsidRPr="00074EA9">
        <w:lastRenderedPageBreak/>
        <w:t xml:space="preserve">use of pre-established statistical or algorithmic systems or models in ESG measures”? </w:t>
      </w:r>
    </w:p>
    <w:p w14:paraId="2FA88321" w14:textId="3FBD0005" w:rsidR="00C62D1A" w:rsidRDefault="00C62D1A" w:rsidP="000E3663">
      <w:pPr>
        <w:pStyle w:val="ListParagraph"/>
        <w:numPr>
          <w:ilvl w:val="0"/>
          <w:numId w:val="20"/>
        </w:numPr>
      </w:pPr>
      <w:r w:rsidRPr="00074EA9">
        <w:rPr>
          <w:b/>
          <w:bCs/>
        </w:rPr>
        <w:t>Clarification request</w:t>
      </w:r>
      <w:r w:rsidRPr="00074EA9">
        <w:t>: Can ESMA provide examples of such shortcomings?</w:t>
      </w:r>
    </w:p>
    <w:p w14:paraId="74F74020" w14:textId="77777777" w:rsidR="000E3663" w:rsidRDefault="000E3663" w:rsidP="000E3663">
      <w:pPr>
        <w:rPr>
          <w:lang w:val="en-US"/>
        </w:rPr>
      </w:pPr>
    </w:p>
    <w:p w14:paraId="0CBD4571" w14:textId="77777777" w:rsidR="000E3663" w:rsidRDefault="000E3663" w:rsidP="000E3663">
      <w:pPr>
        <w:rPr>
          <w:lang w:val="en-US"/>
        </w:rPr>
      </w:pPr>
    </w:p>
    <w:p w14:paraId="61F56E16" w14:textId="77777777" w:rsidR="00DC69CE" w:rsidRDefault="00DC69CE" w:rsidP="000E3663">
      <w:pPr>
        <w:rPr>
          <w:lang w:val="en-US"/>
        </w:rPr>
      </w:pPr>
    </w:p>
    <w:p w14:paraId="04322364" w14:textId="77777777" w:rsidR="00DC69CE" w:rsidRPr="000E3663" w:rsidRDefault="00DC69CE" w:rsidP="000E3663">
      <w:pPr>
        <w:rPr>
          <w:lang w:val="en-US"/>
        </w:rPr>
      </w:pPr>
    </w:p>
    <w:p w14:paraId="6EBB5E1B" w14:textId="77777777" w:rsidR="00C62D1A" w:rsidRPr="00DC69CE" w:rsidRDefault="00C62D1A" w:rsidP="00C62D1A">
      <w:pPr>
        <w:spacing w:after="120"/>
        <w:rPr>
          <w:rFonts w:ascii="Arial" w:hAnsi="Arial" w:cs="Arial"/>
          <w:b/>
          <w:bCs/>
          <w:sz w:val="22"/>
          <w:szCs w:val="22"/>
          <w:lang w:val="en-US"/>
        </w:rPr>
      </w:pPr>
      <w:r w:rsidRPr="00074EA9">
        <w:rPr>
          <w:rFonts w:ascii="Arial" w:hAnsi="Arial" w:cs="Arial"/>
          <w:b/>
          <w:bCs/>
          <w:sz w:val="22"/>
          <w:szCs w:val="22"/>
          <w:lang w:val="en-US"/>
        </w:rPr>
        <w:t xml:space="preserve">EU Regulation 2024/3005, Art.15, point 12; Annex III, point 1, letters (b)-(c) and point 2, </w:t>
      </w:r>
      <w:r w:rsidRPr="00DC69CE">
        <w:rPr>
          <w:rFonts w:ascii="Arial" w:hAnsi="Arial" w:cs="Arial"/>
          <w:b/>
          <w:bCs/>
          <w:sz w:val="22"/>
          <w:szCs w:val="22"/>
          <w:lang w:val="en-US"/>
        </w:rPr>
        <w:t>letter (b)(ii))</w:t>
      </w:r>
    </w:p>
    <w:p w14:paraId="251618D6" w14:textId="77777777" w:rsidR="00C62D1A" w:rsidRPr="00DC69CE" w:rsidRDefault="00C62D1A" w:rsidP="00C62D1A">
      <w:pPr>
        <w:spacing w:after="120"/>
        <w:rPr>
          <w:rFonts w:ascii="Arial" w:hAnsi="Arial" w:cs="Arial"/>
          <w:i/>
          <w:iCs/>
          <w:sz w:val="22"/>
          <w:szCs w:val="22"/>
          <w:lang w:val="en-US"/>
        </w:rPr>
      </w:pPr>
      <w:r w:rsidRPr="00DC69CE">
        <w:rPr>
          <w:rFonts w:ascii="Arial" w:hAnsi="Arial" w:cs="Arial"/>
          <w:i/>
          <w:iCs/>
          <w:sz w:val="22"/>
          <w:szCs w:val="22"/>
          <w:lang w:val="en-US"/>
        </w:rPr>
        <w:t>ESG rating providers shall notify the rated item or the issuer of the rated item during its working hours and at least two full working days before the first issuance of the ESG rating in order to give the rated item or the issuer of the rated item an opportunity to inform the ESG rating providers of any factual errors. To that end, ESG rating providers shall make available, upon request by the rated item or by the issuer of the rated item, free of charge and on a non-commercial basis, the information referred to in point 1, points (b) and (c), and point 2, point (b)(ii), of Annex III […]</w:t>
      </w:r>
    </w:p>
    <w:p w14:paraId="5BC39A4A" w14:textId="77777777" w:rsidR="00C62D1A" w:rsidRPr="00DC69CE" w:rsidRDefault="00C62D1A" w:rsidP="000E3663">
      <w:pPr>
        <w:pStyle w:val="ListParagraph"/>
        <w:numPr>
          <w:ilvl w:val="0"/>
          <w:numId w:val="20"/>
        </w:numPr>
      </w:pPr>
      <w:r w:rsidRPr="00DC69CE">
        <w:rPr>
          <w:b/>
          <w:bCs/>
        </w:rPr>
        <w:t>Clarification request</w:t>
      </w:r>
      <w:r w:rsidRPr="00DC69CE">
        <w:t xml:space="preserve">: We would welcome ESMA’s assessment whether a derogation from the notification requirement can be granted on the basis of the concerns outlined below. </w:t>
      </w:r>
    </w:p>
    <w:p w14:paraId="7A02ECD5" w14:textId="77777777" w:rsidR="00C62D1A" w:rsidRPr="00DC69CE" w:rsidRDefault="00C62D1A" w:rsidP="00A976EA">
      <w:pPr>
        <w:ind w:left="641"/>
        <w:rPr>
          <w:rFonts w:ascii="Arial" w:hAnsi="Arial" w:cs="Arial"/>
          <w:sz w:val="22"/>
          <w:szCs w:val="22"/>
          <w:lang w:val="en-US"/>
        </w:rPr>
      </w:pPr>
      <w:r w:rsidRPr="00DC69CE">
        <w:rPr>
          <w:rFonts w:ascii="Arial" w:hAnsi="Arial" w:cs="Arial"/>
          <w:sz w:val="22"/>
          <w:szCs w:val="22"/>
          <w:lang w:val="en-US"/>
        </w:rPr>
        <w:t>We would also welcome ESMA’s assessment of whether we could rely on the disclosure exclusion in Article 15, point 13 for intellectual property qualifying as trade secrets, to obtain a derogation from the notification requirement.</w:t>
      </w:r>
      <w:r w:rsidRPr="00DC69CE">
        <w:rPr>
          <w:rFonts w:ascii="Arial" w:hAnsi="Arial" w:cs="Arial"/>
          <w:b/>
          <w:bCs/>
          <w:sz w:val="22"/>
          <w:szCs w:val="22"/>
          <w:lang w:val="en-US"/>
        </w:rPr>
        <w:t xml:space="preserve"> </w:t>
      </w:r>
    </w:p>
    <w:p w14:paraId="5D44B36B" w14:textId="77777777" w:rsidR="00C62D1A" w:rsidRPr="00DC69CE" w:rsidRDefault="00C62D1A" w:rsidP="000E3663">
      <w:pPr>
        <w:pStyle w:val="ListParagraph"/>
        <w:numPr>
          <w:ilvl w:val="0"/>
          <w:numId w:val="26"/>
        </w:numPr>
      </w:pPr>
      <w:r w:rsidRPr="00DC69CE">
        <w:t xml:space="preserve">Rationale: </w:t>
      </w:r>
    </w:p>
    <w:p w14:paraId="2FA3FC72" w14:textId="77777777" w:rsidR="00C62D1A" w:rsidRPr="00DC69CE" w:rsidRDefault="00C62D1A" w:rsidP="00C62D1A">
      <w:pPr>
        <w:spacing w:after="120"/>
        <w:ind w:left="924"/>
        <w:rPr>
          <w:rFonts w:ascii="Arial" w:hAnsi="Arial" w:cs="Arial"/>
          <w:b/>
          <w:bCs/>
          <w:sz w:val="22"/>
          <w:szCs w:val="22"/>
          <w:lang w:val="en-US"/>
        </w:rPr>
      </w:pPr>
      <w:r w:rsidRPr="00DC69CE">
        <w:rPr>
          <w:rFonts w:ascii="Arial" w:hAnsi="Arial" w:cs="Arial"/>
          <w:b/>
          <w:bCs/>
          <w:sz w:val="22"/>
          <w:szCs w:val="22"/>
          <w:lang w:val="en-US"/>
        </w:rPr>
        <w:t>Methodology concerns</w:t>
      </w:r>
      <w:r w:rsidRPr="00DC69CE">
        <w:rPr>
          <w:rFonts w:ascii="Arial" w:hAnsi="Arial" w:cs="Arial"/>
          <w:sz w:val="22"/>
          <w:szCs w:val="22"/>
          <w:lang w:val="en-US"/>
        </w:rPr>
        <w:t>: first, and most saliently, the notification requirement is fundamentally at odds with our methodology and business model. Our methodology is issues-driven and covers any entity exposed to ESG risks. Our “outside-in” view focuses solely on publicly reported information; we screen 500,000+ documents daily from 150,000 publicly available sources (i.e., media news and similar sources) to identify any entities – public or private – referenced in connection with potential ESG risks.</w:t>
      </w:r>
      <w:r w:rsidRPr="00DC69CE">
        <w:rPr>
          <w:rFonts w:ascii="Arial" w:hAnsi="Arial" w:cs="Arial"/>
          <w:b/>
          <w:bCs/>
          <w:sz w:val="22"/>
          <w:szCs w:val="22"/>
          <w:lang w:val="en-US"/>
        </w:rPr>
        <w:t> </w:t>
      </w:r>
    </w:p>
    <w:p w14:paraId="41185C75" w14:textId="0FAA2C30" w:rsidR="00C62D1A" w:rsidRPr="00074EA9" w:rsidRDefault="00C62D1A" w:rsidP="00C62D1A">
      <w:pPr>
        <w:spacing w:after="120"/>
        <w:ind w:left="924"/>
        <w:rPr>
          <w:rFonts w:ascii="Arial" w:hAnsi="Arial" w:cs="Arial"/>
          <w:b/>
          <w:bCs/>
          <w:sz w:val="22"/>
          <w:szCs w:val="22"/>
          <w:lang w:val="en-US"/>
        </w:rPr>
      </w:pPr>
      <w:r w:rsidRPr="00DC69CE">
        <w:rPr>
          <w:rFonts w:ascii="Arial" w:hAnsi="Arial" w:cs="Arial"/>
          <w:sz w:val="22"/>
          <w:szCs w:val="22"/>
          <w:lang w:val="en-US"/>
        </w:rPr>
        <w:t>Given our focus on risk, by definition we cover only reported negative news and exclude any self-reported information such as mitigation reporting. Our ratings do not assess whether or not events described in news reports actually occurred as reported; rather, our methodology considers whether events implicating E, S, and G concerns were reported publicly. Leveraging a combination of AI and human analyst intelligence, we use a transformative process following our rigorous</w:t>
      </w:r>
      <w:r w:rsidRPr="00074EA9">
        <w:rPr>
          <w:rFonts w:ascii="Arial" w:hAnsi="Arial" w:cs="Arial"/>
          <w:sz w:val="22"/>
          <w:szCs w:val="22"/>
          <w:lang w:val="en-US"/>
        </w:rPr>
        <w:t xml:space="preserve"> proprietary methodology and curation to create our proprietary ESG ratings.</w:t>
      </w:r>
    </w:p>
    <w:p w14:paraId="5E9FD370" w14:textId="3C6D26D6" w:rsidR="00C62D1A" w:rsidRPr="00074EA9" w:rsidRDefault="00C62D1A" w:rsidP="00C62D1A">
      <w:pPr>
        <w:spacing w:after="120"/>
        <w:ind w:left="924"/>
        <w:rPr>
          <w:rFonts w:ascii="Arial" w:hAnsi="Arial" w:cs="Arial"/>
          <w:b/>
          <w:bCs/>
          <w:sz w:val="22"/>
          <w:szCs w:val="22"/>
          <w:lang w:val="en-US"/>
        </w:rPr>
      </w:pPr>
      <w:r w:rsidRPr="00074EA9">
        <w:rPr>
          <w:rFonts w:ascii="Arial" w:hAnsi="Arial" w:cs="Arial"/>
          <w:sz w:val="22"/>
          <w:szCs w:val="22"/>
          <w:lang w:val="en-US"/>
        </w:rPr>
        <w:t xml:space="preserve">Requiring us to consider or even incorporate information received from rated items into our ratings would be fundamentally inconsistent with our methodology. By definition, such information would be self-reported; including it would run counter to our entire approach. Further, any information received from a rated item would not affect the key facts underlying our methodology – whether a news source reported a particular E, S, or G violation, and the parameters of such reporting. </w:t>
      </w:r>
    </w:p>
    <w:p w14:paraId="347F4ED9" w14:textId="167459A1" w:rsidR="00C62D1A" w:rsidRPr="00074EA9" w:rsidRDefault="00C62D1A" w:rsidP="00C62D1A">
      <w:pPr>
        <w:spacing w:after="120"/>
        <w:ind w:left="924"/>
        <w:rPr>
          <w:rFonts w:ascii="Arial" w:hAnsi="Arial" w:cs="Arial"/>
          <w:b/>
          <w:bCs/>
          <w:sz w:val="22"/>
          <w:szCs w:val="22"/>
          <w:lang w:val="en-US"/>
        </w:rPr>
      </w:pPr>
      <w:r w:rsidRPr="00074EA9">
        <w:rPr>
          <w:rFonts w:ascii="Arial" w:hAnsi="Arial" w:cs="Arial"/>
          <w:sz w:val="22"/>
          <w:szCs w:val="22"/>
          <w:lang w:val="en-US"/>
        </w:rPr>
        <w:t xml:space="preserve">We understand that ESMA may wish to grant rated items the opportunity to fact-check whether a provider accurately followed its own methodology in producing a rating. However, where a methodology, like ours, employs multi-step AI classifiers </w:t>
      </w:r>
      <w:r w:rsidRPr="00074EA9">
        <w:rPr>
          <w:rFonts w:ascii="Arial" w:hAnsi="Arial" w:cs="Arial"/>
          <w:sz w:val="22"/>
          <w:szCs w:val="22"/>
          <w:lang w:val="en-US"/>
        </w:rPr>
        <w:lastRenderedPageBreak/>
        <w:t xml:space="preserve">modulated by human feedback to produce ever more accurate machine learning results, it would be impossible </w:t>
      </w:r>
      <w:r w:rsidR="0039157E">
        <w:rPr>
          <w:rFonts w:ascii="Arial" w:hAnsi="Arial" w:cs="Arial"/>
          <w:sz w:val="22"/>
          <w:szCs w:val="22"/>
          <w:lang w:val="en-US"/>
        </w:rPr>
        <w:t xml:space="preserve">for a third party </w:t>
      </w:r>
      <w:r w:rsidRPr="00074EA9">
        <w:rPr>
          <w:rFonts w:ascii="Arial" w:hAnsi="Arial" w:cs="Arial"/>
          <w:sz w:val="22"/>
          <w:szCs w:val="22"/>
          <w:lang w:val="en-US"/>
        </w:rPr>
        <w:t>to replicate such ratings or assess their accuracy without access to our own AI models, in-depth knowledge on the AI classifier process, our confidential analyst manuals, and our team of analysts.</w:t>
      </w:r>
    </w:p>
    <w:p w14:paraId="1300A889" w14:textId="77777777" w:rsidR="00C62D1A" w:rsidRPr="00074EA9" w:rsidRDefault="00C62D1A" w:rsidP="000E3663">
      <w:pPr>
        <w:spacing w:after="120"/>
        <w:ind w:left="924"/>
        <w:rPr>
          <w:rFonts w:ascii="Arial" w:hAnsi="Arial" w:cs="Arial"/>
          <w:b/>
          <w:bCs/>
          <w:sz w:val="22"/>
          <w:szCs w:val="22"/>
          <w:lang w:val="en-US"/>
        </w:rPr>
      </w:pPr>
      <w:r w:rsidRPr="00074EA9">
        <w:rPr>
          <w:rFonts w:ascii="Arial" w:hAnsi="Arial" w:cs="Arial"/>
          <w:b/>
          <w:bCs/>
          <w:sz w:val="22"/>
          <w:szCs w:val="22"/>
          <w:lang w:val="en-US"/>
        </w:rPr>
        <w:t>Intellectual property concerns</w:t>
      </w:r>
      <w:r w:rsidRPr="00074EA9">
        <w:rPr>
          <w:rFonts w:ascii="Arial" w:hAnsi="Arial" w:cs="Arial"/>
          <w:sz w:val="22"/>
          <w:szCs w:val="22"/>
          <w:lang w:val="en-US"/>
        </w:rPr>
        <w:t>: second, our ratings are our intellectual property. We guard access to our ratings carefully and make them available to our clients subject to licensing agreements which prohibit sharing and redistribution except in specific, pre-approved cases subject to strict legal ring-fencing. Disclosing our ratings externally, outside of our licensing parameters and without sufficient context on what the ratings are designed to reflect, would present substantial risks to our intellectual property rights and to our commercial model.</w:t>
      </w:r>
      <w:r w:rsidRPr="00074EA9">
        <w:rPr>
          <w:rFonts w:ascii="Arial" w:hAnsi="Arial" w:cs="Arial"/>
          <w:b/>
          <w:bCs/>
          <w:sz w:val="22"/>
          <w:szCs w:val="22"/>
          <w:lang w:val="en-US"/>
        </w:rPr>
        <w:t> </w:t>
      </w:r>
    </w:p>
    <w:p w14:paraId="6EBA0A09" w14:textId="1C31AB0E" w:rsidR="00B14EF8" w:rsidRDefault="00C62D1A" w:rsidP="000E3663">
      <w:pPr>
        <w:ind w:left="1259" w:hanging="357"/>
        <w:rPr>
          <w:rFonts w:ascii="Arial" w:hAnsi="Arial" w:cs="Arial"/>
          <w:sz w:val="22"/>
          <w:szCs w:val="22"/>
        </w:rPr>
      </w:pPr>
      <w:r w:rsidRPr="000E3663">
        <w:rPr>
          <w:rFonts w:ascii="Arial" w:hAnsi="Arial" w:cs="Arial"/>
          <w:b/>
          <w:bCs/>
          <w:sz w:val="22"/>
          <w:szCs w:val="22"/>
        </w:rPr>
        <w:t>Feasibility concerns</w:t>
      </w:r>
      <w:r w:rsidRPr="000E3663">
        <w:rPr>
          <w:rFonts w:ascii="Arial" w:hAnsi="Arial" w:cs="Arial"/>
          <w:sz w:val="22"/>
          <w:szCs w:val="22"/>
        </w:rPr>
        <w:t>: third, for providers who add new rated items at a rate of</w:t>
      </w:r>
      <w:r w:rsidR="000E3663">
        <w:rPr>
          <w:rFonts w:ascii="Arial" w:hAnsi="Arial" w:cs="Arial"/>
          <w:sz w:val="22"/>
          <w:szCs w:val="22"/>
        </w:rPr>
        <w:t xml:space="preserve"> </w:t>
      </w:r>
      <w:r w:rsidRPr="000E3663">
        <w:rPr>
          <w:rFonts w:ascii="Arial" w:hAnsi="Arial" w:cs="Arial"/>
          <w:sz w:val="22"/>
          <w:szCs w:val="22"/>
        </w:rPr>
        <w:t>several hundred entities each day, there are concerns about the feasibility of notifying each rated entity in advance. In addition, as many of the new rated items we add to our data universe are private companies, identifying and contacting the appropriate individuals within such companies poses both feasibility and data privacy concerns. </w:t>
      </w:r>
    </w:p>
    <w:p w14:paraId="67B165C7" w14:textId="77777777" w:rsidR="000E3663" w:rsidRPr="000E3663" w:rsidRDefault="000E3663" w:rsidP="000E3663">
      <w:pPr>
        <w:ind w:left="1259" w:hanging="357"/>
        <w:rPr>
          <w:rFonts w:ascii="Arial" w:eastAsiaTheme="majorEastAsia" w:hAnsi="Arial" w:cs="Arial"/>
          <w:sz w:val="22"/>
          <w:szCs w:val="22"/>
        </w:rPr>
      </w:pPr>
    </w:p>
    <w:p w14:paraId="77645EA9" w14:textId="21E1CE74"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322B55"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_3&gt;</w:t>
      </w:r>
    </w:p>
    <w:p w14:paraId="00D95620" w14:textId="77777777" w:rsidR="00E50597" w:rsidRDefault="00E50597" w:rsidP="001B1B48">
      <w:pPr>
        <w:spacing w:after="160" w:line="259" w:lineRule="auto"/>
        <w:rPr>
          <w:rFonts w:ascii="Arial" w:eastAsia="Calibri" w:hAnsi="Arial" w:cs="Arial"/>
          <w:b/>
          <w:bCs/>
          <w:kern w:val="2"/>
          <w:sz w:val="22"/>
          <w:szCs w:val="22"/>
          <w:lang w:eastAsia="en-US"/>
          <w14:ligatures w14:val="standardContextual"/>
        </w:rPr>
      </w:pPr>
    </w:p>
    <w:p w14:paraId="381EA1F4" w14:textId="77777777" w:rsidR="001A7524" w:rsidRDefault="001A7524" w:rsidP="001B1B48">
      <w:pPr>
        <w:spacing w:after="160" w:line="259" w:lineRule="auto"/>
        <w:rPr>
          <w:rFonts w:ascii="Arial" w:eastAsia="Calibri" w:hAnsi="Arial" w:cs="Arial"/>
          <w:b/>
          <w:bCs/>
          <w:kern w:val="2"/>
          <w:sz w:val="22"/>
          <w:szCs w:val="22"/>
          <w:lang w:eastAsia="en-US"/>
          <w14:ligatures w14:val="standardContextual"/>
        </w:rPr>
      </w:pPr>
    </w:p>
    <w:p w14:paraId="1E9B4124" w14:textId="77777777" w:rsidR="001A7524" w:rsidRPr="000E3663" w:rsidRDefault="001A7524" w:rsidP="001B1B48">
      <w:pPr>
        <w:spacing w:after="160" w:line="259" w:lineRule="auto"/>
        <w:rPr>
          <w:rFonts w:ascii="Arial" w:eastAsia="Calibri" w:hAnsi="Arial" w:cs="Arial"/>
          <w:b/>
          <w:bCs/>
          <w:kern w:val="2"/>
          <w:sz w:val="22"/>
          <w:szCs w:val="22"/>
          <w:lang w:eastAsia="en-US"/>
          <w14:ligatures w14:val="standardContextual"/>
        </w:rPr>
      </w:pPr>
    </w:p>
    <w:p w14:paraId="374EDE5B" w14:textId="29DF36F2" w:rsidR="00513DA2" w:rsidRPr="000E3663" w:rsidRDefault="00655791" w:rsidP="000E3663">
      <w:pPr>
        <w:pStyle w:val="Paragraph"/>
        <w:numPr>
          <w:ilvl w:val="0"/>
          <w:numId w:val="0"/>
        </w:numPr>
        <w:ind w:left="709" w:hanging="709"/>
        <w:rPr>
          <w:b/>
          <w:bCs/>
        </w:rPr>
      </w:pPr>
      <w:r w:rsidRPr="000E3663">
        <w:rPr>
          <w:b/>
          <w:bCs/>
        </w:rPr>
        <w:t>Q4.</w:t>
      </w:r>
      <w:r w:rsidRPr="000E3663">
        <w:rPr>
          <w:b/>
          <w:bCs/>
        </w:rPr>
        <w:tab/>
      </w:r>
      <w:r w:rsidR="00513DA2" w:rsidRPr="000E3663">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655791"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_4&gt;</w:t>
      </w:r>
    </w:p>
    <w:p w14:paraId="3157BAFD" w14:textId="77777777" w:rsidR="0002290E" w:rsidRPr="00074EA9" w:rsidRDefault="0002290E" w:rsidP="001B1B48">
      <w:pPr>
        <w:spacing w:after="160" w:line="259" w:lineRule="auto"/>
        <w:rPr>
          <w:rFonts w:ascii="Arial" w:hAnsi="Arial" w:cs="Arial"/>
          <w:sz w:val="22"/>
          <w:szCs w:val="22"/>
          <w:lang w:val="en-US"/>
        </w:rPr>
      </w:pPr>
      <w:r w:rsidRPr="00074EA9">
        <w:rPr>
          <w:rFonts w:ascii="Arial" w:hAnsi="Arial" w:cs="Arial"/>
          <w:sz w:val="22"/>
          <w:szCs w:val="22"/>
          <w:lang w:val="en-US"/>
        </w:rPr>
        <w:t>No, we do not see a need for such an expanded table.</w:t>
      </w:r>
    </w:p>
    <w:p w14:paraId="0EFC77F0" w14:textId="71DC73EA"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655791"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_4&gt;</w:t>
      </w:r>
    </w:p>
    <w:p w14:paraId="5425EC12" w14:textId="77777777" w:rsidR="00E50597" w:rsidRDefault="00E50597" w:rsidP="001B1B48">
      <w:pPr>
        <w:spacing w:after="160" w:line="259" w:lineRule="auto"/>
        <w:rPr>
          <w:rFonts w:ascii="Arial" w:eastAsia="Calibri" w:hAnsi="Arial" w:cs="Arial"/>
          <w:kern w:val="2"/>
          <w:sz w:val="22"/>
          <w:szCs w:val="22"/>
          <w:lang w:eastAsia="en-US"/>
          <w14:ligatures w14:val="standardContextual"/>
        </w:rPr>
      </w:pPr>
    </w:p>
    <w:p w14:paraId="490A9905" w14:textId="77777777" w:rsidR="001A7524" w:rsidRDefault="001A7524" w:rsidP="001B1B48">
      <w:pPr>
        <w:spacing w:after="160" w:line="259" w:lineRule="auto"/>
        <w:rPr>
          <w:rFonts w:ascii="Arial" w:eastAsia="Calibri" w:hAnsi="Arial" w:cs="Arial"/>
          <w:kern w:val="2"/>
          <w:sz w:val="22"/>
          <w:szCs w:val="22"/>
          <w:lang w:eastAsia="en-US"/>
          <w14:ligatures w14:val="standardContextual"/>
        </w:rPr>
      </w:pPr>
    </w:p>
    <w:p w14:paraId="49443B7C" w14:textId="77777777" w:rsidR="001A7524" w:rsidRPr="00074EA9" w:rsidRDefault="001A7524" w:rsidP="001B1B48">
      <w:pPr>
        <w:spacing w:after="160" w:line="259" w:lineRule="auto"/>
        <w:rPr>
          <w:rFonts w:ascii="Arial" w:eastAsia="Calibri" w:hAnsi="Arial" w:cs="Arial"/>
          <w:kern w:val="2"/>
          <w:sz w:val="22"/>
          <w:szCs w:val="22"/>
          <w:lang w:eastAsia="en-US"/>
          <w14:ligatures w14:val="standardContextual"/>
        </w:rPr>
      </w:pPr>
    </w:p>
    <w:p w14:paraId="0691FCAC" w14:textId="5B24CD2A" w:rsidR="001B1B48" w:rsidRPr="00EB17FE" w:rsidRDefault="00EA357E" w:rsidP="000E3663">
      <w:pPr>
        <w:pStyle w:val="Paragraph"/>
        <w:numPr>
          <w:ilvl w:val="0"/>
          <w:numId w:val="0"/>
        </w:numPr>
        <w:rPr>
          <w:b/>
          <w:bCs/>
        </w:rPr>
      </w:pPr>
      <w:r w:rsidRPr="00EB17FE">
        <w:rPr>
          <w:b/>
          <w:bCs/>
        </w:rPr>
        <w:t xml:space="preserve">Q5 </w:t>
      </w:r>
      <w:r w:rsidRPr="00EB17FE">
        <w:rPr>
          <w:b/>
          <w:bCs/>
        </w:rPr>
        <w:tab/>
        <w:t>Do you agree with ESMA’s proposed cost benefit analysis? If not, please explain.</w:t>
      </w:r>
    </w:p>
    <w:p w14:paraId="2996F4BA" w14:textId="36938C88" w:rsidR="001B1B48" w:rsidRPr="00074EA9" w:rsidRDefault="001B1B48" w:rsidP="001B1B48">
      <w:pPr>
        <w:spacing w:after="160" w:line="259" w:lineRule="auto"/>
        <w:rPr>
          <w:rFonts w:ascii="Arial" w:eastAsia="Calibri" w:hAnsi="Arial" w:cs="Arial"/>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074EA9">
        <w:rPr>
          <w:rFonts w:ascii="Arial" w:eastAsia="Calibri" w:hAnsi="Arial" w:cs="Arial"/>
          <w:kern w:val="2"/>
          <w:sz w:val="22"/>
          <w:szCs w:val="22"/>
          <w:lang w:eastAsia="en-US"/>
          <w14:ligatures w14:val="standardContextual"/>
        </w:rPr>
        <w:t xml:space="preserve"> E</w:t>
      </w:r>
      <w:r w:rsidR="00EA357E" w:rsidRPr="00074EA9">
        <w:rPr>
          <w:rFonts w:ascii="Arial" w:eastAsia="Calibri" w:hAnsi="Arial" w:cs="Arial"/>
          <w:kern w:val="2"/>
          <w:sz w:val="22"/>
          <w:szCs w:val="22"/>
          <w:lang w:eastAsia="en-US"/>
          <w14:ligatures w14:val="standardContextual"/>
        </w:rPr>
        <w:t>SGR</w:t>
      </w:r>
      <w:r w:rsidRPr="00074EA9">
        <w:rPr>
          <w:rFonts w:ascii="Arial" w:eastAsia="Calibri" w:hAnsi="Arial" w:cs="Arial"/>
          <w:kern w:val="2"/>
          <w:sz w:val="22"/>
          <w:szCs w:val="22"/>
          <w:lang w:eastAsia="en-US"/>
          <w14:ligatures w14:val="standardContextual"/>
        </w:rPr>
        <w:t>_5&gt;</w:t>
      </w:r>
    </w:p>
    <w:p w14:paraId="2C7DADF7" w14:textId="77777777" w:rsidR="00E813AD" w:rsidRPr="00074EA9" w:rsidRDefault="00E813AD" w:rsidP="00E813AD">
      <w:pPr>
        <w:spacing w:after="120"/>
        <w:rPr>
          <w:rFonts w:ascii="Arial" w:hAnsi="Arial" w:cs="Arial"/>
          <w:sz w:val="22"/>
          <w:szCs w:val="22"/>
          <w:lang w:val="en-US"/>
        </w:rPr>
      </w:pPr>
      <w:r w:rsidRPr="00074EA9">
        <w:rPr>
          <w:rFonts w:ascii="Arial" w:hAnsi="Arial" w:cs="Arial"/>
          <w:sz w:val="22"/>
          <w:szCs w:val="22"/>
          <w:lang w:val="en-US"/>
        </w:rPr>
        <w:t>We agree.</w:t>
      </w:r>
    </w:p>
    <w:p w14:paraId="2A15B62C" w14:textId="1A40E171" w:rsidR="001B1B48" w:rsidRPr="00E813A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r w:rsidRPr="00074EA9">
        <w:rPr>
          <w:rFonts w:ascii="Arial" w:eastAsia="Calibri" w:hAnsi="Arial" w:cs="Arial"/>
          <w:kern w:val="2"/>
          <w:sz w:val="22"/>
          <w:szCs w:val="22"/>
          <w:lang w:eastAsia="en-US"/>
          <w14:ligatures w14:val="standardContextual"/>
        </w:rPr>
        <w:t>&lt;ESMA_QUESTION_</w:t>
      </w:r>
      <w:r w:rsidR="0037311D" w:rsidRPr="00E813AD">
        <w:rPr>
          <w:rFonts w:asciiTheme="minorHAnsi" w:eastAsia="Calibri" w:hAnsiTheme="minorHAnsi" w:cstheme="minorHAnsi"/>
          <w:kern w:val="2"/>
          <w:sz w:val="22"/>
          <w:szCs w:val="22"/>
          <w:lang w:eastAsia="en-US"/>
          <w14:ligatures w14:val="standardContextual"/>
        </w:rPr>
        <w:t xml:space="preserve"> E</w:t>
      </w:r>
      <w:r w:rsidR="00EA357E" w:rsidRPr="00E813AD">
        <w:rPr>
          <w:rFonts w:asciiTheme="minorHAnsi" w:eastAsia="Calibri" w:hAnsiTheme="minorHAnsi" w:cstheme="minorHAnsi"/>
          <w:kern w:val="2"/>
          <w:sz w:val="22"/>
          <w:szCs w:val="22"/>
          <w:lang w:eastAsia="en-US"/>
          <w14:ligatures w14:val="standardContextual"/>
        </w:rPr>
        <w:t>SGR</w:t>
      </w:r>
      <w:r w:rsidRPr="00E813AD">
        <w:rPr>
          <w:rFonts w:asciiTheme="minorHAnsi" w:eastAsia="Calibri" w:hAnsiTheme="minorHAnsi" w:cstheme="minorHAnsi"/>
          <w:kern w:val="2"/>
          <w:sz w:val="22"/>
          <w:szCs w:val="22"/>
          <w:lang w:eastAsia="en-US"/>
          <w14:ligatures w14:val="standardContextual"/>
        </w:rPr>
        <w:t>_5&gt;</w:t>
      </w:r>
    </w:p>
    <w:sectPr w:rsidR="001B1B48" w:rsidRPr="00E813AD" w:rsidSect="00C85C8B">
      <w:headerReference w:type="default" r:id="rId20"/>
      <w:footerReference w:type="even" r:id="rId21"/>
      <w:footerReference w:type="default" r:id="rId22"/>
      <w:footerReference w:type="firs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0962E" w14:textId="77777777" w:rsidR="002D1B28" w:rsidRDefault="002D1B28" w:rsidP="007E7997">
      <w:r>
        <w:separator/>
      </w:r>
    </w:p>
  </w:endnote>
  <w:endnote w:type="continuationSeparator" w:id="0">
    <w:p w14:paraId="0A210C74" w14:textId="77777777" w:rsidR="002D1B28" w:rsidRDefault="002D1B28" w:rsidP="007E7997">
      <w:r>
        <w:continuationSeparator/>
      </w:r>
    </w:p>
  </w:endnote>
  <w:endnote w:type="continuationNotice" w:id="1">
    <w:p w14:paraId="38917C7F" w14:textId="77777777" w:rsidR="002D1B28" w:rsidRDefault="002D1B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E2CE" w14:textId="7D057E3B" w:rsidR="008D6762" w:rsidRDefault="008D6762">
    <w:pPr>
      <w:pStyle w:val="Footer"/>
    </w:pPr>
    <w:r>
      <w:rPr>
        <w:noProof/>
      </w:rPr>
      <mc:AlternateContent>
        <mc:Choice Requires="wps">
          <w:drawing>
            <wp:anchor distT="0" distB="0" distL="0" distR="0" simplePos="0" relativeHeight="251658244" behindDoc="0" locked="0" layoutInCell="1" allowOverlap="1" wp14:anchorId="56C8A354" wp14:editId="4E10BC01">
              <wp:simplePos x="635" y="635"/>
              <wp:positionH relativeFrom="page">
                <wp:align>left</wp:align>
              </wp:positionH>
              <wp:positionV relativeFrom="page">
                <wp:align>bottom</wp:align>
              </wp:positionV>
              <wp:extent cx="565150" cy="345440"/>
              <wp:effectExtent l="0" t="0" r="6350" b="0"/>
              <wp:wrapNone/>
              <wp:docPr id="1024596311"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3D86E116" w14:textId="7A75D604"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C8A354" id="_x0000_t202" coordsize="21600,21600" o:spt="202" path="m,l,21600r21600,l21600,xe">
              <v:stroke joinstyle="miter"/>
              <v:path gradientshapeok="t" o:connecttype="rect"/>
            </v:shapetype>
            <v:shape id="Text Box 4" o:spid="_x0000_s1026" type="#_x0000_t202" alt="Public" style="position:absolute;margin-left:0;margin-top:0;width:44.5pt;height:27.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" filled="f" stroked="f">
              <v:fill o:detectmouseclick="t"/>
              <v:textbox style="mso-fit-shape-to-text:t" inset="20pt,0,0,15pt">
                <w:txbxContent>
                  <w:p w14:paraId="3D86E116" w14:textId="7A75D604"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505D" w14:textId="45A6651B" w:rsidR="00E36813" w:rsidRDefault="008D6762">
    <w:pPr>
      <w:pStyle w:val="Footer"/>
      <w:jc w:val="center"/>
    </w:pPr>
    <w:r>
      <w:rPr>
        <w:noProof/>
      </w:rPr>
      <mc:AlternateContent>
        <mc:Choice Requires="wps">
          <w:drawing>
            <wp:anchor distT="0" distB="0" distL="0" distR="0" simplePos="0" relativeHeight="251658245" behindDoc="0" locked="0" layoutInCell="1" allowOverlap="1" wp14:anchorId="1B81A663" wp14:editId="6EC4FA6A">
              <wp:simplePos x="635" y="635"/>
              <wp:positionH relativeFrom="page">
                <wp:align>left</wp:align>
              </wp:positionH>
              <wp:positionV relativeFrom="page">
                <wp:align>bottom</wp:align>
              </wp:positionV>
              <wp:extent cx="565150" cy="345440"/>
              <wp:effectExtent l="0" t="0" r="6350" b="0"/>
              <wp:wrapNone/>
              <wp:docPr id="1450937297"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44D2A76C" w14:textId="606DC1B5"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81A663" id="_x0000_t202" coordsize="21600,21600" o:spt="202" path="m,l,21600r21600,l21600,xe">
              <v:stroke joinstyle="miter"/>
              <v:path gradientshapeok="t" o:connecttype="rect"/>
            </v:shapetype>
            <v:shape id="Text Box 5" o:spid="_x0000_s1027" type="#_x0000_t202" alt="Public" style="position:absolute;left:0;text-align:left;margin-left:0;margin-top:0;width:44.5pt;height:27.2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" filled="f" stroked="f">
              <v:fill o:detectmouseclick="t"/>
              <v:textbox style="mso-fit-shape-to-text:t" inset="20pt,0,0,15pt">
                <w:txbxContent>
                  <w:p w14:paraId="44D2A76C" w14:textId="606DC1B5"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v:textbox>
              <w10:wrap anchorx="page" anchory="page"/>
            </v:shape>
          </w:pict>
        </mc:Fallback>
      </mc:AlternateContent>
    </w:r>
  </w:p>
  <w:sdt>
    <w:sdtPr>
      <w:id w:val="1744752671"/>
      <w:docPartObj>
        <w:docPartGallery w:val="Page Numbers (Bottom of Page)"/>
        <w:docPartUnique/>
      </w:docPartObj>
    </w:sdtPr>
    <w:sdtEndPr>
      <w:rPr>
        <w:noProof/>
      </w:rPr>
    </w:sdtEndPr>
    <w:sdtContent>
      <w:p w14:paraId="0CF5505D" w14:textId="45A6651B"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697F9F6C" w:rsidR="00E36813" w:rsidRDefault="008D6762" w:rsidP="007A160F">
    <w:pPr>
      <w:pStyle w:val="Footer"/>
    </w:pPr>
    <w:r>
      <w:rPr>
        <w:rFonts w:asciiTheme="majorHAnsi" w:hAnsiTheme="majorHAnsi"/>
        <w:noProof/>
        <w:color w:val="FFFFFF" w:themeColor="background1"/>
      </w:rPr>
      <mc:AlternateContent>
        <mc:Choice Requires="wps">
          <w:drawing>
            <wp:anchor distT="0" distB="0" distL="0" distR="0" simplePos="0" relativeHeight="251658243" behindDoc="0" locked="0" layoutInCell="1" allowOverlap="1" wp14:anchorId="6013DA15" wp14:editId="72420BC6">
              <wp:simplePos x="904875" y="10067925"/>
              <wp:positionH relativeFrom="page">
                <wp:align>left</wp:align>
              </wp:positionH>
              <wp:positionV relativeFrom="page">
                <wp:align>bottom</wp:align>
              </wp:positionV>
              <wp:extent cx="565150" cy="345440"/>
              <wp:effectExtent l="0" t="0" r="6350" b="0"/>
              <wp:wrapNone/>
              <wp:docPr id="806956827"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2E66A5E4" w14:textId="32F6E136"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13DA15" id="_x0000_t202" coordsize="21600,21600" o:spt="202" path="m,l,21600r21600,l21600,xe">
              <v:stroke joinstyle="miter"/>
              <v:path gradientshapeok="t" o:connecttype="rect"/>
            </v:shapetype>
            <v:shape id="Text Box 3" o:spid="_x0000_s1028" type="#_x0000_t202" alt="Public" style="position:absolute;margin-left:0;margin-top:0;width:44.5pt;height:27.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vQEwIAACEEAAAOAAAAZHJzL2Uyb0RvYy54bWysU01v2zAMvQ/YfxB0X+xkcb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" filled="f" stroked="f">
              <v:fill o:detectmouseclick="t"/>
              <v:textbox style="mso-fit-shape-to-text:t" inset="20pt,0,0,15pt">
                <w:txbxContent>
                  <w:p w14:paraId="2E66A5E4" w14:textId="32F6E136"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v:textbox>
              <w10:wrap anchorx="page" anchory="page"/>
            </v:shape>
          </w:pict>
        </mc:Fallback>
      </mc:AlternateContent>
    </w:r>
    <w:r w:rsidR="00E36813">
      <w:rPr>
        <w:rFonts w:asciiTheme="majorHAnsi" w:hAnsiTheme="majorHAnsi"/>
        <w:color w:val="FFFFFF" w:themeColor="background1"/>
      </w:rPr>
      <w:tab/>
    </w:r>
    <w:r w:rsidR="00E36813">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58DC" w14:textId="7A6A9D88" w:rsidR="008D6762" w:rsidRDefault="008D6762">
    <w:pPr>
      <w:pStyle w:val="Footer"/>
    </w:pPr>
    <w:r>
      <w:rPr>
        <w:noProof/>
      </w:rPr>
      <mc:AlternateContent>
        <mc:Choice Requires="wps">
          <w:drawing>
            <wp:anchor distT="0" distB="0" distL="0" distR="0" simplePos="0" relativeHeight="251658247" behindDoc="0" locked="0" layoutInCell="1" allowOverlap="1" wp14:anchorId="672A6CC8" wp14:editId="384D055E">
              <wp:simplePos x="635" y="635"/>
              <wp:positionH relativeFrom="page">
                <wp:align>left</wp:align>
              </wp:positionH>
              <wp:positionV relativeFrom="page">
                <wp:align>bottom</wp:align>
              </wp:positionV>
              <wp:extent cx="565150" cy="345440"/>
              <wp:effectExtent l="0" t="0" r="6350" b="0"/>
              <wp:wrapNone/>
              <wp:docPr id="101122134" name="Text Box 7"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0B844688" w14:textId="6C9281C1"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2A6CC8" id="_x0000_t202" coordsize="21600,21600" o:spt="202" path="m,l,21600r21600,l21600,xe">
              <v:stroke joinstyle="miter"/>
              <v:path gradientshapeok="t" o:connecttype="rect"/>
            </v:shapetype>
            <v:shape id="Text Box 7" o:spid="_x0000_s1029" type="#_x0000_t202" alt="Public" style="position:absolute;margin-left:0;margin-top:0;width:44.5pt;height:27.2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" filled="f" stroked="f">
              <v:fill o:detectmouseclick="t"/>
              <v:textbox style="mso-fit-shape-to-text:t" inset="20pt,0,0,15pt">
                <w:txbxContent>
                  <w:p w14:paraId="0B844688" w14:textId="6C9281C1"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3DBF" w14:textId="40D30DBF" w:rsidR="00E36813" w:rsidRDefault="008D6762">
    <w:pPr>
      <w:pStyle w:val="Footer"/>
      <w:jc w:val="center"/>
    </w:pPr>
    <w:r>
      <w:rPr>
        <w:noProof/>
      </w:rPr>
      <mc:AlternateContent>
        <mc:Choice Requires="wps">
          <w:drawing>
            <wp:anchor distT="0" distB="0" distL="0" distR="0" simplePos="0" relativeHeight="251658248" behindDoc="0" locked="0" layoutInCell="1" allowOverlap="1" wp14:anchorId="7BC31EE4" wp14:editId="2F131EEA">
              <wp:simplePos x="904875" y="9715500"/>
              <wp:positionH relativeFrom="page">
                <wp:align>left</wp:align>
              </wp:positionH>
              <wp:positionV relativeFrom="page">
                <wp:align>bottom</wp:align>
              </wp:positionV>
              <wp:extent cx="565150" cy="345440"/>
              <wp:effectExtent l="0" t="0" r="6350" b="0"/>
              <wp:wrapNone/>
              <wp:docPr id="164763220" name="Text Box 8"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0B1FB26C" w14:textId="3F4EDE94" w:rsidR="008D6762" w:rsidRPr="008D6762" w:rsidRDefault="008D6762" w:rsidP="008D6762">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C31EE4" id="_x0000_t202" coordsize="21600,21600" o:spt="202" path="m,l,21600r21600,l21600,xe">
              <v:stroke joinstyle="miter"/>
              <v:path gradientshapeok="t" o:connecttype="rect"/>
            </v:shapetype>
            <v:shape id="Text Box 8" o:spid="_x0000_s1030" type="#_x0000_t202" alt="Public" style="position:absolute;left:0;text-align:left;margin-left:0;margin-top:0;width:44.5pt;height:27.2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rxVEwIAACEEAAAOAAAAZHJzL2Uyb0RvYy54bWysU01v2zAMvQ/YfxB0X+xkcb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" filled="f" stroked="f">
              <v:fill o:detectmouseclick="t"/>
              <v:textbox style="mso-fit-shape-to-text:t" inset="20pt,0,0,15pt">
                <w:txbxContent>
                  <w:p w14:paraId="0B1FB26C" w14:textId="3F4EDE94" w:rsidR="008D6762" w:rsidRPr="008D6762" w:rsidRDefault="008D6762" w:rsidP="008D6762">
                    <w:pPr>
                      <w:rPr>
                        <w:rFonts w:ascii="Calibri" w:eastAsia="Calibri" w:hAnsi="Calibri" w:cs="Calibri"/>
                        <w:noProof/>
                        <w:color w:val="000000"/>
                        <w:sz w:val="20"/>
                        <w:szCs w:val="20"/>
                      </w:rPr>
                    </w:pPr>
                  </w:p>
                </w:txbxContent>
              </v:textbox>
              <w10:wrap anchorx="page" anchory="page"/>
            </v:shape>
          </w:pict>
        </mc:Fallback>
      </mc:AlternateContent>
    </w:r>
    <w:sdt>
      <w:sdtPr>
        <w:id w:val="-723752247"/>
        <w:docPartObj>
          <w:docPartGallery w:val="Page Numbers (Bottom of Page)"/>
          <w:docPartUnique/>
        </w:docPartObj>
      </w:sdtPr>
      <w:sdtEndPr>
        <w:rPr>
          <w:noProof/>
        </w:rPr>
      </w:sdtEndPr>
      <w:sdtContent>
        <w:r w:rsidR="00E36813">
          <w:fldChar w:fldCharType="begin"/>
        </w:r>
        <w:r w:rsidR="00E36813">
          <w:instrText xml:space="preserve"> PAGE   \* MERGEFORMAT </w:instrText>
        </w:r>
        <w:r w:rsidR="00E36813">
          <w:fldChar w:fldCharType="separate"/>
        </w:r>
        <w:r w:rsidR="00534912">
          <w:rPr>
            <w:noProof/>
          </w:rPr>
          <w:t>1</w:t>
        </w:r>
        <w:r w:rsidR="00E36813">
          <w:rPr>
            <w:noProof/>
          </w:rPr>
          <w:fldChar w:fldCharType="end"/>
        </w:r>
      </w:sdtContent>
    </w:sdt>
  </w:p>
  <w:p w14:paraId="12C756E7" w14:textId="77777777" w:rsidR="00C97F9B" w:rsidRDefault="00C97F9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AE90" w14:textId="23AF8D90" w:rsidR="008D6762" w:rsidRDefault="008D6762">
    <w:pPr>
      <w:pStyle w:val="Footer"/>
    </w:pPr>
    <w:r>
      <w:rPr>
        <w:noProof/>
      </w:rPr>
      <mc:AlternateContent>
        <mc:Choice Requires="wps">
          <w:drawing>
            <wp:anchor distT="0" distB="0" distL="0" distR="0" simplePos="0" relativeHeight="251658246" behindDoc="0" locked="0" layoutInCell="1" allowOverlap="1" wp14:anchorId="20D698D8" wp14:editId="7CD14E06">
              <wp:simplePos x="635" y="635"/>
              <wp:positionH relativeFrom="page">
                <wp:align>left</wp:align>
              </wp:positionH>
              <wp:positionV relativeFrom="page">
                <wp:align>bottom</wp:align>
              </wp:positionV>
              <wp:extent cx="565150" cy="345440"/>
              <wp:effectExtent l="0" t="0" r="6350" b="0"/>
              <wp:wrapNone/>
              <wp:docPr id="1832012489"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502A20A2" w14:textId="7B32C70E"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D698D8" id="_x0000_t202" coordsize="21600,21600" o:spt="202" path="m,l,21600r21600,l21600,xe">
              <v:stroke joinstyle="miter"/>
              <v:path gradientshapeok="t" o:connecttype="rect"/>
            </v:shapetype>
            <v:shape id="Text Box 6" o:spid="_x0000_s1031" type="#_x0000_t202" alt="Public" style="position:absolute;margin-left:0;margin-top:0;width:44.5pt;height:27.2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" filled="f" stroked="f">
              <v:fill o:detectmouseclick="t"/>
              <v:textbox style="mso-fit-shape-to-text:t" inset="20pt,0,0,15pt">
                <w:txbxContent>
                  <w:p w14:paraId="502A20A2" w14:textId="7B32C70E" w:rsidR="008D6762" w:rsidRPr="008D6762" w:rsidRDefault="008D6762" w:rsidP="008D6762">
                    <w:pPr>
                      <w:rPr>
                        <w:rFonts w:ascii="Calibri" w:eastAsia="Calibri" w:hAnsi="Calibri" w:cs="Calibri"/>
                        <w:noProof/>
                        <w:color w:val="000000"/>
                        <w:sz w:val="20"/>
                        <w:szCs w:val="20"/>
                      </w:rPr>
                    </w:pPr>
                    <w:r w:rsidRPr="008D6762">
                      <w:rPr>
                        <w:rFonts w:ascii="Calibri" w:eastAsia="Calibri" w:hAnsi="Calibri" w:cs="Calibri"/>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ACD21" w14:textId="77777777" w:rsidR="002D1B28" w:rsidRDefault="002D1B28" w:rsidP="007E7997">
      <w:r>
        <w:separator/>
      </w:r>
    </w:p>
  </w:footnote>
  <w:footnote w:type="continuationSeparator" w:id="0">
    <w:p w14:paraId="7CA28388" w14:textId="77777777" w:rsidR="002D1B28" w:rsidRDefault="002D1B28" w:rsidP="007E7997">
      <w:r>
        <w:continuationSeparator/>
      </w:r>
    </w:p>
  </w:footnote>
  <w:footnote w:type="continuationNotice" w:id="1">
    <w:p w14:paraId="7CC3D862" w14:textId="77777777" w:rsidR="002D1B28" w:rsidRDefault="002D1B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456115910" name="Picture 145611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D2C70"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0023"/>
    <w:multiLevelType w:val="hybridMultilevel"/>
    <w:tmpl w:val="E2845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24EAB"/>
    <w:multiLevelType w:val="hybridMultilevel"/>
    <w:tmpl w:val="7B0AB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1009"/>
    <w:multiLevelType w:val="hybridMultilevel"/>
    <w:tmpl w:val="4F26BE04"/>
    <w:lvl w:ilvl="0" w:tplc="4E266822">
      <w:start w:val="1"/>
      <w:numFmt w:val="lowerRoman"/>
      <w:lvlText w:val="(%1)"/>
      <w:lvlJc w:val="left"/>
      <w:pPr>
        <w:ind w:left="1622" w:hanging="72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3" w15:restartNumberingAfterBreak="0">
    <w:nsid w:val="0E0F7C88"/>
    <w:multiLevelType w:val="hybridMultilevel"/>
    <w:tmpl w:val="905CB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A65F87"/>
    <w:multiLevelType w:val="hybridMultilevel"/>
    <w:tmpl w:val="937EC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331FF"/>
    <w:multiLevelType w:val="hybridMultilevel"/>
    <w:tmpl w:val="89CE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E5601"/>
    <w:multiLevelType w:val="hybridMultilevel"/>
    <w:tmpl w:val="47BE977C"/>
    <w:lvl w:ilvl="0" w:tplc="04090003">
      <w:start w:val="1"/>
      <w:numFmt w:val="bullet"/>
      <w:lvlText w:val="o"/>
      <w:lvlJc w:val="left"/>
      <w:pPr>
        <w:ind w:left="1504" w:hanging="360"/>
      </w:pPr>
      <w:rPr>
        <w:rFonts w:ascii="Courier New" w:hAnsi="Courier New" w:cs="Courier New"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7" w15:restartNumberingAfterBreak="0">
    <w:nsid w:val="1F121CE0"/>
    <w:multiLevelType w:val="multilevel"/>
    <w:tmpl w:val="03FAC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A00E22"/>
    <w:multiLevelType w:val="hybridMultilevel"/>
    <w:tmpl w:val="15EC737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A1C2B55"/>
    <w:multiLevelType w:val="hybridMultilevel"/>
    <w:tmpl w:val="18C6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CB8485F"/>
    <w:multiLevelType w:val="hybridMultilevel"/>
    <w:tmpl w:val="35F44444"/>
    <w:lvl w:ilvl="0" w:tplc="04090003">
      <w:start w:val="1"/>
      <w:numFmt w:val="bullet"/>
      <w:lvlText w:val="o"/>
      <w:lvlJc w:val="left"/>
      <w:pPr>
        <w:ind w:left="1515" w:hanging="360"/>
      </w:pPr>
      <w:rPr>
        <w:rFonts w:ascii="Courier New" w:hAnsi="Courier New" w:cs="Courier New"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3"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4"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BB6E24"/>
    <w:multiLevelType w:val="hybridMultilevel"/>
    <w:tmpl w:val="7BB416F2"/>
    <w:lvl w:ilvl="0" w:tplc="04090003">
      <w:start w:val="1"/>
      <w:numFmt w:val="bullet"/>
      <w:lvlText w:val="o"/>
      <w:lvlJc w:val="left"/>
      <w:pPr>
        <w:ind w:left="1261" w:hanging="360"/>
      </w:pPr>
      <w:rPr>
        <w:rFonts w:ascii="Courier New" w:hAnsi="Courier New" w:cs="Courier New" w:hint="default"/>
      </w:rPr>
    </w:lvl>
    <w:lvl w:ilvl="1" w:tplc="FFFFFFFF" w:tentative="1">
      <w:start w:val="1"/>
      <w:numFmt w:val="bullet"/>
      <w:lvlText w:val="o"/>
      <w:lvlJc w:val="left"/>
      <w:pPr>
        <w:ind w:left="1981" w:hanging="360"/>
      </w:pPr>
      <w:rPr>
        <w:rFonts w:ascii="Courier New" w:hAnsi="Courier New" w:cs="Courier New" w:hint="default"/>
      </w:rPr>
    </w:lvl>
    <w:lvl w:ilvl="2" w:tplc="FFFFFFFF" w:tentative="1">
      <w:start w:val="1"/>
      <w:numFmt w:val="bullet"/>
      <w:lvlText w:val=""/>
      <w:lvlJc w:val="left"/>
      <w:pPr>
        <w:ind w:left="2701" w:hanging="360"/>
      </w:pPr>
      <w:rPr>
        <w:rFonts w:ascii="Wingdings" w:hAnsi="Wingdings" w:hint="default"/>
      </w:rPr>
    </w:lvl>
    <w:lvl w:ilvl="3" w:tplc="FFFFFFFF" w:tentative="1">
      <w:start w:val="1"/>
      <w:numFmt w:val="bullet"/>
      <w:lvlText w:val=""/>
      <w:lvlJc w:val="left"/>
      <w:pPr>
        <w:ind w:left="3421" w:hanging="360"/>
      </w:pPr>
      <w:rPr>
        <w:rFonts w:ascii="Symbol" w:hAnsi="Symbol" w:hint="default"/>
      </w:rPr>
    </w:lvl>
    <w:lvl w:ilvl="4" w:tplc="FFFFFFFF" w:tentative="1">
      <w:start w:val="1"/>
      <w:numFmt w:val="bullet"/>
      <w:lvlText w:val="o"/>
      <w:lvlJc w:val="left"/>
      <w:pPr>
        <w:ind w:left="4141" w:hanging="360"/>
      </w:pPr>
      <w:rPr>
        <w:rFonts w:ascii="Courier New" w:hAnsi="Courier New" w:cs="Courier New" w:hint="default"/>
      </w:rPr>
    </w:lvl>
    <w:lvl w:ilvl="5" w:tplc="FFFFFFFF" w:tentative="1">
      <w:start w:val="1"/>
      <w:numFmt w:val="bullet"/>
      <w:lvlText w:val=""/>
      <w:lvlJc w:val="left"/>
      <w:pPr>
        <w:ind w:left="4861" w:hanging="360"/>
      </w:pPr>
      <w:rPr>
        <w:rFonts w:ascii="Wingdings" w:hAnsi="Wingdings" w:hint="default"/>
      </w:rPr>
    </w:lvl>
    <w:lvl w:ilvl="6" w:tplc="FFFFFFFF" w:tentative="1">
      <w:start w:val="1"/>
      <w:numFmt w:val="bullet"/>
      <w:lvlText w:val=""/>
      <w:lvlJc w:val="left"/>
      <w:pPr>
        <w:ind w:left="5581" w:hanging="360"/>
      </w:pPr>
      <w:rPr>
        <w:rFonts w:ascii="Symbol" w:hAnsi="Symbol" w:hint="default"/>
      </w:rPr>
    </w:lvl>
    <w:lvl w:ilvl="7" w:tplc="FFFFFFFF" w:tentative="1">
      <w:start w:val="1"/>
      <w:numFmt w:val="bullet"/>
      <w:lvlText w:val="o"/>
      <w:lvlJc w:val="left"/>
      <w:pPr>
        <w:ind w:left="6301" w:hanging="360"/>
      </w:pPr>
      <w:rPr>
        <w:rFonts w:ascii="Courier New" w:hAnsi="Courier New" w:cs="Courier New" w:hint="default"/>
      </w:rPr>
    </w:lvl>
    <w:lvl w:ilvl="8" w:tplc="FFFFFFFF" w:tentative="1">
      <w:start w:val="1"/>
      <w:numFmt w:val="bullet"/>
      <w:lvlText w:val=""/>
      <w:lvlJc w:val="left"/>
      <w:pPr>
        <w:ind w:left="7021" w:hanging="360"/>
      </w:pPr>
      <w:rPr>
        <w:rFonts w:ascii="Wingdings" w:hAnsi="Wingdings" w:hint="default"/>
      </w:rPr>
    </w:lvl>
  </w:abstractNum>
  <w:abstractNum w:abstractNumId="16" w15:restartNumberingAfterBreak="0">
    <w:nsid w:val="42B97F4E"/>
    <w:multiLevelType w:val="hybridMultilevel"/>
    <w:tmpl w:val="A8E6FA30"/>
    <w:lvl w:ilvl="0" w:tplc="C7605660">
      <w:start w:val="1"/>
      <w:numFmt w:val="bullet"/>
      <w:pStyle w:val="ListParagraph"/>
      <w:lvlText w:val=""/>
      <w:lvlJc w:val="left"/>
      <w:pPr>
        <w:ind w:left="1261" w:hanging="360"/>
      </w:pPr>
      <w:rPr>
        <w:rFonts w:ascii="Symbol" w:hAnsi="Symbol" w:hint="default"/>
      </w:rPr>
    </w:lvl>
    <w:lvl w:ilvl="1" w:tplc="FFFFFFFF" w:tentative="1">
      <w:start w:val="1"/>
      <w:numFmt w:val="bullet"/>
      <w:lvlText w:val="o"/>
      <w:lvlJc w:val="left"/>
      <w:pPr>
        <w:ind w:left="1981" w:hanging="360"/>
      </w:pPr>
      <w:rPr>
        <w:rFonts w:ascii="Courier New" w:hAnsi="Courier New" w:cs="Courier New" w:hint="default"/>
      </w:rPr>
    </w:lvl>
    <w:lvl w:ilvl="2" w:tplc="FFFFFFFF" w:tentative="1">
      <w:start w:val="1"/>
      <w:numFmt w:val="bullet"/>
      <w:lvlText w:val=""/>
      <w:lvlJc w:val="left"/>
      <w:pPr>
        <w:ind w:left="2701" w:hanging="360"/>
      </w:pPr>
      <w:rPr>
        <w:rFonts w:ascii="Wingdings" w:hAnsi="Wingdings" w:hint="default"/>
      </w:rPr>
    </w:lvl>
    <w:lvl w:ilvl="3" w:tplc="FFFFFFFF" w:tentative="1">
      <w:start w:val="1"/>
      <w:numFmt w:val="bullet"/>
      <w:lvlText w:val=""/>
      <w:lvlJc w:val="left"/>
      <w:pPr>
        <w:ind w:left="3421" w:hanging="360"/>
      </w:pPr>
      <w:rPr>
        <w:rFonts w:ascii="Symbol" w:hAnsi="Symbol" w:hint="default"/>
      </w:rPr>
    </w:lvl>
    <w:lvl w:ilvl="4" w:tplc="FFFFFFFF" w:tentative="1">
      <w:start w:val="1"/>
      <w:numFmt w:val="bullet"/>
      <w:lvlText w:val="o"/>
      <w:lvlJc w:val="left"/>
      <w:pPr>
        <w:ind w:left="4141" w:hanging="360"/>
      </w:pPr>
      <w:rPr>
        <w:rFonts w:ascii="Courier New" w:hAnsi="Courier New" w:cs="Courier New" w:hint="default"/>
      </w:rPr>
    </w:lvl>
    <w:lvl w:ilvl="5" w:tplc="FFFFFFFF" w:tentative="1">
      <w:start w:val="1"/>
      <w:numFmt w:val="bullet"/>
      <w:lvlText w:val=""/>
      <w:lvlJc w:val="left"/>
      <w:pPr>
        <w:ind w:left="4861" w:hanging="360"/>
      </w:pPr>
      <w:rPr>
        <w:rFonts w:ascii="Wingdings" w:hAnsi="Wingdings" w:hint="default"/>
      </w:rPr>
    </w:lvl>
    <w:lvl w:ilvl="6" w:tplc="FFFFFFFF" w:tentative="1">
      <w:start w:val="1"/>
      <w:numFmt w:val="bullet"/>
      <w:lvlText w:val=""/>
      <w:lvlJc w:val="left"/>
      <w:pPr>
        <w:ind w:left="5581" w:hanging="360"/>
      </w:pPr>
      <w:rPr>
        <w:rFonts w:ascii="Symbol" w:hAnsi="Symbol" w:hint="default"/>
      </w:rPr>
    </w:lvl>
    <w:lvl w:ilvl="7" w:tplc="FFFFFFFF" w:tentative="1">
      <w:start w:val="1"/>
      <w:numFmt w:val="bullet"/>
      <w:lvlText w:val="o"/>
      <w:lvlJc w:val="left"/>
      <w:pPr>
        <w:ind w:left="6301" w:hanging="360"/>
      </w:pPr>
      <w:rPr>
        <w:rFonts w:ascii="Courier New" w:hAnsi="Courier New" w:cs="Courier New" w:hint="default"/>
      </w:rPr>
    </w:lvl>
    <w:lvl w:ilvl="8" w:tplc="FFFFFFFF" w:tentative="1">
      <w:start w:val="1"/>
      <w:numFmt w:val="bullet"/>
      <w:lvlText w:val=""/>
      <w:lvlJc w:val="left"/>
      <w:pPr>
        <w:ind w:left="7021" w:hanging="360"/>
      </w:pPr>
      <w:rPr>
        <w:rFonts w:ascii="Wingdings" w:hAnsi="Wingdings" w:hint="default"/>
      </w:rPr>
    </w:lvl>
  </w:abstractNum>
  <w:abstractNum w:abstractNumId="17"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546648E"/>
    <w:multiLevelType w:val="hybridMultilevel"/>
    <w:tmpl w:val="460EE14A"/>
    <w:lvl w:ilvl="0" w:tplc="110EB996">
      <w:start w:val="1"/>
      <w:numFmt w:val="lowerRoman"/>
      <w:lvlText w:val="(%1)"/>
      <w:lvlJc w:val="left"/>
      <w:pPr>
        <w:ind w:left="1928" w:hanging="720"/>
      </w:pPr>
      <w:rPr>
        <w:rFonts w:hint="default"/>
      </w:r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20" w15:restartNumberingAfterBreak="0">
    <w:nsid w:val="4B541450"/>
    <w:multiLevelType w:val="hybridMultilevel"/>
    <w:tmpl w:val="F9A4A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41F79"/>
    <w:multiLevelType w:val="hybridMultilevel"/>
    <w:tmpl w:val="9C945DF6"/>
    <w:lvl w:ilvl="0" w:tplc="1BDAD7A2">
      <w:start w:val="1"/>
      <w:numFmt w:val="bullet"/>
      <w:lvlText w:val=""/>
      <w:lvlJc w:val="left"/>
      <w:pPr>
        <w:ind w:left="1190" w:hanging="360"/>
      </w:pPr>
      <w:rPr>
        <w:rFonts w:ascii="Symbol" w:hAnsi="Symbol"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22"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8BD103B"/>
    <w:multiLevelType w:val="hybridMultilevel"/>
    <w:tmpl w:val="46B03238"/>
    <w:lvl w:ilvl="0" w:tplc="04090003">
      <w:start w:val="1"/>
      <w:numFmt w:val="bullet"/>
      <w:lvlText w:val="o"/>
      <w:lvlJc w:val="left"/>
      <w:pPr>
        <w:ind w:left="1361" w:hanging="360"/>
      </w:pPr>
      <w:rPr>
        <w:rFonts w:ascii="Courier New" w:hAnsi="Courier New" w:cs="Courier New"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24"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CF830C4"/>
    <w:multiLevelType w:val="hybridMultilevel"/>
    <w:tmpl w:val="EA462DB6"/>
    <w:lvl w:ilvl="0" w:tplc="29B67C34">
      <w:start w:val="1"/>
      <w:numFmt w:val="bullet"/>
      <w:lvlText w:val=""/>
      <w:lvlJc w:val="left"/>
      <w:pPr>
        <w:ind w:left="1261" w:hanging="360"/>
      </w:pPr>
      <w:rPr>
        <w:rFonts w:ascii="Symbol" w:hAnsi="Symbol"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27" w15:restartNumberingAfterBreak="0">
    <w:nsid w:val="6E3709D1"/>
    <w:multiLevelType w:val="hybridMultilevel"/>
    <w:tmpl w:val="2BD60582"/>
    <w:lvl w:ilvl="0" w:tplc="D0004934">
      <w:start w:val="1"/>
      <w:numFmt w:val="lowerRoman"/>
      <w:lvlText w:val="(%1)"/>
      <w:lvlJc w:val="left"/>
      <w:pPr>
        <w:ind w:left="1262" w:hanging="360"/>
      </w:pPr>
      <w:rPr>
        <w:rFonts w:ascii="Arial" w:eastAsia="Times New Roman" w:hAnsi="Arial" w:cs="Arial"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num w:numId="1" w16cid:durableId="1938975619">
    <w:abstractNumId w:val="9"/>
  </w:num>
  <w:num w:numId="2" w16cid:durableId="1495532731">
    <w:abstractNumId w:val="9"/>
  </w:num>
  <w:num w:numId="3" w16cid:durableId="994409496">
    <w:abstractNumId w:val="25"/>
  </w:num>
  <w:num w:numId="4" w16cid:durableId="1880320868">
    <w:abstractNumId w:val="11"/>
  </w:num>
  <w:num w:numId="5" w16cid:durableId="290864581">
    <w:abstractNumId w:val="18"/>
  </w:num>
  <w:num w:numId="6" w16cid:durableId="765269892">
    <w:abstractNumId w:val="13"/>
  </w:num>
  <w:num w:numId="7" w16cid:durableId="1301960395">
    <w:abstractNumId w:val="14"/>
  </w:num>
  <w:num w:numId="8" w16cid:durableId="986476960">
    <w:abstractNumId w:val="24"/>
  </w:num>
  <w:num w:numId="9" w16cid:durableId="837424337">
    <w:abstractNumId w:val="22"/>
  </w:num>
  <w:num w:numId="10" w16cid:durableId="730466929">
    <w:abstractNumId w:val="17"/>
    <w:lvlOverride w:ilvl="0">
      <w:startOverride w:val="1"/>
    </w:lvlOverride>
  </w:num>
  <w:num w:numId="11" w16cid:durableId="1282758864">
    <w:abstractNumId w:val="26"/>
  </w:num>
  <w:num w:numId="12" w16cid:durableId="959190063">
    <w:abstractNumId w:val="16"/>
  </w:num>
  <w:num w:numId="13" w16cid:durableId="784232824">
    <w:abstractNumId w:val="21"/>
  </w:num>
  <w:num w:numId="14" w16cid:durableId="1474441931">
    <w:abstractNumId w:val="23"/>
  </w:num>
  <w:num w:numId="15" w16cid:durableId="1857421425">
    <w:abstractNumId w:val="5"/>
  </w:num>
  <w:num w:numId="16" w16cid:durableId="1435513779">
    <w:abstractNumId w:val="4"/>
  </w:num>
  <w:num w:numId="17" w16cid:durableId="343899446">
    <w:abstractNumId w:val="20"/>
  </w:num>
  <w:num w:numId="18" w16cid:durableId="1267957017">
    <w:abstractNumId w:val="1"/>
  </w:num>
  <w:num w:numId="19" w16cid:durableId="1565480662">
    <w:abstractNumId w:val="10"/>
  </w:num>
  <w:num w:numId="20" w16cid:durableId="1459450160">
    <w:abstractNumId w:val="0"/>
  </w:num>
  <w:num w:numId="21" w16cid:durableId="326834809">
    <w:abstractNumId w:val="7"/>
  </w:num>
  <w:num w:numId="22" w16cid:durableId="747849920">
    <w:abstractNumId w:val="12"/>
  </w:num>
  <w:num w:numId="23" w16cid:durableId="153762876">
    <w:abstractNumId w:val="6"/>
  </w:num>
  <w:num w:numId="24" w16cid:durableId="240604369">
    <w:abstractNumId w:val="3"/>
  </w:num>
  <w:num w:numId="25" w16cid:durableId="740565946">
    <w:abstractNumId w:val="15"/>
  </w:num>
  <w:num w:numId="26" w16cid:durableId="372728525">
    <w:abstractNumId w:val="8"/>
  </w:num>
  <w:num w:numId="27" w16cid:durableId="1253053017">
    <w:abstractNumId w:val="19"/>
  </w:num>
  <w:num w:numId="28" w16cid:durableId="2011446374">
    <w:abstractNumId w:val="27"/>
  </w:num>
  <w:num w:numId="29" w16cid:durableId="1973098604">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0B05"/>
    <w:rsid w:val="00021A9A"/>
    <w:rsid w:val="0002290E"/>
    <w:rsid w:val="00022ADA"/>
    <w:rsid w:val="00024179"/>
    <w:rsid w:val="00026327"/>
    <w:rsid w:val="00027EC9"/>
    <w:rsid w:val="000310AB"/>
    <w:rsid w:val="00033934"/>
    <w:rsid w:val="00036C09"/>
    <w:rsid w:val="000372BF"/>
    <w:rsid w:val="00040A52"/>
    <w:rsid w:val="00043C6C"/>
    <w:rsid w:val="00044C5A"/>
    <w:rsid w:val="00044E0A"/>
    <w:rsid w:val="00047C57"/>
    <w:rsid w:val="00054E00"/>
    <w:rsid w:val="00061B2B"/>
    <w:rsid w:val="000627C5"/>
    <w:rsid w:val="00064072"/>
    <w:rsid w:val="0006448C"/>
    <w:rsid w:val="0006449B"/>
    <w:rsid w:val="000655AD"/>
    <w:rsid w:val="00066FD1"/>
    <w:rsid w:val="00072BF9"/>
    <w:rsid w:val="00073DF9"/>
    <w:rsid w:val="00074EA9"/>
    <w:rsid w:val="0007767E"/>
    <w:rsid w:val="0007796D"/>
    <w:rsid w:val="000830DA"/>
    <w:rsid w:val="000837E7"/>
    <w:rsid w:val="00083FBB"/>
    <w:rsid w:val="00085D98"/>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D30FA"/>
    <w:rsid w:val="000E0D73"/>
    <w:rsid w:val="000E2232"/>
    <w:rsid w:val="000E3663"/>
    <w:rsid w:val="000E3DB1"/>
    <w:rsid w:val="000F0169"/>
    <w:rsid w:val="000F0951"/>
    <w:rsid w:val="000F2598"/>
    <w:rsid w:val="000F29C0"/>
    <w:rsid w:val="000F2BE6"/>
    <w:rsid w:val="000F474D"/>
    <w:rsid w:val="000F5C90"/>
    <w:rsid w:val="000F5EA6"/>
    <w:rsid w:val="000F7998"/>
    <w:rsid w:val="001000D7"/>
    <w:rsid w:val="00100ADC"/>
    <w:rsid w:val="0010132C"/>
    <w:rsid w:val="0010429A"/>
    <w:rsid w:val="00105424"/>
    <w:rsid w:val="001075EC"/>
    <w:rsid w:val="00113D82"/>
    <w:rsid w:val="001207F5"/>
    <w:rsid w:val="00120F0D"/>
    <w:rsid w:val="001214DA"/>
    <w:rsid w:val="00122126"/>
    <w:rsid w:val="0012378C"/>
    <w:rsid w:val="00123E16"/>
    <w:rsid w:val="00126995"/>
    <w:rsid w:val="0012722A"/>
    <w:rsid w:val="0013090E"/>
    <w:rsid w:val="00130EF9"/>
    <w:rsid w:val="001319C7"/>
    <w:rsid w:val="0013415F"/>
    <w:rsid w:val="00134890"/>
    <w:rsid w:val="001355E6"/>
    <w:rsid w:val="0013644A"/>
    <w:rsid w:val="00140762"/>
    <w:rsid w:val="00140BA6"/>
    <w:rsid w:val="00141946"/>
    <w:rsid w:val="00143DCA"/>
    <w:rsid w:val="00144AAD"/>
    <w:rsid w:val="001455E7"/>
    <w:rsid w:val="0014624E"/>
    <w:rsid w:val="001522DD"/>
    <w:rsid w:val="00155BAB"/>
    <w:rsid w:val="00156D60"/>
    <w:rsid w:val="001608B2"/>
    <w:rsid w:val="00160FE0"/>
    <w:rsid w:val="00163866"/>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8D9"/>
    <w:rsid w:val="00192A7A"/>
    <w:rsid w:val="00197AAF"/>
    <w:rsid w:val="001A1EF4"/>
    <w:rsid w:val="001A7046"/>
    <w:rsid w:val="001A710D"/>
    <w:rsid w:val="001A7524"/>
    <w:rsid w:val="001A7E6F"/>
    <w:rsid w:val="001B0A77"/>
    <w:rsid w:val="001B1727"/>
    <w:rsid w:val="001B1B48"/>
    <w:rsid w:val="001B2151"/>
    <w:rsid w:val="001B3CFF"/>
    <w:rsid w:val="001B4957"/>
    <w:rsid w:val="001B4996"/>
    <w:rsid w:val="001C0E59"/>
    <w:rsid w:val="001C1C8E"/>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31F"/>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09DC"/>
    <w:rsid w:val="0027199C"/>
    <w:rsid w:val="00272C4E"/>
    <w:rsid w:val="002751FC"/>
    <w:rsid w:val="002753BD"/>
    <w:rsid w:val="00275FF9"/>
    <w:rsid w:val="00282B3A"/>
    <w:rsid w:val="00282D38"/>
    <w:rsid w:val="00282FBE"/>
    <w:rsid w:val="00284802"/>
    <w:rsid w:val="00284AF2"/>
    <w:rsid w:val="0028536B"/>
    <w:rsid w:val="00285CED"/>
    <w:rsid w:val="00285EB5"/>
    <w:rsid w:val="00287C8F"/>
    <w:rsid w:val="00290893"/>
    <w:rsid w:val="002917B9"/>
    <w:rsid w:val="00291A55"/>
    <w:rsid w:val="0029394C"/>
    <w:rsid w:val="00294668"/>
    <w:rsid w:val="002959BF"/>
    <w:rsid w:val="002A13B0"/>
    <w:rsid w:val="002A2054"/>
    <w:rsid w:val="002A2C91"/>
    <w:rsid w:val="002A6C21"/>
    <w:rsid w:val="002A780E"/>
    <w:rsid w:val="002B1102"/>
    <w:rsid w:val="002B144C"/>
    <w:rsid w:val="002B53F3"/>
    <w:rsid w:val="002C03FD"/>
    <w:rsid w:val="002C044D"/>
    <w:rsid w:val="002C1AA5"/>
    <w:rsid w:val="002C2A46"/>
    <w:rsid w:val="002C3048"/>
    <w:rsid w:val="002C76AE"/>
    <w:rsid w:val="002D1B28"/>
    <w:rsid w:val="002D2992"/>
    <w:rsid w:val="002D37A0"/>
    <w:rsid w:val="002D5AB5"/>
    <w:rsid w:val="002D6667"/>
    <w:rsid w:val="002D761A"/>
    <w:rsid w:val="002D79F3"/>
    <w:rsid w:val="002E12FD"/>
    <w:rsid w:val="002E1C11"/>
    <w:rsid w:val="002E2C00"/>
    <w:rsid w:val="002E3D0B"/>
    <w:rsid w:val="002E3E7D"/>
    <w:rsid w:val="002E6A8E"/>
    <w:rsid w:val="002F0EA9"/>
    <w:rsid w:val="002F309C"/>
    <w:rsid w:val="002F6279"/>
    <w:rsid w:val="00300F55"/>
    <w:rsid w:val="003013B7"/>
    <w:rsid w:val="00301993"/>
    <w:rsid w:val="00301E55"/>
    <w:rsid w:val="00307397"/>
    <w:rsid w:val="003101EF"/>
    <w:rsid w:val="00312BDD"/>
    <w:rsid w:val="00314117"/>
    <w:rsid w:val="00317EDF"/>
    <w:rsid w:val="00322B55"/>
    <w:rsid w:val="00325D28"/>
    <w:rsid w:val="00326E6F"/>
    <w:rsid w:val="003279E7"/>
    <w:rsid w:val="00327B62"/>
    <w:rsid w:val="00331FE9"/>
    <w:rsid w:val="0033324D"/>
    <w:rsid w:val="0033587C"/>
    <w:rsid w:val="0033696D"/>
    <w:rsid w:val="00336BF9"/>
    <w:rsid w:val="003371E8"/>
    <w:rsid w:val="00337471"/>
    <w:rsid w:val="00340704"/>
    <w:rsid w:val="0034151D"/>
    <w:rsid w:val="00342B5B"/>
    <w:rsid w:val="00343532"/>
    <w:rsid w:val="00345469"/>
    <w:rsid w:val="003454ED"/>
    <w:rsid w:val="00345EB9"/>
    <w:rsid w:val="0035030F"/>
    <w:rsid w:val="003519DD"/>
    <w:rsid w:val="00351B68"/>
    <w:rsid w:val="00351F68"/>
    <w:rsid w:val="00353C4B"/>
    <w:rsid w:val="003545A6"/>
    <w:rsid w:val="00356C60"/>
    <w:rsid w:val="003576D2"/>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5CA"/>
    <w:rsid w:val="00382A72"/>
    <w:rsid w:val="00382EBA"/>
    <w:rsid w:val="0038331A"/>
    <w:rsid w:val="00390FC2"/>
    <w:rsid w:val="0039135B"/>
    <w:rsid w:val="0039157E"/>
    <w:rsid w:val="003A34E7"/>
    <w:rsid w:val="003A3CB1"/>
    <w:rsid w:val="003A3D55"/>
    <w:rsid w:val="003A4F72"/>
    <w:rsid w:val="003A73A4"/>
    <w:rsid w:val="003B102E"/>
    <w:rsid w:val="003B26BA"/>
    <w:rsid w:val="003B4E3D"/>
    <w:rsid w:val="003C167E"/>
    <w:rsid w:val="003C2240"/>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5828"/>
    <w:rsid w:val="00406A3C"/>
    <w:rsid w:val="0040743A"/>
    <w:rsid w:val="00407623"/>
    <w:rsid w:val="00407A74"/>
    <w:rsid w:val="004114D5"/>
    <w:rsid w:val="00414210"/>
    <w:rsid w:val="004159DB"/>
    <w:rsid w:val="00420FD4"/>
    <w:rsid w:val="00421369"/>
    <w:rsid w:val="004242B3"/>
    <w:rsid w:val="00424A4F"/>
    <w:rsid w:val="0042625E"/>
    <w:rsid w:val="00426D62"/>
    <w:rsid w:val="00427A89"/>
    <w:rsid w:val="00430C5B"/>
    <w:rsid w:val="00431968"/>
    <w:rsid w:val="00433936"/>
    <w:rsid w:val="004339C2"/>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66FDA"/>
    <w:rsid w:val="004708CA"/>
    <w:rsid w:val="004709E7"/>
    <w:rsid w:val="00470ADE"/>
    <w:rsid w:val="004712C7"/>
    <w:rsid w:val="004759EB"/>
    <w:rsid w:val="00477919"/>
    <w:rsid w:val="00482611"/>
    <w:rsid w:val="00482A27"/>
    <w:rsid w:val="00487DCE"/>
    <w:rsid w:val="00492701"/>
    <w:rsid w:val="004950B7"/>
    <w:rsid w:val="0049534D"/>
    <w:rsid w:val="00497BD1"/>
    <w:rsid w:val="00497FEA"/>
    <w:rsid w:val="004A75F5"/>
    <w:rsid w:val="004B07B2"/>
    <w:rsid w:val="004B0955"/>
    <w:rsid w:val="004B143D"/>
    <w:rsid w:val="004B1842"/>
    <w:rsid w:val="004B25D0"/>
    <w:rsid w:val="004B3553"/>
    <w:rsid w:val="004B5E92"/>
    <w:rsid w:val="004B6859"/>
    <w:rsid w:val="004B7FDF"/>
    <w:rsid w:val="004C0A30"/>
    <w:rsid w:val="004C357C"/>
    <w:rsid w:val="004C3D18"/>
    <w:rsid w:val="004D42B1"/>
    <w:rsid w:val="004D526F"/>
    <w:rsid w:val="004E0583"/>
    <w:rsid w:val="004E19C0"/>
    <w:rsid w:val="004E1C54"/>
    <w:rsid w:val="004E2C37"/>
    <w:rsid w:val="004E5285"/>
    <w:rsid w:val="004F0CF3"/>
    <w:rsid w:val="004F5529"/>
    <w:rsid w:val="004F5740"/>
    <w:rsid w:val="004F58C9"/>
    <w:rsid w:val="00500E91"/>
    <w:rsid w:val="00500EF1"/>
    <w:rsid w:val="00501058"/>
    <w:rsid w:val="005028B9"/>
    <w:rsid w:val="00503A3F"/>
    <w:rsid w:val="0050597D"/>
    <w:rsid w:val="00505E17"/>
    <w:rsid w:val="00511A59"/>
    <w:rsid w:val="00511C3B"/>
    <w:rsid w:val="00513DA2"/>
    <w:rsid w:val="00514440"/>
    <w:rsid w:val="005166C3"/>
    <w:rsid w:val="00520F7C"/>
    <w:rsid w:val="00522112"/>
    <w:rsid w:val="00523974"/>
    <w:rsid w:val="00526E5D"/>
    <w:rsid w:val="00527517"/>
    <w:rsid w:val="00531432"/>
    <w:rsid w:val="00532BC8"/>
    <w:rsid w:val="005333E8"/>
    <w:rsid w:val="00534912"/>
    <w:rsid w:val="005370E7"/>
    <w:rsid w:val="00537822"/>
    <w:rsid w:val="005409B7"/>
    <w:rsid w:val="00545E62"/>
    <w:rsid w:val="00547451"/>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013B"/>
    <w:rsid w:val="005B169D"/>
    <w:rsid w:val="005B467C"/>
    <w:rsid w:val="005B4ACA"/>
    <w:rsid w:val="005B6B12"/>
    <w:rsid w:val="005C19E9"/>
    <w:rsid w:val="005C2DBC"/>
    <w:rsid w:val="005C561F"/>
    <w:rsid w:val="005C5F13"/>
    <w:rsid w:val="005C65F9"/>
    <w:rsid w:val="005C6B0E"/>
    <w:rsid w:val="005C7E1F"/>
    <w:rsid w:val="005D1B9E"/>
    <w:rsid w:val="005D1F6B"/>
    <w:rsid w:val="005D28E9"/>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2485"/>
    <w:rsid w:val="00643722"/>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073E"/>
    <w:rsid w:val="00681482"/>
    <w:rsid w:val="00685C68"/>
    <w:rsid w:val="00687BF0"/>
    <w:rsid w:val="006904CF"/>
    <w:rsid w:val="006912FB"/>
    <w:rsid w:val="00695AF2"/>
    <w:rsid w:val="00696A2B"/>
    <w:rsid w:val="00696BD5"/>
    <w:rsid w:val="006A04AE"/>
    <w:rsid w:val="006A0AE4"/>
    <w:rsid w:val="006A0D8C"/>
    <w:rsid w:val="006A23F3"/>
    <w:rsid w:val="006A2CF3"/>
    <w:rsid w:val="006A5047"/>
    <w:rsid w:val="006A5E48"/>
    <w:rsid w:val="006A619E"/>
    <w:rsid w:val="006A7463"/>
    <w:rsid w:val="006A7A10"/>
    <w:rsid w:val="006B0DA4"/>
    <w:rsid w:val="006B1B6B"/>
    <w:rsid w:val="006B2C57"/>
    <w:rsid w:val="006B391B"/>
    <w:rsid w:val="006B79E0"/>
    <w:rsid w:val="006C094C"/>
    <w:rsid w:val="006C0B2D"/>
    <w:rsid w:val="006C1633"/>
    <w:rsid w:val="006C2B42"/>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36DA"/>
    <w:rsid w:val="0070427E"/>
    <w:rsid w:val="00704D53"/>
    <w:rsid w:val="007056C3"/>
    <w:rsid w:val="00706072"/>
    <w:rsid w:val="0071290D"/>
    <w:rsid w:val="00713644"/>
    <w:rsid w:val="007148CC"/>
    <w:rsid w:val="00721256"/>
    <w:rsid w:val="007217AD"/>
    <w:rsid w:val="007219A9"/>
    <w:rsid w:val="00723BA1"/>
    <w:rsid w:val="00724A1B"/>
    <w:rsid w:val="0073173E"/>
    <w:rsid w:val="007319C3"/>
    <w:rsid w:val="007322B9"/>
    <w:rsid w:val="0073454F"/>
    <w:rsid w:val="00735C00"/>
    <w:rsid w:val="007364C6"/>
    <w:rsid w:val="00740BF3"/>
    <w:rsid w:val="00741CA2"/>
    <w:rsid w:val="00741D5C"/>
    <w:rsid w:val="0074352F"/>
    <w:rsid w:val="00747C5E"/>
    <w:rsid w:val="00747F04"/>
    <w:rsid w:val="00750210"/>
    <w:rsid w:val="0075162F"/>
    <w:rsid w:val="00754844"/>
    <w:rsid w:val="00754B57"/>
    <w:rsid w:val="0075671D"/>
    <w:rsid w:val="0076002F"/>
    <w:rsid w:val="0076038B"/>
    <w:rsid w:val="00761744"/>
    <w:rsid w:val="00762322"/>
    <w:rsid w:val="00764582"/>
    <w:rsid w:val="0076513F"/>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1AD"/>
    <w:rsid w:val="00796C7F"/>
    <w:rsid w:val="00797E0C"/>
    <w:rsid w:val="007A160F"/>
    <w:rsid w:val="007A48BC"/>
    <w:rsid w:val="007A7EEA"/>
    <w:rsid w:val="007B0BC1"/>
    <w:rsid w:val="007B2F7F"/>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2AD2"/>
    <w:rsid w:val="007F2DBB"/>
    <w:rsid w:val="007F4F88"/>
    <w:rsid w:val="007F5642"/>
    <w:rsid w:val="007F56F4"/>
    <w:rsid w:val="007F5822"/>
    <w:rsid w:val="007F5B86"/>
    <w:rsid w:val="00800A7F"/>
    <w:rsid w:val="0080285D"/>
    <w:rsid w:val="00802961"/>
    <w:rsid w:val="0081028F"/>
    <w:rsid w:val="008107D9"/>
    <w:rsid w:val="0081093B"/>
    <w:rsid w:val="008116D9"/>
    <w:rsid w:val="00811936"/>
    <w:rsid w:val="00812BE2"/>
    <w:rsid w:val="00813059"/>
    <w:rsid w:val="008157C8"/>
    <w:rsid w:val="00815C43"/>
    <w:rsid w:val="008173E2"/>
    <w:rsid w:val="008201C3"/>
    <w:rsid w:val="00820422"/>
    <w:rsid w:val="00820655"/>
    <w:rsid w:val="00821252"/>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0FC1"/>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0618"/>
    <w:rsid w:val="008C1EE4"/>
    <w:rsid w:val="008C27D3"/>
    <w:rsid w:val="008C44A7"/>
    <w:rsid w:val="008C4B2B"/>
    <w:rsid w:val="008C5E91"/>
    <w:rsid w:val="008C686D"/>
    <w:rsid w:val="008C6B18"/>
    <w:rsid w:val="008C75E6"/>
    <w:rsid w:val="008C767A"/>
    <w:rsid w:val="008C7A73"/>
    <w:rsid w:val="008D0569"/>
    <w:rsid w:val="008D28FD"/>
    <w:rsid w:val="008D59F9"/>
    <w:rsid w:val="008D5C28"/>
    <w:rsid w:val="008D6762"/>
    <w:rsid w:val="008E00A6"/>
    <w:rsid w:val="008E2D26"/>
    <w:rsid w:val="008E3C8E"/>
    <w:rsid w:val="008E4076"/>
    <w:rsid w:val="008E70AD"/>
    <w:rsid w:val="008E7DBA"/>
    <w:rsid w:val="008F1993"/>
    <w:rsid w:val="008F3386"/>
    <w:rsid w:val="008F3AD9"/>
    <w:rsid w:val="008F4642"/>
    <w:rsid w:val="008F4C29"/>
    <w:rsid w:val="008F4E00"/>
    <w:rsid w:val="008F6163"/>
    <w:rsid w:val="008F761D"/>
    <w:rsid w:val="00900D44"/>
    <w:rsid w:val="00901543"/>
    <w:rsid w:val="00902520"/>
    <w:rsid w:val="00906DC4"/>
    <w:rsid w:val="00911A61"/>
    <w:rsid w:val="0091457F"/>
    <w:rsid w:val="00916551"/>
    <w:rsid w:val="0091729E"/>
    <w:rsid w:val="0093261E"/>
    <w:rsid w:val="0094008E"/>
    <w:rsid w:val="00941C0C"/>
    <w:rsid w:val="009437F2"/>
    <w:rsid w:val="0094528B"/>
    <w:rsid w:val="00955C16"/>
    <w:rsid w:val="009608FF"/>
    <w:rsid w:val="00960A8B"/>
    <w:rsid w:val="00965128"/>
    <w:rsid w:val="00965C09"/>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1C3A"/>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5DA3"/>
    <w:rsid w:val="00A02199"/>
    <w:rsid w:val="00A026A4"/>
    <w:rsid w:val="00A04044"/>
    <w:rsid w:val="00A055DD"/>
    <w:rsid w:val="00A07479"/>
    <w:rsid w:val="00A11D0C"/>
    <w:rsid w:val="00A16579"/>
    <w:rsid w:val="00A21E43"/>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955"/>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2B32"/>
    <w:rsid w:val="00A96F81"/>
    <w:rsid w:val="00A9709D"/>
    <w:rsid w:val="00A976EA"/>
    <w:rsid w:val="00AA054E"/>
    <w:rsid w:val="00AA0A10"/>
    <w:rsid w:val="00AA2094"/>
    <w:rsid w:val="00AA2947"/>
    <w:rsid w:val="00AA7461"/>
    <w:rsid w:val="00AB1894"/>
    <w:rsid w:val="00AB22DF"/>
    <w:rsid w:val="00AB2C3F"/>
    <w:rsid w:val="00AB30EA"/>
    <w:rsid w:val="00AB458B"/>
    <w:rsid w:val="00AB45E4"/>
    <w:rsid w:val="00AB5A75"/>
    <w:rsid w:val="00AB6157"/>
    <w:rsid w:val="00AB7542"/>
    <w:rsid w:val="00AC022D"/>
    <w:rsid w:val="00AC0629"/>
    <w:rsid w:val="00AC4EAC"/>
    <w:rsid w:val="00AC70C7"/>
    <w:rsid w:val="00AC79E0"/>
    <w:rsid w:val="00AD32CE"/>
    <w:rsid w:val="00AD5187"/>
    <w:rsid w:val="00AD686A"/>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EF8"/>
    <w:rsid w:val="00B14F01"/>
    <w:rsid w:val="00B15525"/>
    <w:rsid w:val="00B15C0B"/>
    <w:rsid w:val="00B16706"/>
    <w:rsid w:val="00B174BA"/>
    <w:rsid w:val="00B17AF3"/>
    <w:rsid w:val="00B223B5"/>
    <w:rsid w:val="00B229AD"/>
    <w:rsid w:val="00B237BC"/>
    <w:rsid w:val="00B26EBB"/>
    <w:rsid w:val="00B27499"/>
    <w:rsid w:val="00B332CA"/>
    <w:rsid w:val="00B335C4"/>
    <w:rsid w:val="00B3369E"/>
    <w:rsid w:val="00B33D9A"/>
    <w:rsid w:val="00B40D81"/>
    <w:rsid w:val="00B424F5"/>
    <w:rsid w:val="00B43167"/>
    <w:rsid w:val="00B435BE"/>
    <w:rsid w:val="00B43A9D"/>
    <w:rsid w:val="00B467B0"/>
    <w:rsid w:val="00B46EC7"/>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26A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0B35"/>
    <w:rsid w:val="00BD3536"/>
    <w:rsid w:val="00BD37FD"/>
    <w:rsid w:val="00BD5596"/>
    <w:rsid w:val="00BE0B46"/>
    <w:rsid w:val="00BE225E"/>
    <w:rsid w:val="00BE237E"/>
    <w:rsid w:val="00BE2A14"/>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4874"/>
    <w:rsid w:val="00C16775"/>
    <w:rsid w:val="00C1698A"/>
    <w:rsid w:val="00C17150"/>
    <w:rsid w:val="00C17E6C"/>
    <w:rsid w:val="00C249CC"/>
    <w:rsid w:val="00C24E5F"/>
    <w:rsid w:val="00C2535A"/>
    <w:rsid w:val="00C255B6"/>
    <w:rsid w:val="00C262E7"/>
    <w:rsid w:val="00C26F3A"/>
    <w:rsid w:val="00C2770B"/>
    <w:rsid w:val="00C27F58"/>
    <w:rsid w:val="00C30296"/>
    <w:rsid w:val="00C3170E"/>
    <w:rsid w:val="00C31947"/>
    <w:rsid w:val="00C40053"/>
    <w:rsid w:val="00C4294D"/>
    <w:rsid w:val="00C444C8"/>
    <w:rsid w:val="00C452DD"/>
    <w:rsid w:val="00C45856"/>
    <w:rsid w:val="00C46603"/>
    <w:rsid w:val="00C536AF"/>
    <w:rsid w:val="00C53704"/>
    <w:rsid w:val="00C54316"/>
    <w:rsid w:val="00C55208"/>
    <w:rsid w:val="00C5527D"/>
    <w:rsid w:val="00C61B1A"/>
    <w:rsid w:val="00C62A53"/>
    <w:rsid w:val="00C62D1A"/>
    <w:rsid w:val="00C709F9"/>
    <w:rsid w:val="00C73614"/>
    <w:rsid w:val="00C73A00"/>
    <w:rsid w:val="00C73A70"/>
    <w:rsid w:val="00C748FF"/>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0777"/>
    <w:rsid w:val="00CA112D"/>
    <w:rsid w:val="00CA1F9F"/>
    <w:rsid w:val="00CA2179"/>
    <w:rsid w:val="00CA3D8A"/>
    <w:rsid w:val="00CA4991"/>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D7ED1"/>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0D3A"/>
    <w:rsid w:val="00D35E02"/>
    <w:rsid w:val="00D378C9"/>
    <w:rsid w:val="00D37B9F"/>
    <w:rsid w:val="00D37C0D"/>
    <w:rsid w:val="00D41425"/>
    <w:rsid w:val="00D46275"/>
    <w:rsid w:val="00D467CA"/>
    <w:rsid w:val="00D4759B"/>
    <w:rsid w:val="00D500A4"/>
    <w:rsid w:val="00D500E9"/>
    <w:rsid w:val="00D51205"/>
    <w:rsid w:val="00D516FC"/>
    <w:rsid w:val="00D51F2D"/>
    <w:rsid w:val="00D53115"/>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3428"/>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2D6B"/>
    <w:rsid w:val="00DB3DEA"/>
    <w:rsid w:val="00DB40BD"/>
    <w:rsid w:val="00DB4B8E"/>
    <w:rsid w:val="00DB4F4B"/>
    <w:rsid w:val="00DC070F"/>
    <w:rsid w:val="00DC186F"/>
    <w:rsid w:val="00DC3462"/>
    <w:rsid w:val="00DC3858"/>
    <w:rsid w:val="00DC3A57"/>
    <w:rsid w:val="00DC69CE"/>
    <w:rsid w:val="00DC7A95"/>
    <w:rsid w:val="00DD1DAF"/>
    <w:rsid w:val="00DD362D"/>
    <w:rsid w:val="00DD55C2"/>
    <w:rsid w:val="00DD6735"/>
    <w:rsid w:val="00DD759E"/>
    <w:rsid w:val="00DE314E"/>
    <w:rsid w:val="00DE4CFB"/>
    <w:rsid w:val="00DF045B"/>
    <w:rsid w:val="00DF1ED8"/>
    <w:rsid w:val="00DF3785"/>
    <w:rsid w:val="00DF3D27"/>
    <w:rsid w:val="00DF4A73"/>
    <w:rsid w:val="00DF6074"/>
    <w:rsid w:val="00E02239"/>
    <w:rsid w:val="00E0229F"/>
    <w:rsid w:val="00E03505"/>
    <w:rsid w:val="00E047EC"/>
    <w:rsid w:val="00E07D42"/>
    <w:rsid w:val="00E132D4"/>
    <w:rsid w:val="00E163E9"/>
    <w:rsid w:val="00E240F5"/>
    <w:rsid w:val="00E30004"/>
    <w:rsid w:val="00E31A5B"/>
    <w:rsid w:val="00E333AC"/>
    <w:rsid w:val="00E3456B"/>
    <w:rsid w:val="00E35C16"/>
    <w:rsid w:val="00E36085"/>
    <w:rsid w:val="00E36813"/>
    <w:rsid w:val="00E42382"/>
    <w:rsid w:val="00E50597"/>
    <w:rsid w:val="00E53D5D"/>
    <w:rsid w:val="00E603DF"/>
    <w:rsid w:val="00E63745"/>
    <w:rsid w:val="00E6379D"/>
    <w:rsid w:val="00E6699F"/>
    <w:rsid w:val="00E67845"/>
    <w:rsid w:val="00E67B40"/>
    <w:rsid w:val="00E703AE"/>
    <w:rsid w:val="00E72373"/>
    <w:rsid w:val="00E74A40"/>
    <w:rsid w:val="00E76AF9"/>
    <w:rsid w:val="00E813AD"/>
    <w:rsid w:val="00E84EF0"/>
    <w:rsid w:val="00E8649C"/>
    <w:rsid w:val="00E87886"/>
    <w:rsid w:val="00E87ACC"/>
    <w:rsid w:val="00E87CDE"/>
    <w:rsid w:val="00E90FA9"/>
    <w:rsid w:val="00E91FC1"/>
    <w:rsid w:val="00E92D54"/>
    <w:rsid w:val="00E9323C"/>
    <w:rsid w:val="00E95574"/>
    <w:rsid w:val="00E95FD8"/>
    <w:rsid w:val="00EA0283"/>
    <w:rsid w:val="00EA357E"/>
    <w:rsid w:val="00EA39FC"/>
    <w:rsid w:val="00EA5DE1"/>
    <w:rsid w:val="00EA766A"/>
    <w:rsid w:val="00EB07E0"/>
    <w:rsid w:val="00EB0C86"/>
    <w:rsid w:val="00EB0E16"/>
    <w:rsid w:val="00EB17FE"/>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447D"/>
    <w:rsid w:val="00EE6DD6"/>
    <w:rsid w:val="00EE7BD5"/>
    <w:rsid w:val="00EF0867"/>
    <w:rsid w:val="00EF198C"/>
    <w:rsid w:val="00EF1A10"/>
    <w:rsid w:val="00EF1A9F"/>
    <w:rsid w:val="00EF1B27"/>
    <w:rsid w:val="00EF4370"/>
    <w:rsid w:val="00EF5AD7"/>
    <w:rsid w:val="00F039D6"/>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EC"/>
    <w:rsid w:val="00F636FE"/>
    <w:rsid w:val="00F648B2"/>
    <w:rsid w:val="00F67EBD"/>
    <w:rsid w:val="00F70EA4"/>
    <w:rsid w:val="00F72310"/>
    <w:rsid w:val="00F77851"/>
    <w:rsid w:val="00F80FAB"/>
    <w:rsid w:val="00F81AAC"/>
    <w:rsid w:val="00F81E3B"/>
    <w:rsid w:val="00F827E1"/>
    <w:rsid w:val="00F84F83"/>
    <w:rsid w:val="00F878B9"/>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C69AB"/>
    <w:rsid w:val="00FD2677"/>
    <w:rsid w:val="00FD28B8"/>
    <w:rsid w:val="00FD4D00"/>
    <w:rsid w:val="00FE0BD8"/>
    <w:rsid w:val="00FE1709"/>
    <w:rsid w:val="00FE1FC9"/>
    <w:rsid w:val="00FE6B13"/>
    <w:rsid w:val="00FF2F0B"/>
    <w:rsid w:val="00FF32DE"/>
    <w:rsid w:val="00FF4205"/>
    <w:rsid w:val="00FF4CDA"/>
    <w:rsid w:val="00FF54D0"/>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0E3663"/>
    <w:pPr>
      <w:numPr>
        <w:numId w:val="12"/>
      </w:numPr>
      <w:spacing w:after="120"/>
      <w:ind w:left="1259" w:hanging="357"/>
    </w:pPr>
    <w:rPr>
      <w:rFonts w:ascii="Arial" w:eastAsiaTheme="majorEastAsia" w:hAnsi="Arial" w:cs="Arial"/>
      <w:sz w:val="22"/>
      <w:szCs w:val="22"/>
      <w:lang w:val="en-US"/>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7"/>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0E3663"/>
    <w:rPr>
      <w:rFonts w:ascii="Arial" w:eastAsiaTheme="majorEastAsia" w:hAnsi="Arial" w:cs="Arial"/>
      <w:sz w:val="22"/>
      <w:szCs w:val="22"/>
      <w:lang w:val="en-US"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10"/>
      </w:numPr>
      <w:spacing w:before="120" w:line="276" w:lineRule="auto"/>
      <w:textAlignment w:val="baseline"/>
    </w:pPr>
    <w:rPr>
      <w:rFonts w:eastAsiaTheme="minorEastAsia"/>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79c06c3-b49d-4f5f-b2e9-c1b5dd3c77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C4E390FAA49A489E789AC967224B8C" ma:contentTypeVersion="17" ma:contentTypeDescription="Create a new document." ma:contentTypeScope="" ma:versionID="774b3b99f7bcdf6124e468271172ca96">
  <xsd:schema xmlns:xsd="http://www.w3.org/2001/XMLSchema" xmlns:xs="http://www.w3.org/2001/XMLSchema" xmlns:p="http://schemas.microsoft.com/office/2006/metadata/properties" xmlns:ns3="079c06c3-b49d-4f5f-b2e9-c1b5dd3c77aa" xmlns:ns4="004a96ec-cf66-4afe-b82f-551073bb1ec2" targetNamespace="http://schemas.microsoft.com/office/2006/metadata/properties" ma:root="true" ma:fieldsID="e8f8d45867f5a0dd0b52ddf77d1f608b" ns3:_="" ns4:_="">
    <xsd:import namespace="079c06c3-b49d-4f5f-b2e9-c1b5dd3c77aa"/>
    <xsd:import namespace="004a96ec-cf66-4afe-b82f-551073bb1ec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c06c3-b49d-4f5f-b2e9-c1b5dd3c7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4a96ec-cf66-4afe-b82f-551073bb1e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079c06c3-b49d-4f5f-b2e9-c1b5dd3c77aa"/>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02CE43DE-3B48-4B34-858F-A6994497F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c06c3-b49d-4f5f-b2e9-c1b5dd3c77aa"/>
    <ds:schemaRef ds:uri="004a96ec-cf66-4afe-b82f-551073bb1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0ccba3-914d-4672-8ade-5eb18b4fb422}" enabled="1" method="Privileged" siteId="{b42b315d-7503-443a-bb31-09fdf7b3054e}" contentBits="2" removed="0"/>
</clbl:labelList>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16</Pages>
  <Words>4741</Words>
  <Characters>27026</Characters>
  <Application>Microsoft Office Word</Application>
  <DocSecurity>0</DocSecurity>
  <Lines>225</Lines>
  <Paragraphs>63</Paragraphs>
  <ScaleCrop>false</ScaleCrop>
  <Company>ESMA</Company>
  <LinksUpToDate>false</LinksUpToDate>
  <CharactersWithSpaces>31704</CharactersWithSpaces>
  <SharedDoc>false</SharedDoc>
  <HLinks>
    <vt:vector size="18" baseType="variant">
      <vt:variant>
        <vt:i4>7733344</vt:i4>
      </vt:variant>
      <vt:variant>
        <vt:i4>3</vt:i4>
      </vt:variant>
      <vt:variant>
        <vt:i4>0</vt:i4>
      </vt:variant>
      <vt:variant>
        <vt:i4>5</vt:i4>
      </vt:variant>
      <vt:variant>
        <vt:lpwstr>http://www.esma.europa.eu/legal-notice</vt:lpwstr>
      </vt:variant>
      <vt:variant>
        <vt:lpwstr/>
      </vt:variant>
      <vt:variant>
        <vt:i4>3932286</vt:i4>
      </vt:variant>
      <vt:variant>
        <vt:i4>0</vt:i4>
      </vt:variant>
      <vt:variant>
        <vt:i4>0</vt:i4>
      </vt:variant>
      <vt:variant>
        <vt:i4>5</vt:i4>
      </vt:variant>
      <vt:variant>
        <vt:lpwstr>http://www.esma.europa.eu/</vt:lpwstr>
      </vt:variant>
      <vt:variant>
        <vt:lpwstr/>
      </vt:variant>
      <vt:variant>
        <vt:i4>7798878</vt:i4>
      </vt:variant>
      <vt:variant>
        <vt:i4>3</vt:i4>
      </vt:variant>
      <vt:variant>
        <vt:i4>0</vt:i4>
      </vt:variant>
      <vt:variant>
        <vt:i4>5</vt:i4>
      </vt:variant>
      <vt:variant>
        <vt:lpwstr>https://sherpa.esma.europa.eu/sites/MKT/SMK/_layouts/15/DocIdRedir.aspx?ID=ESMA70-156-1484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Legal</cp:lastModifiedBy>
  <cp:revision>40</cp:revision>
  <cp:lastPrinted>2017-07-24T14:47:00Z</cp:lastPrinted>
  <dcterms:created xsi:type="dcterms:W3CDTF">2025-06-20T14:27:00Z</dcterms:created>
  <dcterms:modified xsi:type="dcterms:W3CDTF">2025-06-20T15:02:00Z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0x010100FDC4E390FAA49A489E789AC967224B8C</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ClassificationContentMarkingFooterShapeIds">
    <vt:lpwstr>30192f1b,3d121957,567b8bd1,6d324ac9,6070056,9d21654</vt:lpwstr>
  </property>
  <property fmtid="{D5CDD505-2E9C-101B-9397-08002B2CF9AE}" pid="31" name="ClassificationContentMarkingFooterFontProps">
    <vt:lpwstr>#000000,10,Calibri</vt:lpwstr>
  </property>
  <property fmtid="{D5CDD505-2E9C-101B-9397-08002B2CF9AE}" pid="32" name="ClassificationContentMarkingFooterText">
    <vt:lpwstr>Public</vt:lpwstr>
  </property>
</Properties>
</file>