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inorHAnsi" w:hAnsiTheme="minorHAnsi" w:cstheme="minorBid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Y="2571"/>
            <w:tblW w:w="10490" w:type="dxa"/>
            <w:tblLayout w:type="fixed"/>
            <w:tblCellMar>
              <w:left w:w="0" w:type="dxa"/>
              <w:right w:w="0" w:type="dxa"/>
            </w:tblCellMar>
            <w:tblLook w:val="01E0" w:firstRow="1" w:lastRow="1" w:firstColumn="1" w:lastColumn="1" w:noHBand="0" w:noVBand="0"/>
          </w:tblPr>
          <w:tblGrid>
            <w:gridCol w:w="10490"/>
          </w:tblGrid>
          <w:tr w:rsidR="000310AB" w:rsidRPr="00B16706" w14:paraId="2B695382" w14:textId="77777777" w:rsidTr="000310AB">
            <w:trPr>
              <w:trHeight w:hRule="exact" w:val="1492"/>
            </w:trPr>
            <w:tc>
              <w:tcPr>
                <w:tcW w:w="10490" w:type="dxa"/>
                <w:vAlign w:val="bottom"/>
              </w:tcPr>
              <w:p w14:paraId="0FBF0B89" w14:textId="77777777" w:rsidR="000310AB" w:rsidRPr="00FA64BE" w:rsidRDefault="000310AB" w:rsidP="000310AB">
                <w:pPr>
                  <w:pStyle w:val="Titel"/>
                  <w:rPr>
                    <w:sz w:val="48"/>
                    <w:szCs w:val="48"/>
                  </w:rPr>
                </w:pPr>
                <w:r w:rsidRPr="00FA64BE">
                  <w:rPr>
                    <w:sz w:val="48"/>
                    <w:szCs w:val="48"/>
                  </w:rPr>
                  <w:t xml:space="preserve">Reply form </w:t>
                </w:r>
              </w:p>
              <w:p w14:paraId="2F2A3347" w14:textId="77777777" w:rsidR="000310AB" w:rsidRPr="00FA64BE" w:rsidRDefault="000310AB" w:rsidP="000310AB"/>
              <w:p w14:paraId="00FE0097" w14:textId="77777777" w:rsidR="000310AB" w:rsidRPr="00FA64BE" w:rsidRDefault="000310AB" w:rsidP="000310AB">
                <w:pPr>
                  <w:pStyle w:val="Titel"/>
                  <w:spacing w:line="276" w:lineRule="auto"/>
                  <w:ind w:right="854"/>
                  <w:rPr>
                    <w:rFonts w:asciiTheme="minorHAnsi" w:hAnsiTheme="minorHAnsi" w:cstheme="minorHAnsi"/>
                    <w:sz w:val="24"/>
                    <w:szCs w:val="24"/>
                  </w:rPr>
                </w:pPr>
                <w:r>
                  <w:rPr>
                    <w:rFonts w:cs="Arial"/>
                    <w:color w:val="auto"/>
                    <w:sz w:val="24"/>
                    <w:szCs w:val="24"/>
                  </w:rPr>
                  <w:t>for</w:t>
                </w:r>
                <w:r w:rsidRPr="00FA64BE">
                  <w:rPr>
                    <w:rFonts w:cs="Arial"/>
                    <w:color w:val="auto"/>
                    <w:sz w:val="24"/>
                    <w:szCs w:val="24"/>
                  </w:rPr>
                  <w:t xml:space="preserve"> </w:t>
                </w:r>
                <w:r w:rsidRPr="00FA64BE">
                  <w:rPr>
                    <w:rFonts w:cs="Arial"/>
                    <w:bCs/>
                    <w:color w:val="auto"/>
                    <w:sz w:val="24"/>
                    <w:szCs w:val="24"/>
                  </w:rPr>
                  <w:t>the Consultation Paper</w:t>
                </w:r>
                <w:r>
                  <w:rPr>
                    <w:rFonts w:cs="Arial"/>
                    <w:bCs/>
                    <w:color w:val="auto"/>
                    <w:sz w:val="24"/>
                    <w:szCs w:val="24"/>
                  </w:rPr>
                  <w:t xml:space="preserve"> on Technical Standards under the Regulation on transparency and integrity of Environmental, Social and Governance (ESG) rating activities</w:t>
                </w:r>
              </w:p>
            </w:tc>
          </w:tr>
          <w:tr w:rsidR="000310AB" w:rsidRPr="00B16706" w14:paraId="062F0352" w14:textId="77777777" w:rsidTr="000310AB">
            <w:trPr>
              <w:trHeight w:hRule="exact" w:val="747"/>
            </w:trPr>
            <w:tc>
              <w:tcPr>
                <w:tcW w:w="10490" w:type="dxa"/>
                <w:tcMar>
                  <w:top w:w="142" w:type="dxa"/>
                </w:tcMar>
              </w:tcPr>
              <w:p w14:paraId="02B573FB" w14:textId="77777777" w:rsidR="000310AB" w:rsidRPr="00B16706" w:rsidRDefault="000310AB" w:rsidP="000310AB">
                <w:pPr>
                  <w:pStyle w:val="berschrift2"/>
                  <w:numPr>
                    <w:ilvl w:val="0"/>
                    <w:numId w:val="0"/>
                  </w:numPr>
                  <w:spacing w:before="0"/>
                  <w:rPr>
                    <w:sz w:val="22"/>
                    <w:szCs w:val="22"/>
                  </w:rPr>
                </w:pPr>
              </w:p>
            </w:tc>
          </w:tr>
        </w:tbl>
        <w:p w14:paraId="04401C2B" w14:textId="77777777" w:rsidR="00AF2EF7" w:rsidRPr="00B16706" w:rsidRDefault="00AF2EF7" w:rsidP="00AF2EF7">
          <w:pPr>
            <w:spacing w:line="276" w:lineRule="auto"/>
            <w:rPr>
              <w:rFonts w:asciiTheme="minorHAnsi" w:hAnsiTheme="minorHAnsi" w:cstheme="minorHAnsi"/>
              <w:sz w:val="20"/>
              <w:szCs w:val="20"/>
            </w:rPr>
          </w:pPr>
        </w:p>
        <w:p w14:paraId="5B933631" w14:textId="2F88045F" w:rsidR="00AF2EF7" w:rsidRPr="00B16706" w:rsidRDefault="00FA64BE" w:rsidP="00FA64BE">
          <w:pPr>
            <w:pStyle w:val="berschrift2"/>
            <w:numPr>
              <w:ilvl w:val="0"/>
              <w:numId w:val="0"/>
            </w:numPr>
            <w:sectPr w:rsidR="00AF2EF7" w:rsidRPr="00B16706" w:rsidSect="007E7997">
              <w:headerReference w:type="default" r:id="rId11"/>
              <w:footerReference w:type="default" r:id="rId12"/>
              <w:headerReference w:type="first" r:id="rId13"/>
              <w:footerReference w:type="first" r:id="rId14"/>
              <w:pgSz w:w="11906" w:h="16838"/>
              <w:pgMar w:top="1417" w:right="1417" w:bottom="1417" w:left="1417" w:header="708" w:footer="708" w:gutter="0"/>
              <w:pgNumType w:start="0"/>
              <w:cols w:space="708"/>
              <w:titlePg/>
              <w:docGrid w:linePitch="360"/>
            </w:sectPr>
          </w:pPr>
          <w:r>
            <w:rPr>
              <w:noProof/>
            </w:rPr>
            <mc:AlternateContent>
              <mc:Choice Requires="wps">
                <w:drawing>
                  <wp:anchor distT="0" distB="0" distL="114300" distR="114300" simplePos="0" relativeHeight="251658240" behindDoc="1" locked="1" layoutInCell="1" allowOverlap="0" wp14:anchorId="101C8A94" wp14:editId="1D86A440">
                    <wp:simplePos x="0" y="0"/>
                    <wp:positionH relativeFrom="page">
                      <wp:align>left</wp:align>
                    </wp:positionH>
                    <wp:positionV relativeFrom="paragraph">
                      <wp:posOffset>-466725</wp:posOffset>
                    </wp:positionV>
                    <wp:extent cx="7570470" cy="9777095"/>
                    <wp:effectExtent l="0" t="0" r="0" b="0"/>
                    <wp:wrapNone/>
                    <wp:docPr id="8" name="Freeform: Shape 8"/>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5"/>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du="http://schemas.microsoft.com/office/word/2023/wordml/word16du">
                <w:pict>
                  <v:shape w14:anchorId="5557849C" id="Freeform: Shape 8" o:spid="_x0000_s1026" style="position:absolute;margin-left:0;margin-top:-36.75pt;width:596.1pt;height:769.85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PfTJT7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1pt">
                    <v:fill r:id="rId17"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79253B20"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proofErr w:type="gramStart"/>
          <w:r w:rsidRPr="00B16706">
            <w:rPr>
              <w:rFonts w:asciiTheme="minorHAnsi" w:eastAsiaTheme="minorEastAsia" w:hAnsiTheme="minorHAnsi" w:cstheme="minorBidi"/>
              <w:sz w:val="18"/>
              <w:szCs w:val="16"/>
              <w:u w:val="dottedHeavy" w:color="BF8F00" w:themeColor="accent4" w:themeShade="BF"/>
              <w:lang w:eastAsia="en-US"/>
            </w:rPr>
            <w:t>in particular on</w:t>
          </w:r>
          <w:proofErr w:type="gramEnd"/>
          <w:r w:rsidRPr="00B16706">
            <w:rPr>
              <w:rFonts w:asciiTheme="minorHAnsi" w:eastAsiaTheme="minorEastAsia" w:hAnsiTheme="minorHAnsi" w:cstheme="minorBidi"/>
              <w:sz w:val="18"/>
              <w:szCs w:val="16"/>
              <w:lang w:eastAsia="en-US"/>
            </w:rPr>
            <w:t xml:space="preserve"> the specific questions. 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respond to the question </w:t>
          </w:r>
          <w:proofErr w:type="gramStart"/>
          <w:r w:rsidRPr="00B16706">
            <w:rPr>
              <w:rFonts w:asciiTheme="minorHAnsi" w:eastAsiaTheme="minorEastAsia" w:hAnsiTheme="minorHAnsi" w:cstheme="minorBidi"/>
              <w:sz w:val="18"/>
              <w:szCs w:val="16"/>
              <w:lang w:eastAsia="en-US"/>
            </w:rPr>
            <w:t>stated;</w:t>
          </w:r>
          <w:proofErr w:type="gramEnd"/>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indicate the specific question to which the comment </w:t>
          </w:r>
          <w:proofErr w:type="gramStart"/>
          <w:r w:rsidRPr="00B16706">
            <w:rPr>
              <w:rFonts w:asciiTheme="minorHAnsi" w:eastAsiaTheme="minorEastAsia" w:hAnsiTheme="minorHAnsi" w:cstheme="minorBidi"/>
              <w:sz w:val="18"/>
              <w:szCs w:val="16"/>
              <w:lang w:eastAsia="en-US"/>
            </w:rPr>
            <w:t>relates;</w:t>
          </w:r>
          <w:proofErr w:type="gramEnd"/>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701E1EA5"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will consider all comments received </w:t>
          </w:r>
          <w:r w:rsidRPr="00A76C98">
            <w:rPr>
              <w:rFonts w:asciiTheme="minorHAnsi" w:eastAsiaTheme="minorEastAsia" w:hAnsiTheme="minorHAnsi" w:cstheme="minorBidi"/>
              <w:sz w:val="18"/>
              <w:szCs w:val="16"/>
              <w:lang w:eastAsia="en-US"/>
            </w:rPr>
            <w:t xml:space="preserve">by </w:t>
          </w:r>
          <w:r w:rsidR="00D11B30">
            <w:rPr>
              <w:rFonts w:asciiTheme="minorHAnsi" w:eastAsiaTheme="minorEastAsia" w:hAnsiTheme="minorHAnsi" w:cstheme="minorBidi"/>
              <w:b/>
              <w:sz w:val="18"/>
              <w:szCs w:val="16"/>
              <w:lang w:eastAsia="en-US"/>
            </w:rPr>
            <w:t>20</w:t>
          </w:r>
          <w:r w:rsidR="00C17150">
            <w:rPr>
              <w:rFonts w:asciiTheme="minorHAnsi" w:eastAsiaTheme="minorEastAsia" w:hAnsiTheme="minorHAnsi" w:cstheme="minorBidi"/>
              <w:b/>
              <w:sz w:val="18"/>
              <w:szCs w:val="16"/>
              <w:lang w:eastAsia="en-US"/>
            </w:rPr>
            <w:t xml:space="preserve"> </w:t>
          </w:r>
          <w:r w:rsidR="00D11B30">
            <w:rPr>
              <w:rFonts w:asciiTheme="minorHAnsi" w:eastAsiaTheme="minorEastAsia" w:hAnsiTheme="minorHAnsi" w:cstheme="minorBidi"/>
              <w:b/>
              <w:sz w:val="18"/>
              <w:szCs w:val="16"/>
              <w:lang w:eastAsia="en-US"/>
            </w:rPr>
            <w:t>June</w:t>
          </w:r>
          <w:r w:rsidR="00C17150">
            <w:rPr>
              <w:rFonts w:asciiTheme="minorHAnsi" w:eastAsiaTheme="minorEastAsia" w:hAnsiTheme="minorHAnsi" w:cstheme="minorBidi"/>
              <w:b/>
              <w:sz w:val="18"/>
              <w:szCs w:val="16"/>
              <w:lang w:eastAsia="en-US"/>
            </w:rPr>
            <w:t xml:space="preserve"> 2025</w:t>
          </w:r>
          <w:r w:rsidR="002C76AE" w:rsidRPr="00A76C98">
            <w:rPr>
              <w:rFonts w:asciiTheme="minorHAnsi" w:eastAsiaTheme="minorEastAsia" w:hAnsiTheme="minorHAnsi" w:cstheme="minorBidi"/>
              <w:b/>
              <w:sz w:val="18"/>
              <w:szCs w:val="16"/>
              <w:lang w:eastAsia="en-US"/>
            </w:rPr>
            <w:t>.</w:t>
          </w:r>
          <w:r w:rsidR="002C76AE">
            <w:rPr>
              <w:rFonts w:asciiTheme="minorHAnsi" w:eastAsiaTheme="minorEastAsia" w:hAnsiTheme="minorHAnsi" w:cstheme="minorBidi"/>
              <w:b/>
              <w:sz w:val="18"/>
              <w:szCs w:val="16"/>
              <w:lang w:eastAsia="en-US"/>
            </w:rPr>
            <w:t xml:space="preserve"> </w:t>
          </w:r>
          <w:r w:rsidRPr="00B16706">
            <w:rPr>
              <w:rFonts w:asciiTheme="minorHAnsi" w:eastAsiaTheme="minorEastAsia" w:hAnsiTheme="minorHAnsi" w:cstheme="minorBidi"/>
              <w:b/>
              <w:sz w:val="18"/>
              <w:szCs w:val="16"/>
              <w:lang w:eastAsia="en-US"/>
            </w:rPr>
            <w:t xml:space="preserve">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proofErr w:type="gramStart"/>
          <w:r w:rsidRPr="00B16706">
            <w:rPr>
              <w:rFonts w:asciiTheme="minorHAnsi" w:eastAsiaTheme="minorEastAsia" w:hAnsiTheme="minorHAnsi" w:cstheme="minorBidi"/>
              <w:sz w:val="18"/>
              <w:szCs w:val="16"/>
              <w:lang w:eastAsia="en-US"/>
            </w:rPr>
            <w:t>In order to</w:t>
          </w:r>
          <w:proofErr w:type="gramEnd"/>
          <w:r w:rsidRPr="00B16706">
            <w:rPr>
              <w:rFonts w:asciiTheme="minorHAnsi" w:eastAsiaTheme="minorEastAsia" w:hAnsiTheme="minorHAnsi" w:cstheme="minorBidi"/>
              <w:sz w:val="18"/>
              <w:szCs w:val="16"/>
              <w:lang w:eastAsia="en-US"/>
            </w:rPr>
            <w:t xml:space="preserve">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0392516A" w:rsidR="00A409C2" w:rsidRPr="00871163" w:rsidRDefault="008279D3" w:rsidP="00A409C2">
          <w:pPr>
            <w:pStyle w:val="Listenabsatz"/>
            <w:numPr>
              <w:ilvl w:val="0"/>
              <w:numId w:val="29"/>
            </w:numPr>
            <w:spacing w:after="250" w:line="276" w:lineRule="auto"/>
            <w:rPr>
              <w:rFonts w:eastAsiaTheme="minorEastAsia" w:cstheme="minorBidi"/>
              <w:sz w:val="18"/>
              <w:szCs w:val="16"/>
              <w:u w:val="single"/>
              <w:lang w:eastAsia="en-US"/>
            </w:rPr>
          </w:pPr>
          <w:r>
            <w:rPr>
              <w:rFonts w:eastAsiaTheme="minorEastAsia" w:cstheme="minorBidi"/>
              <w:sz w:val="18"/>
              <w:szCs w:val="16"/>
              <w:lang w:eastAsia="en-US"/>
            </w:rPr>
            <w:t>U</w:t>
          </w:r>
          <w:r w:rsidR="00A409C2" w:rsidRPr="00A409C2">
            <w:rPr>
              <w:rFonts w:eastAsiaTheme="minorEastAsia" w:cstheme="minorBidi"/>
              <w:sz w:val="18"/>
              <w:szCs w:val="16"/>
              <w:lang w:eastAsia="en-US"/>
            </w:rPr>
            <w:t>se this form and send your responses in Word format (</w:t>
          </w:r>
          <w:r w:rsidR="00A409C2" w:rsidRPr="00871163">
            <w:rPr>
              <w:rFonts w:eastAsiaTheme="minorEastAsia" w:cstheme="minorBidi"/>
              <w:b/>
              <w:bCs/>
              <w:sz w:val="18"/>
              <w:szCs w:val="16"/>
              <w:u w:val="single"/>
              <w:lang w:eastAsia="en-US"/>
            </w:rPr>
            <w:t>pdf documents will not be considered except for annexes</w:t>
          </w:r>
          <w:proofErr w:type="gramStart"/>
          <w:r w:rsidR="00A409C2" w:rsidRPr="00871163">
            <w:rPr>
              <w:rFonts w:eastAsiaTheme="minorEastAsia" w:cstheme="minorBidi"/>
              <w:sz w:val="18"/>
              <w:szCs w:val="16"/>
              <w:u w:val="single"/>
              <w:lang w:eastAsia="en-US"/>
            </w:rPr>
            <w:t>);</w:t>
          </w:r>
          <w:proofErr w:type="gramEnd"/>
        </w:p>
        <w:p w14:paraId="6692798E" w14:textId="1F3ED354"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3B26BA">
            <w:rPr>
              <w:rFonts w:eastAsiaTheme="minorEastAsia" w:cstheme="minorBidi"/>
              <w:sz w:val="18"/>
              <w:szCs w:val="16"/>
              <w:lang w:eastAsia="en-US"/>
            </w:rPr>
            <w:t>E</w:t>
          </w:r>
          <w:r w:rsidR="004578B3">
            <w:rPr>
              <w:rFonts w:eastAsiaTheme="minorEastAsia" w:cstheme="minorBidi"/>
              <w:sz w:val="18"/>
              <w:szCs w:val="16"/>
              <w:lang w:eastAsia="en-US"/>
            </w:rPr>
            <w:t>SGR</w:t>
          </w:r>
          <w:r w:rsidRPr="00A409C2">
            <w:rPr>
              <w:rFonts w:eastAsiaTheme="minorEastAsia" w:cstheme="minorBidi"/>
              <w:sz w:val="18"/>
              <w:szCs w:val="16"/>
              <w:lang w:eastAsia="en-US"/>
            </w:rPr>
            <w:t xml:space="preserve">_1&gt;. Your response to each question </w:t>
          </w:r>
          <w:proofErr w:type="gramStart"/>
          <w:r w:rsidRPr="00A409C2">
            <w:rPr>
              <w:rFonts w:eastAsiaTheme="minorEastAsia" w:cstheme="minorBidi"/>
              <w:sz w:val="18"/>
              <w:szCs w:val="16"/>
              <w:lang w:eastAsia="en-US"/>
            </w:rPr>
            <w:t>has to</w:t>
          </w:r>
          <w:proofErr w:type="gramEnd"/>
          <w:r w:rsidRPr="00A409C2">
            <w:rPr>
              <w:rFonts w:eastAsiaTheme="minorEastAsia" w:cstheme="minorBidi"/>
              <w:sz w:val="18"/>
              <w:szCs w:val="16"/>
              <w:lang w:eastAsia="en-US"/>
            </w:rPr>
            <w:t xml:space="preserve"> be framed by the two tags corresponding to the question.</w:t>
          </w:r>
        </w:p>
        <w:p w14:paraId="1C4E226A" w14:textId="1D43AA8A"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5318C045" w:rsidR="00B16706" w:rsidRPr="00A409C2" w:rsidRDefault="00B16706" w:rsidP="00A409C2">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When you have drafted your response, name your response form according to the following convention: </w:t>
          </w:r>
          <w:proofErr w:type="spellStart"/>
          <w:r w:rsidRPr="00A409C2">
            <w:rPr>
              <w:rFonts w:eastAsiaTheme="minorEastAsia" w:cstheme="minorBidi"/>
              <w:sz w:val="18"/>
              <w:szCs w:val="16"/>
              <w:lang w:eastAsia="en-US"/>
            </w:rPr>
            <w:t>ESMA_</w:t>
          </w:r>
          <w:r w:rsidR="003B26BA">
            <w:rPr>
              <w:rFonts w:eastAsiaTheme="minorEastAsia" w:cstheme="minorBidi"/>
              <w:sz w:val="18"/>
              <w:szCs w:val="16"/>
              <w:lang w:eastAsia="en-US"/>
            </w:rPr>
            <w:t>EUGB</w:t>
          </w:r>
          <w:r w:rsidRPr="00A409C2">
            <w:rPr>
              <w:rFonts w:eastAsiaTheme="minorEastAsia" w:cstheme="minorBidi"/>
              <w:sz w:val="18"/>
              <w:szCs w:val="16"/>
              <w:lang w:eastAsia="en-US"/>
            </w:rPr>
            <w:t>_nameofrespondent_RESPONSEFORM</w:t>
          </w:r>
          <w:proofErr w:type="spellEnd"/>
          <w:r w:rsidRPr="00A409C2">
            <w:rPr>
              <w:rFonts w:eastAsiaTheme="minorEastAsia" w:cstheme="minorBidi"/>
              <w:sz w:val="18"/>
              <w:szCs w:val="16"/>
              <w:lang w:eastAsia="en-US"/>
            </w:rPr>
            <w:t>. For example, for a respondent named ABCD, the response form would be entitled ESMA_</w:t>
          </w:r>
          <w:r w:rsidR="0037311D">
            <w:rPr>
              <w:rFonts w:eastAsiaTheme="minorEastAsia" w:cstheme="minorBidi"/>
              <w:sz w:val="18"/>
              <w:szCs w:val="16"/>
              <w:lang w:eastAsia="en-US"/>
            </w:rPr>
            <w:t>E</w:t>
          </w:r>
          <w:r w:rsidR="001522DD">
            <w:rPr>
              <w:rFonts w:eastAsiaTheme="minorEastAsia" w:cstheme="minorBidi"/>
              <w:sz w:val="18"/>
              <w:szCs w:val="16"/>
              <w:lang w:eastAsia="en-US"/>
            </w:rPr>
            <w:t>SGR</w:t>
          </w:r>
          <w:r w:rsidRPr="00A409C2">
            <w:rPr>
              <w:rFonts w:eastAsiaTheme="minorEastAsia" w:cstheme="minorBidi"/>
              <w:sz w:val="18"/>
              <w:szCs w:val="16"/>
              <w:lang w:eastAsia="en-US"/>
            </w:rPr>
            <w:t>_ABCD_RESPONSEFORM.</w:t>
          </w:r>
        </w:p>
        <w:p w14:paraId="28EEA743" w14:textId="2B8D6968" w:rsidR="00A02199" w:rsidRPr="00A409C2" w:rsidRDefault="00B16706" w:rsidP="00AF2EF7">
          <w:pPr>
            <w:pStyle w:val="Listenabsatz"/>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to ESMA’s website (www.esma.europa.eu under the heading “Your input – Open Consultations” -</w:t>
          </w:r>
          <w:proofErr w:type="gramStart"/>
          <w:r w:rsidRPr="00A409C2">
            <w:rPr>
              <w:rFonts w:eastAsiaTheme="minorEastAsia" w:cstheme="minorBidi"/>
              <w:sz w:val="18"/>
              <w:szCs w:val="16"/>
              <w:lang w:eastAsia="en-US"/>
            </w:rPr>
            <w:t>&gt;  Consultation</w:t>
          </w:r>
          <w:proofErr w:type="gramEnd"/>
          <w:r w:rsidRPr="00A409C2">
            <w:rPr>
              <w:rFonts w:eastAsiaTheme="minorEastAsia" w:cstheme="minorBidi"/>
              <w:sz w:val="18"/>
              <w:szCs w:val="16"/>
              <w:lang w:eastAsia="en-US"/>
            </w:rPr>
            <w:t xml:space="preserve"> Paper </w:t>
          </w:r>
          <w:r w:rsidR="003B26BA" w:rsidRPr="003B26BA">
            <w:rPr>
              <w:rFonts w:eastAsiaTheme="minorEastAsia" w:cstheme="minorBidi"/>
              <w:sz w:val="18"/>
              <w:szCs w:val="16"/>
              <w:lang w:eastAsia="en-US"/>
            </w:rPr>
            <w:t>on technical standards on the European Green Bonds Regulation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received will be published following the close of the consultation, unless you request otherwise. Please clearly and prominently indicate in your submission any part you do not wish to be </w:t>
          </w:r>
          <w:proofErr w:type="spellStart"/>
          <w:r w:rsidRPr="00B16706">
            <w:rPr>
              <w:rFonts w:asciiTheme="minorHAnsi" w:eastAsiaTheme="minorEastAsia" w:hAnsiTheme="minorHAnsi" w:cstheme="minorBidi"/>
              <w:sz w:val="18"/>
              <w:szCs w:val="16"/>
              <w:lang w:eastAsia="en-US"/>
            </w:rPr>
            <w:t>publically</w:t>
          </w:r>
          <w:proofErr w:type="spellEnd"/>
          <w:r w:rsidRPr="00B16706">
            <w:rPr>
              <w:rFonts w:asciiTheme="minorHAnsi" w:eastAsiaTheme="minorEastAsia" w:hAnsiTheme="minorHAnsi" w:cstheme="minorBidi"/>
              <w:sz w:val="18"/>
              <w:szCs w:val="16"/>
              <w:lang w:eastAsia="en-US"/>
            </w:rPr>
            <w:t xml:space="preserve">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lastRenderedPageBreak/>
            <w:t xml:space="preserve">Information on data protection can be found at </w:t>
          </w:r>
          <w:hyperlink r:id="rId18"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9"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6C89F0D" w14:textId="77777777" w:rsidR="008279D3" w:rsidRDefault="008279D3" w:rsidP="00AF2EF7">
          <w:pPr>
            <w:spacing w:after="250" w:line="276" w:lineRule="auto"/>
            <w:jc w:val="both"/>
            <w:rPr>
              <w:rFonts w:asciiTheme="minorHAnsi" w:eastAsiaTheme="minorEastAsia" w:hAnsiTheme="minorHAnsi" w:cstheme="minorBidi"/>
              <w:b/>
              <w:sz w:val="18"/>
              <w:szCs w:val="16"/>
              <w:lang w:eastAsia="en-US"/>
            </w:rPr>
          </w:pPr>
        </w:p>
        <w:p w14:paraId="7C02CD7B" w14:textId="1F4A0C5A"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t>Who should read this paper</w:t>
          </w:r>
        </w:p>
      </w:sdtContent>
    </w:sdt>
    <w:p w14:paraId="1F90B8D3" w14:textId="4C9C01EB" w:rsidR="00C85C8B" w:rsidRDefault="00C17150" w:rsidP="008279D3">
      <w:pPr>
        <w:pStyle w:val="berschrift1"/>
        <w:numPr>
          <w:ilvl w:val="0"/>
          <w:numId w:val="0"/>
        </w:numPr>
        <w:spacing w:line="276" w:lineRule="auto"/>
        <w:rPr>
          <w:rFonts w:asciiTheme="minorHAnsi" w:hAnsiTheme="minorHAnsi" w:cstheme="minorHAnsi"/>
          <w:sz w:val="20"/>
          <w:szCs w:val="20"/>
        </w:rPr>
      </w:pPr>
      <w:r w:rsidRPr="00C17150">
        <w:rPr>
          <w:rFonts w:ascii="Arial" w:eastAsia="Times New Roman" w:hAnsi="Arial" w:cs="Arial"/>
          <w:b w:val="0"/>
          <w:sz w:val="18"/>
          <w:szCs w:val="18"/>
          <w:lang w:eastAsia="it-IT"/>
        </w:rPr>
        <w:t xml:space="preserve">All interested stakeholders are invited to respond to this Consultation Paper. </w:t>
      </w:r>
      <w:proofErr w:type="gramStart"/>
      <w:r w:rsidRPr="00C17150">
        <w:rPr>
          <w:rFonts w:ascii="Arial" w:eastAsia="Times New Roman" w:hAnsi="Arial" w:cs="Arial"/>
          <w:b w:val="0"/>
          <w:sz w:val="18"/>
          <w:szCs w:val="18"/>
          <w:lang w:eastAsia="it-IT"/>
        </w:rPr>
        <w:t>In particular, ESMA</w:t>
      </w:r>
      <w:proofErr w:type="gramEnd"/>
      <w:r w:rsidRPr="00C17150">
        <w:rPr>
          <w:rFonts w:ascii="Arial" w:eastAsia="Times New Roman" w:hAnsi="Arial" w:cs="Arial"/>
          <w:b w:val="0"/>
          <w:sz w:val="18"/>
          <w:szCs w:val="18"/>
          <w:lang w:eastAsia="it-IT"/>
        </w:rPr>
        <w:t xml:space="preserve"> encourages entities that intend to apply for registration as external reviewers of European Green Bonds, as well as financial market participants who have or intend to issue or invest in green bonds or sustainability-linked bonds, to participate</w:t>
      </w:r>
      <w:r w:rsidR="00FA64BE" w:rsidRPr="00FA64BE">
        <w:rPr>
          <w:rFonts w:ascii="Arial" w:eastAsia="Times New Roman" w:hAnsi="Arial" w:cs="Arial"/>
          <w:b w:val="0"/>
          <w:sz w:val="18"/>
          <w:szCs w:val="18"/>
          <w:lang w:eastAsia="it-IT"/>
        </w:rPr>
        <w:t xml:space="preserve">. </w:t>
      </w:r>
      <w:r w:rsidR="00AF2EF7" w:rsidRPr="00B16706">
        <w:rPr>
          <w:rFonts w:asciiTheme="minorHAnsi" w:hAnsiTheme="minorHAnsi" w:cstheme="minorHAnsi"/>
          <w:sz w:val="20"/>
          <w:szCs w:val="20"/>
        </w:rPr>
        <w:br w:type="page"/>
      </w:r>
      <w:bookmarkStart w:id="0" w:name="_Toc515564428"/>
    </w:p>
    <w:p w14:paraId="16A587D0" w14:textId="77777777" w:rsidR="008279D3" w:rsidRPr="008279D3" w:rsidRDefault="008279D3" w:rsidP="008279D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C16775">
        <w:tc>
          <w:tcPr>
            <w:tcW w:w="3929" w:type="dxa"/>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Content>
            <w:tc>
              <w:tcPr>
                <w:tcW w:w="5595" w:type="dxa"/>
              </w:tcPr>
              <w:p w14:paraId="1B67440D" w14:textId="10F14389" w:rsidR="00C85C8B" w:rsidRPr="00B16706" w:rsidRDefault="00A43D2C" w:rsidP="00C85C8B">
                <w:pPr>
                  <w:rPr>
                    <w:rFonts w:ascii="Arial" w:hAnsi="Arial" w:cs="Arial"/>
                    <w:color w:val="808080"/>
                    <w:sz w:val="16"/>
                    <w:szCs w:val="20"/>
                    <w:lang w:eastAsia="de-DE"/>
                  </w:rPr>
                </w:pPr>
                <w:r>
                  <w:rPr>
                    <w:rFonts w:ascii="Arial" w:hAnsi="Arial" w:cs="Arial"/>
                    <w:color w:val="808080"/>
                    <w:sz w:val="16"/>
                    <w:szCs w:val="20"/>
                    <w:lang w:eastAsia="de-DE"/>
                  </w:rPr>
                  <w:t>Kirchhoff Consult</w:t>
                </w:r>
              </w:p>
            </w:tc>
          </w:sdtContent>
        </w:sdt>
      </w:tr>
      <w:tr w:rsidR="00C85C8B" w:rsidRPr="00B16706" w14:paraId="216F3E57" w14:textId="77777777" w:rsidTr="00C16775">
        <w:tc>
          <w:tcPr>
            <w:tcW w:w="3929" w:type="dxa"/>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tcPr>
          <w:p w14:paraId="1423187D" w14:textId="1E5B2A78" w:rsidR="00C85C8B" w:rsidRPr="00B16706" w:rsidRDefault="00000000"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A43D2C">
                  <w:rPr>
                    <w:rFonts w:ascii="Arial" w:hAnsi="Arial" w:cs="Arial"/>
                    <w:sz w:val="16"/>
                    <w:szCs w:val="20"/>
                    <w:lang w:eastAsia="de-DE"/>
                  </w:rPr>
                  <w:t>Other Financial service providers</w:t>
                </w:r>
              </w:sdtContent>
            </w:sdt>
          </w:p>
        </w:tc>
      </w:tr>
      <w:tr w:rsidR="00C85C8B" w:rsidRPr="00B16706" w14:paraId="0D216581" w14:textId="77777777" w:rsidTr="00C16775">
        <w:tc>
          <w:tcPr>
            <w:tcW w:w="3929" w:type="dxa"/>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Content>
            <w:tc>
              <w:tcPr>
                <w:tcW w:w="5595" w:type="dxa"/>
              </w:tcPr>
              <w:p w14:paraId="6C4423E1" w14:textId="7679DCB9" w:rsidR="00C85C8B" w:rsidRPr="00B16706" w:rsidRDefault="00A43D2C"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C16775">
        <w:tc>
          <w:tcPr>
            <w:tcW w:w="3929" w:type="dxa"/>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tcPr>
              <w:p w14:paraId="082656BF" w14:textId="670B1DF5" w:rsidR="00C85C8B" w:rsidRPr="00B16706" w:rsidRDefault="00A43D2C" w:rsidP="00C85C8B">
                <w:pPr>
                  <w:rPr>
                    <w:rFonts w:ascii="Arial" w:hAnsi="Arial" w:cs="Arial"/>
                    <w:sz w:val="16"/>
                    <w:szCs w:val="20"/>
                    <w:lang w:eastAsia="de-DE"/>
                  </w:rPr>
                </w:pPr>
                <w:r>
                  <w:rPr>
                    <w:rFonts w:ascii="Arial" w:hAnsi="Arial" w:cs="Arial"/>
                    <w:sz w:val="16"/>
                    <w:szCs w:val="20"/>
                    <w:lang w:eastAsia="de-DE"/>
                  </w:rPr>
                  <w:t>Germany</w:t>
                </w:r>
              </w:p>
            </w:tc>
          </w:sdtContent>
        </w:sdt>
      </w:tr>
      <w:permEnd w:id="1269442871"/>
    </w:tbl>
    <w:p w14:paraId="2F5D9ECE" w14:textId="77777777" w:rsidR="000C5032" w:rsidRDefault="000C5032">
      <w:pPr>
        <w:spacing w:after="120" w:line="264" w:lineRule="auto"/>
        <w:rPr>
          <w:rFonts w:asciiTheme="minorHAnsi" w:hAnsiTheme="minorHAnsi" w:cstheme="minorHAnsi"/>
          <w:b/>
          <w:sz w:val="22"/>
          <w:szCs w:val="22"/>
        </w:rPr>
      </w:pPr>
      <w:r>
        <w:rPr>
          <w:rFonts w:asciiTheme="minorHAnsi" w:hAnsiTheme="minorHAnsi" w:cstheme="minorHAnsi"/>
          <w:b/>
          <w:sz w:val="22"/>
          <w:szCs w:val="22"/>
        </w:rPr>
        <w:br w:type="page"/>
      </w:r>
    </w:p>
    <w:p w14:paraId="721779C4" w14:textId="518CE3AD" w:rsidR="009835AD" w:rsidRDefault="009835AD">
      <w:pPr>
        <w:spacing w:after="120" w:line="264" w:lineRule="auto"/>
        <w:rPr>
          <w:rFonts w:ascii="Arial" w:hAnsi="Arial" w:cs="Arial"/>
          <w:b/>
          <w:sz w:val="22"/>
          <w:szCs w:val="22"/>
          <w:lang w:val="en-US" w:eastAsia="en-US"/>
        </w:rPr>
      </w:pPr>
      <w:r w:rsidRPr="009835AD">
        <w:rPr>
          <w:rFonts w:ascii="Arial" w:hAnsi="Arial" w:cs="Arial"/>
          <w:b/>
          <w:sz w:val="22"/>
          <w:szCs w:val="22"/>
          <w:lang w:val="en-US" w:eastAsia="en-US"/>
        </w:rPr>
        <w:lastRenderedPageBreak/>
        <w:t>Questions</w:t>
      </w:r>
    </w:p>
    <w:p w14:paraId="14C3989A" w14:textId="77777777" w:rsidR="001B1B48" w:rsidRDefault="001B1B48">
      <w:pPr>
        <w:spacing w:after="120" w:line="264" w:lineRule="auto"/>
        <w:rPr>
          <w:rFonts w:ascii="Arial" w:hAnsi="Arial" w:cs="Arial"/>
          <w:b/>
          <w:sz w:val="22"/>
          <w:szCs w:val="22"/>
          <w:lang w:val="en-US" w:eastAsia="en-US"/>
        </w:rPr>
      </w:pPr>
    </w:p>
    <w:bookmarkEnd w:id="0"/>
    <w:p w14:paraId="5B87C99A" w14:textId="6906B0B4" w:rsidR="001B1B48" w:rsidRPr="004578B3" w:rsidRDefault="00CB0C0C" w:rsidP="004578B3">
      <w:pPr>
        <w:pStyle w:val="Paragraph"/>
        <w:numPr>
          <w:ilvl w:val="0"/>
          <w:numId w:val="0"/>
        </w:numPr>
        <w:ind w:left="708" w:hanging="708"/>
      </w:pPr>
      <w:proofErr w:type="gramStart"/>
      <w:r w:rsidRPr="009464EF">
        <w:rPr>
          <w:b/>
          <w:bCs/>
        </w:rPr>
        <w:t>Q1</w:t>
      </w:r>
      <w:proofErr w:type="gramEnd"/>
      <w:r w:rsidRPr="2E20FBB1">
        <w:t xml:space="preserve"> </w:t>
      </w:r>
      <w:r w:rsidR="004578B3">
        <w:tab/>
      </w:r>
      <w:r w:rsidRPr="004578B3">
        <w:rPr>
          <w:rFonts w:eastAsia="Times New Roman"/>
          <w:b/>
          <w:bCs/>
          <w:color w:val="auto"/>
          <w:lang w:eastAsia="en-US"/>
        </w:rPr>
        <w:t>Do you agree with ESMA’s proposals for the draft technical standard under Articles 6(3) and 12(9)?</w:t>
      </w:r>
      <w:r w:rsidR="00BB29AA" w:rsidRPr="00BB29AA">
        <w:rPr>
          <w:b/>
          <w:lang w:eastAsia="en-US"/>
        </w:rPr>
        <w:t xml:space="preserve"> </w:t>
      </w:r>
    </w:p>
    <w:p w14:paraId="034DFB41" w14:textId="7ABA3DF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4578B3">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7E843E9F" w14:textId="5B32B3E4" w:rsidR="00ED30BF" w:rsidRDefault="00AD5471" w:rsidP="001B1B48">
      <w:pPr>
        <w:spacing w:after="160" w:line="259" w:lineRule="auto"/>
        <w:rPr>
          <w:rFonts w:ascii="Calibri" w:eastAsia="Calibri" w:hAnsi="Calibri"/>
          <w:kern w:val="2"/>
          <w:sz w:val="22"/>
          <w:szCs w:val="22"/>
          <w:lang w:eastAsia="en-US"/>
          <w14:ligatures w14:val="standardContextual"/>
        </w:rPr>
      </w:pPr>
      <w:permStart w:id="1765354918" w:edGrp="everyone"/>
      <w:r>
        <w:rPr>
          <w:rFonts w:ascii="Calibri" w:eastAsia="Calibri" w:hAnsi="Calibri"/>
          <w:kern w:val="2"/>
          <w:sz w:val="22"/>
          <w:szCs w:val="22"/>
          <w:lang w:eastAsia="en-US"/>
          <w14:ligatures w14:val="standardContextual"/>
        </w:rPr>
        <w:t>Yes</w:t>
      </w:r>
      <w:r w:rsidR="003F6F1C">
        <w:rPr>
          <w:rFonts w:ascii="Calibri" w:eastAsia="Calibri" w:hAnsi="Calibri"/>
          <w:kern w:val="2"/>
          <w:sz w:val="22"/>
          <w:szCs w:val="22"/>
          <w:lang w:eastAsia="en-US"/>
          <w14:ligatures w14:val="standardContextual"/>
        </w:rPr>
        <w:t>, with reservations</w:t>
      </w:r>
      <w:r w:rsidR="00854EFB">
        <w:rPr>
          <w:rFonts w:ascii="Calibri" w:eastAsia="Calibri" w:hAnsi="Calibri"/>
          <w:kern w:val="2"/>
          <w:sz w:val="22"/>
          <w:szCs w:val="22"/>
          <w:lang w:eastAsia="en-US"/>
          <w14:ligatures w14:val="standardContextual"/>
        </w:rPr>
        <w:t>.</w:t>
      </w:r>
      <w:r w:rsidR="00ED30BF">
        <w:rPr>
          <w:rFonts w:ascii="Calibri" w:eastAsia="Calibri" w:hAnsi="Calibri"/>
          <w:kern w:val="2"/>
          <w:sz w:val="22"/>
          <w:szCs w:val="22"/>
          <w:lang w:eastAsia="en-US"/>
          <w14:ligatures w14:val="standardContextual"/>
        </w:rPr>
        <w:t xml:space="preserve"> </w:t>
      </w:r>
      <w:r w:rsidR="00ED30BF" w:rsidRPr="00ED30BF">
        <w:rPr>
          <w:rFonts w:ascii="Calibri" w:eastAsia="Calibri" w:hAnsi="Calibri"/>
          <w:kern w:val="2"/>
          <w:sz w:val="22"/>
          <w:szCs w:val="22"/>
          <w:lang w:eastAsia="en-US"/>
          <w14:ligatures w14:val="standardContextual"/>
        </w:rPr>
        <w:t>Kirchhoff acknowledges and supports ESMA’s rationale for consolidating the technical standards under Articles 6(3) and 12(9), especially the emphasis on simplifying the application process and reducing administrative burden, particularly for entities operating across EU and non-EU jurisdictions.</w:t>
      </w:r>
      <w:r w:rsidR="00854EFB">
        <w:rPr>
          <w:rFonts w:ascii="Calibri" w:eastAsia="Calibri" w:hAnsi="Calibri"/>
          <w:kern w:val="2"/>
          <w:sz w:val="22"/>
          <w:szCs w:val="22"/>
          <w:lang w:eastAsia="en-US"/>
          <w14:ligatures w14:val="standardContextual"/>
        </w:rPr>
        <w:t xml:space="preserve"> </w:t>
      </w:r>
    </w:p>
    <w:p w14:paraId="61ACAC13" w14:textId="1A6C67B0" w:rsidR="001B1B48" w:rsidRPr="001B1B48" w:rsidRDefault="00934752" w:rsidP="001B1B48">
      <w:pPr>
        <w:spacing w:after="160" w:line="259" w:lineRule="auto"/>
        <w:rPr>
          <w:rFonts w:ascii="Calibri" w:eastAsia="Calibri" w:hAnsi="Calibri"/>
          <w:kern w:val="2"/>
          <w:sz w:val="22"/>
          <w:szCs w:val="22"/>
          <w:lang w:eastAsia="en-US"/>
          <w14:ligatures w14:val="standardContextual"/>
        </w:rPr>
      </w:pPr>
      <w:r>
        <w:rPr>
          <w:rFonts w:ascii="Calibri" w:eastAsia="Calibri" w:hAnsi="Calibri"/>
          <w:kern w:val="2"/>
          <w:sz w:val="22"/>
          <w:szCs w:val="22"/>
          <w:lang w:eastAsia="en-US"/>
          <w14:ligatures w14:val="standardContextual"/>
        </w:rPr>
        <w:t>However,</w:t>
      </w:r>
      <w:r w:rsidR="00DC7FB4">
        <w:rPr>
          <w:rFonts w:ascii="Calibri" w:eastAsia="Calibri" w:hAnsi="Calibri"/>
          <w:kern w:val="2"/>
          <w:sz w:val="22"/>
          <w:szCs w:val="22"/>
          <w:lang w:eastAsia="en-US"/>
          <w14:ligatures w14:val="standardContextual"/>
        </w:rPr>
        <w:t xml:space="preserve"> </w:t>
      </w:r>
      <w:r w:rsidR="00244D12">
        <w:rPr>
          <w:rFonts w:ascii="Calibri" w:eastAsia="Calibri" w:hAnsi="Calibri"/>
          <w:kern w:val="2"/>
          <w:sz w:val="22"/>
          <w:szCs w:val="22"/>
          <w:lang w:eastAsia="en-US"/>
          <w14:ligatures w14:val="standardContextual"/>
        </w:rPr>
        <w:t>Kirchhoff</w:t>
      </w:r>
      <w:r w:rsidR="00DC7FB4" w:rsidRPr="00DC7FB4">
        <w:rPr>
          <w:rFonts w:ascii="Calibri" w:eastAsia="Calibri" w:hAnsi="Calibri"/>
          <w:kern w:val="2"/>
          <w:sz w:val="22"/>
          <w:szCs w:val="22"/>
          <w:lang w:eastAsia="en-US"/>
          <w14:ligatures w14:val="standardContextual"/>
        </w:rPr>
        <w:t xml:space="preserve"> express</w:t>
      </w:r>
      <w:r w:rsidR="00244D12">
        <w:rPr>
          <w:rFonts w:ascii="Calibri" w:eastAsia="Calibri" w:hAnsi="Calibri"/>
          <w:kern w:val="2"/>
          <w:sz w:val="22"/>
          <w:szCs w:val="22"/>
          <w:lang w:eastAsia="en-US"/>
          <w14:ligatures w14:val="standardContextual"/>
        </w:rPr>
        <w:t>es</w:t>
      </w:r>
      <w:r w:rsidR="00DC7FB4" w:rsidRPr="00DC7FB4">
        <w:rPr>
          <w:rFonts w:ascii="Calibri" w:eastAsia="Calibri" w:hAnsi="Calibri"/>
          <w:kern w:val="2"/>
          <w:sz w:val="22"/>
          <w:szCs w:val="22"/>
          <w:lang w:eastAsia="en-US"/>
          <w14:ligatures w14:val="standardContextual"/>
        </w:rPr>
        <w:t xml:space="preserve"> reservations regarding the long-term implications of merging two fundamentally distinct procedures</w:t>
      </w:r>
      <w:r w:rsidR="005B03BB">
        <w:rPr>
          <w:rFonts w:ascii="Calibri" w:eastAsia="Calibri" w:hAnsi="Calibri"/>
          <w:kern w:val="2"/>
          <w:sz w:val="22"/>
          <w:szCs w:val="22"/>
          <w:lang w:eastAsia="en-US"/>
          <w14:ligatures w14:val="standardContextual"/>
        </w:rPr>
        <w:t xml:space="preserve">, namely, </w:t>
      </w:r>
      <w:r w:rsidR="00DC7FB4" w:rsidRPr="00DC7FB4">
        <w:rPr>
          <w:rFonts w:ascii="Calibri" w:eastAsia="Calibri" w:hAnsi="Calibri"/>
          <w:kern w:val="2"/>
          <w:sz w:val="22"/>
          <w:szCs w:val="22"/>
          <w:lang w:eastAsia="en-US"/>
          <w14:ligatures w14:val="standardContextual"/>
        </w:rPr>
        <w:t xml:space="preserve">authorisation for EU entities and recognition for third-country providers. While the current framework accommodates the necessary differentiation through annexes and formatting, the regulatory, geopolitical, and economic conditions influencing these processes may diverge over time. A unified RTS could limit ESMA’s flexibility to adapt these frameworks separately in the future. We encourage ESMA to monitor these developments and remain open to decoupling the RTSs if distinct regulatory needs </w:t>
      </w:r>
      <w:proofErr w:type="gramStart"/>
      <w:r w:rsidR="00DC7FB4" w:rsidRPr="00DC7FB4">
        <w:rPr>
          <w:rFonts w:ascii="Calibri" w:eastAsia="Calibri" w:hAnsi="Calibri"/>
          <w:kern w:val="2"/>
          <w:sz w:val="22"/>
          <w:szCs w:val="22"/>
          <w:lang w:eastAsia="en-US"/>
          <w14:ligatures w14:val="standardContextual"/>
        </w:rPr>
        <w:t>arise.</w:t>
      </w:r>
      <w:r w:rsidR="00854EFB">
        <w:rPr>
          <w:rFonts w:ascii="Calibri" w:eastAsia="Calibri" w:hAnsi="Calibri"/>
          <w:kern w:val="2"/>
          <w:sz w:val="22"/>
          <w:szCs w:val="22"/>
          <w:lang w:eastAsia="en-US"/>
          <w14:ligatures w14:val="standardContextual"/>
        </w:rPr>
        <w:t>.</w:t>
      </w:r>
      <w:proofErr w:type="gramEnd"/>
    </w:p>
    <w:permEnd w:id="1765354918"/>
    <w:p w14:paraId="38524F57" w14:textId="12DC62D2"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_1&gt;</w:t>
      </w:r>
    </w:p>
    <w:p w14:paraId="48BA7F71"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5B7ECCA" w14:textId="6E65D552" w:rsidR="001B1B48" w:rsidRPr="00ED4FDB" w:rsidRDefault="00ED4FDB" w:rsidP="00ED4FDB">
      <w:pPr>
        <w:pStyle w:val="Paragraph"/>
        <w:numPr>
          <w:ilvl w:val="0"/>
          <w:numId w:val="0"/>
        </w:numPr>
        <w:ind w:left="708" w:hanging="708"/>
      </w:pPr>
      <w:proofErr w:type="gramStart"/>
      <w:r w:rsidRPr="009464EF">
        <w:rPr>
          <w:b/>
          <w:bCs/>
        </w:rPr>
        <w:t>Q2</w:t>
      </w:r>
      <w:proofErr w:type="gramEnd"/>
      <w:r w:rsidRPr="2E20FBB1">
        <w:t xml:space="preserve"> </w:t>
      </w:r>
      <w:r>
        <w:tab/>
      </w:r>
      <w:r w:rsidRPr="00ED4FDB">
        <w:rPr>
          <w:b/>
          <w:bCs/>
        </w:rPr>
        <w:t>Do you agree with ESMA’s proposals for the draft technical standard under Article 16(5)?</w:t>
      </w:r>
    </w:p>
    <w:p w14:paraId="6C03D9F2" w14:textId="65FA1CA4"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D4FDB">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6BFD0DC5" w14:textId="7316C4F4" w:rsidR="008D077F" w:rsidRPr="001B1B48" w:rsidRDefault="007E5C4E" w:rsidP="008D077F">
      <w:pPr>
        <w:spacing w:after="160" w:line="259" w:lineRule="auto"/>
        <w:rPr>
          <w:rFonts w:ascii="Calibri" w:eastAsia="Calibri" w:hAnsi="Calibri"/>
          <w:kern w:val="2"/>
          <w:sz w:val="22"/>
          <w:szCs w:val="22"/>
          <w:lang w:eastAsia="en-US"/>
          <w14:ligatures w14:val="standardContextual"/>
        </w:rPr>
      </w:pPr>
      <w:permStart w:id="1667529024" w:edGrp="everyone"/>
      <w:r>
        <w:rPr>
          <w:rFonts w:ascii="Calibri" w:eastAsia="Calibri" w:hAnsi="Calibri"/>
          <w:kern w:val="2"/>
          <w:sz w:val="22"/>
          <w:szCs w:val="22"/>
          <w:lang w:eastAsia="en-US"/>
          <w14:ligatures w14:val="standardContextual"/>
        </w:rPr>
        <w:t xml:space="preserve">Yes. Kirchhoff agrees with ESMA’s proposals for the draft technical standard under Article 16(5) but with </w:t>
      </w:r>
      <w:r w:rsidR="00D836FC">
        <w:rPr>
          <w:rFonts w:ascii="Calibri" w:eastAsia="Calibri" w:hAnsi="Calibri"/>
          <w:kern w:val="2"/>
          <w:sz w:val="22"/>
          <w:szCs w:val="22"/>
          <w:lang w:eastAsia="en-US"/>
          <w14:ligatures w14:val="standardContextual"/>
        </w:rPr>
        <w:t xml:space="preserve">some </w:t>
      </w:r>
      <w:r>
        <w:rPr>
          <w:rFonts w:ascii="Calibri" w:eastAsia="Calibri" w:hAnsi="Calibri"/>
          <w:kern w:val="2"/>
          <w:sz w:val="22"/>
          <w:szCs w:val="22"/>
          <w:lang w:eastAsia="en-US"/>
          <w14:ligatures w14:val="standardContextual"/>
        </w:rPr>
        <w:t>adaptations.</w:t>
      </w:r>
      <w:r w:rsidR="009B20B9">
        <w:rPr>
          <w:rFonts w:ascii="Calibri" w:eastAsia="Calibri" w:hAnsi="Calibri"/>
          <w:kern w:val="2"/>
          <w:sz w:val="22"/>
          <w:szCs w:val="22"/>
          <w:lang w:eastAsia="en-US"/>
          <w14:ligatures w14:val="standardContextual"/>
        </w:rPr>
        <w:t xml:space="preserve"> </w:t>
      </w:r>
    </w:p>
    <w:p w14:paraId="6ACD0D93" w14:textId="3102D7C5" w:rsidR="001B1B48" w:rsidRDefault="00C7701B" w:rsidP="00D836FC">
      <w:pPr>
        <w:pStyle w:val="Listenabsatz"/>
        <w:numPr>
          <w:ilvl w:val="1"/>
          <w:numId w:val="29"/>
        </w:numPr>
        <w:spacing w:after="160" w:line="259" w:lineRule="auto"/>
        <w:rPr>
          <w:rFonts w:ascii="Calibri" w:eastAsia="Calibri" w:hAnsi="Calibri"/>
          <w:kern w:val="2"/>
          <w:lang w:eastAsia="en-US"/>
          <w14:ligatures w14:val="standardContextual"/>
        </w:rPr>
      </w:pPr>
      <w:r>
        <w:rPr>
          <w:rFonts w:ascii="Calibri" w:eastAsia="Calibri" w:hAnsi="Calibri"/>
          <w:kern w:val="2"/>
          <w:lang w:eastAsia="en-US"/>
          <w14:ligatures w14:val="standardContextual"/>
        </w:rPr>
        <w:t xml:space="preserve">Under Article 1(1c) on page 35 of the draft technical standard, there is a requirement for employees and other persons directly involved in the assessment process of a rated item to submit “at regular intervals a self-declaration...”. To </w:t>
      </w:r>
      <w:r w:rsidR="009D664B">
        <w:rPr>
          <w:rFonts w:ascii="Calibri" w:eastAsia="Calibri" w:hAnsi="Calibri"/>
          <w:kern w:val="2"/>
          <w:lang w:eastAsia="en-US"/>
          <w14:ligatures w14:val="standardContextual"/>
        </w:rPr>
        <w:t>exclude</w:t>
      </w:r>
      <w:r>
        <w:rPr>
          <w:rFonts w:ascii="Calibri" w:eastAsia="Calibri" w:hAnsi="Calibri"/>
          <w:kern w:val="2"/>
          <w:lang w:eastAsia="en-US"/>
          <w14:ligatures w14:val="standardContextual"/>
        </w:rPr>
        <w:t xml:space="preserve"> this requirement </w:t>
      </w:r>
      <w:r w:rsidR="009D664B">
        <w:rPr>
          <w:rFonts w:ascii="Calibri" w:eastAsia="Calibri" w:hAnsi="Calibri"/>
          <w:kern w:val="2"/>
          <w:lang w:eastAsia="en-US"/>
          <w14:ligatures w14:val="standardContextual"/>
        </w:rPr>
        <w:t>from</w:t>
      </w:r>
      <w:r>
        <w:rPr>
          <w:rFonts w:ascii="Calibri" w:eastAsia="Calibri" w:hAnsi="Calibri"/>
          <w:kern w:val="2"/>
          <w:lang w:eastAsia="en-US"/>
          <w14:ligatures w14:val="standardContextual"/>
        </w:rPr>
        <w:t xml:space="preserve"> interpretation, </w:t>
      </w:r>
      <w:r w:rsidR="00E17B9E">
        <w:rPr>
          <w:rFonts w:ascii="Calibri" w:eastAsia="Calibri" w:hAnsi="Calibri"/>
          <w:kern w:val="2"/>
          <w:lang w:eastAsia="en-US"/>
          <w14:ligatures w14:val="standardContextual"/>
        </w:rPr>
        <w:t xml:space="preserve">Kirchhoff suggests that </w:t>
      </w:r>
      <w:r>
        <w:rPr>
          <w:rFonts w:ascii="Calibri" w:eastAsia="Calibri" w:hAnsi="Calibri"/>
          <w:kern w:val="2"/>
          <w:lang w:eastAsia="en-US"/>
          <w14:ligatures w14:val="standardContextual"/>
        </w:rPr>
        <w:t>ESMA should specify the regularity</w:t>
      </w:r>
      <w:r w:rsidR="009D664B">
        <w:rPr>
          <w:rFonts w:ascii="Calibri" w:eastAsia="Calibri" w:hAnsi="Calibri"/>
          <w:kern w:val="2"/>
          <w:lang w:eastAsia="en-US"/>
          <w14:ligatures w14:val="standardContextual"/>
        </w:rPr>
        <w:t xml:space="preserve"> of this self-declaration</w:t>
      </w:r>
      <w:r>
        <w:rPr>
          <w:rFonts w:ascii="Calibri" w:eastAsia="Calibri" w:hAnsi="Calibri"/>
          <w:kern w:val="2"/>
          <w:lang w:eastAsia="en-US"/>
          <w14:ligatures w14:val="standardContextual"/>
        </w:rPr>
        <w:t>. For example, quarterly, or to specify a maximum period, e.g., no later than once each year. This will ensure consistent implementation across ESG Rating Providers</w:t>
      </w:r>
      <w:r w:rsidR="005D5C48">
        <w:rPr>
          <w:rFonts w:ascii="Calibri" w:eastAsia="Calibri" w:hAnsi="Calibri"/>
          <w:kern w:val="2"/>
          <w:lang w:eastAsia="en-US"/>
          <w14:ligatures w14:val="standardContextual"/>
        </w:rPr>
        <w:t xml:space="preserve"> and promote harmonized supervisory expectation</w:t>
      </w:r>
      <w:r w:rsidR="00CA4B29">
        <w:rPr>
          <w:rFonts w:ascii="Calibri" w:eastAsia="Calibri" w:hAnsi="Calibri"/>
          <w:kern w:val="2"/>
          <w:lang w:eastAsia="en-US"/>
          <w14:ligatures w14:val="standardContextual"/>
        </w:rPr>
        <w:t>s</w:t>
      </w:r>
      <w:r w:rsidR="00D26CD0">
        <w:rPr>
          <w:rFonts w:ascii="Calibri" w:eastAsia="Calibri" w:hAnsi="Calibri"/>
          <w:kern w:val="2"/>
          <w:lang w:eastAsia="en-US"/>
          <w14:ligatures w14:val="standardContextual"/>
        </w:rPr>
        <w:t>.</w:t>
      </w:r>
    </w:p>
    <w:p w14:paraId="2D6E666A" w14:textId="79A580D9" w:rsidR="00D26CD0" w:rsidRPr="00D836FC" w:rsidRDefault="00D26CD0" w:rsidP="00D836FC">
      <w:pPr>
        <w:pStyle w:val="Listenabsatz"/>
        <w:numPr>
          <w:ilvl w:val="1"/>
          <w:numId w:val="29"/>
        </w:numPr>
        <w:spacing w:after="160" w:line="259" w:lineRule="auto"/>
        <w:rPr>
          <w:rFonts w:ascii="Calibri" w:eastAsia="Calibri" w:hAnsi="Calibri"/>
          <w:kern w:val="2"/>
          <w:lang w:eastAsia="en-US"/>
          <w14:ligatures w14:val="standardContextual"/>
        </w:rPr>
      </w:pPr>
      <w:r>
        <w:rPr>
          <w:rFonts w:ascii="Calibri" w:eastAsia="Calibri" w:hAnsi="Calibri"/>
          <w:kern w:val="2"/>
          <w:lang w:eastAsia="en-US"/>
          <w14:ligatures w14:val="standardContextual"/>
        </w:rPr>
        <w:t>Furthermore, such self-declarations should be signed off on by the manager</w:t>
      </w:r>
      <w:r w:rsidR="00592006">
        <w:rPr>
          <w:rFonts w:ascii="Calibri" w:eastAsia="Calibri" w:hAnsi="Calibri"/>
          <w:kern w:val="2"/>
          <w:lang w:eastAsia="en-US"/>
          <w14:ligatures w14:val="standardContextual"/>
        </w:rPr>
        <w:t xml:space="preserve"> or a senior </w:t>
      </w:r>
      <w:r w:rsidR="00326A0D">
        <w:rPr>
          <w:rFonts w:ascii="Calibri" w:eastAsia="Calibri" w:hAnsi="Calibri"/>
          <w:kern w:val="2"/>
          <w:lang w:eastAsia="en-US"/>
          <w14:ligatures w14:val="standardContextual"/>
        </w:rPr>
        <w:t>manager</w:t>
      </w:r>
      <w:r>
        <w:rPr>
          <w:rFonts w:ascii="Calibri" w:eastAsia="Calibri" w:hAnsi="Calibri"/>
          <w:kern w:val="2"/>
          <w:lang w:eastAsia="en-US"/>
          <w14:ligatures w14:val="standardContextual"/>
        </w:rPr>
        <w:t xml:space="preserve"> of the declaring employee or person to ensure that there is managerial responsibility for such declarations.</w:t>
      </w:r>
    </w:p>
    <w:permEnd w:id="1667529024"/>
    <w:p w14:paraId="578EB98F" w14:textId="459174C9"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AB2C3F">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_2&gt;</w:t>
      </w:r>
    </w:p>
    <w:p w14:paraId="19719837"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30B5FCEB" w14:textId="7A17AB27" w:rsidR="006372FE" w:rsidRPr="006372FE" w:rsidRDefault="006372FE" w:rsidP="00FC3B26">
      <w:pPr>
        <w:pStyle w:val="Paragraph"/>
        <w:numPr>
          <w:ilvl w:val="0"/>
          <w:numId w:val="0"/>
        </w:numPr>
        <w:ind w:left="708" w:hanging="708"/>
        <w:rPr>
          <w:b/>
          <w:bCs/>
        </w:rPr>
      </w:pPr>
      <w:r>
        <w:rPr>
          <w:b/>
          <w:bCs/>
        </w:rPr>
        <w:lastRenderedPageBreak/>
        <w:t xml:space="preserve">Q3. </w:t>
      </w:r>
      <w:r w:rsidR="00FC3B26">
        <w:rPr>
          <w:b/>
          <w:bCs/>
        </w:rPr>
        <w:tab/>
      </w:r>
      <w:r w:rsidRPr="006372FE">
        <w:rPr>
          <w:b/>
          <w:bCs/>
        </w:rPr>
        <w:t>Do you agree with ESMA’s proposals for the draft technical standard under Articles 23(4) and 24(3)?</w:t>
      </w:r>
    </w:p>
    <w:p w14:paraId="4E720D75" w14:textId="47BCF3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087B25C3" w14:textId="05B8039A" w:rsidR="001B1B48" w:rsidRDefault="00D715CD" w:rsidP="001B1B48">
      <w:pPr>
        <w:spacing w:after="160" w:line="259" w:lineRule="auto"/>
        <w:rPr>
          <w:rFonts w:ascii="Calibri" w:eastAsia="Calibri" w:hAnsi="Calibri"/>
          <w:kern w:val="2"/>
          <w:sz w:val="22"/>
          <w:szCs w:val="22"/>
          <w:lang w:eastAsia="en-US"/>
          <w14:ligatures w14:val="standardContextual"/>
        </w:rPr>
      </w:pPr>
      <w:permStart w:id="669658389" w:edGrp="everyone"/>
      <w:r>
        <w:rPr>
          <w:rFonts w:ascii="Calibri" w:eastAsia="Calibri" w:hAnsi="Calibri"/>
          <w:kern w:val="2"/>
          <w:sz w:val="22"/>
          <w:szCs w:val="22"/>
          <w:lang w:eastAsia="en-US"/>
          <w14:ligatures w14:val="standardContextual"/>
        </w:rPr>
        <w:t>No. Kirchhoff sees no significant bene</w:t>
      </w:r>
      <w:r w:rsidR="00835AF4">
        <w:rPr>
          <w:rFonts w:ascii="Calibri" w:eastAsia="Calibri" w:hAnsi="Calibri"/>
          <w:kern w:val="2"/>
          <w:sz w:val="22"/>
          <w:szCs w:val="22"/>
          <w:lang w:eastAsia="en-US"/>
          <w14:ligatures w14:val="standardContextual"/>
        </w:rPr>
        <w:t xml:space="preserve">fits in ESMA’s determination to combine the empowerments under Articles 23(4) and 24(3) into a single RTS because they address different stakeholders with different needs. As the subject matter and disclosure requirement of Article 23(4) is directed at the public, including undertakings or entities considering which ESG Rating Provider may better suit their needs, the level of granularity and detail is consequently expected to be qualitatively different </w:t>
      </w:r>
      <w:r w:rsidR="009D664B">
        <w:rPr>
          <w:rFonts w:ascii="Calibri" w:eastAsia="Calibri" w:hAnsi="Calibri"/>
          <w:kern w:val="2"/>
          <w:sz w:val="22"/>
          <w:szCs w:val="22"/>
          <w:lang w:eastAsia="en-US"/>
          <w14:ligatures w14:val="standardContextual"/>
        </w:rPr>
        <w:t>from</w:t>
      </w:r>
      <w:r w:rsidR="00835AF4">
        <w:rPr>
          <w:rFonts w:ascii="Calibri" w:eastAsia="Calibri" w:hAnsi="Calibri"/>
          <w:kern w:val="2"/>
          <w:sz w:val="22"/>
          <w:szCs w:val="22"/>
          <w:lang w:eastAsia="en-US"/>
          <w14:ligatures w14:val="standardContextual"/>
        </w:rPr>
        <w:t xml:space="preserve"> those intended under Article 24(3), which are mainly the users of ESG Ratings, Rated Items and Issuers of Rated Items due to information asymmetry. This differentiation should not be sacrificed for simplicity. Both should be treated with the same level of consideration.</w:t>
      </w:r>
    </w:p>
    <w:p w14:paraId="482B4168" w14:textId="02CD2F50" w:rsidR="008D077F" w:rsidRDefault="008D077F" w:rsidP="008D077F">
      <w:pPr>
        <w:spacing w:after="160" w:line="259" w:lineRule="auto"/>
        <w:rPr>
          <w:rFonts w:ascii="Calibri" w:eastAsia="Calibri" w:hAnsi="Calibri"/>
          <w:kern w:val="2"/>
          <w:sz w:val="22"/>
          <w:szCs w:val="22"/>
          <w:lang w:eastAsia="en-US"/>
          <w14:ligatures w14:val="standardContextual"/>
        </w:rPr>
      </w:pPr>
      <w:r>
        <w:rPr>
          <w:rFonts w:ascii="Calibri" w:eastAsia="Calibri" w:hAnsi="Calibri"/>
          <w:kern w:val="2"/>
          <w:sz w:val="22"/>
          <w:szCs w:val="22"/>
          <w:lang w:eastAsia="en-US"/>
          <w14:ligatures w14:val="standardContextual"/>
        </w:rPr>
        <w:t xml:space="preserve">Of special interest in ANNEX II is Part I – Procedures and methodologies of ESG ratings. Kirchhoff recommends that this part, including the requirements, be made more granular to address a pain point that assessment criteria being applied to undertakings from different regions without sufficient recourse to the strength of the </w:t>
      </w:r>
      <w:r w:rsidR="00942F72">
        <w:rPr>
          <w:rFonts w:ascii="Calibri" w:eastAsia="Calibri" w:hAnsi="Calibri"/>
          <w:kern w:val="2"/>
          <w:sz w:val="22"/>
          <w:szCs w:val="22"/>
          <w:lang w:eastAsia="en-US"/>
          <w14:ligatures w14:val="standardContextual"/>
        </w:rPr>
        <w:t xml:space="preserve">European Union </w:t>
      </w:r>
      <w:r w:rsidR="002E609F">
        <w:rPr>
          <w:rFonts w:ascii="Calibri" w:eastAsia="Calibri" w:hAnsi="Calibri"/>
          <w:kern w:val="2"/>
          <w:sz w:val="22"/>
          <w:szCs w:val="22"/>
          <w:lang w:eastAsia="en-US"/>
          <w14:ligatures w14:val="standardContextual"/>
        </w:rPr>
        <w:t>and Member States’ laws</w:t>
      </w:r>
      <w:r w:rsidR="008943F0">
        <w:rPr>
          <w:rFonts w:ascii="Calibri" w:eastAsia="Calibri" w:hAnsi="Calibri"/>
          <w:kern w:val="2"/>
          <w:sz w:val="22"/>
          <w:szCs w:val="22"/>
          <w:lang w:eastAsia="en-US"/>
          <w14:ligatures w14:val="standardContextual"/>
        </w:rPr>
        <w:t xml:space="preserve"> and regulations</w:t>
      </w:r>
      <w:r>
        <w:rPr>
          <w:rFonts w:ascii="Calibri" w:eastAsia="Calibri" w:hAnsi="Calibri"/>
          <w:kern w:val="2"/>
          <w:sz w:val="22"/>
          <w:szCs w:val="22"/>
          <w:lang w:eastAsia="en-US"/>
          <w14:ligatures w14:val="standardContextual"/>
        </w:rPr>
        <w:t xml:space="preserve">, the effectiveness of the legal systems and the level of enforcement of the extant laws and regulations that the undertakings within the jurisdictions already </w:t>
      </w:r>
      <w:proofErr w:type="spellStart"/>
      <w:r>
        <w:rPr>
          <w:rFonts w:ascii="Calibri" w:eastAsia="Calibri" w:hAnsi="Calibri"/>
          <w:kern w:val="2"/>
          <w:sz w:val="22"/>
          <w:szCs w:val="22"/>
          <w:lang w:eastAsia="en-US"/>
          <w14:ligatures w14:val="standardContextual"/>
        </w:rPr>
        <w:t>fulfill</w:t>
      </w:r>
      <w:proofErr w:type="spellEnd"/>
      <w:r>
        <w:rPr>
          <w:rFonts w:ascii="Calibri" w:eastAsia="Calibri" w:hAnsi="Calibri"/>
          <w:kern w:val="2"/>
          <w:sz w:val="22"/>
          <w:szCs w:val="22"/>
          <w:lang w:eastAsia="en-US"/>
          <w14:ligatures w14:val="standardContextual"/>
        </w:rPr>
        <w:t xml:space="preserve">. </w:t>
      </w:r>
    </w:p>
    <w:p w14:paraId="46C9FBB2" w14:textId="5DBE75B9" w:rsidR="008D077F" w:rsidRPr="001B1B48" w:rsidRDefault="008D077F" w:rsidP="008D077F">
      <w:pPr>
        <w:spacing w:after="160" w:line="259" w:lineRule="auto"/>
        <w:rPr>
          <w:rFonts w:ascii="Calibri" w:eastAsia="Calibri" w:hAnsi="Calibri"/>
          <w:kern w:val="2"/>
          <w:sz w:val="22"/>
          <w:szCs w:val="22"/>
          <w:lang w:eastAsia="en-US"/>
          <w14:ligatures w14:val="standardContextual"/>
        </w:rPr>
      </w:pPr>
      <w:r>
        <w:rPr>
          <w:rFonts w:ascii="Calibri" w:eastAsia="Calibri" w:hAnsi="Calibri"/>
          <w:kern w:val="2"/>
          <w:sz w:val="22"/>
          <w:szCs w:val="22"/>
          <w:lang w:eastAsia="en-US"/>
          <w14:ligatures w14:val="standardContextual"/>
        </w:rPr>
        <w:t xml:space="preserve">The remedy </w:t>
      </w:r>
      <w:r w:rsidR="00BD5715">
        <w:rPr>
          <w:rFonts w:ascii="Calibri" w:eastAsia="Calibri" w:hAnsi="Calibri"/>
          <w:kern w:val="2"/>
          <w:sz w:val="22"/>
          <w:szCs w:val="22"/>
          <w:lang w:eastAsia="en-US"/>
          <w14:ligatures w14:val="standardContextual"/>
        </w:rPr>
        <w:t>suggested</w:t>
      </w:r>
      <w:r>
        <w:rPr>
          <w:rFonts w:ascii="Calibri" w:eastAsia="Calibri" w:hAnsi="Calibri"/>
          <w:kern w:val="2"/>
          <w:sz w:val="22"/>
          <w:szCs w:val="22"/>
          <w:lang w:eastAsia="en-US"/>
          <w14:ligatures w14:val="standardContextual"/>
        </w:rPr>
        <w:t xml:space="preserve"> by Kirchhoff is that ESG Rating providers should</w:t>
      </w:r>
      <w:r w:rsidR="00BD5715">
        <w:rPr>
          <w:rFonts w:ascii="Calibri" w:eastAsia="Calibri" w:hAnsi="Calibri"/>
          <w:kern w:val="2"/>
          <w:sz w:val="22"/>
          <w:szCs w:val="22"/>
          <w:lang w:eastAsia="en-US"/>
          <w14:ligatures w14:val="standardContextual"/>
        </w:rPr>
        <w:t xml:space="preserve"> </w:t>
      </w:r>
      <w:r>
        <w:rPr>
          <w:rFonts w:ascii="Calibri" w:eastAsia="Calibri" w:hAnsi="Calibri"/>
          <w:kern w:val="2"/>
          <w:sz w:val="22"/>
          <w:szCs w:val="22"/>
          <w:lang w:eastAsia="en-US"/>
          <w14:ligatures w14:val="standardContextual"/>
        </w:rPr>
        <w:t>show how they have adjusted for geographical and jurisdictional differences in the assessment criteri</w:t>
      </w:r>
      <w:r w:rsidR="00B30FEC">
        <w:rPr>
          <w:rFonts w:ascii="Calibri" w:eastAsia="Calibri" w:hAnsi="Calibri"/>
          <w:kern w:val="2"/>
          <w:sz w:val="22"/>
          <w:szCs w:val="22"/>
          <w:lang w:eastAsia="en-US"/>
          <w14:ligatures w14:val="standardContextual"/>
        </w:rPr>
        <w:t>a</w:t>
      </w:r>
      <w:r>
        <w:rPr>
          <w:rFonts w:ascii="Calibri" w:eastAsia="Calibri" w:hAnsi="Calibri"/>
          <w:kern w:val="2"/>
          <w:sz w:val="22"/>
          <w:szCs w:val="22"/>
          <w:lang w:eastAsia="en-US"/>
          <w14:ligatures w14:val="standardContextual"/>
        </w:rPr>
        <w:t>, including the rationale behind those adjustments.</w:t>
      </w:r>
      <w:r w:rsidR="00BD5715">
        <w:rPr>
          <w:rFonts w:ascii="Calibri" w:eastAsia="Calibri" w:hAnsi="Calibri"/>
          <w:kern w:val="2"/>
          <w:sz w:val="22"/>
          <w:szCs w:val="22"/>
          <w:lang w:eastAsia="en-US"/>
          <w14:ligatures w14:val="standardContextual"/>
        </w:rPr>
        <w:t xml:space="preserve"> This means that Providers have a responsibility to familiarise themselves with the extant laws of the European Union</w:t>
      </w:r>
      <w:r w:rsidR="0015394B">
        <w:rPr>
          <w:rFonts w:ascii="Calibri" w:eastAsia="Calibri" w:hAnsi="Calibri"/>
          <w:kern w:val="2"/>
          <w:sz w:val="22"/>
          <w:szCs w:val="22"/>
          <w:lang w:eastAsia="en-US"/>
          <w14:ligatures w14:val="standardContextual"/>
        </w:rPr>
        <w:t xml:space="preserve">, including those of </w:t>
      </w:r>
      <w:r w:rsidR="005E3CD8">
        <w:rPr>
          <w:rFonts w:ascii="Calibri" w:eastAsia="Calibri" w:hAnsi="Calibri"/>
          <w:kern w:val="2"/>
          <w:sz w:val="22"/>
          <w:szCs w:val="22"/>
          <w:lang w:eastAsia="en-US"/>
          <w14:ligatures w14:val="standardContextual"/>
        </w:rPr>
        <w:t>the Member States</w:t>
      </w:r>
      <w:r w:rsidR="00156EFE">
        <w:rPr>
          <w:rFonts w:ascii="Calibri" w:eastAsia="Calibri" w:hAnsi="Calibri"/>
          <w:kern w:val="2"/>
          <w:sz w:val="22"/>
          <w:szCs w:val="22"/>
          <w:lang w:eastAsia="en-US"/>
          <w14:ligatures w14:val="standardContextual"/>
        </w:rPr>
        <w:t>,</w:t>
      </w:r>
      <w:r w:rsidR="005E3CD8">
        <w:rPr>
          <w:rFonts w:ascii="Calibri" w:eastAsia="Calibri" w:hAnsi="Calibri"/>
          <w:kern w:val="2"/>
          <w:sz w:val="22"/>
          <w:szCs w:val="22"/>
          <w:lang w:eastAsia="en-US"/>
          <w14:ligatures w14:val="standardContextual"/>
        </w:rPr>
        <w:t xml:space="preserve"> </w:t>
      </w:r>
      <w:r w:rsidR="00BD5715">
        <w:rPr>
          <w:rFonts w:ascii="Calibri" w:eastAsia="Calibri" w:hAnsi="Calibri"/>
          <w:kern w:val="2"/>
          <w:sz w:val="22"/>
          <w:szCs w:val="22"/>
          <w:lang w:eastAsia="en-US"/>
          <w14:ligatures w14:val="standardContextual"/>
        </w:rPr>
        <w:t>and incorporate this in the assessment methodology. A blanket approach to all undertakings across a broad and diverse geography causes avoidable pains for undertakings and entities being rated.</w:t>
      </w:r>
      <w:r>
        <w:rPr>
          <w:rFonts w:ascii="Calibri" w:eastAsia="Calibri" w:hAnsi="Calibri"/>
          <w:kern w:val="2"/>
          <w:sz w:val="22"/>
          <w:szCs w:val="22"/>
          <w:lang w:eastAsia="en-US"/>
          <w14:ligatures w14:val="standardContextual"/>
        </w:rPr>
        <w:t xml:space="preserve"> This is consistent with the European Commission’s goal of ensuring simplification and reducing the burden of undergoing an ESG rating by the undertakings. This is also necessary for fairness and the creation of a level playing field for all undertakings undergoing an ESG rating. If undertakings in certain jurisdictions already </w:t>
      </w:r>
      <w:proofErr w:type="gramStart"/>
      <w:r>
        <w:rPr>
          <w:rFonts w:ascii="Calibri" w:eastAsia="Calibri" w:hAnsi="Calibri"/>
          <w:kern w:val="2"/>
          <w:sz w:val="22"/>
          <w:szCs w:val="22"/>
          <w:lang w:eastAsia="en-US"/>
          <w14:ligatures w14:val="standardContextual"/>
        </w:rPr>
        <w:t>have to</w:t>
      </w:r>
      <w:proofErr w:type="gramEnd"/>
      <w:r>
        <w:rPr>
          <w:rFonts w:ascii="Calibri" w:eastAsia="Calibri" w:hAnsi="Calibri"/>
          <w:kern w:val="2"/>
          <w:sz w:val="22"/>
          <w:szCs w:val="22"/>
          <w:lang w:eastAsia="en-US"/>
          <w14:ligatures w14:val="standardContextual"/>
        </w:rPr>
        <w:t xml:space="preserve"> incur costs to comply with existing regulations that address some of the rating assessment criteria, the providers should not unduly burden the undertakings by discounting such efforts. Using the same reasoning, undertakings that operate in jurisdictions where such regulations and laws are not in force may invest the necessary resources to address those assessment criteria not currently addressed in such jurisdictions. This is aimed at creating balance and fairness for all undertakings.</w:t>
      </w:r>
    </w:p>
    <w:permEnd w:id="669658389"/>
    <w:p w14:paraId="77645EA9" w14:textId="67311EC5"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322B55">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_3&gt;</w:t>
      </w:r>
    </w:p>
    <w:p w14:paraId="374EDE5B" w14:textId="29DF36F2" w:rsidR="00513DA2" w:rsidRPr="00513DA2" w:rsidRDefault="00655791" w:rsidP="00513DA2">
      <w:pPr>
        <w:pStyle w:val="Paragraph"/>
        <w:numPr>
          <w:ilvl w:val="0"/>
          <w:numId w:val="0"/>
        </w:numPr>
        <w:ind w:left="708" w:hanging="708"/>
        <w:rPr>
          <w:b/>
          <w:bCs/>
        </w:rPr>
      </w:pPr>
      <w:r>
        <w:rPr>
          <w:b/>
          <w:bCs/>
        </w:rPr>
        <w:t>Q4.</w:t>
      </w:r>
      <w:r>
        <w:rPr>
          <w:b/>
          <w:bCs/>
        </w:rPr>
        <w:tab/>
      </w:r>
      <w:r w:rsidR="00513DA2" w:rsidRPr="00513DA2">
        <w:rPr>
          <w:b/>
          <w:bCs/>
        </w:rPr>
        <w:t xml:space="preserve">Do you consider that the draft technical standards under Articles 23(4) or 24(3) </w:t>
      </w:r>
      <w:proofErr w:type="gramStart"/>
      <w:r w:rsidR="00513DA2" w:rsidRPr="00513DA2">
        <w:rPr>
          <w:b/>
          <w:bCs/>
        </w:rPr>
        <w:t>should  instead</w:t>
      </w:r>
      <w:proofErr w:type="gramEnd"/>
      <w:r w:rsidR="00513DA2" w:rsidRPr="00513DA2">
        <w:rPr>
          <w:b/>
          <w:bCs/>
        </w:rPr>
        <w:t xml:space="preserve"> provide an expanded table in Annex proposing a sequence and structure for all disclosures to be made under parts 1 and 2 of Annex III? If yes, please explain the benefits of such an approach.</w:t>
      </w:r>
    </w:p>
    <w:p w14:paraId="052AF9D6" w14:textId="43D4216A"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5CBF3978" w14:textId="4E29962E" w:rsidR="001B1B48" w:rsidRPr="001B1B48" w:rsidRDefault="005F6CF8" w:rsidP="001B1B48">
      <w:pPr>
        <w:spacing w:after="160" w:line="259" w:lineRule="auto"/>
        <w:rPr>
          <w:rFonts w:ascii="Calibri" w:eastAsia="Calibri" w:hAnsi="Calibri"/>
          <w:kern w:val="2"/>
          <w:sz w:val="22"/>
          <w:szCs w:val="22"/>
          <w:lang w:eastAsia="en-US"/>
          <w14:ligatures w14:val="standardContextual"/>
        </w:rPr>
      </w:pPr>
      <w:permStart w:id="1645309941" w:edGrp="everyone"/>
      <w:r>
        <w:rPr>
          <w:rFonts w:ascii="Calibri" w:eastAsia="Calibri" w:hAnsi="Calibri"/>
          <w:kern w:val="2"/>
          <w:sz w:val="22"/>
          <w:szCs w:val="22"/>
          <w:lang w:eastAsia="en-US"/>
          <w14:ligatures w14:val="standardContextual"/>
        </w:rPr>
        <w:t>Yes. There are two benefits. The first is that it concretises the sequence and structure in one expanded table that is easier for the ESG Rating Providers to a</w:t>
      </w:r>
      <w:r w:rsidR="007D3931">
        <w:rPr>
          <w:rFonts w:ascii="Calibri" w:eastAsia="Calibri" w:hAnsi="Calibri"/>
          <w:kern w:val="2"/>
          <w:sz w:val="22"/>
          <w:szCs w:val="22"/>
          <w:lang w:eastAsia="en-US"/>
          <w14:ligatures w14:val="standardContextual"/>
        </w:rPr>
        <w:t>cc</w:t>
      </w:r>
      <w:r>
        <w:rPr>
          <w:rFonts w:ascii="Calibri" w:eastAsia="Calibri" w:hAnsi="Calibri"/>
          <w:kern w:val="2"/>
          <w:sz w:val="22"/>
          <w:szCs w:val="22"/>
          <w:lang w:eastAsia="en-US"/>
          <w14:ligatures w14:val="standardContextual"/>
        </w:rPr>
        <w:t xml:space="preserve">ess. The ease is consistent with the </w:t>
      </w:r>
      <w:r>
        <w:rPr>
          <w:rFonts w:ascii="Calibri" w:eastAsia="Calibri" w:hAnsi="Calibri"/>
          <w:kern w:val="2"/>
          <w:sz w:val="22"/>
          <w:szCs w:val="22"/>
          <w:lang w:eastAsia="en-US"/>
          <w14:ligatures w14:val="standardContextual"/>
        </w:rPr>
        <w:lastRenderedPageBreak/>
        <w:t>simplification goal of the European Commission. Secondly, it eliminates potentially divergent interpretation</w:t>
      </w:r>
      <w:r w:rsidR="007D3931">
        <w:rPr>
          <w:rFonts w:ascii="Calibri" w:eastAsia="Calibri" w:hAnsi="Calibri"/>
          <w:kern w:val="2"/>
          <w:sz w:val="22"/>
          <w:szCs w:val="22"/>
          <w:lang w:eastAsia="en-US"/>
          <w14:ligatures w14:val="standardContextual"/>
        </w:rPr>
        <w:t>s</w:t>
      </w:r>
      <w:r>
        <w:rPr>
          <w:rFonts w:ascii="Calibri" w:eastAsia="Calibri" w:hAnsi="Calibri"/>
          <w:kern w:val="2"/>
          <w:sz w:val="22"/>
          <w:szCs w:val="22"/>
          <w:lang w:eastAsia="en-US"/>
          <w14:ligatures w14:val="standardContextual"/>
        </w:rPr>
        <w:t xml:space="preserve"> of the draft technical standards under Articles 23(4) or 24(3). </w:t>
      </w:r>
      <w:r w:rsidR="007D3931">
        <w:rPr>
          <w:rFonts w:ascii="Calibri" w:eastAsia="Calibri" w:hAnsi="Calibri"/>
          <w:kern w:val="2"/>
          <w:sz w:val="22"/>
          <w:szCs w:val="22"/>
          <w:lang w:eastAsia="en-US"/>
          <w14:ligatures w14:val="standardContextual"/>
        </w:rPr>
        <w:t xml:space="preserve">Kirchhoff opines that simplification should always be disproportionately skewed towards the undertakings or rated entities, who have a significant burden of providing the myriad of strategies, initiatives, reporting, policies, documentation, and supporting evidence the Providers need for the rating. In most cases, these requirements are considerably </w:t>
      </w:r>
      <w:proofErr w:type="gramStart"/>
      <w:r w:rsidR="00912F2A">
        <w:rPr>
          <w:rFonts w:ascii="Calibri" w:eastAsia="Calibri" w:hAnsi="Calibri"/>
          <w:kern w:val="2"/>
          <w:sz w:val="22"/>
          <w:szCs w:val="22"/>
          <w:lang w:eastAsia="en-US"/>
          <w14:ligatures w14:val="standardContextual"/>
        </w:rPr>
        <w:t>in exces</w:t>
      </w:r>
      <w:r w:rsidR="007D3931">
        <w:rPr>
          <w:rFonts w:ascii="Calibri" w:eastAsia="Calibri" w:hAnsi="Calibri"/>
          <w:kern w:val="2"/>
          <w:sz w:val="22"/>
          <w:szCs w:val="22"/>
          <w:lang w:eastAsia="en-US"/>
          <w14:ligatures w14:val="standardContextual"/>
        </w:rPr>
        <w:t xml:space="preserve">s </w:t>
      </w:r>
      <w:r w:rsidR="00912F2A">
        <w:rPr>
          <w:rFonts w:ascii="Calibri" w:eastAsia="Calibri" w:hAnsi="Calibri"/>
          <w:kern w:val="2"/>
          <w:sz w:val="22"/>
          <w:szCs w:val="22"/>
          <w:lang w:eastAsia="en-US"/>
          <w14:ligatures w14:val="standardContextual"/>
        </w:rPr>
        <w:t>of</w:t>
      </w:r>
      <w:proofErr w:type="gramEnd"/>
      <w:r w:rsidR="007D3931">
        <w:rPr>
          <w:rFonts w:ascii="Calibri" w:eastAsia="Calibri" w:hAnsi="Calibri"/>
          <w:kern w:val="2"/>
          <w:sz w:val="22"/>
          <w:szCs w:val="22"/>
          <w:lang w:eastAsia="en-US"/>
          <w14:ligatures w14:val="standardContextual"/>
        </w:rPr>
        <w:t xml:space="preserve"> the reporting and disclosure requirements set by regulations already in force and for which the undertakings are in scope.</w:t>
      </w:r>
    </w:p>
    <w:permEnd w:id="1645309941"/>
    <w:p w14:paraId="2F0C894F" w14:textId="7301DC4E"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655791">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_4&gt;</w:t>
      </w:r>
    </w:p>
    <w:p w14:paraId="0EFC77F0" w14:textId="77777777"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p>
    <w:p w14:paraId="0691FCAC" w14:textId="5B24CD2A" w:rsidR="001B1B48" w:rsidRPr="00EA357E" w:rsidRDefault="00EA357E" w:rsidP="00EA357E">
      <w:pPr>
        <w:pStyle w:val="Paragraph"/>
        <w:numPr>
          <w:ilvl w:val="0"/>
          <w:numId w:val="0"/>
        </w:numPr>
        <w:rPr>
          <w:b/>
          <w:bCs/>
        </w:rPr>
      </w:pPr>
      <w:proofErr w:type="gramStart"/>
      <w:r w:rsidRPr="00EA357E">
        <w:rPr>
          <w:b/>
          <w:bCs/>
        </w:rPr>
        <w:t>Q5</w:t>
      </w:r>
      <w:proofErr w:type="gramEnd"/>
      <w:r w:rsidRPr="00EA357E">
        <w:rPr>
          <w:b/>
          <w:bCs/>
        </w:rPr>
        <w:t xml:space="preserve"> </w:t>
      </w:r>
      <w:r w:rsidRPr="00EA357E">
        <w:rPr>
          <w:b/>
          <w:bCs/>
        </w:rPr>
        <w:tab/>
        <w:t>Do you agree with ESMA’s proposed cost benefit analysis? If not, please explain.</w:t>
      </w:r>
    </w:p>
    <w:p w14:paraId="2996F4BA" w14:textId="36938C88"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p w14:paraId="1F375DC9" w14:textId="56848F40" w:rsidR="001B1B48" w:rsidRDefault="001C13DA" w:rsidP="001B1B48">
      <w:pPr>
        <w:spacing w:after="160" w:line="259" w:lineRule="auto"/>
        <w:rPr>
          <w:rFonts w:ascii="Calibri" w:eastAsia="Calibri" w:hAnsi="Calibri"/>
          <w:kern w:val="2"/>
          <w:sz w:val="22"/>
          <w:szCs w:val="22"/>
          <w:lang w:eastAsia="en-US"/>
          <w14:ligatures w14:val="standardContextual"/>
        </w:rPr>
      </w:pPr>
      <w:permStart w:id="159149139" w:edGrp="everyone"/>
      <w:r>
        <w:rPr>
          <w:rFonts w:ascii="Calibri" w:eastAsia="Calibri" w:hAnsi="Calibri"/>
          <w:kern w:val="2"/>
          <w:sz w:val="22"/>
          <w:szCs w:val="22"/>
          <w:lang w:eastAsia="en-US"/>
          <w14:ligatures w14:val="standardContextual"/>
        </w:rPr>
        <w:t xml:space="preserve">No. Kirchhoff does not </w:t>
      </w:r>
      <w:r w:rsidR="00D07446">
        <w:rPr>
          <w:rFonts w:ascii="Calibri" w:eastAsia="Calibri" w:hAnsi="Calibri"/>
          <w:kern w:val="2"/>
          <w:sz w:val="22"/>
          <w:szCs w:val="22"/>
          <w:lang w:eastAsia="en-US"/>
          <w14:ligatures w14:val="standardContextual"/>
        </w:rPr>
        <w:t xml:space="preserve">fully </w:t>
      </w:r>
      <w:r>
        <w:rPr>
          <w:rFonts w:ascii="Calibri" w:eastAsia="Calibri" w:hAnsi="Calibri"/>
          <w:kern w:val="2"/>
          <w:sz w:val="22"/>
          <w:szCs w:val="22"/>
          <w:lang w:eastAsia="en-US"/>
          <w14:ligatures w14:val="standardContextual"/>
        </w:rPr>
        <w:t xml:space="preserve">agree with ESMA’s proposed cost-benefit analysis </w:t>
      </w:r>
      <w:r w:rsidR="00880450">
        <w:rPr>
          <w:rFonts w:ascii="Calibri" w:eastAsia="Calibri" w:hAnsi="Calibri"/>
          <w:kern w:val="2"/>
          <w:sz w:val="22"/>
          <w:szCs w:val="22"/>
          <w:lang w:eastAsia="en-US"/>
          <w14:ligatures w14:val="standardContextual"/>
        </w:rPr>
        <w:t xml:space="preserve">on “RTS on Authorisation and Recognition” </w:t>
      </w:r>
      <w:r>
        <w:rPr>
          <w:rFonts w:ascii="Calibri" w:eastAsia="Calibri" w:hAnsi="Calibri"/>
          <w:kern w:val="2"/>
          <w:sz w:val="22"/>
          <w:szCs w:val="22"/>
          <w:lang w:eastAsia="en-US"/>
          <w14:ligatures w14:val="standardContextual"/>
        </w:rPr>
        <w:t xml:space="preserve">for reasons tangential to those explained in the response to Q1. The costs </w:t>
      </w:r>
      <w:r w:rsidR="00D07446">
        <w:rPr>
          <w:rFonts w:ascii="Calibri" w:eastAsia="Calibri" w:hAnsi="Calibri"/>
          <w:kern w:val="2"/>
          <w:sz w:val="22"/>
          <w:szCs w:val="22"/>
          <w:lang w:eastAsia="en-US"/>
          <w14:ligatures w14:val="standardContextual"/>
        </w:rPr>
        <w:t>that</w:t>
      </w:r>
      <w:r>
        <w:rPr>
          <w:rFonts w:ascii="Calibri" w:eastAsia="Calibri" w:hAnsi="Calibri"/>
          <w:kern w:val="2"/>
          <w:sz w:val="22"/>
          <w:szCs w:val="22"/>
          <w:lang w:eastAsia="en-US"/>
          <w14:ligatures w14:val="standardContextual"/>
        </w:rPr>
        <w:t xml:space="preserve"> may be incurred under the recognition and authorisation procedures may be different. A higher cost may be incurred by ESG Rating Providers who apply for recognition than those who apply </w:t>
      </w:r>
      <w:r w:rsidR="001C23A9">
        <w:rPr>
          <w:rFonts w:ascii="Calibri" w:eastAsia="Calibri" w:hAnsi="Calibri"/>
          <w:kern w:val="2"/>
          <w:sz w:val="22"/>
          <w:szCs w:val="22"/>
          <w:lang w:eastAsia="en-US"/>
          <w14:ligatures w14:val="standardContextual"/>
        </w:rPr>
        <w:t>for authorisation. This distinction should be made in the cost-benefit analysis for the purpose of transparency, which is one of the concerns the regulation seeks to address. The mere combination of the empowerments under Article 6(3) and 12(9) into a single draft technical standard may not automatically streamline the cost that may be incurred by the providers for the recognition procedure.</w:t>
      </w:r>
    </w:p>
    <w:p w14:paraId="58CF0D6F" w14:textId="6EB71611" w:rsidR="005C1299" w:rsidRDefault="005C1299" w:rsidP="001B1B48">
      <w:pPr>
        <w:spacing w:after="160" w:line="259" w:lineRule="auto"/>
        <w:rPr>
          <w:rFonts w:ascii="Calibri" w:eastAsia="Calibri" w:hAnsi="Calibri"/>
          <w:kern w:val="2"/>
          <w:sz w:val="22"/>
          <w:szCs w:val="22"/>
          <w:lang w:eastAsia="en-US"/>
          <w14:ligatures w14:val="standardContextual"/>
        </w:rPr>
      </w:pPr>
      <w:r>
        <w:rPr>
          <w:rFonts w:ascii="Calibri" w:eastAsia="Calibri" w:hAnsi="Calibri"/>
          <w:kern w:val="2"/>
          <w:sz w:val="22"/>
          <w:szCs w:val="22"/>
          <w:lang w:eastAsia="en-US"/>
          <w14:ligatures w14:val="standardContextual"/>
        </w:rPr>
        <w:t xml:space="preserve">On “RTS on Disclosures”, for the cost to the ESG Rating Providers, Kirchhoff believes that it is difficult to accurately assess or even estimate the costs that may be incurred in advance </w:t>
      </w:r>
      <w:proofErr w:type="gramStart"/>
      <w:r>
        <w:rPr>
          <w:rFonts w:ascii="Calibri" w:eastAsia="Calibri" w:hAnsi="Calibri"/>
          <w:kern w:val="2"/>
          <w:sz w:val="22"/>
          <w:szCs w:val="22"/>
          <w:lang w:eastAsia="en-US"/>
          <w14:ligatures w14:val="standardContextual"/>
        </w:rPr>
        <w:t>as a result of</w:t>
      </w:r>
      <w:proofErr w:type="gramEnd"/>
      <w:r>
        <w:rPr>
          <w:rFonts w:ascii="Calibri" w:eastAsia="Calibri" w:hAnsi="Calibri"/>
          <w:kern w:val="2"/>
          <w:sz w:val="22"/>
          <w:szCs w:val="22"/>
          <w:lang w:eastAsia="en-US"/>
          <w14:ligatures w14:val="standardContextual"/>
        </w:rPr>
        <w:t xml:space="preserve"> the regulatory technical standards. </w:t>
      </w:r>
      <w:r w:rsidR="00C85C53">
        <w:rPr>
          <w:rFonts w:ascii="Calibri" w:eastAsia="Calibri" w:hAnsi="Calibri"/>
          <w:kern w:val="2"/>
          <w:sz w:val="22"/>
          <w:szCs w:val="22"/>
          <w:lang w:eastAsia="en-US"/>
          <w14:ligatures w14:val="standardContextual"/>
        </w:rPr>
        <w:t>Kirchhoff recommends</w:t>
      </w:r>
      <w:r>
        <w:rPr>
          <w:rFonts w:ascii="Calibri" w:eastAsia="Calibri" w:hAnsi="Calibri"/>
          <w:kern w:val="2"/>
          <w:sz w:val="22"/>
          <w:szCs w:val="22"/>
          <w:lang w:eastAsia="en-US"/>
          <w14:ligatures w14:val="standardContextual"/>
        </w:rPr>
        <w:t xml:space="preserve"> removing the word “limited” from the first </w:t>
      </w:r>
      <w:proofErr w:type="gramStart"/>
      <w:r>
        <w:rPr>
          <w:rFonts w:ascii="Calibri" w:eastAsia="Calibri" w:hAnsi="Calibri"/>
          <w:kern w:val="2"/>
          <w:sz w:val="22"/>
          <w:szCs w:val="22"/>
          <w:lang w:eastAsia="en-US"/>
          <w14:ligatures w14:val="standardContextual"/>
        </w:rPr>
        <w:t>sentence</w:t>
      </w:r>
      <w:proofErr w:type="gramEnd"/>
      <w:r>
        <w:rPr>
          <w:rFonts w:ascii="Calibri" w:eastAsia="Calibri" w:hAnsi="Calibri"/>
          <w:kern w:val="2"/>
          <w:sz w:val="22"/>
          <w:szCs w:val="22"/>
          <w:lang w:eastAsia="en-US"/>
          <w14:ligatures w14:val="standardContextual"/>
        </w:rPr>
        <w:t xml:space="preserve"> so it reads, “There are costs imposed by these regulatory technical standards…”.</w:t>
      </w:r>
      <w:r w:rsidR="009B6408">
        <w:rPr>
          <w:rFonts w:ascii="Calibri" w:eastAsia="Calibri" w:hAnsi="Calibri"/>
          <w:kern w:val="2"/>
          <w:sz w:val="22"/>
          <w:szCs w:val="22"/>
          <w:lang w:eastAsia="en-US"/>
          <w14:ligatures w14:val="standardContextual"/>
        </w:rPr>
        <w:t xml:space="preserve"> This will better reflect the uncertainty of the costs incurred.</w:t>
      </w:r>
    </w:p>
    <w:p w14:paraId="0615D38A" w14:textId="74D9EC03" w:rsidR="00A94834" w:rsidRPr="001B1B48" w:rsidRDefault="00A94834" w:rsidP="001B1B48">
      <w:pPr>
        <w:spacing w:after="160" w:line="259" w:lineRule="auto"/>
        <w:rPr>
          <w:rFonts w:ascii="Calibri" w:eastAsia="Calibri" w:hAnsi="Calibri"/>
          <w:kern w:val="2"/>
          <w:sz w:val="22"/>
          <w:szCs w:val="22"/>
          <w:lang w:eastAsia="en-US"/>
          <w14:ligatures w14:val="standardContextual"/>
        </w:rPr>
      </w:pPr>
      <w:r>
        <w:rPr>
          <w:rFonts w:ascii="Calibri" w:eastAsia="Calibri" w:hAnsi="Calibri"/>
          <w:kern w:val="2"/>
          <w:sz w:val="22"/>
          <w:szCs w:val="22"/>
          <w:lang w:eastAsia="en-US"/>
          <w14:ligatures w14:val="standardContextual"/>
        </w:rPr>
        <w:t>In the same vein, it is unclear to what extent the combination of the empowerments contributes to the European Commission’s initiative for burden reduction and simplification. The mere combination of the application procedure may not necessarily lead to a simplification because they address different provider groups who must undergo an independent process, as the intent and letter of both recognition and authorisation are distinct. Therefore, while the proposed combination streamlines the process on paper, it may not necessarily translate to a simplification in practice.</w:t>
      </w:r>
    </w:p>
    <w:permEnd w:id="159149139"/>
    <w:p w14:paraId="2A15B62C" w14:textId="1A40E171" w:rsidR="001B1B48" w:rsidRPr="001B1B48" w:rsidRDefault="001B1B48" w:rsidP="001B1B48">
      <w:pPr>
        <w:spacing w:after="160" w:line="259" w:lineRule="auto"/>
        <w:rPr>
          <w:rFonts w:ascii="Calibri" w:eastAsia="Calibri" w:hAnsi="Calibri"/>
          <w:kern w:val="2"/>
          <w:sz w:val="22"/>
          <w:szCs w:val="22"/>
          <w:lang w:eastAsia="en-US"/>
          <w14:ligatures w14:val="standardContextual"/>
        </w:rPr>
      </w:pPr>
      <w:r w:rsidRPr="001B1B48">
        <w:rPr>
          <w:rFonts w:ascii="Calibri" w:eastAsia="Calibri" w:hAnsi="Calibri"/>
          <w:kern w:val="2"/>
          <w:sz w:val="22"/>
          <w:szCs w:val="22"/>
          <w:lang w:eastAsia="en-US"/>
          <w14:ligatures w14:val="standardContextual"/>
        </w:rPr>
        <w:t>&lt;ESMA_QUESTION_</w:t>
      </w:r>
      <w:r w:rsidR="0037311D" w:rsidRPr="0037311D">
        <w:rPr>
          <w:rFonts w:ascii="Calibri" w:eastAsia="Calibri" w:hAnsi="Calibri"/>
          <w:kern w:val="2"/>
          <w:sz w:val="22"/>
          <w:szCs w:val="22"/>
          <w:lang w:eastAsia="en-US"/>
          <w14:ligatures w14:val="standardContextual"/>
        </w:rPr>
        <w:t xml:space="preserve"> </w:t>
      </w:r>
      <w:r w:rsidR="0037311D">
        <w:rPr>
          <w:rFonts w:ascii="Calibri" w:eastAsia="Calibri" w:hAnsi="Calibri"/>
          <w:kern w:val="2"/>
          <w:sz w:val="22"/>
          <w:szCs w:val="22"/>
          <w:lang w:eastAsia="en-US"/>
          <w14:ligatures w14:val="standardContextual"/>
        </w:rPr>
        <w:t>E</w:t>
      </w:r>
      <w:r w:rsidR="00EA357E">
        <w:rPr>
          <w:rFonts w:ascii="Calibri" w:eastAsia="Calibri" w:hAnsi="Calibri"/>
          <w:kern w:val="2"/>
          <w:sz w:val="22"/>
          <w:szCs w:val="22"/>
          <w:lang w:eastAsia="en-US"/>
          <w14:ligatures w14:val="standardContextual"/>
        </w:rPr>
        <w:t>SGR</w:t>
      </w:r>
      <w:r w:rsidRPr="001B1B48">
        <w:rPr>
          <w:rFonts w:ascii="Calibri" w:eastAsia="Calibri" w:hAnsi="Calibri"/>
          <w:kern w:val="2"/>
          <w:sz w:val="22"/>
          <w:szCs w:val="22"/>
          <w:lang w:eastAsia="en-US"/>
          <w14:ligatures w14:val="standardContextual"/>
        </w:rPr>
        <w:t>_5&gt;</w:t>
      </w:r>
    </w:p>
    <w:sectPr w:rsidR="001B1B48" w:rsidRPr="001B1B48" w:rsidSect="00C85C8B">
      <w:headerReference w:type="default" r:id="rId20"/>
      <w:footerReference w:type="default" r:id="rId21"/>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B73E09" w14:textId="77777777" w:rsidR="00401DC3" w:rsidRDefault="00401DC3" w:rsidP="007E7997">
      <w:r>
        <w:separator/>
      </w:r>
    </w:p>
  </w:endnote>
  <w:endnote w:type="continuationSeparator" w:id="0">
    <w:p w14:paraId="0A1437ED" w14:textId="77777777" w:rsidR="00401DC3" w:rsidRDefault="00401DC3" w:rsidP="007E7997">
      <w:r>
        <w:continuationSeparator/>
      </w:r>
    </w:p>
  </w:endnote>
  <w:endnote w:type="continuationNotice" w:id="1">
    <w:p w14:paraId="03A6FEF1" w14:textId="77777777" w:rsidR="00401DC3" w:rsidRDefault="00401D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4752671"/>
      <w:docPartObj>
        <w:docPartGallery w:val="Page Numbers (Bottom of Page)"/>
        <w:docPartUnique/>
      </w:docPartObj>
    </w:sdtPr>
    <w:sdtEndPr>
      <w:rPr>
        <w:noProof/>
      </w:rPr>
    </w:sdtEndPr>
    <w:sdtContent>
      <w:p w14:paraId="0CF5505D" w14:textId="212D7D4F" w:rsidR="00E36813" w:rsidRDefault="00E36813">
        <w:pPr>
          <w:pStyle w:val="Fuzeile"/>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3915" w14:textId="58619407" w:rsidR="00E36813" w:rsidRDefault="00E36813" w:rsidP="007A160F">
    <w:pPr>
      <w:pStyle w:val="Fuzeile"/>
    </w:pPr>
    <w:r>
      <w:rPr>
        <w:rFonts w:asciiTheme="majorHAnsi" w:hAnsiTheme="majorHAnsi"/>
        <w:color w:val="FFFFFF" w:themeColor="background1"/>
      </w:rPr>
      <w:tab/>
    </w:r>
    <w:r>
      <w:rPr>
        <w:rFonts w:asciiTheme="majorHAnsi" w:hAnsiTheme="majorHAnsi"/>
        <w:color w:val="FFFFFF" w:themeColor="background1"/>
      </w:rPr>
      <w:tab/>
    </w:r>
    <w:r w:rsidR="006D3F14">
      <w:rPr>
        <w:rFonts w:asciiTheme="majorHAnsi" w:hAnsiTheme="majorHAnsi"/>
        <w:color w:val="FFFFFF" w:themeColor="background1"/>
      </w:rPr>
      <w:t>29</w:t>
    </w:r>
    <w:r w:rsidR="00871163">
      <w:rPr>
        <w:rFonts w:asciiTheme="majorHAnsi" w:hAnsiTheme="majorHAnsi"/>
        <w:color w:val="FFFFFF" w:themeColor="background1"/>
      </w:rPr>
      <w:t xml:space="preserve"> July </w:t>
    </w:r>
    <w:r w:rsidR="00AB6157" w:rsidRPr="008279D3">
      <w:rPr>
        <w:rFonts w:asciiTheme="majorHAnsi" w:hAnsiTheme="majorHAnsi"/>
        <w:color w:val="FFFFFF" w:themeColor="background1"/>
      </w:rPr>
      <w:t>20</w:t>
    </w:r>
    <w:r w:rsidR="006B391B" w:rsidRPr="008279D3">
      <w:rPr>
        <w:rFonts w:asciiTheme="majorHAnsi" w:hAnsiTheme="majorHAnsi"/>
        <w:color w:val="FFFFFF" w:themeColor="background1"/>
      </w:rPr>
      <w:t>2</w:t>
    </w:r>
    <w:r w:rsidR="00871163">
      <w:rPr>
        <w:rFonts w:asciiTheme="majorHAnsi" w:hAnsiTheme="majorHAnsi"/>
        <w:color w:val="FFFFFF" w:themeColor="background1"/>
      </w:rPr>
      <w:t>2</w:t>
    </w:r>
    <w:r w:rsidR="00FF6930" w:rsidRPr="008279D3">
      <w:rPr>
        <w:rFonts w:asciiTheme="majorHAnsi" w:hAnsiTheme="majorHAnsi"/>
        <w:color w:val="FFFFFF" w:themeColor="background1"/>
      </w:rPr>
      <w:t xml:space="preserve"> ESMA</w:t>
    </w:r>
    <w:r w:rsidR="006B391B" w:rsidRPr="008279D3">
      <w:rPr>
        <w:rFonts w:asciiTheme="majorHAnsi" w:hAnsiTheme="majorHAnsi"/>
        <w:color w:val="FFFFFF" w:themeColor="background1"/>
      </w:rPr>
      <w:t xml:space="preserve"> | </w:t>
    </w:r>
    <w:hyperlink r:id="rId1" w:tgtFrame="_blank" w:history="1">
      <w:r w:rsidR="006B391B" w:rsidRPr="008279D3">
        <w:rPr>
          <w:rFonts w:asciiTheme="majorHAnsi" w:hAnsiTheme="majorHAnsi"/>
          <w:color w:val="FFFFFF" w:themeColor="background1"/>
        </w:rPr>
        <w:t>ESMA</w:t>
      </w:r>
    </w:hyperlink>
    <w:r w:rsidR="008279D3">
      <w:rPr>
        <w:rFonts w:asciiTheme="majorHAnsi" w:hAnsiTheme="majorHAnsi"/>
        <w:color w:val="FFFFFF" w:themeColor="background1"/>
      </w:rPr>
      <w:t xml:space="preserve"> 70-</w:t>
    </w:r>
    <w:r w:rsidR="00B63379">
      <w:rPr>
        <w:rFonts w:asciiTheme="majorHAnsi" w:hAnsiTheme="majorHAnsi"/>
        <w:color w:val="FFFFFF" w:themeColor="background1"/>
      </w:rPr>
      <w:t>44</w:t>
    </w:r>
    <w:r w:rsidR="006D3F14">
      <w:rPr>
        <w:rFonts w:asciiTheme="majorHAnsi" w:hAnsiTheme="majorHAnsi"/>
        <w:color w:val="FFFFFF" w:themeColor="background1"/>
      </w:rPr>
      <w:t>9</w:t>
    </w:r>
    <w:r w:rsidR="00B63379">
      <w:rPr>
        <w:rFonts w:asciiTheme="majorHAnsi" w:hAnsiTheme="majorHAnsi"/>
        <w:color w:val="FFFFFF" w:themeColor="background1"/>
      </w:rPr>
      <w:t>-67</w:t>
    </w:r>
    <w:r w:rsidR="006D3F14">
      <w:rPr>
        <w:rFonts w:asciiTheme="majorHAnsi" w:hAnsiTheme="majorHAnsi"/>
        <w:color w:val="FFFFFF" w:themeColor="background1"/>
      </w:rPr>
      <w:t>4</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3752247"/>
      <w:docPartObj>
        <w:docPartGallery w:val="Page Numbers (Bottom of Page)"/>
        <w:docPartUnique/>
      </w:docPartObj>
    </w:sdtPr>
    <w:sdtEndPr>
      <w:rPr>
        <w:noProof/>
      </w:rPr>
    </w:sdtEndPr>
    <w:sdtContent>
      <w:p w14:paraId="4C9B3DBF" w14:textId="6ECC1B82" w:rsidR="00E36813" w:rsidRDefault="00E36813">
        <w:pPr>
          <w:pStyle w:val="Fuzeile"/>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uzeile"/>
      <w:jc w:val="right"/>
    </w:pPr>
  </w:p>
  <w:p w14:paraId="12C756E7" w14:textId="77777777" w:rsidR="00C97F9B" w:rsidRDefault="00C97F9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611C37" w14:textId="77777777" w:rsidR="00401DC3" w:rsidRDefault="00401DC3" w:rsidP="007E7997">
      <w:r>
        <w:separator/>
      </w:r>
    </w:p>
  </w:footnote>
  <w:footnote w:type="continuationSeparator" w:id="0">
    <w:p w14:paraId="4887F8E7" w14:textId="77777777" w:rsidR="00401DC3" w:rsidRDefault="00401DC3" w:rsidP="007E7997">
      <w:r>
        <w:continuationSeparator/>
      </w:r>
    </w:p>
  </w:footnote>
  <w:footnote w:type="continuationNotice" w:id="1">
    <w:p w14:paraId="641F94D2" w14:textId="77777777" w:rsidR="00401DC3" w:rsidRDefault="00401DC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2956F7" w14:textId="77777777" w:rsidR="00E36813" w:rsidRDefault="00E36813">
    <w:pPr>
      <w:pStyle w:val="Kopfzeile"/>
    </w:pPr>
  </w:p>
  <w:p w14:paraId="59FA3C9D" w14:textId="77777777" w:rsidR="00E36813" w:rsidRDefault="00E3681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923F5" w14:textId="11D11F90" w:rsidR="00FA64BE" w:rsidRDefault="00FA64BE" w:rsidP="00FA64BE">
    <w:pPr>
      <w:pStyle w:val="Kopfzeile"/>
      <w:jc w:val="right"/>
      <w:rPr>
        <w:rFonts w:asciiTheme="minorHAnsi" w:eastAsiaTheme="minorEastAsia" w:hAnsiTheme="minorHAnsi" w:cstheme="minorBidi"/>
        <w:color w:val="000000" w:themeColor="text1" w:themeShade="80"/>
        <w:sz w:val="16"/>
        <w:szCs w:val="20"/>
        <w:lang w:eastAsia="en-US"/>
      </w:rPr>
    </w:pPr>
    <w:r w:rsidRPr="001522DD">
      <w:rPr>
        <w:rFonts w:asciiTheme="minorHAnsi" w:eastAsiaTheme="minorEastAsia" w:hAnsiTheme="minorHAnsi" w:cstheme="minorBidi"/>
        <w:bCs/>
        <w:caps/>
        <w:noProof/>
        <w:color w:val="000000" w:themeColor="text1" w:themeShade="80"/>
        <w:sz w:val="16"/>
        <w:szCs w:val="20"/>
        <w:highlight w:val="yellow"/>
        <w:lang w:eastAsia="en-US"/>
      </w:rPr>
      <w:drawing>
        <wp:anchor distT="0" distB="0" distL="114300" distR="114300" simplePos="0" relativeHeight="251658240" behindDoc="0" locked="0" layoutInCell="1" allowOverlap="1" wp14:anchorId="7D655387" wp14:editId="3342670B">
          <wp:simplePos x="0" y="0"/>
          <wp:positionH relativeFrom="page">
            <wp:posOffset>892914</wp:posOffset>
          </wp:positionH>
          <wp:positionV relativeFrom="page">
            <wp:posOffset>547370</wp:posOffset>
          </wp:positionV>
          <wp:extent cx="2296800" cy="601200"/>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r w:rsidR="000310AB">
      <w:rPr>
        <w:rFonts w:asciiTheme="minorHAnsi" w:eastAsiaTheme="minorEastAsia" w:hAnsiTheme="minorHAnsi" w:cstheme="minorBidi"/>
        <w:color w:val="000000" w:themeColor="text1" w:themeShade="80"/>
        <w:sz w:val="16"/>
        <w:szCs w:val="20"/>
        <w:lang w:eastAsia="en-US"/>
      </w:rPr>
      <w:t>2 May 2025</w:t>
    </w:r>
    <w:r w:rsidR="00C00D4F">
      <w:rPr>
        <w:rFonts w:asciiTheme="minorHAnsi" w:eastAsiaTheme="minorEastAsia" w:hAnsiTheme="minorHAnsi" w:cstheme="minorBidi"/>
        <w:color w:val="000000" w:themeColor="text1" w:themeShade="80"/>
        <w:sz w:val="16"/>
        <w:szCs w:val="20"/>
        <w:lang w:eastAsia="en-US"/>
      </w:rPr>
      <w:br/>
    </w:r>
    <w:r w:rsidR="0013090E" w:rsidRPr="0013090E">
      <w:rPr>
        <w:rFonts w:asciiTheme="minorHAnsi" w:eastAsiaTheme="minorEastAsia" w:hAnsiTheme="minorHAnsi" w:cstheme="minorBidi"/>
        <w:color w:val="000000" w:themeColor="text1" w:themeShade="80"/>
        <w:sz w:val="16"/>
        <w:szCs w:val="20"/>
        <w:lang w:eastAsia="en-US"/>
      </w:rPr>
      <w:t>ESMA</w:t>
    </w:r>
    <w:r w:rsidR="00373AB8">
      <w:rPr>
        <w:rFonts w:asciiTheme="minorHAnsi" w:eastAsiaTheme="minorEastAsia" w:hAnsiTheme="minorHAnsi" w:cstheme="minorBidi"/>
        <w:color w:val="000000" w:themeColor="text1" w:themeShade="80"/>
        <w:sz w:val="16"/>
        <w:szCs w:val="20"/>
        <w:lang w:eastAsia="en-US"/>
      </w:rPr>
      <w:t>84</w:t>
    </w:r>
    <w:r w:rsidR="0013090E" w:rsidRPr="0013090E">
      <w:rPr>
        <w:rFonts w:asciiTheme="minorHAnsi" w:eastAsiaTheme="minorEastAsia" w:hAnsiTheme="minorHAnsi" w:cstheme="minorBidi"/>
        <w:color w:val="000000" w:themeColor="text1" w:themeShade="80"/>
        <w:sz w:val="16"/>
        <w:szCs w:val="20"/>
        <w:lang w:eastAsia="en-US"/>
      </w:rPr>
      <w:t>-</w:t>
    </w:r>
    <w:r w:rsidR="00373AB8">
      <w:rPr>
        <w:rFonts w:asciiTheme="minorHAnsi" w:eastAsiaTheme="minorEastAsia" w:hAnsiTheme="minorHAnsi" w:cstheme="minorBidi"/>
        <w:color w:val="000000" w:themeColor="text1" w:themeShade="80"/>
        <w:sz w:val="16"/>
        <w:szCs w:val="20"/>
        <w:lang w:eastAsia="en-US"/>
      </w:rPr>
      <w:t>858037815-6</w:t>
    </w:r>
    <w:r w:rsidR="006072C6">
      <w:rPr>
        <w:rFonts w:asciiTheme="minorHAnsi" w:eastAsiaTheme="minorEastAsia" w:hAnsiTheme="minorHAnsi" w:cstheme="minorBidi"/>
        <w:color w:val="000000" w:themeColor="text1" w:themeShade="80"/>
        <w:sz w:val="16"/>
        <w:szCs w:val="20"/>
        <w:lang w:eastAsia="en-US"/>
      </w:rPr>
      <w:t>83</w:t>
    </w:r>
  </w:p>
  <w:p w14:paraId="70391035" w14:textId="0FE57758" w:rsidR="00E36813" w:rsidRDefault="00FA64BE" w:rsidP="00FA64BE">
    <w:pPr>
      <w:pStyle w:val="Kopfzeile"/>
      <w:ind w:left="1836" w:firstLine="4536"/>
    </w:pPr>
    <w:r>
      <w:t xml:space="preserve">   </w:t>
    </w:r>
    <w:r w:rsidRPr="00374D79">
      <w:t>ESMA74-449133380-434</w:t>
    </w:r>
    <w:r>
      <w:rPr>
        <w:noProof/>
      </w:rPr>
      <mc:AlternateContent>
        <mc:Choice Requires="wps">
          <w:drawing>
            <wp:anchor distT="0" distB="0" distL="114300" distR="114300" simplePos="1" relativeHeight="251658241" behindDoc="1" locked="1" layoutInCell="1" allowOverlap="0" wp14:anchorId="71203346" wp14:editId="7B5BE921">
              <wp:simplePos x="899795" y="624205"/>
              <wp:positionH relativeFrom="page">
                <wp:posOffset>899795</wp:posOffset>
              </wp:positionH>
              <wp:positionV relativeFrom="paragraph">
                <wp:posOffset>624205</wp:posOffset>
              </wp:positionV>
              <wp:extent cx="7570470" cy="9777095"/>
              <wp:effectExtent l="0" t="0" r="0" b="0"/>
              <wp:wrapNone/>
              <wp:docPr id="7" name="Freeform: Shape 7"/>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w16sdtfl="http://schemas.microsoft.com/office/word/2024/wordml/sdtformatlock" xmlns:w16du="http://schemas.microsoft.com/office/word/2023/wordml/word16du">
          <w:pict>
            <v:shape w14:anchorId="236AFB6F" id="Freeform: Shape 7" o:spid="_x0000_s1026" style="position:absolute;margin-left:70.85pt;margin-top:49.15pt;width:596.1pt;height:769.8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" o:allowoverlap="f" path="m2939613,926867c5038819,-714379,6826523,267027,7569200,545025r,2628099l7569200,9779055r,l,9779055r,l,3173124,2939613,926867xe" stroked="f" strokeweight="1pt">
              <v:fill r:id="rId3" o:title="" recolor="t" rotate="t" type="frame"/>
              <v:stroke joinstyle="miter"/>
              <v:path arrowok="t" o:connecttype="custom" o:connectlocs="2940106,926681;7570470,544916;7570470,3172488;7570470,9777095;7570470,9777095;0,9777095;0,9777095;0,3172488;2940106,926681" o:connectangles="0,0,0,0,0,0,0,0,0"/>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B6EC4" w14:textId="2AEFCC83" w:rsidR="00E36813" w:rsidRDefault="00FA64BE" w:rsidP="00B50534">
    <w:pPr>
      <w:pStyle w:val="Kopfzeile"/>
      <w:jc w:val="right"/>
      <w:rPr>
        <w:b/>
        <w:color w:val="FF0000"/>
      </w:rPr>
    </w:pPr>
    <w:r w:rsidRPr="008858FE">
      <w:rPr>
        <w:rStyle w:val="ESMAConfidentialRestricted"/>
        <w:noProof/>
      </w:rPr>
      <w:drawing>
        <wp:anchor distT="0" distB="0" distL="114300" distR="114300" simplePos="0" relativeHeight="251658242" behindDoc="0" locked="0" layoutInCell="1" allowOverlap="1" wp14:anchorId="4C8586CB" wp14:editId="39910558">
          <wp:simplePos x="0" y="0"/>
          <wp:positionH relativeFrom="page">
            <wp:posOffset>900430</wp:posOffset>
          </wp:positionH>
          <wp:positionV relativeFrom="page">
            <wp:posOffset>449580</wp:posOffset>
          </wp:positionV>
          <wp:extent cx="2296800" cy="601200"/>
          <wp:effectExtent l="0" t="0" r="190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p w14:paraId="66716E7C" w14:textId="7FD8E363" w:rsidR="00FA64BE" w:rsidRDefault="00FA64BE" w:rsidP="00FA64BE">
    <w:pPr>
      <w:pStyle w:val="Kopfzeile"/>
      <w:jc w:val="right"/>
      <w:rPr>
        <w:rFonts w:asciiTheme="minorHAnsi" w:hAnsiTheme="minorHAnsi" w:cstheme="minorHAnsi"/>
        <w:color w:val="2F5496" w:themeColor="accent5" w:themeShade="BF"/>
        <w:sz w:val="20"/>
      </w:rPr>
    </w:pPr>
  </w:p>
  <w:p w14:paraId="3E983FE8" w14:textId="71D87355" w:rsidR="00FA64BE" w:rsidRDefault="00FA64BE" w:rsidP="00FA64BE">
    <w:pPr>
      <w:pStyle w:val="Kopfzeile"/>
      <w:jc w:val="right"/>
      <w:rPr>
        <w:rFonts w:asciiTheme="minorHAnsi" w:hAnsiTheme="minorHAnsi" w:cstheme="minorHAnsi"/>
        <w:color w:val="2F5496" w:themeColor="accent5" w:themeShade="BF"/>
        <w:sz w:val="20"/>
      </w:rPr>
    </w:pPr>
  </w:p>
  <w:p w14:paraId="17CD6BBB" w14:textId="77777777" w:rsidR="00FA64BE" w:rsidRPr="00D13661" w:rsidRDefault="00FA64BE" w:rsidP="00FA64BE">
    <w:pPr>
      <w:pStyle w:val="Kopfzeile"/>
      <w:jc w:val="right"/>
      <w:rPr>
        <w:rFonts w:asciiTheme="minorHAnsi" w:hAnsiTheme="minorHAnsi" w:cstheme="minorHAnsi"/>
        <w:color w:val="2F5496" w:themeColor="accent5" w:themeShade="BF"/>
        <w:sz w:val="20"/>
      </w:rPr>
    </w:pPr>
  </w:p>
  <w:p w14:paraId="276D8625" w14:textId="77777777" w:rsidR="00E36813" w:rsidRPr="00C3170E" w:rsidRDefault="00E36813" w:rsidP="00B50534">
    <w:pPr>
      <w:pStyle w:val="Kopfzeile"/>
      <w:jc w:val="right"/>
      <w:rPr>
        <w:color w:val="2F5496" w:themeColor="accent5" w:themeShade="BF"/>
        <w:sz w:val="20"/>
      </w:rPr>
    </w:pPr>
  </w:p>
  <w:p w14:paraId="5EAB6EC6" w14:textId="77777777" w:rsidR="00E36813" w:rsidRPr="00B50534" w:rsidRDefault="00E36813" w:rsidP="00B50534">
    <w:pPr>
      <w:pStyle w:val="Kopfzeile"/>
      <w:jc w:val="right"/>
      <w:rPr>
        <w:b/>
        <w:color w:val="FF0000"/>
      </w:rPr>
    </w:pPr>
  </w:p>
  <w:p w14:paraId="237512AD" w14:textId="77777777" w:rsidR="00C97F9B" w:rsidRDefault="00C97F9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berschrift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enabsatz"/>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4EF43C1E"/>
    <w:lvl w:ilvl="0" w:tplc="A97A1B6E">
      <w:start w:val="1"/>
      <w:numFmt w:val="decimal"/>
      <w:pStyle w:val="Questionstyle"/>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33916DB"/>
    <w:multiLevelType w:val="hybridMultilevel"/>
    <w:tmpl w:val="B12A1BCA"/>
    <w:lvl w:ilvl="0" w:tplc="62468FBE">
      <w:start w:val="1"/>
      <w:numFmt w:val="decimal"/>
      <w:pStyle w:val="Paragraph"/>
      <w:lvlText w:val="%1."/>
      <w:lvlJc w:val="left"/>
      <w:pPr>
        <w:ind w:left="709" w:hanging="709"/>
      </w:pPr>
      <w:rPr>
        <w:b w:val="0"/>
        <w:bCs w:val="0"/>
        <w:i w:val="0"/>
        <w:iCs w:val="0"/>
      </w:rPr>
    </w:lvl>
    <w:lvl w:ilvl="1" w:tplc="AD0E719C">
      <w:start w:val="1"/>
      <w:numFmt w:val="lowerRoman"/>
      <w:lvlText w:val="(%2)"/>
      <w:lvlJc w:val="left"/>
      <w:pPr>
        <w:ind w:left="72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3"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4"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B0013C2"/>
    <w:multiLevelType w:val="hybridMultilevel"/>
    <w:tmpl w:val="58064840"/>
    <w:lvl w:ilvl="0" w:tplc="D45C4E4C">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D2F2FCC"/>
    <w:multiLevelType w:val="hybridMultilevel"/>
    <w:tmpl w:val="AE325D84"/>
    <w:lvl w:ilvl="0" w:tplc="76FE66C0">
      <w:start w:val="3"/>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BAD1101"/>
    <w:multiLevelType w:val="multilevel"/>
    <w:tmpl w:val="766C753E"/>
    <w:lvl w:ilvl="0">
      <w:start w:val="1"/>
      <w:numFmt w:val="upperRoman"/>
      <w:pStyle w:val="berschrift1"/>
      <w:lvlText w:val="%1."/>
      <w:lvlJc w:val="righ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5"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38975619">
    <w:abstractNumId w:val="2"/>
  </w:num>
  <w:num w:numId="2" w16cid:durableId="1495532731">
    <w:abstractNumId w:val="2"/>
  </w:num>
  <w:num w:numId="3" w16cid:durableId="994409496">
    <w:abstractNumId w:val="24"/>
  </w:num>
  <w:num w:numId="4" w16cid:durableId="1880320868">
    <w:abstractNumId w:val="3"/>
  </w:num>
  <w:num w:numId="5" w16cid:durableId="290864581">
    <w:abstractNumId w:val="13"/>
  </w:num>
  <w:num w:numId="6" w16cid:durableId="952590553">
    <w:abstractNumId w:val="26"/>
  </w:num>
  <w:num w:numId="7" w16cid:durableId="1159686949">
    <w:abstractNumId w:val="12"/>
  </w:num>
  <w:num w:numId="8" w16cid:durableId="765269892">
    <w:abstractNumId w:val="5"/>
  </w:num>
  <w:num w:numId="9" w16cid:durableId="1301960395">
    <w:abstractNumId w:val="8"/>
  </w:num>
  <w:num w:numId="10" w16cid:durableId="1228616548">
    <w:abstractNumId w:val="7"/>
  </w:num>
  <w:num w:numId="11" w16cid:durableId="2051027016">
    <w:abstractNumId w:val="6"/>
  </w:num>
  <w:num w:numId="12" w16cid:durableId="833803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947560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87849168">
    <w:abstractNumId w:val="27"/>
  </w:num>
  <w:num w:numId="15" w16cid:durableId="986476960">
    <w:abstractNumId w:val="21"/>
  </w:num>
  <w:num w:numId="16" w16cid:durableId="398749299">
    <w:abstractNumId w:val="25"/>
  </w:num>
  <w:num w:numId="17" w16cid:durableId="140761180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439762317">
    <w:abstractNumId w:val="22"/>
  </w:num>
  <w:num w:numId="19" w16cid:durableId="558588771">
    <w:abstractNumId w:val="26"/>
  </w:num>
  <w:num w:numId="20" w16cid:durableId="1306933315">
    <w:abstractNumId w:val="10"/>
  </w:num>
  <w:num w:numId="21" w16cid:durableId="1623876054">
    <w:abstractNumId w:val="23"/>
  </w:num>
  <w:num w:numId="22" w16cid:durableId="783383837">
    <w:abstractNumId w:val="14"/>
  </w:num>
  <w:num w:numId="23" w16cid:durableId="2112964618">
    <w:abstractNumId w:val="20"/>
  </w:num>
  <w:num w:numId="24" w16cid:durableId="1958565453">
    <w:abstractNumId w:val="0"/>
  </w:num>
  <w:num w:numId="25" w16cid:durableId="1372725395">
    <w:abstractNumId w:val="18"/>
  </w:num>
  <w:num w:numId="26" w16cid:durableId="1686445133">
    <w:abstractNumId w:val="16"/>
  </w:num>
  <w:num w:numId="27" w16cid:durableId="1247768697">
    <w:abstractNumId w:val="9"/>
  </w:num>
  <w:num w:numId="28" w16cid:durableId="954170948">
    <w:abstractNumId w:val="1"/>
  </w:num>
  <w:num w:numId="29" w16cid:durableId="837424337">
    <w:abstractNumId w:val="17"/>
  </w:num>
  <w:num w:numId="30" w16cid:durableId="299657983">
    <w:abstractNumId w:val="4"/>
  </w:num>
  <w:num w:numId="31" w16cid:durableId="699822250">
    <w:abstractNumId w:val="15"/>
  </w:num>
  <w:num w:numId="32" w16cid:durableId="730466929">
    <w:abstractNumId w:val="11"/>
    <w:lvlOverride w:ilvl="0">
      <w:startOverride w:val="1"/>
    </w:lvlOverride>
  </w:num>
  <w:num w:numId="33" w16cid:durableId="552498262">
    <w:abstractNumId w:val="19"/>
  </w:num>
  <w:num w:numId="34" w16cid:durableId="1829132647">
    <w:abstractNumId w:val="11"/>
    <w:lvlOverride w:ilvl="0">
      <w:startOverride w:val="1"/>
    </w:lvlOverride>
  </w:num>
  <w:num w:numId="35" w16cid:durableId="1915964461">
    <w:abstractNumId w:val="11"/>
    <w:lvlOverride w:ilvl="0">
      <w:startOverride w:val="1"/>
    </w:lvlOverride>
  </w:num>
  <w:num w:numId="36" w16cid:durableId="1385182617">
    <w:abstractNumId w:val="1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hideSpellingErrors/>
  <w:hideGrammaticalErrors/>
  <w:activeWritingStyle w:appName="MSWord" w:lang="en-US" w:vendorID="64" w:dllVersion="0" w:nlCheck="1" w:checkStyle="0"/>
  <w:activeWritingStyle w:appName="MSWord" w:lang="en-GB" w:vendorID="64" w:dllVersion="0" w:nlCheck="1" w:checkStyle="0"/>
  <w:proofState w:spelling="clean" w:grammar="clean"/>
  <w:attachedTemplate r:id="rId1"/>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0205"/>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0920"/>
    <w:rsid w:val="000310AB"/>
    <w:rsid w:val="00033934"/>
    <w:rsid w:val="00036C09"/>
    <w:rsid w:val="000372BF"/>
    <w:rsid w:val="00040A52"/>
    <w:rsid w:val="00044C5A"/>
    <w:rsid w:val="00044E0A"/>
    <w:rsid w:val="00047C57"/>
    <w:rsid w:val="00054E00"/>
    <w:rsid w:val="00061B2B"/>
    <w:rsid w:val="000627C5"/>
    <w:rsid w:val="0006448C"/>
    <w:rsid w:val="0006449B"/>
    <w:rsid w:val="000655AD"/>
    <w:rsid w:val="00066FD1"/>
    <w:rsid w:val="000675C1"/>
    <w:rsid w:val="00072BF9"/>
    <w:rsid w:val="00073DF9"/>
    <w:rsid w:val="0007767E"/>
    <w:rsid w:val="0007796D"/>
    <w:rsid w:val="000830DA"/>
    <w:rsid w:val="00083FBB"/>
    <w:rsid w:val="00085E83"/>
    <w:rsid w:val="00086F71"/>
    <w:rsid w:val="00091119"/>
    <w:rsid w:val="000921E6"/>
    <w:rsid w:val="00092A70"/>
    <w:rsid w:val="00092D6C"/>
    <w:rsid w:val="00093239"/>
    <w:rsid w:val="000A03C9"/>
    <w:rsid w:val="000A08AF"/>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406A"/>
    <w:rsid w:val="000C5032"/>
    <w:rsid w:val="000C5ACC"/>
    <w:rsid w:val="000D0293"/>
    <w:rsid w:val="000D0850"/>
    <w:rsid w:val="000D1038"/>
    <w:rsid w:val="000D11A9"/>
    <w:rsid w:val="000D2D7B"/>
    <w:rsid w:val="000E0B40"/>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148E9"/>
    <w:rsid w:val="00120F0D"/>
    <w:rsid w:val="001214DA"/>
    <w:rsid w:val="00122068"/>
    <w:rsid w:val="0012722A"/>
    <w:rsid w:val="0013090E"/>
    <w:rsid w:val="00130EF9"/>
    <w:rsid w:val="001319C7"/>
    <w:rsid w:val="001355E6"/>
    <w:rsid w:val="0013644A"/>
    <w:rsid w:val="00140762"/>
    <w:rsid w:val="00140BA6"/>
    <w:rsid w:val="00141946"/>
    <w:rsid w:val="00141F1F"/>
    <w:rsid w:val="00143DCA"/>
    <w:rsid w:val="00144AAD"/>
    <w:rsid w:val="001455E7"/>
    <w:rsid w:val="0014624E"/>
    <w:rsid w:val="001522DD"/>
    <w:rsid w:val="0015394B"/>
    <w:rsid w:val="00155BAB"/>
    <w:rsid w:val="00156EFE"/>
    <w:rsid w:val="001608B2"/>
    <w:rsid w:val="00160FE0"/>
    <w:rsid w:val="00163AB3"/>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97AAF"/>
    <w:rsid w:val="001A1EF4"/>
    <w:rsid w:val="001A7046"/>
    <w:rsid w:val="001A710D"/>
    <w:rsid w:val="001A7E6F"/>
    <w:rsid w:val="001B0A77"/>
    <w:rsid w:val="001B1727"/>
    <w:rsid w:val="001B1B48"/>
    <w:rsid w:val="001B2151"/>
    <w:rsid w:val="001B3CFF"/>
    <w:rsid w:val="001B4957"/>
    <w:rsid w:val="001B4996"/>
    <w:rsid w:val="001C0E59"/>
    <w:rsid w:val="001C13DA"/>
    <w:rsid w:val="001C23A9"/>
    <w:rsid w:val="001C432D"/>
    <w:rsid w:val="001C469E"/>
    <w:rsid w:val="001C56C3"/>
    <w:rsid w:val="001C5D8C"/>
    <w:rsid w:val="001C7E0A"/>
    <w:rsid w:val="001D0112"/>
    <w:rsid w:val="001D19F5"/>
    <w:rsid w:val="001D260E"/>
    <w:rsid w:val="001D385A"/>
    <w:rsid w:val="001D3AC4"/>
    <w:rsid w:val="001D6B39"/>
    <w:rsid w:val="001E1ECD"/>
    <w:rsid w:val="001E3E0D"/>
    <w:rsid w:val="001E4A45"/>
    <w:rsid w:val="001E5AB7"/>
    <w:rsid w:val="001E5E30"/>
    <w:rsid w:val="001F0479"/>
    <w:rsid w:val="001F1F10"/>
    <w:rsid w:val="001F23C9"/>
    <w:rsid w:val="001F3999"/>
    <w:rsid w:val="001F3D9D"/>
    <w:rsid w:val="001F4AC8"/>
    <w:rsid w:val="00200894"/>
    <w:rsid w:val="00202333"/>
    <w:rsid w:val="00202FA8"/>
    <w:rsid w:val="002034B8"/>
    <w:rsid w:val="00205922"/>
    <w:rsid w:val="00206FB8"/>
    <w:rsid w:val="0020742E"/>
    <w:rsid w:val="0020766F"/>
    <w:rsid w:val="002077CE"/>
    <w:rsid w:val="00207A07"/>
    <w:rsid w:val="00210181"/>
    <w:rsid w:val="00210498"/>
    <w:rsid w:val="0021147A"/>
    <w:rsid w:val="00213BFB"/>
    <w:rsid w:val="002156A3"/>
    <w:rsid w:val="00217478"/>
    <w:rsid w:val="00220938"/>
    <w:rsid w:val="00224806"/>
    <w:rsid w:val="00226868"/>
    <w:rsid w:val="00232F8E"/>
    <w:rsid w:val="00233071"/>
    <w:rsid w:val="00235E99"/>
    <w:rsid w:val="0024299F"/>
    <w:rsid w:val="002449D8"/>
    <w:rsid w:val="00244B86"/>
    <w:rsid w:val="00244C97"/>
    <w:rsid w:val="00244D12"/>
    <w:rsid w:val="0024512F"/>
    <w:rsid w:val="00245406"/>
    <w:rsid w:val="002455D7"/>
    <w:rsid w:val="00245D2E"/>
    <w:rsid w:val="00246E1D"/>
    <w:rsid w:val="002472F6"/>
    <w:rsid w:val="0025020D"/>
    <w:rsid w:val="00254CC2"/>
    <w:rsid w:val="002574D1"/>
    <w:rsid w:val="00261CCB"/>
    <w:rsid w:val="00262E56"/>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802"/>
    <w:rsid w:val="00284AF2"/>
    <w:rsid w:val="0028536B"/>
    <w:rsid w:val="00285CED"/>
    <w:rsid w:val="00285EB5"/>
    <w:rsid w:val="00287C8F"/>
    <w:rsid w:val="00290893"/>
    <w:rsid w:val="002917B9"/>
    <w:rsid w:val="00291A55"/>
    <w:rsid w:val="0029394C"/>
    <w:rsid w:val="00294CE5"/>
    <w:rsid w:val="002A13B0"/>
    <w:rsid w:val="002A2C91"/>
    <w:rsid w:val="002A6C21"/>
    <w:rsid w:val="002A780E"/>
    <w:rsid w:val="002B144C"/>
    <w:rsid w:val="002B53F3"/>
    <w:rsid w:val="002C03FD"/>
    <w:rsid w:val="002C044D"/>
    <w:rsid w:val="002C1AA5"/>
    <w:rsid w:val="002C2A46"/>
    <w:rsid w:val="002C3048"/>
    <w:rsid w:val="002C76AE"/>
    <w:rsid w:val="002D2992"/>
    <w:rsid w:val="002D37A0"/>
    <w:rsid w:val="002D542D"/>
    <w:rsid w:val="002D5AB5"/>
    <w:rsid w:val="002D6667"/>
    <w:rsid w:val="002D761A"/>
    <w:rsid w:val="002D79F3"/>
    <w:rsid w:val="002E1C11"/>
    <w:rsid w:val="002E3D0B"/>
    <w:rsid w:val="002E3E7D"/>
    <w:rsid w:val="002E609F"/>
    <w:rsid w:val="002E6A8E"/>
    <w:rsid w:val="002F6279"/>
    <w:rsid w:val="00300F55"/>
    <w:rsid w:val="003013B7"/>
    <w:rsid w:val="00301993"/>
    <w:rsid w:val="00301E55"/>
    <w:rsid w:val="00307397"/>
    <w:rsid w:val="003101EF"/>
    <w:rsid w:val="00312BDD"/>
    <w:rsid w:val="00314117"/>
    <w:rsid w:val="00317EDF"/>
    <w:rsid w:val="00322B55"/>
    <w:rsid w:val="00326A0D"/>
    <w:rsid w:val="003279E7"/>
    <w:rsid w:val="00327B62"/>
    <w:rsid w:val="00331FE9"/>
    <w:rsid w:val="0033324D"/>
    <w:rsid w:val="0033587C"/>
    <w:rsid w:val="0033696D"/>
    <w:rsid w:val="00336BF9"/>
    <w:rsid w:val="003371E8"/>
    <w:rsid w:val="00337471"/>
    <w:rsid w:val="0034151D"/>
    <w:rsid w:val="00342B5B"/>
    <w:rsid w:val="00343532"/>
    <w:rsid w:val="00345028"/>
    <w:rsid w:val="00345469"/>
    <w:rsid w:val="003454ED"/>
    <w:rsid w:val="00345EB9"/>
    <w:rsid w:val="0035030F"/>
    <w:rsid w:val="003519DD"/>
    <w:rsid w:val="00351B68"/>
    <w:rsid w:val="00351F68"/>
    <w:rsid w:val="00353C4B"/>
    <w:rsid w:val="003545A6"/>
    <w:rsid w:val="00356C60"/>
    <w:rsid w:val="003578D1"/>
    <w:rsid w:val="00357DB2"/>
    <w:rsid w:val="00363639"/>
    <w:rsid w:val="00366D42"/>
    <w:rsid w:val="0036748C"/>
    <w:rsid w:val="00372615"/>
    <w:rsid w:val="00372EA3"/>
    <w:rsid w:val="0037311D"/>
    <w:rsid w:val="0037358E"/>
    <w:rsid w:val="00373A3C"/>
    <w:rsid w:val="00373AB8"/>
    <w:rsid w:val="00373FCF"/>
    <w:rsid w:val="0037554F"/>
    <w:rsid w:val="00376233"/>
    <w:rsid w:val="00380B30"/>
    <w:rsid w:val="00381784"/>
    <w:rsid w:val="00381EB0"/>
    <w:rsid w:val="00382A72"/>
    <w:rsid w:val="00382EBA"/>
    <w:rsid w:val="0038331A"/>
    <w:rsid w:val="0039135B"/>
    <w:rsid w:val="003A34E7"/>
    <w:rsid w:val="003A3CB1"/>
    <w:rsid w:val="003A3D55"/>
    <w:rsid w:val="003A73A4"/>
    <w:rsid w:val="003B102E"/>
    <w:rsid w:val="003B26BA"/>
    <w:rsid w:val="003B4E3D"/>
    <w:rsid w:val="003C167E"/>
    <w:rsid w:val="003C481D"/>
    <w:rsid w:val="003C4EB5"/>
    <w:rsid w:val="003D1099"/>
    <w:rsid w:val="003D2CED"/>
    <w:rsid w:val="003D344A"/>
    <w:rsid w:val="003D3BB8"/>
    <w:rsid w:val="003D72F4"/>
    <w:rsid w:val="003D7C07"/>
    <w:rsid w:val="003E13FD"/>
    <w:rsid w:val="003E1C24"/>
    <w:rsid w:val="003E61FC"/>
    <w:rsid w:val="003E77BC"/>
    <w:rsid w:val="003F0EDF"/>
    <w:rsid w:val="003F20C7"/>
    <w:rsid w:val="003F39B1"/>
    <w:rsid w:val="003F6F1C"/>
    <w:rsid w:val="00400D9C"/>
    <w:rsid w:val="00400FBE"/>
    <w:rsid w:val="00401DC3"/>
    <w:rsid w:val="004022CF"/>
    <w:rsid w:val="004029B1"/>
    <w:rsid w:val="004038F1"/>
    <w:rsid w:val="00404282"/>
    <w:rsid w:val="00404ED5"/>
    <w:rsid w:val="00406077"/>
    <w:rsid w:val="0040743A"/>
    <w:rsid w:val="00407623"/>
    <w:rsid w:val="00407A74"/>
    <w:rsid w:val="004114D5"/>
    <w:rsid w:val="00414210"/>
    <w:rsid w:val="004159DB"/>
    <w:rsid w:val="00420FD4"/>
    <w:rsid w:val="004242B3"/>
    <w:rsid w:val="00424A4F"/>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577"/>
    <w:rsid w:val="00456795"/>
    <w:rsid w:val="004578B3"/>
    <w:rsid w:val="0046150E"/>
    <w:rsid w:val="00461CC8"/>
    <w:rsid w:val="00462B2F"/>
    <w:rsid w:val="00462E09"/>
    <w:rsid w:val="00465EAA"/>
    <w:rsid w:val="004703BF"/>
    <w:rsid w:val="004708CA"/>
    <w:rsid w:val="004709E7"/>
    <w:rsid w:val="00470ADE"/>
    <w:rsid w:val="004712C7"/>
    <w:rsid w:val="004759EB"/>
    <w:rsid w:val="00477919"/>
    <w:rsid w:val="00482611"/>
    <w:rsid w:val="00482A27"/>
    <w:rsid w:val="00487DCE"/>
    <w:rsid w:val="00492701"/>
    <w:rsid w:val="004950B7"/>
    <w:rsid w:val="0049534D"/>
    <w:rsid w:val="00497FEA"/>
    <w:rsid w:val="004A75F5"/>
    <w:rsid w:val="004B07B2"/>
    <w:rsid w:val="004B0955"/>
    <w:rsid w:val="004B143D"/>
    <w:rsid w:val="004B1842"/>
    <w:rsid w:val="004B25D0"/>
    <w:rsid w:val="004B3553"/>
    <w:rsid w:val="004B4264"/>
    <w:rsid w:val="004B5E92"/>
    <w:rsid w:val="004B6859"/>
    <w:rsid w:val="004C0A30"/>
    <w:rsid w:val="004C357C"/>
    <w:rsid w:val="004C3D18"/>
    <w:rsid w:val="004D3C54"/>
    <w:rsid w:val="004D42B1"/>
    <w:rsid w:val="004D526F"/>
    <w:rsid w:val="004E0583"/>
    <w:rsid w:val="004E19C0"/>
    <w:rsid w:val="004E1C54"/>
    <w:rsid w:val="004E2C37"/>
    <w:rsid w:val="004E5285"/>
    <w:rsid w:val="004F0CF3"/>
    <w:rsid w:val="004F18CC"/>
    <w:rsid w:val="004F5740"/>
    <w:rsid w:val="004F58C9"/>
    <w:rsid w:val="005003D0"/>
    <w:rsid w:val="005028B9"/>
    <w:rsid w:val="00503A3F"/>
    <w:rsid w:val="00505E17"/>
    <w:rsid w:val="00511A59"/>
    <w:rsid w:val="00511C3B"/>
    <w:rsid w:val="00513DA2"/>
    <w:rsid w:val="00514440"/>
    <w:rsid w:val="005166C3"/>
    <w:rsid w:val="00520F7C"/>
    <w:rsid w:val="00523974"/>
    <w:rsid w:val="00526E5D"/>
    <w:rsid w:val="00527517"/>
    <w:rsid w:val="00531432"/>
    <w:rsid w:val="00532BC8"/>
    <w:rsid w:val="005333E8"/>
    <w:rsid w:val="00534912"/>
    <w:rsid w:val="005370E7"/>
    <w:rsid w:val="005409B7"/>
    <w:rsid w:val="00545E62"/>
    <w:rsid w:val="00550FB9"/>
    <w:rsid w:val="00551070"/>
    <w:rsid w:val="00552C8A"/>
    <w:rsid w:val="00555156"/>
    <w:rsid w:val="0055535B"/>
    <w:rsid w:val="00560A96"/>
    <w:rsid w:val="005619CB"/>
    <w:rsid w:val="00561B71"/>
    <w:rsid w:val="00561F98"/>
    <w:rsid w:val="00564607"/>
    <w:rsid w:val="00565193"/>
    <w:rsid w:val="005664AB"/>
    <w:rsid w:val="0057066F"/>
    <w:rsid w:val="005725BD"/>
    <w:rsid w:val="005730B0"/>
    <w:rsid w:val="00575DCC"/>
    <w:rsid w:val="005821B0"/>
    <w:rsid w:val="0059175F"/>
    <w:rsid w:val="00591AAC"/>
    <w:rsid w:val="00592006"/>
    <w:rsid w:val="00595F08"/>
    <w:rsid w:val="00595FBE"/>
    <w:rsid w:val="005A1C55"/>
    <w:rsid w:val="005B03BB"/>
    <w:rsid w:val="005B169D"/>
    <w:rsid w:val="005B467C"/>
    <w:rsid w:val="005B4ACA"/>
    <w:rsid w:val="005B6B12"/>
    <w:rsid w:val="005C1299"/>
    <w:rsid w:val="005C19E9"/>
    <w:rsid w:val="005C2DBC"/>
    <w:rsid w:val="005C5F13"/>
    <w:rsid w:val="005C65F9"/>
    <w:rsid w:val="005C6B0E"/>
    <w:rsid w:val="005C7E1F"/>
    <w:rsid w:val="005D1B9E"/>
    <w:rsid w:val="005D1F6B"/>
    <w:rsid w:val="005D2DE7"/>
    <w:rsid w:val="005D331C"/>
    <w:rsid w:val="005D5C48"/>
    <w:rsid w:val="005D6355"/>
    <w:rsid w:val="005D7AAF"/>
    <w:rsid w:val="005E0C59"/>
    <w:rsid w:val="005E18DE"/>
    <w:rsid w:val="005E1DA3"/>
    <w:rsid w:val="005E306B"/>
    <w:rsid w:val="005E3CD8"/>
    <w:rsid w:val="005E53D0"/>
    <w:rsid w:val="005E5785"/>
    <w:rsid w:val="005E6098"/>
    <w:rsid w:val="005E7969"/>
    <w:rsid w:val="005F0C93"/>
    <w:rsid w:val="005F3F22"/>
    <w:rsid w:val="005F4FC0"/>
    <w:rsid w:val="005F540F"/>
    <w:rsid w:val="005F5491"/>
    <w:rsid w:val="005F6144"/>
    <w:rsid w:val="005F6573"/>
    <w:rsid w:val="005F6CF8"/>
    <w:rsid w:val="00601541"/>
    <w:rsid w:val="0060361E"/>
    <w:rsid w:val="006040AD"/>
    <w:rsid w:val="00604A25"/>
    <w:rsid w:val="00606683"/>
    <w:rsid w:val="006072C6"/>
    <w:rsid w:val="00613BF6"/>
    <w:rsid w:val="00616D27"/>
    <w:rsid w:val="006234FE"/>
    <w:rsid w:val="00623840"/>
    <w:rsid w:val="006255EC"/>
    <w:rsid w:val="00625A25"/>
    <w:rsid w:val="0062736A"/>
    <w:rsid w:val="0063565E"/>
    <w:rsid w:val="00636E02"/>
    <w:rsid w:val="006372FE"/>
    <w:rsid w:val="00640691"/>
    <w:rsid w:val="00641DB1"/>
    <w:rsid w:val="00642297"/>
    <w:rsid w:val="00644A34"/>
    <w:rsid w:val="00654824"/>
    <w:rsid w:val="00655791"/>
    <w:rsid w:val="00657A28"/>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7BF0"/>
    <w:rsid w:val="006904CF"/>
    <w:rsid w:val="006912FB"/>
    <w:rsid w:val="00695AF2"/>
    <w:rsid w:val="00696A2B"/>
    <w:rsid w:val="00696BD5"/>
    <w:rsid w:val="006A04AE"/>
    <w:rsid w:val="006A0AE4"/>
    <w:rsid w:val="006A23F3"/>
    <w:rsid w:val="006A2CF3"/>
    <w:rsid w:val="006A5047"/>
    <w:rsid w:val="006A5E48"/>
    <w:rsid w:val="006A7A10"/>
    <w:rsid w:val="006B0DA4"/>
    <w:rsid w:val="006B1B6B"/>
    <w:rsid w:val="006B2C57"/>
    <w:rsid w:val="006B391B"/>
    <w:rsid w:val="006B79E0"/>
    <w:rsid w:val="006C0B2D"/>
    <w:rsid w:val="006C1633"/>
    <w:rsid w:val="006C5BF8"/>
    <w:rsid w:val="006C7CCB"/>
    <w:rsid w:val="006D3F14"/>
    <w:rsid w:val="006D3FDF"/>
    <w:rsid w:val="006D6009"/>
    <w:rsid w:val="006D7D41"/>
    <w:rsid w:val="006E017A"/>
    <w:rsid w:val="006E2F4D"/>
    <w:rsid w:val="006E3FDD"/>
    <w:rsid w:val="006E58FB"/>
    <w:rsid w:val="006E5D82"/>
    <w:rsid w:val="006E66B2"/>
    <w:rsid w:val="006E6C50"/>
    <w:rsid w:val="006E7A69"/>
    <w:rsid w:val="006E7DE4"/>
    <w:rsid w:val="006F53E8"/>
    <w:rsid w:val="006F5FB8"/>
    <w:rsid w:val="0070017B"/>
    <w:rsid w:val="0070427E"/>
    <w:rsid w:val="00704D53"/>
    <w:rsid w:val="007056C3"/>
    <w:rsid w:val="00706072"/>
    <w:rsid w:val="00713644"/>
    <w:rsid w:val="007148CC"/>
    <w:rsid w:val="00721256"/>
    <w:rsid w:val="007217AD"/>
    <w:rsid w:val="007219A9"/>
    <w:rsid w:val="00723BA1"/>
    <w:rsid w:val="00724A1B"/>
    <w:rsid w:val="007251F1"/>
    <w:rsid w:val="0073173E"/>
    <w:rsid w:val="007319C3"/>
    <w:rsid w:val="0073454F"/>
    <w:rsid w:val="00735C00"/>
    <w:rsid w:val="007364C6"/>
    <w:rsid w:val="00740BF3"/>
    <w:rsid w:val="00741D5C"/>
    <w:rsid w:val="0074352F"/>
    <w:rsid w:val="00747C5E"/>
    <w:rsid w:val="00750210"/>
    <w:rsid w:val="0075162F"/>
    <w:rsid w:val="00754844"/>
    <w:rsid w:val="00754B57"/>
    <w:rsid w:val="0075671D"/>
    <w:rsid w:val="0076002F"/>
    <w:rsid w:val="0076038B"/>
    <w:rsid w:val="00761744"/>
    <w:rsid w:val="00764582"/>
    <w:rsid w:val="00765FA3"/>
    <w:rsid w:val="00766961"/>
    <w:rsid w:val="00766B5A"/>
    <w:rsid w:val="00767D5D"/>
    <w:rsid w:val="0077026A"/>
    <w:rsid w:val="00770C33"/>
    <w:rsid w:val="007741C3"/>
    <w:rsid w:val="00777BE0"/>
    <w:rsid w:val="00777CFF"/>
    <w:rsid w:val="00780923"/>
    <w:rsid w:val="00781265"/>
    <w:rsid w:val="0078131F"/>
    <w:rsid w:val="00782B0F"/>
    <w:rsid w:val="007844C6"/>
    <w:rsid w:val="007876EF"/>
    <w:rsid w:val="00790306"/>
    <w:rsid w:val="0079364C"/>
    <w:rsid w:val="007942B9"/>
    <w:rsid w:val="00796C7F"/>
    <w:rsid w:val="00797E0C"/>
    <w:rsid w:val="007A160F"/>
    <w:rsid w:val="007A3054"/>
    <w:rsid w:val="007A48BC"/>
    <w:rsid w:val="007B0BC1"/>
    <w:rsid w:val="007B354B"/>
    <w:rsid w:val="007B4FC3"/>
    <w:rsid w:val="007B73F3"/>
    <w:rsid w:val="007B7EE5"/>
    <w:rsid w:val="007C1C28"/>
    <w:rsid w:val="007C2A2C"/>
    <w:rsid w:val="007C3577"/>
    <w:rsid w:val="007C4879"/>
    <w:rsid w:val="007C5E08"/>
    <w:rsid w:val="007D0002"/>
    <w:rsid w:val="007D3931"/>
    <w:rsid w:val="007D7A59"/>
    <w:rsid w:val="007E0E75"/>
    <w:rsid w:val="007E53F5"/>
    <w:rsid w:val="007E5AD2"/>
    <w:rsid w:val="007E5C4E"/>
    <w:rsid w:val="007E6E9E"/>
    <w:rsid w:val="007E7637"/>
    <w:rsid w:val="007E7997"/>
    <w:rsid w:val="007F014A"/>
    <w:rsid w:val="007F04EF"/>
    <w:rsid w:val="007F0763"/>
    <w:rsid w:val="007F1DE9"/>
    <w:rsid w:val="007F25C2"/>
    <w:rsid w:val="007F4F88"/>
    <w:rsid w:val="007F5642"/>
    <w:rsid w:val="007F5822"/>
    <w:rsid w:val="007F5B86"/>
    <w:rsid w:val="00800A7F"/>
    <w:rsid w:val="0080285D"/>
    <w:rsid w:val="0081028F"/>
    <w:rsid w:val="008107D9"/>
    <w:rsid w:val="0081093B"/>
    <w:rsid w:val="008116D9"/>
    <w:rsid w:val="00811792"/>
    <w:rsid w:val="00811936"/>
    <w:rsid w:val="00812BE2"/>
    <w:rsid w:val="00813059"/>
    <w:rsid w:val="008157C8"/>
    <w:rsid w:val="00815C43"/>
    <w:rsid w:val="008173E2"/>
    <w:rsid w:val="008201C3"/>
    <w:rsid w:val="00820422"/>
    <w:rsid w:val="00820655"/>
    <w:rsid w:val="008227D7"/>
    <w:rsid w:val="008249A1"/>
    <w:rsid w:val="00825D43"/>
    <w:rsid w:val="0082632D"/>
    <w:rsid w:val="008279D3"/>
    <w:rsid w:val="00832500"/>
    <w:rsid w:val="00832787"/>
    <w:rsid w:val="00833000"/>
    <w:rsid w:val="00833D10"/>
    <w:rsid w:val="0083507E"/>
    <w:rsid w:val="00835192"/>
    <w:rsid w:val="00835805"/>
    <w:rsid w:val="0083595F"/>
    <w:rsid w:val="00835AF4"/>
    <w:rsid w:val="008372B6"/>
    <w:rsid w:val="008434E4"/>
    <w:rsid w:val="00843A1A"/>
    <w:rsid w:val="00843C36"/>
    <w:rsid w:val="00846433"/>
    <w:rsid w:val="008472C2"/>
    <w:rsid w:val="00850B43"/>
    <w:rsid w:val="008510D9"/>
    <w:rsid w:val="00851EE3"/>
    <w:rsid w:val="00853121"/>
    <w:rsid w:val="00854EFB"/>
    <w:rsid w:val="008555E4"/>
    <w:rsid w:val="00864124"/>
    <w:rsid w:val="00864521"/>
    <w:rsid w:val="00864E60"/>
    <w:rsid w:val="00866A09"/>
    <w:rsid w:val="00871163"/>
    <w:rsid w:val="008712BF"/>
    <w:rsid w:val="00872209"/>
    <w:rsid w:val="008731EB"/>
    <w:rsid w:val="00873656"/>
    <w:rsid w:val="00880140"/>
    <w:rsid w:val="00880450"/>
    <w:rsid w:val="008842F7"/>
    <w:rsid w:val="00885B94"/>
    <w:rsid w:val="0089075A"/>
    <w:rsid w:val="00890F80"/>
    <w:rsid w:val="00892BFD"/>
    <w:rsid w:val="0089338A"/>
    <w:rsid w:val="00894199"/>
    <w:rsid w:val="008943F0"/>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4BF9"/>
    <w:rsid w:val="008C5E91"/>
    <w:rsid w:val="008C686D"/>
    <w:rsid w:val="008C6B18"/>
    <w:rsid w:val="008C75E6"/>
    <w:rsid w:val="008C767A"/>
    <w:rsid w:val="008C7A73"/>
    <w:rsid w:val="008D0569"/>
    <w:rsid w:val="008D077F"/>
    <w:rsid w:val="008D28FD"/>
    <w:rsid w:val="008D59F9"/>
    <w:rsid w:val="008D5C28"/>
    <w:rsid w:val="008E00A6"/>
    <w:rsid w:val="008E1C54"/>
    <w:rsid w:val="008E2D26"/>
    <w:rsid w:val="008E3C8E"/>
    <w:rsid w:val="008E4076"/>
    <w:rsid w:val="008E7DBA"/>
    <w:rsid w:val="008F1993"/>
    <w:rsid w:val="008F3386"/>
    <w:rsid w:val="008F3AD9"/>
    <w:rsid w:val="008F4642"/>
    <w:rsid w:val="008F4C29"/>
    <w:rsid w:val="008F4E00"/>
    <w:rsid w:val="008F6163"/>
    <w:rsid w:val="008F761D"/>
    <w:rsid w:val="00900D44"/>
    <w:rsid w:val="00902520"/>
    <w:rsid w:val="00906DC4"/>
    <w:rsid w:val="00911A61"/>
    <w:rsid w:val="00912F2A"/>
    <w:rsid w:val="0091457F"/>
    <w:rsid w:val="0091729E"/>
    <w:rsid w:val="0093261E"/>
    <w:rsid w:val="00934752"/>
    <w:rsid w:val="0094008E"/>
    <w:rsid w:val="00941C0C"/>
    <w:rsid w:val="00942F72"/>
    <w:rsid w:val="009437F2"/>
    <w:rsid w:val="0094528B"/>
    <w:rsid w:val="00960A8B"/>
    <w:rsid w:val="00965128"/>
    <w:rsid w:val="00967068"/>
    <w:rsid w:val="00973F43"/>
    <w:rsid w:val="0097785D"/>
    <w:rsid w:val="0098011D"/>
    <w:rsid w:val="00981912"/>
    <w:rsid w:val="009819C0"/>
    <w:rsid w:val="009835AD"/>
    <w:rsid w:val="00987A75"/>
    <w:rsid w:val="00990C72"/>
    <w:rsid w:val="00991A8A"/>
    <w:rsid w:val="00992611"/>
    <w:rsid w:val="00994303"/>
    <w:rsid w:val="0099526D"/>
    <w:rsid w:val="00996C8B"/>
    <w:rsid w:val="009A0054"/>
    <w:rsid w:val="009A0F6E"/>
    <w:rsid w:val="009A2D9C"/>
    <w:rsid w:val="009A38D9"/>
    <w:rsid w:val="009A5548"/>
    <w:rsid w:val="009B20B9"/>
    <w:rsid w:val="009B25C1"/>
    <w:rsid w:val="009B57AF"/>
    <w:rsid w:val="009B6408"/>
    <w:rsid w:val="009B7B79"/>
    <w:rsid w:val="009C0383"/>
    <w:rsid w:val="009C145B"/>
    <w:rsid w:val="009C3E04"/>
    <w:rsid w:val="009C4FB0"/>
    <w:rsid w:val="009C6BEC"/>
    <w:rsid w:val="009C75D1"/>
    <w:rsid w:val="009C7694"/>
    <w:rsid w:val="009D0570"/>
    <w:rsid w:val="009D3E5C"/>
    <w:rsid w:val="009D495C"/>
    <w:rsid w:val="009D570F"/>
    <w:rsid w:val="009D5E88"/>
    <w:rsid w:val="009D664B"/>
    <w:rsid w:val="009D6E1A"/>
    <w:rsid w:val="009D7294"/>
    <w:rsid w:val="009E1690"/>
    <w:rsid w:val="009E18AF"/>
    <w:rsid w:val="009E2C9D"/>
    <w:rsid w:val="009E2CDD"/>
    <w:rsid w:val="009E3545"/>
    <w:rsid w:val="009E4FCE"/>
    <w:rsid w:val="009E522E"/>
    <w:rsid w:val="009E71E1"/>
    <w:rsid w:val="009F0ABA"/>
    <w:rsid w:val="009F0AF5"/>
    <w:rsid w:val="009F428B"/>
    <w:rsid w:val="00A02199"/>
    <w:rsid w:val="00A026A4"/>
    <w:rsid w:val="00A04044"/>
    <w:rsid w:val="00A055DD"/>
    <w:rsid w:val="00A10E49"/>
    <w:rsid w:val="00A11D0C"/>
    <w:rsid w:val="00A16579"/>
    <w:rsid w:val="00A21DF7"/>
    <w:rsid w:val="00A24843"/>
    <w:rsid w:val="00A25AB7"/>
    <w:rsid w:val="00A26D48"/>
    <w:rsid w:val="00A31C7C"/>
    <w:rsid w:val="00A367AA"/>
    <w:rsid w:val="00A378DF"/>
    <w:rsid w:val="00A37AC6"/>
    <w:rsid w:val="00A409C2"/>
    <w:rsid w:val="00A410CC"/>
    <w:rsid w:val="00A4174B"/>
    <w:rsid w:val="00A42B43"/>
    <w:rsid w:val="00A42BD0"/>
    <w:rsid w:val="00A433DC"/>
    <w:rsid w:val="00A43D2C"/>
    <w:rsid w:val="00A460CD"/>
    <w:rsid w:val="00A50761"/>
    <w:rsid w:val="00A51DF2"/>
    <w:rsid w:val="00A53AF0"/>
    <w:rsid w:val="00A54ED7"/>
    <w:rsid w:val="00A61561"/>
    <w:rsid w:val="00A63249"/>
    <w:rsid w:val="00A6691F"/>
    <w:rsid w:val="00A67E6A"/>
    <w:rsid w:val="00A70F49"/>
    <w:rsid w:val="00A72203"/>
    <w:rsid w:val="00A7281F"/>
    <w:rsid w:val="00A73299"/>
    <w:rsid w:val="00A73949"/>
    <w:rsid w:val="00A76707"/>
    <w:rsid w:val="00A7697E"/>
    <w:rsid w:val="00A76C98"/>
    <w:rsid w:val="00A76E20"/>
    <w:rsid w:val="00A8284E"/>
    <w:rsid w:val="00A8489A"/>
    <w:rsid w:val="00A870EE"/>
    <w:rsid w:val="00A91D91"/>
    <w:rsid w:val="00A94834"/>
    <w:rsid w:val="00A96F81"/>
    <w:rsid w:val="00A9709D"/>
    <w:rsid w:val="00AA054E"/>
    <w:rsid w:val="00AA0A10"/>
    <w:rsid w:val="00AA1B9D"/>
    <w:rsid w:val="00AA2094"/>
    <w:rsid w:val="00AA2947"/>
    <w:rsid w:val="00AA516D"/>
    <w:rsid w:val="00AA7461"/>
    <w:rsid w:val="00AB1894"/>
    <w:rsid w:val="00AB22DF"/>
    <w:rsid w:val="00AB2C3F"/>
    <w:rsid w:val="00AB30EA"/>
    <w:rsid w:val="00AB458B"/>
    <w:rsid w:val="00AB45E4"/>
    <w:rsid w:val="00AB6157"/>
    <w:rsid w:val="00AB7542"/>
    <w:rsid w:val="00AC022D"/>
    <w:rsid w:val="00AC0629"/>
    <w:rsid w:val="00AC70C7"/>
    <w:rsid w:val="00AC79E0"/>
    <w:rsid w:val="00AD32CE"/>
    <w:rsid w:val="00AD5187"/>
    <w:rsid w:val="00AD5471"/>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406"/>
    <w:rsid w:val="00B14F01"/>
    <w:rsid w:val="00B15525"/>
    <w:rsid w:val="00B15C0B"/>
    <w:rsid w:val="00B16706"/>
    <w:rsid w:val="00B174BA"/>
    <w:rsid w:val="00B17AF3"/>
    <w:rsid w:val="00B223B5"/>
    <w:rsid w:val="00B229AD"/>
    <w:rsid w:val="00B237BC"/>
    <w:rsid w:val="00B25A49"/>
    <w:rsid w:val="00B26EBB"/>
    <w:rsid w:val="00B27499"/>
    <w:rsid w:val="00B30FEC"/>
    <w:rsid w:val="00B335C4"/>
    <w:rsid w:val="00B3369E"/>
    <w:rsid w:val="00B33D9A"/>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6736"/>
    <w:rsid w:val="00B57687"/>
    <w:rsid w:val="00B578E3"/>
    <w:rsid w:val="00B57CE5"/>
    <w:rsid w:val="00B63379"/>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29AA"/>
    <w:rsid w:val="00BB449C"/>
    <w:rsid w:val="00BB44D7"/>
    <w:rsid w:val="00BC2561"/>
    <w:rsid w:val="00BC3E3E"/>
    <w:rsid w:val="00BC422A"/>
    <w:rsid w:val="00BC5128"/>
    <w:rsid w:val="00BC5608"/>
    <w:rsid w:val="00BD04C9"/>
    <w:rsid w:val="00BD3536"/>
    <w:rsid w:val="00BD37FD"/>
    <w:rsid w:val="00BD5514"/>
    <w:rsid w:val="00BD5715"/>
    <w:rsid w:val="00BD7C86"/>
    <w:rsid w:val="00BE0B46"/>
    <w:rsid w:val="00BE225E"/>
    <w:rsid w:val="00BE237E"/>
    <w:rsid w:val="00BE3703"/>
    <w:rsid w:val="00BE567F"/>
    <w:rsid w:val="00BF0A29"/>
    <w:rsid w:val="00BF25CD"/>
    <w:rsid w:val="00BF5553"/>
    <w:rsid w:val="00BF75CD"/>
    <w:rsid w:val="00C00D4F"/>
    <w:rsid w:val="00C00F1C"/>
    <w:rsid w:val="00C0346D"/>
    <w:rsid w:val="00C0358F"/>
    <w:rsid w:val="00C03BB0"/>
    <w:rsid w:val="00C041CF"/>
    <w:rsid w:val="00C0696A"/>
    <w:rsid w:val="00C11CFA"/>
    <w:rsid w:val="00C12034"/>
    <w:rsid w:val="00C1396B"/>
    <w:rsid w:val="00C16775"/>
    <w:rsid w:val="00C1698A"/>
    <w:rsid w:val="00C17150"/>
    <w:rsid w:val="00C17E6C"/>
    <w:rsid w:val="00C249CC"/>
    <w:rsid w:val="00C24E5F"/>
    <w:rsid w:val="00C255B6"/>
    <w:rsid w:val="00C262E7"/>
    <w:rsid w:val="00C26F3A"/>
    <w:rsid w:val="00C2770B"/>
    <w:rsid w:val="00C30296"/>
    <w:rsid w:val="00C3170E"/>
    <w:rsid w:val="00C31947"/>
    <w:rsid w:val="00C40053"/>
    <w:rsid w:val="00C4294D"/>
    <w:rsid w:val="00C444C8"/>
    <w:rsid w:val="00C452DD"/>
    <w:rsid w:val="00C45856"/>
    <w:rsid w:val="00C46603"/>
    <w:rsid w:val="00C50C36"/>
    <w:rsid w:val="00C54316"/>
    <w:rsid w:val="00C55208"/>
    <w:rsid w:val="00C5527D"/>
    <w:rsid w:val="00C61B1A"/>
    <w:rsid w:val="00C62A53"/>
    <w:rsid w:val="00C709F9"/>
    <w:rsid w:val="00C73A00"/>
    <w:rsid w:val="00C73A70"/>
    <w:rsid w:val="00C76054"/>
    <w:rsid w:val="00C7701B"/>
    <w:rsid w:val="00C779A2"/>
    <w:rsid w:val="00C80546"/>
    <w:rsid w:val="00C83CAD"/>
    <w:rsid w:val="00C8419E"/>
    <w:rsid w:val="00C851D7"/>
    <w:rsid w:val="00C85C53"/>
    <w:rsid w:val="00C85C8B"/>
    <w:rsid w:val="00C867AD"/>
    <w:rsid w:val="00C87F9F"/>
    <w:rsid w:val="00C9545D"/>
    <w:rsid w:val="00C9625C"/>
    <w:rsid w:val="00C978C6"/>
    <w:rsid w:val="00C97F2A"/>
    <w:rsid w:val="00C97F9B"/>
    <w:rsid w:val="00CA112D"/>
    <w:rsid w:val="00CA1F9F"/>
    <w:rsid w:val="00CA2179"/>
    <w:rsid w:val="00CA2874"/>
    <w:rsid w:val="00CA3D8A"/>
    <w:rsid w:val="00CA4A87"/>
    <w:rsid w:val="00CA4B29"/>
    <w:rsid w:val="00CB0C0C"/>
    <w:rsid w:val="00CB4B3E"/>
    <w:rsid w:val="00CB50EF"/>
    <w:rsid w:val="00CB623F"/>
    <w:rsid w:val="00CB7694"/>
    <w:rsid w:val="00CB791A"/>
    <w:rsid w:val="00CB7D1B"/>
    <w:rsid w:val="00CC11DF"/>
    <w:rsid w:val="00CC1A6E"/>
    <w:rsid w:val="00CC3F62"/>
    <w:rsid w:val="00CC536E"/>
    <w:rsid w:val="00CC59DD"/>
    <w:rsid w:val="00CC7FC6"/>
    <w:rsid w:val="00CD47B2"/>
    <w:rsid w:val="00CD5AFD"/>
    <w:rsid w:val="00CD74EB"/>
    <w:rsid w:val="00CE1DDD"/>
    <w:rsid w:val="00CE49F8"/>
    <w:rsid w:val="00CE4E1E"/>
    <w:rsid w:val="00CE66B5"/>
    <w:rsid w:val="00CF52DF"/>
    <w:rsid w:val="00CF5832"/>
    <w:rsid w:val="00CF5911"/>
    <w:rsid w:val="00CF7221"/>
    <w:rsid w:val="00CF724E"/>
    <w:rsid w:val="00D049C7"/>
    <w:rsid w:val="00D059F5"/>
    <w:rsid w:val="00D07446"/>
    <w:rsid w:val="00D117F5"/>
    <w:rsid w:val="00D11B30"/>
    <w:rsid w:val="00D13661"/>
    <w:rsid w:val="00D142BD"/>
    <w:rsid w:val="00D146DE"/>
    <w:rsid w:val="00D17FEC"/>
    <w:rsid w:val="00D200E7"/>
    <w:rsid w:val="00D21427"/>
    <w:rsid w:val="00D22164"/>
    <w:rsid w:val="00D22B86"/>
    <w:rsid w:val="00D22F2F"/>
    <w:rsid w:val="00D24194"/>
    <w:rsid w:val="00D2460F"/>
    <w:rsid w:val="00D2590F"/>
    <w:rsid w:val="00D26321"/>
    <w:rsid w:val="00D26CD0"/>
    <w:rsid w:val="00D27150"/>
    <w:rsid w:val="00D27EB3"/>
    <w:rsid w:val="00D3588B"/>
    <w:rsid w:val="00D35E02"/>
    <w:rsid w:val="00D378C9"/>
    <w:rsid w:val="00D37B9F"/>
    <w:rsid w:val="00D41425"/>
    <w:rsid w:val="00D46275"/>
    <w:rsid w:val="00D467CA"/>
    <w:rsid w:val="00D4759B"/>
    <w:rsid w:val="00D500A4"/>
    <w:rsid w:val="00D51205"/>
    <w:rsid w:val="00D516FC"/>
    <w:rsid w:val="00D51F2D"/>
    <w:rsid w:val="00D535EE"/>
    <w:rsid w:val="00D54FC4"/>
    <w:rsid w:val="00D57019"/>
    <w:rsid w:val="00D574C1"/>
    <w:rsid w:val="00D57615"/>
    <w:rsid w:val="00D577C9"/>
    <w:rsid w:val="00D606B7"/>
    <w:rsid w:val="00D60DF0"/>
    <w:rsid w:val="00D61A94"/>
    <w:rsid w:val="00D62282"/>
    <w:rsid w:val="00D6356C"/>
    <w:rsid w:val="00D64A32"/>
    <w:rsid w:val="00D6553A"/>
    <w:rsid w:val="00D657CA"/>
    <w:rsid w:val="00D65CEE"/>
    <w:rsid w:val="00D715CD"/>
    <w:rsid w:val="00D73338"/>
    <w:rsid w:val="00D775F3"/>
    <w:rsid w:val="00D77868"/>
    <w:rsid w:val="00D77F25"/>
    <w:rsid w:val="00D836FC"/>
    <w:rsid w:val="00D84C2A"/>
    <w:rsid w:val="00D86175"/>
    <w:rsid w:val="00D9064B"/>
    <w:rsid w:val="00D95D17"/>
    <w:rsid w:val="00D978C6"/>
    <w:rsid w:val="00DA03F6"/>
    <w:rsid w:val="00DA134A"/>
    <w:rsid w:val="00DA1A2E"/>
    <w:rsid w:val="00DA2430"/>
    <w:rsid w:val="00DA3413"/>
    <w:rsid w:val="00DA426E"/>
    <w:rsid w:val="00DA4339"/>
    <w:rsid w:val="00DA462C"/>
    <w:rsid w:val="00DA4B1B"/>
    <w:rsid w:val="00DA4EFC"/>
    <w:rsid w:val="00DA648D"/>
    <w:rsid w:val="00DA6A7B"/>
    <w:rsid w:val="00DA726D"/>
    <w:rsid w:val="00DB1B8D"/>
    <w:rsid w:val="00DB2693"/>
    <w:rsid w:val="00DB3DEA"/>
    <w:rsid w:val="00DB40BD"/>
    <w:rsid w:val="00DB4B8E"/>
    <w:rsid w:val="00DB4F4B"/>
    <w:rsid w:val="00DC070F"/>
    <w:rsid w:val="00DC3462"/>
    <w:rsid w:val="00DC3858"/>
    <w:rsid w:val="00DC3A57"/>
    <w:rsid w:val="00DC7A95"/>
    <w:rsid w:val="00DC7FB4"/>
    <w:rsid w:val="00DD1DAF"/>
    <w:rsid w:val="00DD291E"/>
    <w:rsid w:val="00DD55C2"/>
    <w:rsid w:val="00DD759E"/>
    <w:rsid w:val="00DE314E"/>
    <w:rsid w:val="00DE4CFB"/>
    <w:rsid w:val="00DF045B"/>
    <w:rsid w:val="00DF1ED8"/>
    <w:rsid w:val="00DF3785"/>
    <w:rsid w:val="00DF3D27"/>
    <w:rsid w:val="00DF6074"/>
    <w:rsid w:val="00E02239"/>
    <w:rsid w:val="00E047EC"/>
    <w:rsid w:val="00E07D42"/>
    <w:rsid w:val="00E134DC"/>
    <w:rsid w:val="00E163E9"/>
    <w:rsid w:val="00E17B9E"/>
    <w:rsid w:val="00E22752"/>
    <w:rsid w:val="00E240F5"/>
    <w:rsid w:val="00E30004"/>
    <w:rsid w:val="00E31A5B"/>
    <w:rsid w:val="00E333AC"/>
    <w:rsid w:val="00E3456B"/>
    <w:rsid w:val="00E35C16"/>
    <w:rsid w:val="00E35CFE"/>
    <w:rsid w:val="00E36085"/>
    <w:rsid w:val="00E36813"/>
    <w:rsid w:val="00E42382"/>
    <w:rsid w:val="00E603DF"/>
    <w:rsid w:val="00E63745"/>
    <w:rsid w:val="00E6620F"/>
    <w:rsid w:val="00E6699F"/>
    <w:rsid w:val="00E67845"/>
    <w:rsid w:val="00E67B40"/>
    <w:rsid w:val="00E703AE"/>
    <w:rsid w:val="00E72373"/>
    <w:rsid w:val="00E74A40"/>
    <w:rsid w:val="00E76AF9"/>
    <w:rsid w:val="00E84EF0"/>
    <w:rsid w:val="00E8649C"/>
    <w:rsid w:val="00E87886"/>
    <w:rsid w:val="00E87CDE"/>
    <w:rsid w:val="00E91FC1"/>
    <w:rsid w:val="00E92D54"/>
    <w:rsid w:val="00E9323C"/>
    <w:rsid w:val="00E95FD8"/>
    <w:rsid w:val="00EA0283"/>
    <w:rsid w:val="00EA357E"/>
    <w:rsid w:val="00EA3CF6"/>
    <w:rsid w:val="00EA465B"/>
    <w:rsid w:val="00EA5DE1"/>
    <w:rsid w:val="00EB023C"/>
    <w:rsid w:val="00EB0C86"/>
    <w:rsid w:val="00EB0E16"/>
    <w:rsid w:val="00EB1A57"/>
    <w:rsid w:val="00EB236F"/>
    <w:rsid w:val="00EB237E"/>
    <w:rsid w:val="00EC1546"/>
    <w:rsid w:val="00EC15D5"/>
    <w:rsid w:val="00EC4D18"/>
    <w:rsid w:val="00EC5B23"/>
    <w:rsid w:val="00EC5DED"/>
    <w:rsid w:val="00EC6BD8"/>
    <w:rsid w:val="00ED0356"/>
    <w:rsid w:val="00ED0D71"/>
    <w:rsid w:val="00ED30BF"/>
    <w:rsid w:val="00ED3DCD"/>
    <w:rsid w:val="00ED3DD5"/>
    <w:rsid w:val="00ED4FDB"/>
    <w:rsid w:val="00ED56BE"/>
    <w:rsid w:val="00ED74D7"/>
    <w:rsid w:val="00EE40F8"/>
    <w:rsid w:val="00EE6DD6"/>
    <w:rsid w:val="00EF0867"/>
    <w:rsid w:val="00EF1A10"/>
    <w:rsid w:val="00EF1A9F"/>
    <w:rsid w:val="00EF1B27"/>
    <w:rsid w:val="00EF4370"/>
    <w:rsid w:val="00EF5AD7"/>
    <w:rsid w:val="00F03B6E"/>
    <w:rsid w:val="00F03CFC"/>
    <w:rsid w:val="00F03FA7"/>
    <w:rsid w:val="00F048EF"/>
    <w:rsid w:val="00F06AAD"/>
    <w:rsid w:val="00F14194"/>
    <w:rsid w:val="00F146BE"/>
    <w:rsid w:val="00F22013"/>
    <w:rsid w:val="00F22356"/>
    <w:rsid w:val="00F226E0"/>
    <w:rsid w:val="00F2522F"/>
    <w:rsid w:val="00F26AC0"/>
    <w:rsid w:val="00F30180"/>
    <w:rsid w:val="00F31A29"/>
    <w:rsid w:val="00F3279A"/>
    <w:rsid w:val="00F37236"/>
    <w:rsid w:val="00F44634"/>
    <w:rsid w:val="00F45473"/>
    <w:rsid w:val="00F505EC"/>
    <w:rsid w:val="00F5088F"/>
    <w:rsid w:val="00F51657"/>
    <w:rsid w:val="00F5223C"/>
    <w:rsid w:val="00F55F69"/>
    <w:rsid w:val="00F57787"/>
    <w:rsid w:val="00F61002"/>
    <w:rsid w:val="00F61E82"/>
    <w:rsid w:val="00F6243A"/>
    <w:rsid w:val="00F63323"/>
    <w:rsid w:val="00F636FE"/>
    <w:rsid w:val="00F648B2"/>
    <w:rsid w:val="00F67EBD"/>
    <w:rsid w:val="00F70EA4"/>
    <w:rsid w:val="00F769DA"/>
    <w:rsid w:val="00F77851"/>
    <w:rsid w:val="00F77C70"/>
    <w:rsid w:val="00F80FAB"/>
    <w:rsid w:val="00F81AAC"/>
    <w:rsid w:val="00F81E3B"/>
    <w:rsid w:val="00F827E1"/>
    <w:rsid w:val="00F927B5"/>
    <w:rsid w:val="00F94BD0"/>
    <w:rsid w:val="00F95403"/>
    <w:rsid w:val="00F96705"/>
    <w:rsid w:val="00F96750"/>
    <w:rsid w:val="00F9704D"/>
    <w:rsid w:val="00FA0166"/>
    <w:rsid w:val="00FA2400"/>
    <w:rsid w:val="00FA33E9"/>
    <w:rsid w:val="00FA55C8"/>
    <w:rsid w:val="00FA64BE"/>
    <w:rsid w:val="00FA74C6"/>
    <w:rsid w:val="00FB24ED"/>
    <w:rsid w:val="00FB29AF"/>
    <w:rsid w:val="00FB313D"/>
    <w:rsid w:val="00FB4003"/>
    <w:rsid w:val="00FB4EBA"/>
    <w:rsid w:val="00FB7086"/>
    <w:rsid w:val="00FC1B94"/>
    <w:rsid w:val="00FC2BF0"/>
    <w:rsid w:val="00FC3B26"/>
    <w:rsid w:val="00FC6384"/>
    <w:rsid w:val="00FC6733"/>
    <w:rsid w:val="00FD2677"/>
    <w:rsid w:val="00FD28B8"/>
    <w:rsid w:val="00FD4D00"/>
    <w:rsid w:val="00FE0BD8"/>
    <w:rsid w:val="00FE1709"/>
    <w:rsid w:val="00FE1FC9"/>
    <w:rsid w:val="00FE57F0"/>
    <w:rsid w:val="00FF32DE"/>
    <w:rsid w:val="00FF4205"/>
    <w:rsid w:val="00FF5858"/>
    <w:rsid w:val="00FF6930"/>
    <w:rsid w:val="36725D5C"/>
    <w:rsid w:val="3CFE2AD9"/>
    <w:rsid w:val="3EC79034"/>
    <w:rsid w:val="4119874D"/>
    <w:rsid w:val="42EC885E"/>
    <w:rsid w:val="440F045F"/>
    <w:rsid w:val="563EF20D"/>
    <w:rsid w:val="6233BE84"/>
    <w:rsid w:val="77E82626"/>
  </w:rsids>
  <m:mathPr>
    <m:mathFont m:val="Cambria Math"/>
    <m:brkBin m:val="before"/>
    <m:brkBinSub m:val="--"/>
    <m:smallFrac m:val="0"/>
    <m:dispDef/>
    <m:lMargin m:val="0"/>
    <m:rMargin m:val="0"/>
    <m:defJc m:val="centerGroup"/>
    <m:wrapIndent m:val="1440"/>
    <m:intLim m:val="subSup"/>
    <m:naryLim m:val="undOvr"/>
  </m:mathPr>
  <w:themeFontLang w:val="nl-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AB6E44"/>
  <w15:docId w15:val="{8D3DA177-EB41-4D13-92F0-65A752B85B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berschrift1">
    <w:name w:val="heading 1"/>
    <w:basedOn w:val="Standard"/>
    <w:next w:val="Standard"/>
    <w:link w:val="berschrift1Zchn"/>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berschrift2">
    <w:name w:val="heading 2"/>
    <w:basedOn w:val="Standard"/>
    <w:next w:val="Standard"/>
    <w:link w:val="berschrift2Zchn"/>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berschrift3">
    <w:name w:val="heading 3"/>
    <w:basedOn w:val="Standard"/>
    <w:next w:val="Standard"/>
    <w:link w:val="berschrift3Zchn"/>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berschrift4">
    <w:name w:val="heading 4"/>
    <w:basedOn w:val="Standard"/>
    <w:next w:val="Standard"/>
    <w:link w:val="berschrift4Zchn"/>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berschrift5">
    <w:name w:val="heading 5"/>
    <w:basedOn w:val="Standard"/>
    <w:next w:val="Standard"/>
    <w:link w:val="berschrift5Zchn"/>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berschrift6">
    <w:name w:val="heading 6"/>
    <w:basedOn w:val="Standard"/>
    <w:next w:val="Standard"/>
    <w:link w:val="berschrift6Zchn"/>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berschrift7">
    <w:name w:val="heading 7"/>
    <w:basedOn w:val="Standard"/>
    <w:next w:val="Standard"/>
    <w:link w:val="berschrift7Zchn"/>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berschrift8">
    <w:name w:val="heading 8"/>
    <w:basedOn w:val="Standard"/>
    <w:next w:val="Standard"/>
    <w:link w:val="berschrift8Zchn"/>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berschrift9">
    <w:name w:val="heading 9"/>
    <w:basedOn w:val="Standard"/>
    <w:next w:val="Standard"/>
    <w:link w:val="berschrift9Zchn"/>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link w:val="KeinLeerraumZchn"/>
    <w:uiPriority w:val="1"/>
    <w:qFormat/>
    <w:rsid w:val="005B6B12"/>
    <w:pPr>
      <w:spacing w:after="0" w:line="240" w:lineRule="auto"/>
    </w:pPr>
    <w:rPr>
      <w:lang w:val="en-GB"/>
    </w:rPr>
  </w:style>
  <w:style w:type="character" w:customStyle="1" w:styleId="berschrift4Zchn">
    <w:name w:val="Überschrift 4 Zchn"/>
    <w:basedOn w:val="Absatz-Standardschriftart"/>
    <w:link w:val="berschrift4"/>
    <w:rsid w:val="00020300"/>
    <w:rPr>
      <w:rFonts w:asciiTheme="majorHAnsi" w:eastAsiaTheme="majorEastAsia" w:hAnsiTheme="majorHAnsi" w:cstheme="majorBidi"/>
      <w:sz w:val="24"/>
      <w:szCs w:val="22"/>
      <w:lang w:val="en-GB" w:eastAsia="en-GB"/>
    </w:rPr>
  </w:style>
  <w:style w:type="character" w:customStyle="1" w:styleId="berschrift3Zchn">
    <w:name w:val="Überschrift 3 Zchn"/>
    <w:basedOn w:val="Absatz-Standardschriftart"/>
    <w:link w:val="berschrift3"/>
    <w:rsid w:val="00020300"/>
    <w:rPr>
      <w:rFonts w:asciiTheme="majorHAnsi" w:eastAsiaTheme="majorEastAsia" w:hAnsiTheme="majorHAnsi" w:cstheme="majorBidi"/>
      <w:sz w:val="24"/>
      <w:szCs w:val="24"/>
      <w:lang w:val="en-GB" w:eastAsia="en-GB"/>
    </w:rPr>
  </w:style>
  <w:style w:type="character" w:customStyle="1" w:styleId="berschrift1Zchn">
    <w:name w:val="Überschrift 1 Zchn"/>
    <w:basedOn w:val="Absatz-Standardschriftart"/>
    <w:link w:val="berschrift1"/>
    <w:rsid w:val="00FE0BD8"/>
    <w:rPr>
      <w:rFonts w:asciiTheme="majorHAnsi" w:eastAsiaTheme="majorEastAsia" w:hAnsiTheme="majorHAnsi" w:cstheme="majorBidi"/>
      <w:b/>
      <w:sz w:val="32"/>
      <w:szCs w:val="32"/>
      <w:lang w:val="en-GB" w:eastAsia="en-GB"/>
    </w:rPr>
  </w:style>
  <w:style w:type="character" w:customStyle="1" w:styleId="berschrift2Zchn">
    <w:name w:val="Überschrift 2 Zchn"/>
    <w:basedOn w:val="Absatz-Standardschriftart"/>
    <w:link w:val="berschrift2"/>
    <w:rsid w:val="003C167E"/>
    <w:rPr>
      <w:rFonts w:asciiTheme="majorHAnsi" w:eastAsiaTheme="majorEastAsia" w:hAnsiTheme="majorHAnsi" w:cstheme="majorBidi"/>
      <w:b/>
      <w:sz w:val="28"/>
      <w:szCs w:val="28"/>
      <w:lang w:val="en-GB" w:eastAsia="en-GB"/>
    </w:rPr>
  </w:style>
  <w:style w:type="paragraph" w:customStyle="1" w:styleId="Subtitle1">
    <w:name w:val="Subtitle1"/>
    <w:basedOn w:val="Standard"/>
    <w:link w:val="Subtitle1Char"/>
    <w:autoRedefine/>
    <w:rsid w:val="003C4EB5"/>
    <w:pPr>
      <w:tabs>
        <w:tab w:val="left" w:pos="414"/>
      </w:tabs>
    </w:pPr>
    <w:rPr>
      <w:b/>
    </w:rPr>
  </w:style>
  <w:style w:type="character" w:customStyle="1" w:styleId="Subtitle1Char">
    <w:name w:val="Subtitle1 Char"/>
    <w:basedOn w:val="Absatz-Standardschriftart"/>
    <w:link w:val="Subtitle1"/>
    <w:rsid w:val="003C4EB5"/>
    <w:rPr>
      <w:rFonts w:cs="Times New Roman"/>
      <w:b/>
      <w:sz w:val="20"/>
      <w:szCs w:val="24"/>
      <w:lang w:val="en-GB" w:eastAsia="de-DE"/>
    </w:rPr>
  </w:style>
  <w:style w:type="paragraph" w:customStyle="1" w:styleId="Title1">
    <w:name w:val="Title 1"/>
    <w:basedOn w:val="Listenabsatz"/>
    <w:link w:val="Title1Char"/>
    <w:autoRedefine/>
    <w:rsid w:val="002574D1"/>
    <w:pPr>
      <w:numPr>
        <w:numId w:val="2"/>
      </w:numPr>
    </w:pPr>
    <w:rPr>
      <w:b/>
      <w:sz w:val="28"/>
    </w:rPr>
  </w:style>
  <w:style w:type="character" w:customStyle="1" w:styleId="Title1Char">
    <w:name w:val="Title 1 Char"/>
    <w:basedOn w:val="Absatz-Standardschriftart"/>
    <w:link w:val="Title1"/>
    <w:rsid w:val="003C4EB5"/>
    <w:rPr>
      <w:rFonts w:eastAsiaTheme="majorEastAsia" w:cstheme="minorHAnsi"/>
      <w:b/>
      <w:sz w:val="28"/>
      <w:szCs w:val="22"/>
      <w:lang w:val="en-GB" w:eastAsia="en-GB"/>
    </w:rPr>
  </w:style>
  <w:style w:type="paragraph" w:styleId="Listenabsatz">
    <w:name w:val="List Paragraph"/>
    <w:aliases w:val="Paragraphe EI,Paragraphe de liste1,EC,Paragraphe de liste,Normal Nivel 1,List Paragraph Main,List first level,List Paragraph_Sections"/>
    <w:basedOn w:val="Standard"/>
    <w:link w:val="ListenabsatzZchn"/>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enabsatz"/>
    <w:link w:val="Title3Char"/>
    <w:autoRedefine/>
    <w:rsid w:val="002574D1"/>
    <w:pPr>
      <w:numPr>
        <w:ilvl w:val="3"/>
        <w:numId w:val="2"/>
      </w:numPr>
    </w:pPr>
  </w:style>
  <w:style w:type="character" w:customStyle="1" w:styleId="Title3Char">
    <w:name w:val="Title 3 Char"/>
    <w:basedOn w:val="Absatz-Standardschriftar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Standard"/>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Absatz-Standardschriftar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Standard"/>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Absatz-Standardschriftar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Standard"/>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Absatz-Standardschriftar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Standard"/>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Absatz-Standardschriftar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Standard"/>
    <w:link w:val="IntroductionheadingChar"/>
    <w:autoRedefine/>
    <w:rsid w:val="00044C5A"/>
    <w:pPr>
      <w:spacing w:line="300" w:lineRule="exact"/>
    </w:pPr>
    <w:rPr>
      <w:b/>
      <w:sz w:val="28"/>
      <w:lang w:eastAsia="de-DE"/>
    </w:rPr>
  </w:style>
  <w:style w:type="character" w:customStyle="1" w:styleId="IntroductionheadingChar">
    <w:name w:val="Introduction heading Char"/>
    <w:basedOn w:val="Absatz-Standardschriftart"/>
    <w:link w:val="Introductionheading"/>
    <w:rsid w:val="00044C5A"/>
    <w:rPr>
      <w:rFonts w:ascii="Arial" w:eastAsia="Times New Roman" w:hAnsi="Arial" w:cs="Times New Roman"/>
      <w:b/>
      <w:sz w:val="28"/>
      <w:szCs w:val="24"/>
      <w:lang w:val="en-GB" w:eastAsia="de-DE"/>
    </w:rPr>
  </w:style>
  <w:style w:type="character" w:customStyle="1" w:styleId="berschrift5Zchn">
    <w:name w:val="Überschrift 5 Zchn"/>
    <w:basedOn w:val="Absatz-Standardschriftart"/>
    <w:link w:val="berschrift5"/>
    <w:uiPriority w:val="9"/>
    <w:rsid w:val="007E7997"/>
    <w:rPr>
      <w:rFonts w:asciiTheme="majorHAnsi" w:eastAsiaTheme="majorEastAsia" w:hAnsiTheme="majorHAnsi" w:cstheme="majorBidi"/>
      <w:sz w:val="24"/>
      <w:szCs w:val="22"/>
      <w:lang w:val="en-GB" w:eastAsia="en-GB"/>
    </w:rPr>
  </w:style>
  <w:style w:type="paragraph" w:styleId="Textkrper">
    <w:name w:val="Body Text"/>
    <w:basedOn w:val="Standard"/>
    <w:link w:val="TextkrperZchn"/>
    <w:uiPriority w:val="99"/>
    <w:semiHidden/>
    <w:unhideWhenUsed/>
    <w:rsid w:val="00044C5A"/>
  </w:style>
  <w:style w:type="character" w:customStyle="1" w:styleId="TextkrperZchn">
    <w:name w:val="Textkörper Zchn"/>
    <w:basedOn w:val="Absatz-Standardschriftart"/>
    <w:link w:val="Textkrper"/>
    <w:uiPriority w:val="99"/>
    <w:semiHidden/>
    <w:rsid w:val="00044C5A"/>
    <w:rPr>
      <w:rFonts w:ascii="Arial" w:eastAsiaTheme="minorEastAsia" w:hAnsi="Arial"/>
    </w:rPr>
  </w:style>
  <w:style w:type="paragraph" w:styleId="Textkrper-Erstzeileneinzug">
    <w:name w:val="Body Text First Indent"/>
    <w:basedOn w:val="Textkrper"/>
    <w:link w:val="Textkrper-ErstzeileneinzugZchn"/>
    <w:uiPriority w:val="99"/>
    <w:semiHidden/>
    <w:unhideWhenUsed/>
    <w:rsid w:val="00044C5A"/>
    <w:pPr>
      <w:ind w:firstLine="360"/>
    </w:pPr>
  </w:style>
  <w:style w:type="character" w:customStyle="1" w:styleId="Textkrper-ErstzeileneinzugZchn">
    <w:name w:val="Textkörper-Erstzeileneinzug Zchn"/>
    <w:basedOn w:val="TextkrperZchn"/>
    <w:link w:val="Textkrper-Erstzeileneinzug"/>
    <w:uiPriority w:val="99"/>
    <w:semiHidden/>
    <w:rsid w:val="00044C5A"/>
    <w:rPr>
      <w:rFonts w:ascii="Arial" w:eastAsiaTheme="minorEastAsia" w:hAnsi="Arial"/>
    </w:rPr>
  </w:style>
  <w:style w:type="character" w:customStyle="1" w:styleId="berschrift6Zchn">
    <w:name w:val="Überschrift 6 Zchn"/>
    <w:basedOn w:val="Absatz-Standardschriftart"/>
    <w:link w:val="berschrift6"/>
    <w:rsid w:val="00AA054E"/>
    <w:rPr>
      <w:rFonts w:asciiTheme="majorHAnsi" w:eastAsiaTheme="majorEastAsia" w:hAnsiTheme="majorHAnsi" w:cstheme="majorBidi"/>
      <w:i/>
      <w:iCs/>
      <w:color w:val="44546A" w:themeColor="text2"/>
      <w:sz w:val="21"/>
      <w:szCs w:val="21"/>
      <w:lang w:val="en-GB" w:eastAsia="en-GB"/>
    </w:rPr>
  </w:style>
  <w:style w:type="paragraph" w:styleId="Titel">
    <w:name w:val="Title"/>
    <w:basedOn w:val="Standard"/>
    <w:next w:val="Standard"/>
    <w:link w:val="TitelZchn"/>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elZchn">
    <w:name w:val="Titel Zchn"/>
    <w:basedOn w:val="Absatz-Standardschriftart"/>
    <w:link w:val="Titel"/>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Untertitel">
    <w:name w:val="Subtitle"/>
    <w:basedOn w:val="Standard"/>
    <w:next w:val="Standard"/>
    <w:link w:val="UntertitelZchn"/>
    <w:uiPriority w:val="11"/>
    <w:qFormat/>
    <w:rsid w:val="00366D42"/>
    <w:pPr>
      <w:numPr>
        <w:ilvl w:val="1"/>
      </w:numPr>
    </w:pPr>
    <w:rPr>
      <w:rFonts w:asciiTheme="majorHAnsi" w:eastAsiaTheme="majorEastAsia" w:hAnsiTheme="majorHAnsi" w:cstheme="majorBidi"/>
      <w:b/>
      <w:sz w:val="28"/>
    </w:rPr>
  </w:style>
  <w:style w:type="character" w:customStyle="1" w:styleId="UntertitelZchn">
    <w:name w:val="Untertitel Zchn"/>
    <w:basedOn w:val="Absatz-Standardschriftart"/>
    <w:link w:val="Untertitel"/>
    <w:uiPriority w:val="11"/>
    <w:rsid w:val="00366D42"/>
    <w:rPr>
      <w:rFonts w:asciiTheme="majorHAnsi" w:eastAsiaTheme="majorEastAsia" w:hAnsiTheme="majorHAnsi" w:cstheme="majorBidi"/>
      <w:b/>
      <w:sz w:val="28"/>
      <w:szCs w:val="24"/>
      <w:lang w:val="en-GB"/>
    </w:rPr>
  </w:style>
  <w:style w:type="character" w:customStyle="1" w:styleId="berschrift7Zchn">
    <w:name w:val="Überschrift 7 Zchn"/>
    <w:basedOn w:val="Absatz-Standardschriftart"/>
    <w:link w:val="berschrift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berschrift8Zchn">
    <w:name w:val="Überschrift 8 Zchn"/>
    <w:basedOn w:val="Absatz-Standardschriftart"/>
    <w:link w:val="berschrift8"/>
    <w:rsid w:val="00AA054E"/>
    <w:rPr>
      <w:rFonts w:asciiTheme="majorHAnsi" w:eastAsiaTheme="majorEastAsia" w:hAnsiTheme="majorHAnsi" w:cstheme="majorBidi"/>
      <w:b/>
      <w:bCs/>
      <w:color w:val="44546A" w:themeColor="text2"/>
      <w:sz w:val="24"/>
      <w:szCs w:val="24"/>
      <w:lang w:val="en-GB" w:eastAsia="en-GB"/>
    </w:rPr>
  </w:style>
  <w:style w:type="character" w:customStyle="1" w:styleId="berschrift9Zchn">
    <w:name w:val="Überschrift 9 Zchn"/>
    <w:basedOn w:val="Absatz-Standardschriftart"/>
    <w:link w:val="berschrift9"/>
    <w:rsid w:val="00AA054E"/>
    <w:rPr>
      <w:rFonts w:asciiTheme="majorHAnsi" w:eastAsiaTheme="majorEastAsia" w:hAnsiTheme="majorHAnsi" w:cstheme="majorBidi"/>
      <w:b/>
      <w:bCs/>
      <w:i/>
      <w:iCs/>
      <w:color w:val="44546A" w:themeColor="text2"/>
      <w:sz w:val="24"/>
      <w:szCs w:val="24"/>
      <w:lang w:val="en-GB" w:eastAsia="en-GB"/>
    </w:rPr>
  </w:style>
  <w:style w:type="paragraph" w:styleId="Beschriftung">
    <w:name w:val="caption"/>
    <w:basedOn w:val="Standard"/>
    <w:next w:val="Standard"/>
    <w:uiPriority w:val="35"/>
    <w:semiHidden/>
    <w:unhideWhenUsed/>
    <w:qFormat/>
    <w:rsid w:val="00AA054E"/>
    <w:rPr>
      <w:b/>
      <w:bCs/>
      <w:smallCaps/>
      <w:color w:val="595959" w:themeColor="text1" w:themeTint="A6"/>
      <w:spacing w:val="6"/>
    </w:rPr>
  </w:style>
  <w:style w:type="character" w:styleId="Fett">
    <w:name w:val="Strong"/>
    <w:basedOn w:val="Absatz-Standardschriftart"/>
    <w:uiPriority w:val="22"/>
    <w:qFormat/>
    <w:rsid w:val="00AA054E"/>
    <w:rPr>
      <w:b/>
      <w:bCs/>
    </w:rPr>
  </w:style>
  <w:style w:type="character" w:styleId="Hervorhebung">
    <w:name w:val="Emphasis"/>
    <w:basedOn w:val="Absatz-Standardschriftart"/>
    <w:uiPriority w:val="20"/>
    <w:qFormat/>
    <w:rsid w:val="00AA054E"/>
    <w:rPr>
      <w:i/>
      <w:iCs/>
    </w:rPr>
  </w:style>
  <w:style w:type="paragraph" w:styleId="Zitat">
    <w:name w:val="Quote"/>
    <w:basedOn w:val="Standard"/>
    <w:next w:val="Standard"/>
    <w:link w:val="ZitatZchn"/>
    <w:uiPriority w:val="29"/>
    <w:qFormat/>
    <w:rsid w:val="00AA054E"/>
    <w:pPr>
      <w:spacing w:before="160"/>
      <w:ind w:left="720" w:right="720"/>
    </w:pPr>
    <w:rPr>
      <w:i/>
      <w:iCs/>
      <w:color w:val="404040" w:themeColor="text1" w:themeTint="BF"/>
    </w:rPr>
  </w:style>
  <w:style w:type="character" w:customStyle="1" w:styleId="ZitatZchn">
    <w:name w:val="Zitat Zchn"/>
    <w:basedOn w:val="Absatz-Standardschriftart"/>
    <w:link w:val="Zitat"/>
    <w:uiPriority w:val="29"/>
    <w:rsid w:val="00AA054E"/>
    <w:rPr>
      <w:i/>
      <w:iCs/>
      <w:color w:val="404040" w:themeColor="text1" w:themeTint="BF"/>
    </w:rPr>
  </w:style>
  <w:style w:type="paragraph" w:styleId="IntensivesZitat">
    <w:name w:val="Intense Quote"/>
    <w:basedOn w:val="Standard"/>
    <w:next w:val="Standard"/>
    <w:link w:val="IntensivesZitatZchn"/>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ivesZitatZchn">
    <w:name w:val="Intensives Zitat Zchn"/>
    <w:basedOn w:val="Absatz-Standardschriftart"/>
    <w:link w:val="IntensivesZitat"/>
    <w:uiPriority w:val="30"/>
    <w:rsid w:val="00AA054E"/>
    <w:rPr>
      <w:rFonts w:asciiTheme="majorHAnsi" w:eastAsiaTheme="majorEastAsia" w:hAnsiTheme="majorHAnsi" w:cstheme="majorBidi"/>
      <w:color w:val="5B9BD5" w:themeColor="accent1"/>
      <w:sz w:val="28"/>
      <w:szCs w:val="28"/>
    </w:rPr>
  </w:style>
  <w:style w:type="character" w:styleId="SchwacheHervorhebung">
    <w:name w:val="Subtle Emphasis"/>
    <w:aliases w:val="Text,Emphase pâle,Diskret betoning"/>
    <w:basedOn w:val="Absatz-Standardschriftart"/>
    <w:uiPriority w:val="19"/>
    <w:qFormat/>
    <w:rsid w:val="00287C8F"/>
    <w:rPr>
      <w:rFonts w:asciiTheme="majorHAnsi" w:hAnsiTheme="majorHAnsi"/>
      <w:i/>
      <w:iCs/>
      <w:color w:val="auto"/>
      <w:sz w:val="22"/>
    </w:rPr>
  </w:style>
  <w:style w:type="character" w:styleId="IntensiveHervorhebung">
    <w:name w:val="Intense Emphasis"/>
    <w:basedOn w:val="Absatz-Standardschriftart"/>
    <w:uiPriority w:val="21"/>
    <w:qFormat/>
    <w:rsid w:val="00AA054E"/>
    <w:rPr>
      <w:b/>
      <w:bCs/>
      <w:i/>
      <w:iCs/>
    </w:rPr>
  </w:style>
  <w:style w:type="character" w:styleId="SchwacherVerweis">
    <w:name w:val="Subtle Reference"/>
    <w:basedOn w:val="Absatz-Standardschriftart"/>
    <w:uiPriority w:val="31"/>
    <w:qFormat/>
    <w:rsid w:val="00AA054E"/>
    <w:rPr>
      <w:smallCaps/>
      <w:color w:val="404040" w:themeColor="text1" w:themeTint="BF"/>
      <w:u w:val="single" w:color="7F7F7F" w:themeColor="text1" w:themeTint="80"/>
    </w:rPr>
  </w:style>
  <w:style w:type="character" w:styleId="IntensiverVerweis">
    <w:name w:val="Intense Reference"/>
    <w:basedOn w:val="Absatz-Standardschriftart"/>
    <w:uiPriority w:val="32"/>
    <w:qFormat/>
    <w:rsid w:val="00AA054E"/>
    <w:rPr>
      <w:b/>
      <w:bCs/>
      <w:smallCaps/>
      <w:spacing w:val="5"/>
      <w:u w:val="single"/>
    </w:rPr>
  </w:style>
  <w:style w:type="character" w:styleId="Buchtitel">
    <w:name w:val="Book Title"/>
    <w:basedOn w:val="Absatz-Standardschriftart"/>
    <w:uiPriority w:val="33"/>
    <w:qFormat/>
    <w:rsid w:val="00AA054E"/>
    <w:rPr>
      <w:b/>
      <w:bCs/>
      <w:smallCaps/>
    </w:rPr>
  </w:style>
  <w:style w:type="paragraph" w:styleId="Inhaltsverzeichnisberschrift">
    <w:name w:val="TOC Heading"/>
    <w:basedOn w:val="berschrift1"/>
    <w:next w:val="Standard"/>
    <w:uiPriority w:val="39"/>
    <w:unhideWhenUsed/>
    <w:qFormat/>
    <w:rsid w:val="00AA054E"/>
    <w:pPr>
      <w:outlineLvl w:val="9"/>
    </w:pPr>
  </w:style>
  <w:style w:type="character" w:customStyle="1" w:styleId="KeinLeerraumZchn">
    <w:name w:val="Kein Leerraum Zchn"/>
    <w:basedOn w:val="Absatz-Standardschriftart"/>
    <w:link w:val="KeinLeerraum"/>
    <w:uiPriority w:val="1"/>
    <w:rsid w:val="005B6B12"/>
    <w:rPr>
      <w:lang w:val="en-GB"/>
    </w:rPr>
  </w:style>
  <w:style w:type="paragraph" w:styleId="Kopfzeile">
    <w:name w:val="header"/>
    <w:basedOn w:val="Standard"/>
    <w:link w:val="KopfzeileZchn"/>
    <w:unhideWhenUsed/>
    <w:qFormat/>
    <w:rsid w:val="007E7997"/>
    <w:pPr>
      <w:tabs>
        <w:tab w:val="center" w:pos="4536"/>
        <w:tab w:val="right" w:pos="9072"/>
      </w:tabs>
    </w:pPr>
  </w:style>
  <w:style w:type="character" w:customStyle="1" w:styleId="KopfzeileZchn">
    <w:name w:val="Kopfzeile Zchn"/>
    <w:basedOn w:val="Absatz-Standardschriftart"/>
    <w:link w:val="Kopfzeile"/>
    <w:rsid w:val="007E7997"/>
    <w:rPr>
      <w:sz w:val="22"/>
    </w:rPr>
  </w:style>
  <w:style w:type="paragraph" w:styleId="Fuzeile">
    <w:name w:val="footer"/>
    <w:basedOn w:val="Standard"/>
    <w:link w:val="FuzeileZchn"/>
    <w:uiPriority w:val="99"/>
    <w:unhideWhenUsed/>
    <w:rsid w:val="007E7997"/>
    <w:pPr>
      <w:tabs>
        <w:tab w:val="center" w:pos="4536"/>
        <w:tab w:val="right" w:pos="9072"/>
      </w:tabs>
    </w:pPr>
  </w:style>
  <w:style w:type="character" w:customStyle="1" w:styleId="FuzeileZchn">
    <w:name w:val="Fußzeile Zchn"/>
    <w:basedOn w:val="Absatz-Standardschriftart"/>
    <w:link w:val="Fuzeile"/>
    <w:uiPriority w:val="99"/>
    <w:rsid w:val="007E7997"/>
    <w:rPr>
      <w:sz w:val="22"/>
    </w:rPr>
  </w:style>
  <w:style w:type="paragraph" w:customStyle="1" w:styleId="00aPagenumber">
    <w:name w:val="00a_Page number"/>
    <w:basedOn w:val="Standard"/>
    <w:rsid w:val="007E7997"/>
    <w:pPr>
      <w:spacing w:line="280" w:lineRule="atLeast"/>
      <w:jc w:val="right"/>
    </w:pPr>
    <w:rPr>
      <w:rFonts w:ascii="Georgia" w:hAnsi="Georgia"/>
      <w:color w:val="000000"/>
      <w:lang w:eastAsia="de-DE"/>
    </w:rPr>
  </w:style>
  <w:style w:type="paragraph" w:customStyle="1" w:styleId="02Date">
    <w:name w:val="02_Date"/>
    <w:basedOn w:val="Standard"/>
    <w:rsid w:val="00636E02"/>
    <w:pPr>
      <w:spacing w:line="220" w:lineRule="exact"/>
    </w:pPr>
    <w:rPr>
      <w:rFonts w:ascii="Georgia" w:hAnsi="Georgia"/>
      <w:sz w:val="17"/>
      <w:lang w:eastAsia="de-DE"/>
    </w:rPr>
  </w:style>
  <w:style w:type="paragraph" w:styleId="Verzeichnis1">
    <w:name w:val="toc 1"/>
    <w:basedOn w:val="Standard"/>
    <w:next w:val="Standard"/>
    <w:autoRedefine/>
    <w:uiPriority w:val="39"/>
    <w:unhideWhenUsed/>
    <w:rsid w:val="00B81A44"/>
    <w:pPr>
      <w:tabs>
        <w:tab w:val="left" w:pos="440"/>
        <w:tab w:val="right" w:leader="dot" w:pos="9062"/>
      </w:tabs>
      <w:spacing w:after="100"/>
    </w:pPr>
  </w:style>
  <w:style w:type="paragraph" w:styleId="Verzeichnis2">
    <w:name w:val="toc 2"/>
    <w:basedOn w:val="Standard"/>
    <w:next w:val="Standard"/>
    <w:autoRedefine/>
    <w:uiPriority w:val="39"/>
    <w:unhideWhenUsed/>
    <w:rsid w:val="00BC422A"/>
    <w:pPr>
      <w:spacing w:after="100"/>
      <w:ind w:left="220"/>
    </w:pPr>
  </w:style>
  <w:style w:type="paragraph" w:styleId="Verzeichnis3">
    <w:name w:val="toc 3"/>
    <w:basedOn w:val="Standard"/>
    <w:next w:val="Standard"/>
    <w:autoRedefine/>
    <w:uiPriority w:val="39"/>
    <w:unhideWhenUsed/>
    <w:rsid w:val="00BC422A"/>
    <w:pPr>
      <w:spacing w:after="100"/>
      <w:ind w:left="440"/>
    </w:pPr>
  </w:style>
  <w:style w:type="character" w:styleId="Hyperlink">
    <w:name w:val="Hyperlink"/>
    <w:basedOn w:val="Absatz-Standardschriftart"/>
    <w:uiPriority w:val="99"/>
    <w:unhideWhenUsed/>
    <w:rsid w:val="00BC422A"/>
    <w:rPr>
      <w:color w:val="0563C1" w:themeColor="hyperlink"/>
      <w:u w:val="single"/>
    </w:rPr>
  </w:style>
  <w:style w:type="paragraph" w:customStyle="1" w:styleId="Questionstyle">
    <w:name w:val="Question style"/>
    <w:basedOn w:val="Standard"/>
    <w:next w:val="Standard"/>
    <w:link w:val="QuestionstyleChar"/>
    <w:autoRedefine/>
    <w:qFormat/>
    <w:rsid w:val="00871163"/>
    <w:pPr>
      <w:numPr>
        <w:numId w:val="9"/>
      </w:numPr>
      <w:spacing w:after="250" w:line="276" w:lineRule="auto"/>
      <w:contextualSpacing/>
      <w:jc w:val="both"/>
    </w:pPr>
    <w:rPr>
      <w:rFonts w:asciiTheme="minorHAnsi" w:hAnsiTheme="minorHAnsi" w:cstheme="minorHAnsi"/>
      <w:b/>
      <w:bCs/>
      <w:sz w:val="22"/>
      <w:szCs w:val="22"/>
    </w:rPr>
  </w:style>
  <w:style w:type="character" w:customStyle="1" w:styleId="QuestionstyleChar">
    <w:name w:val="Question style Char"/>
    <w:basedOn w:val="Absatz-Standardschriftart"/>
    <w:link w:val="Questionstyle"/>
    <w:rsid w:val="00871163"/>
    <w:rPr>
      <w:rFonts w:eastAsia="Times New Roman" w:cstheme="minorHAnsi"/>
      <w:b/>
      <w:bCs/>
      <w:sz w:val="22"/>
      <w:szCs w:val="22"/>
      <w:lang w:val="en-GB" w:eastAsia="en-GB"/>
    </w:rPr>
  </w:style>
  <w:style w:type="paragraph" w:customStyle="1" w:styleId="Listing2">
    <w:name w:val="Listing2"/>
    <w:basedOn w:val="Standard"/>
    <w:link w:val="Listing2Char"/>
    <w:autoRedefine/>
    <w:rsid w:val="00DF3785"/>
  </w:style>
  <w:style w:type="character" w:customStyle="1" w:styleId="Listing2Char">
    <w:name w:val="Listing2 Char"/>
    <w:basedOn w:val="Absatz-Standardschriftart"/>
    <w:link w:val="Listing2"/>
    <w:rsid w:val="00DF3785"/>
    <w:rPr>
      <w:lang w:val="en-GB"/>
    </w:rPr>
  </w:style>
  <w:style w:type="table" w:styleId="Tabellenraster">
    <w:name w:val="Table Grid"/>
    <w:basedOn w:val="NormaleTabelle"/>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ntext">
    <w:name w:val="endnote text"/>
    <w:basedOn w:val="Standard"/>
    <w:link w:val="EndnotentextZchn"/>
    <w:uiPriority w:val="99"/>
    <w:semiHidden/>
    <w:unhideWhenUsed/>
    <w:rsid w:val="00B50534"/>
  </w:style>
  <w:style w:type="character" w:customStyle="1" w:styleId="EndnotentextZchn">
    <w:name w:val="Endnotentext Zchn"/>
    <w:basedOn w:val="Absatz-Standardschriftart"/>
    <w:link w:val="Endnotentext"/>
    <w:uiPriority w:val="99"/>
    <w:semiHidden/>
    <w:rsid w:val="00B50534"/>
    <w:rPr>
      <w:lang w:val="en-GB"/>
    </w:rPr>
  </w:style>
  <w:style w:type="character" w:styleId="Endnotenzeichen">
    <w:name w:val="endnote reference"/>
    <w:basedOn w:val="Absatz-Standardschriftart"/>
    <w:uiPriority w:val="99"/>
    <w:semiHidden/>
    <w:unhideWhenUsed/>
    <w:rsid w:val="00B50534"/>
    <w:rPr>
      <w:vertAlign w:val="superscript"/>
    </w:rPr>
  </w:style>
  <w:style w:type="paragraph" w:styleId="Funotentext">
    <w:name w:val="footnote text"/>
    <w:basedOn w:val="Standard"/>
    <w:link w:val="FunotentextZchn"/>
    <w:autoRedefine/>
    <w:uiPriority w:val="99"/>
    <w:semiHidden/>
    <w:unhideWhenUsed/>
    <w:qFormat/>
    <w:rsid w:val="006F53E8"/>
    <w:rPr>
      <w:sz w:val="16"/>
    </w:rPr>
  </w:style>
  <w:style w:type="character" w:customStyle="1" w:styleId="FunotentextZchn">
    <w:name w:val="Fußnotentext Zchn"/>
    <w:basedOn w:val="Absatz-Standardschriftart"/>
    <w:link w:val="Funotentext"/>
    <w:uiPriority w:val="99"/>
    <w:semiHidden/>
    <w:rsid w:val="006F53E8"/>
    <w:rPr>
      <w:sz w:val="16"/>
      <w:lang w:val="en-GB"/>
    </w:rPr>
  </w:style>
  <w:style w:type="character" w:styleId="Funotenzeichen">
    <w:name w:val="footnote reference"/>
    <w:aliases w:val="SUPERS,Footnote reference number,Footnote symbol,note TESI,-E Fußnotenzeichen,number,BVI fnr,Footnote Reference Superscript,(Footnote Reference),EN Footnote Reference,Voetnootverwijzing,Times 10 Point,Exposant 3 Poi,16 Point, BVI fnr"/>
    <w:basedOn w:val="Absatz-Standardschriftart"/>
    <w:uiPriority w:val="99"/>
    <w:unhideWhenUsed/>
    <w:qFormat/>
    <w:rsid w:val="00A91D91"/>
    <w:rPr>
      <w:rFonts w:asciiTheme="majorHAnsi" w:hAnsiTheme="majorHAnsi"/>
      <w:sz w:val="16"/>
      <w:vertAlign w:val="superscript"/>
    </w:rPr>
  </w:style>
  <w:style w:type="paragraph" w:customStyle="1" w:styleId="Footnote">
    <w:name w:val="Footnote"/>
    <w:basedOn w:val="Funotentext"/>
    <w:link w:val="FootnoteChar"/>
    <w:rsid w:val="00B50534"/>
    <w:rPr>
      <w:lang w:val="nl-BE"/>
    </w:rPr>
  </w:style>
  <w:style w:type="character" w:customStyle="1" w:styleId="FootnoteChar">
    <w:name w:val="Footnote Char"/>
    <w:basedOn w:val="FunotentextZchn"/>
    <w:link w:val="Footnote"/>
    <w:rsid w:val="00B50534"/>
    <w:rPr>
      <w:sz w:val="16"/>
      <w:lang w:val="en-GB"/>
    </w:rPr>
  </w:style>
  <w:style w:type="table" w:customStyle="1" w:styleId="GridTable4-Accent11">
    <w:name w:val="Grid Table 4 - Accent 11"/>
    <w:basedOn w:val="NormaleTabelle"/>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Standard"/>
    <w:rsid w:val="00287C8F"/>
    <w:pPr>
      <w:numPr>
        <w:numId w:val="5"/>
      </w:numPr>
      <w:tabs>
        <w:tab w:val="clear" w:pos="284"/>
        <w:tab w:val="num" w:pos="567"/>
      </w:tabs>
      <w:ind w:left="567" w:hanging="454"/>
    </w:pPr>
    <w:rPr>
      <w:rFonts w:ascii="Georgia" w:hAnsi="Georgia"/>
      <w:sz w:val="20"/>
      <w:lang w:eastAsia="de-DE"/>
    </w:rPr>
  </w:style>
  <w:style w:type="paragraph" w:styleId="Sprechblasentext">
    <w:name w:val="Balloon Text"/>
    <w:basedOn w:val="Standard"/>
    <w:link w:val="SprechblasentextZchn"/>
    <w:uiPriority w:val="99"/>
    <w:semiHidden/>
    <w:unhideWhenUsed/>
    <w:rsid w:val="003C167E"/>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3C167E"/>
    <w:rPr>
      <w:rFonts w:ascii="Tahoma" w:hAnsi="Tahoma" w:cs="Tahoma"/>
      <w:sz w:val="16"/>
      <w:szCs w:val="16"/>
      <w:lang w:val="en-GB"/>
    </w:rPr>
  </w:style>
  <w:style w:type="character" w:styleId="Kommentarzeichen">
    <w:name w:val="annotation reference"/>
    <w:basedOn w:val="Absatz-Standardschriftart"/>
    <w:uiPriority w:val="99"/>
    <w:semiHidden/>
    <w:unhideWhenUsed/>
    <w:rsid w:val="00FA2400"/>
    <w:rPr>
      <w:sz w:val="16"/>
      <w:szCs w:val="16"/>
    </w:rPr>
  </w:style>
  <w:style w:type="paragraph" w:styleId="Kommentartext">
    <w:name w:val="annotation text"/>
    <w:basedOn w:val="Standard"/>
    <w:link w:val="KommentartextZchn"/>
    <w:uiPriority w:val="99"/>
    <w:unhideWhenUsed/>
    <w:rsid w:val="00FA2400"/>
    <w:rPr>
      <w:sz w:val="20"/>
    </w:rPr>
  </w:style>
  <w:style w:type="character" w:customStyle="1" w:styleId="KommentartextZchn">
    <w:name w:val="Kommentartext Zchn"/>
    <w:basedOn w:val="Absatz-Standardschriftart"/>
    <w:link w:val="Kommentartext"/>
    <w:uiPriority w:val="99"/>
    <w:rsid w:val="00FA2400"/>
    <w:rPr>
      <w:lang w:val="en-GB"/>
    </w:rPr>
  </w:style>
  <w:style w:type="paragraph" w:styleId="Kommentarthema">
    <w:name w:val="annotation subject"/>
    <w:basedOn w:val="Kommentartext"/>
    <w:next w:val="Kommentartext"/>
    <w:link w:val="KommentarthemaZchn"/>
    <w:uiPriority w:val="99"/>
    <w:semiHidden/>
    <w:unhideWhenUsed/>
    <w:rsid w:val="00FA2400"/>
    <w:rPr>
      <w:b/>
      <w:bCs/>
    </w:rPr>
  </w:style>
  <w:style w:type="character" w:customStyle="1" w:styleId="KommentarthemaZchn">
    <w:name w:val="Kommentarthema Zchn"/>
    <w:basedOn w:val="KommentartextZchn"/>
    <w:link w:val="Kommentarthema"/>
    <w:uiPriority w:val="99"/>
    <w:semiHidden/>
    <w:rsid w:val="00FA2400"/>
    <w:rPr>
      <w:b/>
      <w:bCs/>
      <w:lang w:val="en-GB"/>
    </w:rPr>
  </w:style>
  <w:style w:type="paragraph" w:styleId="berarbeitung">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BesuchterLink">
    <w:name w:val="FollowedHyperlink"/>
    <w:basedOn w:val="Absatz-Standardschriftart"/>
    <w:uiPriority w:val="99"/>
    <w:semiHidden/>
    <w:unhideWhenUsed/>
    <w:rsid w:val="007B354B"/>
    <w:rPr>
      <w:color w:val="954F72" w:themeColor="followedHyperlink"/>
      <w:u w:val="single"/>
    </w:rPr>
  </w:style>
  <w:style w:type="paragraph" w:styleId="StandardWeb">
    <w:name w:val="Normal (Web)"/>
    <w:basedOn w:val="Standard"/>
    <w:uiPriority w:val="99"/>
    <w:semiHidden/>
    <w:unhideWhenUsed/>
    <w:rsid w:val="00B424F5"/>
    <w:pPr>
      <w:spacing w:before="100" w:beforeAutospacing="1" w:after="100" w:afterAutospacing="1"/>
    </w:pPr>
  </w:style>
  <w:style w:type="character" w:customStyle="1" w:styleId="outputecliaff">
    <w:name w:val="outputecliaff"/>
    <w:basedOn w:val="Absatz-Standardschriftart"/>
    <w:rsid w:val="00595F08"/>
  </w:style>
  <w:style w:type="paragraph" w:customStyle="1" w:styleId="05HeadlinenoIndex">
    <w:name w:val="05_Headline no Index"/>
    <w:basedOn w:val="Standard"/>
    <w:rsid w:val="005C7E1F"/>
    <w:pPr>
      <w:spacing w:after="250" w:line="300" w:lineRule="exact"/>
      <w:jc w:val="both"/>
    </w:pPr>
    <w:rPr>
      <w:rFonts w:ascii="Georgia" w:hAnsi="Georgia"/>
      <w:b/>
      <w:lang w:eastAsia="de-DE"/>
    </w:rPr>
  </w:style>
  <w:style w:type="paragraph" w:customStyle="1" w:styleId="04BodyText">
    <w:name w:val="04_Body Text"/>
    <w:basedOn w:val="Standard"/>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NormaleTabelle"/>
    <w:next w:val="Tabellenraster"/>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enabsatzZchn">
    <w:name w:val="Listenabsatz Zchn"/>
    <w:aliases w:val="Paragraphe EI Zchn,Paragraphe de liste1 Zchn,EC Zchn,Paragraphe de liste Zchn,Normal Nivel 1 Zchn,List Paragraph Main Zchn,List first level Zchn,List Paragraph_Sections Zchn"/>
    <w:basedOn w:val="Absatz-Standardschriftart"/>
    <w:link w:val="Listenabsatz"/>
    <w:uiPriority w:val="34"/>
    <w:rsid w:val="00695AF2"/>
    <w:rPr>
      <w:rFonts w:eastAsiaTheme="majorEastAsia" w:cstheme="minorHAnsi"/>
      <w:sz w:val="22"/>
      <w:szCs w:val="22"/>
      <w:lang w:val="en-GB" w:eastAsia="en-GB"/>
    </w:rPr>
  </w:style>
  <w:style w:type="table" w:customStyle="1" w:styleId="TableGrid3">
    <w:name w:val="Table Grid3"/>
    <w:basedOn w:val="NormaleTabelle"/>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ormaleTabelle"/>
    <w:next w:val="Tabellenraster"/>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SMAConfidentialRestricted">
    <w:name w:val="ESMA Confidential/Restricted"/>
    <w:basedOn w:val="Fett"/>
    <w:uiPriority w:val="1"/>
    <w:qFormat/>
    <w:rsid w:val="00FA64BE"/>
    <w:rPr>
      <w:b w:val="0"/>
      <w:bCs/>
      <w:caps/>
      <w:smallCaps w:val="0"/>
      <w:color w:val="70AD47" w:themeColor="accent6"/>
      <w:sz w:val="22"/>
    </w:rPr>
  </w:style>
  <w:style w:type="paragraph" w:customStyle="1" w:styleId="Paragraph">
    <w:name w:val="Paragraph"/>
    <w:basedOn w:val="Listenabsatz"/>
    <w:link w:val="ParagraphChar"/>
    <w:qFormat/>
    <w:rsid w:val="00CB0C0C"/>
    <w:pPr>
      <w:numPr>
        <w:numId w:val="32"/>
      </w:numPr>
      <w:tabs>
        <w:tab w:val="clear" w:pos="0"/>
        <w:tab w:val="clear" w:pos="142"/>
        <w:tab w:val="clear" w:pos="284"/>
        <w:tab w:val="clear" w:pos="567"/>
      </w:tabs>
      <w:autoSpaceDE/>
      <w:autoSpaceDN/>
      <w:adjustRightInd/>
      <w:spacing w:before="120" w:after="120" w:line="276" w:lineRule="auto"/>
      <w:textAlignment w:val="baseline"/>
    </w:pPr>
    <w:rPr>
      <w:rFonts w:ascii="Arial" w:eastAsiaTheme="minorEastAsia" w:hAnsi="Arial" w:cs="Arial"/>
      <w:color w:val="1A1A1A" w:themeColor="background1" w:themeShade="1A"/>
    </w:rPr>
  </w:style>
  <w:style w:type="character" w:customStyle="1" w:styleId="ParagraphChar">
    <w:name w:val="Paragraph Char"/>
    <w:basedOn w:val="Absatz-Standardschriftart"/>
    <w:link w:val="Paragraph"/>
    <w:rsid w:val="00CB0C0C"/>
    <w:rPr>
      <w:rFonts w:ascii="Arial" w:hAnsi="Arial" w:cs="Arial"/>
      <w:color w:val="1A1A1A" w:themeColor="background1" w:themeShade="1A"/>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437221792">
          <w:marLeft w:val="547"/>
          <w:marRight w:val="0"/>
          <w:marTop w:val="120"/>
          <w:marBottom w:val="120"/>
          <w:divBdr>
            <w:top w:val="none" w:sz="0" w:space="0" w:color="auto"/>
            <w:left w:val="none" w:sz="0" w:space="0" w:color="auto"/>
            <w:bottom w:val="none" w:sz="0" w:space="0" w:color="auto"/>
            <w:right w:val="none" w:sz="0" w:space="0" w:color="auto"/>
          </w:divBdr>
        </w:div>
        <w:div w:id="627320154">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093010987">
          <w:marLeft w:val="547"/>
          <w:marRight w:val="0"/>
          <w:marTop w:val="120"/>
          <w:marBottom w:val="120"/>
          <w:divBdr>
            <w:top w:val="none" w:sz="0" w:space="0" w:color="auto"/>
            <w:left w:val="none" w:sz="0" w:space="0" w:color="auto"/>
            <w:bottom w:val="none" w:sz="0" w:space="0" w:color="auto"/>
            <w:right w:val="none" w:sz="0" w:space="0" w:color="auto"/>
          </w:divBdr>
        </w:div>
        <w:div w:id="1467972504">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872621579">
      <w:bodyDiv w:val="1"/>
      <w:marLeft w:val="0"/>
      <w:marRight w:val="0"/>
      <w:marTop w:val="0"/>
      <w:marBottom w:val="0"/>
      <w:divBdr>
        <w:top w:val="none" w:sz="0" w:space="0" w:color="auto"/>
        <w:left w:val="none" w:sz="0" w:space="0" w:color="auto"/>
        <w:bottom w:val="none" w:sz="0" w:space="0" w:color="auto"/>
        <w:right w:val="none" w:sz="0" w:space="0" w:color="auto"/>
      </w:divBdr>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554805026">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334718046">
          <w:marLeft w:val="547"/>
          <w:marRight w:val="0"/>
          <w:marTop w:val="120"/>
          <w:marBottom w:val="120"/>
          <w:divBdr>
            <w:top w:val="none" w:sz="0" w:space="0" w:color="auto"/>
            <w:left w:val="none" w:sz="0" w:space="0" w:color="auto"/>
            <w:bottom w:val="none" w:sz="0" w:space="0" w:color="auto"/>
            <w:right w:val="none" w:sz="0" w:space="0" w:color="auto"/>
          </w:divBdr>
        </w:div>
        <w:div w:id="1910724800">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384447457">
          <w:marLeft w:val="126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322007622">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www.esma.europa.eu"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3.jpeg"/><Relationship Id="rId2" Type="http://schemas.openxmlformats.org/officeDocument/2006/relationships/customXml" Target="../customXml/item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jp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esma.europa.eu/legal-noti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D5692A916346B244A3F899D51C0A50BD" ma:contentTypeVersion="16" ma:contentTypeDescription="Ein neues Dokument erstellen." ma:contentTypeScope="" ma:versionID="6ad9330ecbfd088f916f9e79aacfb95a">
  <xsd:schema xmlns:xsd="http://www.w3.org/2001/XMLSchema" xmlns:xs="http://www.w3.org/2001/XMLSchema" xmlns:p="http://schemas.microsoft.com/office/2006/metadata/properties" xmlns:ns2="447d1ef8-ad44-4370-a8b0-2ee12ee07d0f" xmlns:ns3="adad1fb5-11ff-4cb9-8481-2516a3af0630" targetNamespace="http://schemas.microsoft.com/office/2006/metadata/properties" ma:root="true" ma:fieldsID="21d77dc972f6fcaee55a063f76018cbc" ns2:_="" ns3:_="">
    <xsd:import namespace="447d1ef8-ad44-4370-a8b0-2ee12ee07d0f"/>
    <xsd:import namespace="adad1fb5-11ff-4cb9-8481-2516a3af063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7d1ef8-ad44-4370-a8b0-2ee12ee07d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6" nillable="true" ma:displayName="Length (seconds)"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Bildmarkierungen" ma:readOnly="false" ma:fieldId="{5cf76f15-5ced-4ddc-b409-7134ff3c332f}" ma:taxonomyMulti="true" ma:sspId="38c73527-70ac-45dd-ba17-f9c4619ca3d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ad1fb5-11ff-4cb9-8481-2516a3af0630"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f0d44b90-3de7-4aa4-a4aa-2a17612bf8a5}" ma:internalName="TaxCatchAll" ma:showField="CatchAllData" ma:web="adad1fb5-11ff-4cb9-8481-2516a3af063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adad1fb5-11ff-4cb9-8481-2516a3af0630" xsi:nil="true"/>
    <lcf76f155ced4ddcb4097134ff3c332f xmlns="447d1ef8-ad44-4370-a8b0-2ee12ee07d0f">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F80F4C4-F0A0-4061-B9D6-D46D7D39BCD2}">
  <ds:schemaRefs>
    <ds:schemaRef ds:uri="http://schemas.openxmlformats.org/officeDocument/2006/bibliography"/>
  </ds:schemaRefs>
</ds:datastoreItem>
</file>

<file path=customXml/itemProps2.xml><?xml version="1.0" encoding="utf-8"?>
<ds:datastoreItem xmlns:ds="http://schemas.openxmlformats.org/officeDocument/2006/customXml" ds:itemID="{7E49AA1D-BEDB-4396-B300-F311D5FECF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7d1ef8-ad44-4370-a8b0-2ee12ee07d0f"/>
    <ds:schemaRef ds:uri="adad1fb5-11ff-4cb9-8481-2516a3af06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adad1fb5-11ff-4cb9-8481-2516a3af0630"/>
    <ds:schemaRef ds:uri="447d1ef8-ad44-4370-a8b0-2ee12ee07d0f"/>
  </ds:schemaRefs>
</ds:datastoreItem>
</file>

<file path=customXml/itemProps4.xml><?xml version="1.0" encoding="utf-8"?>
<ds:datastoreItem xmlns:ds="http://schemas.openxmlformats.org/officeDocument/2006/customXml" ds:itemID="{FC2455EB-3D3A-4C02-9873-6A72D376E4F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C:\Users\Klisovskij\Desktop\Template to Upload\Guidelines and Recommendations Templates\GuidelinesAndRecommendations_Template_Regular.dotx</Template>
  <TotalTime>0</TotalTime>
  <Pages>7</Pages>
  <Words>1562</Words>
  <Characters>9845</Characters>
  <Application>Microsoft Office Word</Application>
  <DocSecurity>0</DocSecurity>
  <Lines>82</Lines>
  <Paragraphs>22</Paragraphs>
  <ScaleCrop>false</ScaleCrop>
  <HeadingPairs>
    <vt:vector size="2" baseType="variant">
      <vt:variant>
        <vt:lpstr>Titel</vt:lpstr>
      </vt:variant>
      <vt:variant>
        <vt:i4>1</vt:i4>
      </vt:variant>
    </vt:vector>
  </HeadingPairs>
  <TitlesOfParts>
    <vt:vector size="1" baseType="lpstr">
      <vt:lpstr/>
    </vt:vector>
  </TitlesOfParts>
  <Company>ESMA</Company>
  <LinksUpToDate>false</LinksUpToDate>
  <CharactersWithSpaces>11385</CharactersWithSpaces>
  <SharedDoc>false</SharedDoc>
  <HLinks>
    <vt:vector size="18" baseType="variant">
      <vt:variant>
        <vt:i4>7733344</vt:i4>
      </vt:variant>
      <vt:variant>
        <vt:i4>3</vt:i4>
      </vt:variant>
      <vt:variant>
        <vt:i4>0</vt:i4>
      </vt:variant>
      <vt:variant>
        <vt:i4>5</vt:i4>
      </vt:variant>
      <vt:variant>
        <vt:lpwstr>http://www.esma.europa.eu/legal-notice</vt:lpwstr>
      </vt:variant>
      <vt:variant>
        <vt:lpwstr/>
      </vt:variant>
      <vt:variant>
        <vt:i4>3932286</vt:i4>
      </vt:variant>
      <vt:variant>
        <vt:i4>0</vt:i4>
      </vt:variant>
      <vt:variant>
        <vt:i4>0</vt:i4>
      </vt:variant>
      <vt:variant>
        <vt:i4>5</vt:i4>
      </vt:variant>
      <vt:variant>
        <vt:lpwstr>http://www.esma.europa.eu/</vt:lpwstr>
      </vt:variant>
      <vt:variant>
        <vt:lpwstr/>
      </vt:variant>
      <vt:variant>
        <vt:i4>7798878</vt:i4>
      </vt:variant>
      <vt:variant>
        <vt:i4>3</vt:i4>
      </vt:variant>
      <vt:variant>
        <vt:i4>0</vt:i4>
      </vt:variant>
      <vt:variant>
        <vt:i4>5</vt:i4>
      </vt:variant>
      <vt:variant>
        <vt:lpwstr>https://sherpa.esma.europa.eu/sites/MKT/SMK/_layouts/15/DocIdRedir.aspx?ID=ESMA70-156-1484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Alexander Ebolor</cp:lastModifiedBy>
  <cp:revision>2</cp:revision>
  <cp:lastPrinted>2017-07-24T23:47:00Z</cp:lastPrinted>
  <dcterms:created xsi:type="dcterms:W3CDTF">2025-06-20T15:23:00Z</dcterms:created>
  <dcterms:modified xsi:type="dcterms:W3CDTF">2025-06-20T15:23:00Z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8;#Regular|07f1e362-856b-423d-bea6-a14079762141</vt:lpwstr>
  </property>
  <property fmtid="{D5CDD505-2E9C-101B-9397-08002B2CF9AE}" pid="4" name="ContentTypeId">
    <vt:lpwstr>0x010100D5692A916346B244A3F899D51C0A50BD</vt:lpwstr>
  </property>
  <property fmtid="{D5CDD505-2E9C-101B-9397-08002B2CF9AE}" pid="5" name="_dlc_DocIdItemGuid">
    <vt:lpwstr>374eb300-0e59-42cf-be6a-f8786a7b085e</vt:lpwstr>
  </property>
  <property fmtid="{D5CDD505-2E9C-101B-9397-08002B2CF9AE}" pid="6" name="DocumentType">
    <vt:lpwstr>86;#Report|78753201-1e9e-4a21-a088-6ff602b5c999</vt:lpwstr>
  </property>
  <property fmtid="{D5CDD505-2E9C-101B-9397-08002B2CF9AE}" pid="7" name="Topic">
    <vt:lpwstr>425;#European Green Bonds|f68cfe7f-8b0c-4445-b5d7-ad808afd8270</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9;#Credit Ratings Agency Unit|ac587c9e-f6a3-4205-8197-96cf16201777</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500;#Qualification of crypto-assets - ESMA Guidelines on classification|4332d316-c095-4f91-9af2-56426177b6b7</vt:lpwstr>
  </property>
  <property fmtid="{D5CDD505-2E9C-101B-9397-08002B2CF9AE}" pid="18" name="TeamTopic">
    <vt:lpwstr>87;#Other Work|f1a52b52-917d-42ef-9667-945839604bb2</vt:lpwstr>
  </property>
  <property fmtid="{D5CDD505-2E9C-101B-9397-08002B2CF9AE}" pid="19" name="URL">
    <vt:lpwstr/>
  </property>
  <property fmtid="{D5CDD505-2E9C-101B-9397-08002B2CF9AE}" pid="20" name="DocumentSetDescription">
    <vt:lpwstr/>
  </property>
  <property fmtid="{D5CDD505-2E9C-101B-9397-08002B2CF9AE}" pid="21" name="MSIP_Label_e5413819-eea3-48a9-a4ad-6a99e0a978e6_Enabled">
    <vt:lpwstr>True</vt:lpwstr>
  </property>
  <property fmtid="{D5CDD505-2E9C-101B-9397-08002B2CF9AE}" pid="22" name="MSIP_Label_e5413819-eea3-48a9-a4ad-6a99e0a978e6_SiteId">
    <vt:lpwstr>e406f268-4ae7-4c80-8994-02493da00c03</vt:lpwstr>
  </property>
  <property fmtid="{D5CDD505-2E9C-101B-9397-08002B2CF9AE}" pid="23" name="MSIP_Label_e5413819-eea3-48a9-a4ad-6a99e0a978e6_SetDate">
    <vt:lpwstr>2025-05-02T09:49:13Z</vt:lpwstr>
  </property>
  <property fmtid="{D5CDD505-2E9C-101B-9397-08002B2CF9AE}" pid="24" name="MSIP_Label_e5413819-eea3-48a9-a4ad-6a99e0a978e6_Name">
    <vt:lpwstr>Generic</vt:lpwstr>
  </property>
  <property fmtid="{D5CDD505-2E9C-101B-9397-08002B2CF9AE}" pid="25" name="MSIP_Label_e5413819-eea3-48a9-a4ad-6a99e0a978e6_ActionId">
    <vt:lpwstr>80c57b31-08da-4cb1-bed9-328fd72d4919</vt:lpwstr>
  </property>
  <property fmtid="{D5CDD505-2E9C-101B-9397-08002B2CF9AE}" pid="26" name="MSIP_Label_e5413819-eea3-48a9-a4ad-6a99e0a978e6_Removed">
    <vt:lpwstr>False</vt:lpwstr>
  </property>
  <property fmtid="{D5CDD505-2E9C-101B-9397-08002B2CF9AE}" pid="27" name="MSIP_Label_e5413819-eea3-48a9-a4ad-6a99e0a978e6_Parent">
    <vt:lpwstr/>
  </property>
  <property fmtid="{D5CDD505-2E9C-101B-9397-08002B2CF9AE}" pid="28" name="MSIP_Label_e5413819-eea3-48a9-a4ad-6a99e0a978e6_Extended_MSFT_Method">
    <vt:lpwstr>Standard</vt:lpwstr>
  </property>
  <property fmtid="{D5CDD505-2E9C-101B-9397-08002B2CF9AE}" pid="29" name="Sensitivity">
    <vt:lpwstr>Generic</vt:lpwstr>
  </property>
  <property fmtid="{D5CDD505-2E9C-101B-9397-08002B2CF9AE}" pid="30" name="MediaServiceImageTags">
    <vt:lpwstr/>
  </property>
</Properties>
</file>