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DBC44"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6"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560266DF" w:rsidR="00C85C8B" w:rsidRPr="00B16706" w:rsidRDefault="00D70B84" w:rsidP="00C85C8B">
                <w:pPr>
                  <w:rPr>
                    <w:rFonts w:ascii="Arial" w:hAnsi="Arial" w:cs="Arial"/>
                    <w:color w:val="808080"/>
                    <w:sz w:val="16"/>
                    <w:szCs w:val="20"/>
                    <w:lang w:eastAsia="de-DE"/>
                  </w:rPr>
                </w:pPr>
                <w:r>
                  <w:rPr>
                    <w:rFonts w:ascii="Arial" w:hAnsi="Arial" w:cs="Arial"/>
                    <w:color w:val="808080"/>
                    <w:sz w:val="16"/>
                    <w:szCs w:val="20"/>
                    <w:lang w:eastAsia="de-DE"/>
                  </w:rPr>
                  <w:t>Institutional Shareholder Services (ISS)</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59C7938B"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39239A">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511A3048" w:rsidR="00C85C8B" w:rsidRPr="00B16706" w:rsidRDefault="0039239A"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237E505E" w:rsidR="00C85C8B" w:rsidRPr="00B16706" w:rsidRDefault="000117E9" w:rsidP="00C85C8B">
                <w:pPr>
                  <w:rPr>
                    <w:rFonts w:ascii="Arial" w:hAnsi="Arial" w:cs="Arial"/>
                    <w:sz w:val="16"/>
                    <w:szCs w:val="20"/>
                    <w:lang w:eastAsia="de-DE"/>
                  </w:rPr>
                </w:pPr>
                <w:r>
                  <w:rPr>
                    <w:rFonts w:ascii="Arial" w:hAnsi="Arial" w:cs="Arial"/>
                    <w:sz w:val="16"/>
                    <w:szCs w:val="20"/>
                    <w:lang w:eastAsia="de-DE"/>
                  </w:rPr>
                  <w:t>International</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243A8AF9" w14:textId="77777777" w:rsidR="00BD73CA" w:rsidRPr="00B56993" w:rsidRDefault="00BD73CA">
      <w:pPr>
        <w:spacing w:after="120" w:line="264" w:lineRule="auto"/>
        <w:rPr>
          <w:rFonts w:ascii="Arial" w:hAnsi="Arial" w:cs="Arial"/>
          <w:b/>
          <w:sz w:val="22"/>
          <w:szCs w:val="22"/>
          <w:lang w:eastAsia="en-US"/>
        </w:rPr>
      </w:pPr>
    </w:p>
    <w:bookmarkEnd w:id="0"/>
    <w:p w14:paraId="5B87C99A" w14:textId="6906B0B4" w:rsidR="001B1B48" w:rsidRPr="00365A2B" w:rsidRDefault="00CB0C0C" w:rsidP="004578B3">
      <w:pPr>
        <w:pStyle w:val="Paragraph"/>
        <w:numPr>
          <w:ilvl w:val="0"/>
          <w:numId w:val="0"/>
        </w:numPr>
        <w:ind w:left="708" w:hanging="708"/>
        <w:rPr>
          <w:sz w:val="24"/>
          <w:szCs w:val="24"/>
        </w:rPr>
      </w:pPr>
      <w:proofErr w:type="gramStart"/>
      <w:r w:rsidRPr="00365A2B">
        <w:rPr>
          <w:b/>
          <w:bCs/>
          <w:sz w:val="24"/>
          <w:szCs w:val="24"/>
        </w:rPr>
        <w:t>Q1</w:t>
      </w:r>
      <w:proofErr w:type="gramEnd"/>
      <w:r w:rsidRPr="00365A2B">
        <w:rPr>
          <w:sz w:val="24"/>
          <w:szCs w:val="24"/>
        </w:rPr>
        <w:t xml:space="preserve"> </w:t>
      </w:r>
      <w:r w:rsidR="004578B3" w:rsidRPr="00365A2B">
        <w:rPr>
          <w:sz w:val="24"/>
          <w:szCs w:val="24"/>
        </w:rPr>
        <w:tab/>
      </w:r>
      <w:r w:rsidRPr="00EB3D8E">
        <w:rPr>
          <w:rFonts w:eastAsia="Times New Roman"/>
          <w:b/>
          <w:bCs/>
          <w:color w:val="auto"/>
          <w:sz w:val="24"/>
          <w:szCs w:val="24"/>
          <w:lang w:eastAsia="en-US"/>
        </w:rPr>
        <w:t>Do you agree with ESMA’s proposals for the draft technical standard under Articles 6(3) and 12(9)?</w:t>
      </w:r>
      <w:r w:rsidR="00BB29AA" w:rsidRPr="00365A2B">
        <w:rPr>
          <w:b/>
          <w:sz w:val="24"/>
          <w:szCs w:val="24"/>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2BBCF023" w14:textId="086ACB17" w:rsidR="00420E95" w:rsidRDefault="00420E95" w:rsidP="00420E95">
      <w:pPr>
        <w:jc w:val="both"/>
      </w:pPr>
      <w:permStart w:id="1765354918" w:edGrp="everyone"/>
      <w:r w:rsidRPr="00653252">
        <w:t>Institutional Shareholder Services (ISS), part of the ISS-STOXX group of companies, is a leading global provider of independent corporate governance and sustainability research, specialized data and analytics, and actionable insights for the world’s leading capital market participants. ISS ESG, the sustainable investment arm of ISS, provides institutional investors with comprehensive data and analytics, including ESG ratings to help them understand, measure, and manage ESG-related risks,</w:t>
      </w:r>
      <w:r>
        <w:t xml:space="preserve"> </w:t>
      </w:r>
      <w:r w:rsidRPr="00693DD6">
        <w:t>opportunities and impacts to achieve their investment objectives.  </w:t>
      </w:r>
      <w:r w:rsidR="006C053F">
        <w:t>We our responding to this consultation in our capacity as a</w:t>
      </w:r>
      <w:r w:rsidRPr="00693DD6">
        <w:t xml:space="preserve"> provider of ESG research, ratings and data to </w:t>
      </w:r>
      <w:r w:rsidR="009A5AAF">
        <w:t xml:space="preserve">financial market participants </w:t>
      </w:r>
      <w:r w:rsidR="002216F8">
        <w:t>worldwide</w:t>
      </w:r>
      <w:r w:rsidR="00C44A23">
        <w:t>, including in the European Union</w:t>
      </w:r>
      <w:r w:rsidR="009E5001">
        <w:t>.</w:t>
      </w:r>
      <w:r w:rsidR="00DE6CA9">
        <w:t xml:space="preserve"> </w:t>
      </w:r>
    </w:p>
    <w:p w14:paraId="59FBF663" w14:textId="77777777" w:rsidR="006676F2" w:rsidRDefault="006676F2" w:rsidP="00420E95">
      <w:pPr>
        <w:jc w:val="both"/>
      </w:pPr>
    </w:p>
    <w:p w14:paraId="4769B534" w14:textId="5DA53C32" w:rsidR="006676F2" w:rsidRDefault="006676F2" w:rsidP="00420E95">
      <w:pPr>
        <w:jc w:val="both"/>
      </w:pPr>
      <w:r>
        <w:t xml:space="preserve">We appreciate the opportunity to comment on </w:t>
      </w:r>
      <w:r w:rsidR="002B68F5">
        <w:t>the draft Regulatory Technical Standards (RTS)</w:t>
      </w:r>
      <w:r w:rsidR="00073744">
        <w:t>.</w:t>
      </w:r>
      <w:r w:rsidR="0074347D">
        <w:t xml:space="preserve"> </w:t>
      </w:r>
      <w:r w:rsidR="00A26809">
        <w:t xml:space="preserve">At the outset of this response, it is important to highlight </w:t>
      </w:r>
      <w:r w:rsidR="00482A12">
        <w:t xml:space="preserve">that </w:t>
      </w:r>
      <w:r w:rsidR="00F24B79">
        <w:t>fundamental interpretive issues remain with the definition</w:t>
      </w:r>
      <w:r w:rsidR="00F12BF0">
        <w:t>s of “</w:t>
      </w:r>
      <w:r w:rsidR="00F12BF0" w:rsidRPr="006B5E12">
        <w:rPr>
          <w:i/>
          <w:iCs/>
        </w:rPr>
        <w:t>ESG rating</w:t>
      </w:r>
      <w:r w:rsidR="00F12BF0">
        <w:t>”</w:t>
      </w:r>
      <w:r w:rsidR="00860DB5">
        <w:t>, “</w:t>
      </w:r>
      <w:r w:rsidR="00860DB5" w:rsidRPr="006B5E12">
        <w:rPr>
          <w:i/>
          <w:iCs/>
        </w:rPr>
        <w:t>ESG opinion</w:t>
      </w:r>
      <w:r w:rsidR="00860DB5">
        <w:t>”, and “</w:t>
      </w:r>
      <w:r w:rsidR="00860DB5" w:rsidRPr="006B5E12">
        <w:rPr>
          <w:i/>
          <w:iCs/>
        </w:rPr>
        <w:t>ESG score</w:t>
      </w:r>
      <w:r w:rsidR="00860DB5">
        <w:t>”</w:t>
      </w:r>
      <w:r w:rsidR="00DB2268">
        <w:t xml:space="preserve"> </w:t>
      </w:r>
      <w:r w:rsidR="00860DB5">
        <w:t xml:space="preserve">which render it challenging to </w:t>
      </w:r>
      <w:r w:rsidR="00522A13">
        <w:t xml:space="preserve">objectively </w:t>
      </w:r>
      <w:r w:rsidR="001969AB">
        <w:t>ascertain</w:t>
      </w:r>
      <w:r w:rsidR="00787235">
        <w:t xml:space="preserve"> the</w:t>
      </w:r>
      <w:r w:rsidR="00116AED">
        <w:t xml:space="preserve"> regulation’s precise scope of application at a product-level.</w:t>
      </w:r>
      <w:r w:rsidR="008707C0">
        <w:t xml:space="preserve"> </w:t>
      </w:r>
      <w:r w:rsidR="00A06E5E">
        <w:t>Consequently, t</w:t>
      </w:r>
      <w:r w:rsidR="00F32AAD">
        <w:t xml:space="preserve">he backdrop </w:t>
      </w:r>
      <w:r w:rsidR="00FD0DC5">
        <w:t xml:space="preserve">of this consultation </w:t>
      </w:r>
      <w:r w:rsidR="008707C0">
        <w:t xml:space="preserve">is one of </w:t>
      </w:r>
      <w:r w:rsidR="004031BB">
        <w:t xml:space="preserve">some degree of </w:t>
      </w:r>
      <w:r w:rsidR="008707C0">
        <w:t>uncertainty</w:t>
      </w:r>
      <w:r w:rsidR="0009785E">
        <w:t xml:space="preserve"> as to which products the draft RTS would apply</w:t>
      </w:r>
      <w:r w:rsidR="007F3BB9">
        <w:t>,</w:t>
      </w:r>
      <w:r w:rsidR="009A520F">
        <w:t xml:space="preserve"> </w:t>
      </w:r>
      <w:r w:rsidR="004031BB">
        <w:t>partially</w:t>
      </w:r>
      <w:r w:rsidR="009A520F">
        <w:t xml:space="preserve"> </w:t>
      </w:r>
      <w:r w:rsidR="005B1AFF">
        <w:t xml:space="preserve">informing </w:t>
      </w:r>
      <w:r w:rsidR="001C0DCC">
        <w:t xml:space="preserve">how we </w:t>
      </w:r>
      <w:r w:rsidR="2F8C58B3">
        <w:t xml:space="preserve">have </w:t>
      </w:r>
      <w:r w:rsidR="001C0DCC">
        <w:t>respond</w:t>
      </w:r>
      <w:r w:rsidR="04F2CD61">
        <w:t>ed</w:t>
      </w:r>
      <w:r w:rsidR="001C0DCC">
        <w:t xml:space="preserve"> to</w:t>
      </w:r>
      <w:r w:rsidR="009A252F">
        <w:t xml:space="preserve"> the</w:t>
      </w:r>
      <w:r w:rsidR="001C0DCC">
        <w:t xml:space="preserve"> </w:t>
      </w:r>
      <w:r w:rsidR="059CFA13">
        <w:t>Consultation’s</w:t>
      </w:r>
      <w:r w:rsidR="001C0DCC">
        <w:t xml:space="preserve"> questions</w:t>
      </w:r>
      <w:r w:rsidR="00F32AAD">
        <w:t>.</w:t>
      </w:r>
      <w:r w:rsidR="56AF898D">
        <w:t xml:space="preserve"> </w:t>
      </w:r>
      <w:r w:rsidR="00EA6796">
        <w:rPr>
          <w:highlight w:val="yellow"/>
        </w:rPr>
        <w:t>A clear market understanding of the practical interpretation and application of</w:t>
      </w:r>
      <w:r w:rsidR="56AF898D">
        <w:rPr>
          <w:highlight w:val="yellow"/>
        </w:rPr>
        <w:t xml:space="preserve"> the</w:t>
      </w:r>
      <w:r w:rsidR="56AF898D" w:rsidRPr="00EB3D8E">
        <w:rPr>
          <w:highlight w:val="yellow"/>
        </w:rPr>
        <w:t xml:space="preserve"> definitions of </w:t>
      </w:r>
      <w:r w:rsidR="003F2895">
        <w:rPr>
          <w:highlight w:val="yellow"/>
        </w:rPr>
        <w:t xml:space="preserve">an </w:t>
      </w:r>
      <w:r w:rsidR="56AF898D" w:rsidRPr="00EB3D8E">
        <w:rPr>
          <w:highlight w:val="yellow"/>
        </w:rPr>
        <w:t>“</w:t>
      </w:r>
      <w:r w:rsidR="56AF898D" w:rsidRPr="006B5E12">
        <w:rPr>
          <w:i/>
          <w:iCs/>
          <w:highlight w:val="yellow"/>
        </w:rPr>
        <w:t>ESG rating</w:t>
      </w:r>
      <w:r w:rsidR="56AF898D" w:rsidRPr="00EB3D8E">
        <w:rPr>
          <w:highlight w:val="yellow"/>
        </w:rPr>
        <w:t>”, “</w:t>
      </w:r>
      <w:r w:rsidR="56AF898D" w:rsidRPr="006B5E12">
        <w:rPr>
          <w:i/>
          <w:iCs/>
          <w:highlight w:val="yellow"/>
        </w:rPr>
        <w:t>ESG opinion</w:t>
      </w:r>
      <w:r w:rsidR="56AF898D" w:rsidRPr="00EB3D8E">
        <w:rPr>
          <w:highlight w:val="yellow"/>
        </w:rPr>
        <w:t>” and “</w:t>
      </w:r>
      <w:r w:rsidR="56AF898D" w:rsidRPr="006B5E12">
        <w:rPr>
          <w:i/>
          <w:iCs/>
          <w:highlight w:val="yellow"/>
        </w:rPr>
        <w:t>ESG score</w:t>
      </w:r>
      <w:r w:rsidR="56AF898D" w:rsidRPr="00EB3D8E">
        <w:rPr>
          <w:highlight w:val="yellow"/>
        </w:rPr>
        <w:t>”</w:t>
      </w:r>
      <w:r w:rsidR="66BEDE9A">
        <w:rPr>
          <w:highlight w:val="yellow"/>
        </w:rPr>
        <w:t xml:space="preserve"> </w:t>
      </w:r>
      <w:r w:rsidR="00AD1AD6">
        <w:rPr>
          <w:highlight w:val="yellow"/>
        </w:rPr>
        <w:t>– including distinctions between t</w:t>
      </w:r>
      <w:r w:rsidR="000B6DFD">
        <w:rPr>
          <w:highlight w:val="yellow"/>
        </w:rPr>
        <w:t>he three and any potential</w:t>
      </w:r>
      <w:r w:rsidR="000D3E53">
        <w:rPr>
          <w:highlight w:val="yellow"/>
        </w:rPr>
        <w:t xml:space="preserve"> variation in </w:t>
      </w:r>
      <w:r w:rsidR="00192205">
        <w:rPr>
          <w:highlight w:val="yellow"/>
        </w:rPr>
        <w:t>the</w:t>
      </w:r>
      <w:r w:rsidR="000D3E53">
        <w:rPr>
          <w:highlight w:val="yellow"/>
        </w:rPr>
        <w:t xml:space="preserve"> respective supervisory expectations - </w:t>
      </w:r>
      <w:r w:rsidR="003F2895">
        <w:rPr>
          <w:highlight w:val="yellow"/>
        </w:rPr>
        <w:t>under the regulation</w:t>
      </w:r>
      <w:r w:rsidR="66BEDE9A" w:rsidRPr="00EB3D8E">
        <w:rPr>
          <w:highlight w:val="yellow"/>
        </w:rPr>
        <w:t xml:space="preserve"> </w:t>
      </w:r>
      <w:r w:rsidR="002D1151">
        <w:rPr>
          <w:highlight w:val="yellow"/>
        </w:rPr>
        <w:t>would also help to</w:t>
      </w:r>
      <w:r w:rsidR="66BEDE9A" w:rsidRPr="00EB3D8E">
        <w:rPr>
          <w:highlight w:val="yellow"/>
        </w:rPr>
        <w:t xml:space="preserve"> avoid unintended “spillover” at a time when the EU is focussed on regulatory simplification a</w:t>
      </w:r>
      <w:r w:rsidR="2EA4FF75" w:rsidRPr="00EB3D8E">
        <w:rPr>
          <w:highlight w:val="yellow"/>
        </w:rPr>
        <w:t>nd enhancing competitiveness</w:t>
      </w:r>
      <w:r w:rsidR="2EA4FF75">
        <w:t xml:space="preserve">. </w:t>
      </w:r>
      <w:r w:rsidR="006F6038">
        <w:t xml:space="preserve"> </w:t>
      </w:r>
    </w:p>
    <w:p w14:paraId="13CC9B2D" w14:textId="77777777" w:rsidR="00673001" w:rsidRDefault="00673001" w:rsidP="00420E95">
      <w:pPr>
        <w:jc w:val="both"/>
      </w:pPr>
    </w:p>
    <w:p w14:paraId="13E9E0A5" w14:textId="4EA5FE52" w:rsidR="00311FE4" w:rsidRDefault="009D52B2" w:rsidP="00420E95">
      <w:pPr>
        <w:jc w:val="both"/>
      </w:pPr>
      <w:r>
        <w:t xml:space="preserve">With respect to the </w:t>
      </w:r>
      <w:r w:rsidR="00673001">
        <w:t xml:space="preserve">draft RTS, as a general comment, </w:t>
      </w:r>
      <w:r w:rsidR="004301C0">
        <w:t xml:space="preserve">where </w:t>
      </w:r>
      <w:r>
        <w:t xml:space="preserve">ESMA’s proposals </w:t>
      </w:r>
      <w:r w:rsidR="004301C0">
        <w:t>are consistent with the Level 1 text we are supportive.</w:t>
      </w:r>
      <w:r w:rsidR="003971EE">
        <w:t xml:space="preserve"> </w:t>
      </w:r>
      <w:r w:rsidR="002D6DFB">
        <w:t>I</w:t>
      </w:r>
      <w:r w:rsidR="0045602C">
        <w:t>n the case of the draft RTS under Articles 6(3) and 12(9),</w:t>
      </w:r>
      <w:r w:rsidR="003316E4">
        <w:t xml:space="preserve"> </w:t>
      </w:r>
      <w:r w:rsidR="00000F3B">
        <w:t xml:space="preserve">ESMA </w:t>
      </w:r>
      <w:r w:rsidR="00300544">
        <w:t xml:space="preserve">proposals that seek to </w:t>
      </w:r>
      <w:r w:rsidR="00B77B78">
        <w:t>facilitate the application process are welcome</w:t>
      </w:r>
      <w:r w:rsidR="00B1429F">
        <w:t>, such as</w:t>
      </w:r>
      <w:r w:rsidR="006826A4">
        <w:t xml:space="preserve"> the cho</w:t>
      </w:r>
      <w:r w:rsidR="007F2338">
        <w:t>ice</w:t>
      </w:r>
      <w:r w:rsidR="006826A4">
        <w:t xml:space="preserve"> not to impose templates</w:t>
      </w:r>
      <w:r w:rsidR="0050205E">
        <w:t xml:space="preserve"> </w:t>
      </w:r>
      <w:proofErr w:type="gramStart"/>
      <w:r w:rsidR="0050205E">
        <w:t xml:space="preserve">and </w:t>
      </w:r>
      <w:r w:rsidR="00B1429F">
        <w:t xml:space="preserve"> </w:t>
      </w:r>
      <w:r w:rsidR="00C128C4">
        <w:t>to</w:t>
      </w:r>
      <w:proofErr w:type="gramEnd"/>
      <w:r w:rsidR="00C128C4">
        <w:t xml:space="preserve"> </w:t>
      </w:r>
      <w:r w:rsidR="00B1429F">
        <w:t xml:space="preserve">allow ESG rating providers to share </w:t>
      </w:r>
      <w:r w:rsidR="003E6BF7">
        <w:t xml:space="preserve">existing </w:t>
      </w:r>
      <w:r w:rsidR="00B1429F">
        <w:t>documentation on their policies and procedures</w:t>
      </w:r>
      <w:r w:rsidR="005C099A">
        <w:t xml:space="preserve">, where </w:t>
      </w:r>
      <w:r w:rsidR="003E5392">
        <w:t>appropriate</w:t>
      </w:r>
      <w:r w:rsidR="00EC08D7">
        <w:t>.</w:t>
      </w:r>
      <w:r w:rsidR="00F87D39">
        <w:t xml:space="preserve"> Generally,</w:t>
      </w:r>
      <w:r w:rsidR="003316E4">
        <w:t xml:space="preserve"> ESMA’s proposals </w:t>
      </w:r>
      <w:r w:rsidR="00A56D19">
        <w:t xml:space="preserve">also </w:t>
      </w:r>
      <w:r w:rsidR="003316E4">
        <w:t>remain consistent with the Level 1 text</w:t>
      </w:r>
      <w:r w:rsidR="00A56D19">
        <w:t>.</w:t>
      </w:r>
      <w:r w:rsidR="00331830">
        <w:t xml:space="preserve"> </w:t>
      </w:r>
      <w:r w:rsidR="00A56D19">
        <w:t>I</w:t>
      </w:r>
      <w:r w:rsidR="00331830">
        <w:t>n certain instances</w:t>
      </w:r>
      <w:r w:rsidR="00A56D19">
        <w:t>, however,</w:t>
      </w:r>
      <w:r w:rsidR="00F737DD">
        <w:t xml:space="preserve"> </w:t>
      </w:r>
      <w:r w:rsidR="00FD696F">
        <w:t>the information</w:t>
      </w:r>
      <w:r w:rsidR="00E5515E">
        <w:t xml:space="preserve"> proposed</w:t>
      </w:r>
      <w:r w:rsidR="00FD696F">
        <w:t xml:space="preserve"> to be </w:t>
      </w:r>
      <w:r w:rsidR="002E274F">
        <w:t xml:space="preserve">included in </w:t>
      </w:r>
      <w:r w:rsidR="00A66B6E">
        <w:t xml:space="preserve">the </w:t>
      </w:r>
      <w:r w:rsidR="00444B8C">
        <w:t xml:space="preserve">application for authorisation </w:t>
      </w:r>
      <w:r w:rsidR="00E5515E">
        <w:t xml:space="preserve">appears to be </w:t>
      </w:r>
      <w:r w:rsidR="0059222A">
        <w:t>unnecessarily granular</w:t>
      </w:r>
      <w:r w:rsidR="003316E4">
        <w:t xml:space="preserve">. </w:t>
      </w:r>
      <w:r w:rsidR="004F1D8D">
        <w:t>Having to provide this information would represent a</w:t>
      </w:r>
      <w:r w:rsidR="00BD3761">
        <w:t>n avoidable</w:t>
      </w:r>
      <w:r w:rsidR="00F46FDE">
        <w:t xml:space="preserve"> regulatory burden for ESG rating providers</w:t>
      </w:r>
      <w:r w:rsidR="00905FBC">
        <w:t xml:space="preserve"> </w:t>
      </w:r>
      <w:r w:rsidR="00064953">
        <w:t xml:space="preserve">and it is not apparent how </w:t>
      </w:r>
      <w:r w:rsidR="00B05C4B">
        <w:t xml:space="preserve">ESMA’s </w:t>
      </w:r>
      <w:r w:rsidR="0035073B">
        <w:t xml:space="preserve">access to this information would </w:t>
      </w:r>
      <w:r w:rsidR="004F1D8D">
        <w:t>enhance</w:t>
      </w:r>
      <w:r w:rsidR="002B3122">
        <w:t xml:space="preserve"> the</w:t>
      </w:r>
      <w:r w:rsidR="004F1D8D">
        <w:t xml:space="preserve"> supervision</w:t>
      </w:r>
      <w:r w:rsidR="002B3122">
        <w:t xml:space="preserve"> of ESG rating providers</w:t>
      </w:r>
      <w:r w:rsidR="0035073B">
        <w:t>.</w:t>
      </w:r>
      <w:r w:rsidR="003518F1">
        <w:t xml:space="preserve"> </w:t>
      </w:r>
    </w:p>
    <w:p w14:paraId="60C8F744" w14:textId="77777777" w:rsidR="006E1B11" w:rsidRDefault="006E1B11" w:rsidP="00420E95">
      <w:pPr>
        <w:jc w:val="both"/>
      </w:pPr>
    </w:p>
    <w:p w14:paraId="6B41CF80" w14:textId="2E2C3FFF" w:rsidR="00ED7490" w:rsidRDefault="006E1B11" w:rsidP="008A426F">
      <w:pPr>
        <w:jc w:val="both"/>
      </w:pPr>
      <w:r>
        <w:t>For example</w:t>
      </w:r>
      <w:r w:rsidR="00ED7490">
        <w:t>,</w:t>
      </w:r>
      <w:r w:rsidR="006A3C4C">
        <w:t xml:space="preserve"> </w:t>
      </w:r>
      <w:r w:rsidR="00ED7490">
        <w:t xml:space="preserve">according to point 2, Part F of Annex II, ESG rating providers would be required to provide information on each member of senior management, including their place of birth and their date of birth. Such information is of a personal </w:t>
      </w:r>
      <w:proofErr w:type="gramStart"/>
      <w:r w:rsidR="00ED7490">
        <w:t>nature</w:t>
      </w:r>
      <w:proofErr w:type="gramEnd"/>
      <w:r w:rsidR="00ED7490">
        <w:t xml:space="preserve"> and it is not apparent how this information is pertinent to the authorisation of an ESG rating provider, nor how it would influence ESMA supervision. </w:t>
      </w:r>
    </w:p>
    <w:p w14:paraId="7B665AEB" w14:textId="77777777" w:rsidR="00981040" w:rsidRDefault="00981040" w:rsidP="008A426F">
      <w:pPr>
        <w:jc w:val="both"/>
      </w:pPr>
    </w:p>
    <w:p w14:paraId="107517D5" w14:textId="6CFDF65C" w:rsidR="008A426F" w:rsidRDefault="00ED7490" w:rsidP="008A426F">
      <w:pPr>
        <w:jc w:val="both"/>
      </w:pPr>
      <w:r>
        <w:lastRenderedPageBreak/>
        <w:t>A</w:t>
      </w:r>
      <w:r w:rsidR="006C3AA7">
        <w:t xml:space="preserve">ccording to </w:t>
      </w:r>
      <w:r w:rsidR="002629B3">
        <w:t xml:space="preserve">point 4 of </w:t>
      </w:r>
      <w:r w:rsidR="006C3AA7">
        <w:t xml:space="preserve">Part D, ESG rating providers </w:t>
      </w:r>
      <w:r w:rsidR="00C06D5D">
        <w:t>would be</w:t>
      </w:r>
      <w:r w:rsidR="006C3AA7">
        <w:t xml:space="preserve"> required to provide</w:t>
      </w:r>
      <w:r w:rsidR="002629B3">
        <w:t xml:space="preserve"> </w:t>
      </w:r>
      <w:r w:rsidR="009A3E23">
        <w:t xml:space="preserve">a chart </w:t>
      </w:r>
      <w:r w:rsidR="00FB3165">
        <w:t>establishing the link</w:t>
      </w:r>
      <w:r w:rsidR="00CA0192">
        <w:t>s</w:t>
      </w:r>
      <w:r w:rsidR="00FB3165">
        <w:t xml:space="preserve"> with any parent undertaking, subsidiaries and “any other associated entities”</w:t>
      </w:r>
      <w:r w:rsidR="003F2D1D">
        <w:t xml:space="preserve">. The undertakings </w:t>
      </w:r>
      <w:r w:rsidR="00817537">
        <w:t>included in the chart must be identified by their full name and an address of the registered office</w:t>
      </w:r>
      <w:r w:rsidR="005E0B24">
        <w:t>.</w:t>
      </w:r>
      <w:r w:rsidR="00CC11ED">
        <w:t xml:space="preserve"> The </w:t>
      </w:r>
      <w:r w:rsidR="00F81D92">
        <w:t>necessity to provide this information is unclea</w:t>
      </w:r>
      <w:r w:rsidR="009269D8">
        <w:t>r</w:t>
      </w:r>
      <w:r w:rsidR="0087644F">
        <w:t xml:space="preserve">, particularly as </w:t>
      </w:r>
      <w:proofErr w:type="spellStart"/>
      <w:r w:rsidR="0087644F">
        <w:t>organsiation</w:t>
      </w:r>
      <w:proofErr w:type="spellEnd"/>
      <w:r w:rsidR="0087644F">
        <w:t xml:space="preserve"> charts do not typically include </w:t>
      </w:r>
      <w:r w:rsidR="000073E7">
        <w:t>the address of the registered office of group entities</w:t>
      </w:r>
      <w:r w:rsidR="009269D8">
        <w:t>.</w:t>
      </w:r>
      <w:r w:rsidR="002629B3">
        <w:t xml:space="preserve"> </w:t>
      </w:r>
    </w:p>
    <w:p w14:paraId="354A0F12" w14:textId="77777777" w:rsidR="00894E14" w:rsidRDefault="00894E14" w:rsidP="00420E95">
      <w:pPr>
        <w:jc w:val="both"/>
      </w:pPr>
    </w:p>
    <w:p w14:paraId="797D73FA" w14:textId="594BD181" w:rsidR="00844ECA" w:rsidRDefault="005540AB" w:rsidP="00420E95">
      <w:pPr>
        <w:jc w:val="both"/>
      </w:pPr>
      <w:r>
        <w:t xml:space="preserve">Part H of </w:t>
      </w:r>
      <w:r w:rsidR="00B711FE">
        <w:t xml:space="preserve">Annex II </w:t>
      </w:r>
      <w:r w:rsidR="00ED7490">
        <w:t>c</w:t>
      </w:r>
      <w:r w:rsidR="006107DC">
        <w:t>ould</w:t>
      </w:r>
      <w:r w:rsidR="00B711FE">
        <w:t xml:space="preserve"> prove highly challenging to </w:t>
      </w:r>
      <w:r w:rsidR="00222492">
        <w:t xml:space="preserve">apply given the difficulty </w:t>
      </w:r>
      <w:r w:rsidR="000E520E">
        <w:t>in establishing the regulation’s scope of application</w:t>
      </w:r>
      <w:r w:rsidR="00E36752">
        <w:t xml:space="preserve"> at product-level. </w:t>
      </w:r>
      <w:r w:rsidR="009F3E52">
        <w:t xml:space="preserve">Unless clarified, the </w:t>
      </w:r>
      <w:r w:rsidR="00C84828">
        <w:t>term “</w:t>
      </w:r>
      <w:r w:rsidR="00C84828" w:rsidRPr="006B5E12">
        <w:rPr>
          <w:i/>
          <w:iCs/>
        </w:rPr>
        <w:t>ESG rating products</w:t>
      </w:r>
      <w:r w:rsidR="00C84828">
        <w:t xml:space="preserve">” could encompass a wide range of </w:t>
      </w:r>
      <w:r w:rsidR="00234E88">
        <w:t xml:space="preserve">ESG data </w:t>
      </w:r>
      <w:r w:rsidR="00C84828">
        <w:t>products</w:t>
      </w:r>
      <w:r w:rsidR="00BE5C91">
        <w:t xml:space="preserve"> that the co-legislators did no</w:t>
      </w:r>
      <w:r w:rsidR="001E559A">
        <w:t xml:space="preserve">t intend </w:t>
      </w:r>
      <w:r w:rsidR="00141A3D">
        <w:t>for the regulation to capture</w:t>
      </w:r>
      <w:r w:rsidR="007F38A8">
        <w:t xml:space="preserve"> and for which the </w:t>
      </w:r>
      <w:r w:rsidR="00B865BE">
        <w:t>methodological disclosures</w:t>
      </w:r>
      <w:r w:rsidR="00726185">
        <w:t xml:space="preserve"> </w:t>
      </w:r>
      <w:r w:rsidR="00EF7847">
        <w:t xml:space="preserve">specified in Annex III </w:t>
      </w:r>
      <w:r w:rsidR="001C769D">
        <w:t xml:space="preserve">would be </w:t>
      </w:r>
      <w:r w:rsidR="00A82471">
        <w:t>in</w:t>
      </w:r>
      <w:r w:rsidR="001C769D">
        <w:t>appropriate</w:t>
      </w:r>
      <w:r w:rsidR="00160FB2">
        <w:t xml:space="preserve">. </w:t>
      </w:r>
    </w:p>
    <w:p w14:paraId="6869DAC4" w14:textId="77777777" w:rsidR="00D95CD8" w:rsidRDefault="00D95CD8" w:rsidP="00420E95">
      <w:pPr>
        <w:jc w:val="both"/>
      </w:pPr>
    </w:p>
    <w:p w14:paraId="61ACAC13" w14:textId="55461EC9" w:rsidR="001B1B48" w:rsidRDefault="00D95CD8" w:rsidP="00492DE0">
      <w:pPr>
        <w:jc w:val="both"/>
      </w:pPr>
      <w:r>
        <w:t xml:space="preserve">Relatedly, </w:t>
      </w:r>
      <w:r w:rsidR="00642217">
        <w:t xml:space="preserve">depending on the number of products </w:t>
      </w:r>
      <w:r w:rsidR="00951EBC">
        <w:t>that fall into the category of “</w:t>
      </w:r>
      <w:r w:rsidR="00951EBC" w:rsidRPr="00E00E59">
        <w:rPr>
          <w:i/>
          <w:iCs/>
        </w:rPr>
        <w:t>ESG rating products</w:t>
      </w:r>
      <w:r w:rsidR="00951EBC">
        <w:t xml:space="preserve">”, Part H and </w:t>
      </w:r>
      <w:r w:rsidR="00EB1BB8">
        <w:t>Part I</w:t>
      </w:r>
      <w:r w:rsidR="005C6541">
        <w:t xml:space="preserve"> of Annex II</w:t>
      </w:r>
      <w:r w:rsidR="00FD4940">
        <w:t xml:space="preserve"> could </w:t>
      </w:r>
      <w:r w:rsidR="00FC49B2">
        <w:t xml:space="preserve">quickly become onerous to comply with, and </w:t>
      </w:r>
      <w:r w:rsidR="001E4C9F">
        <w:t>result in a lengthy application</w:t>
      </w:r>
      <w:r w:rsidR="003F114D">
        <w:t xml:space="preserve"> (</w:t>
      </w:r>
      <w:r w:rsidR="0063361D">
        <w:t>as well as rel</w:t>
      </w:r>
      <w:r w:rsidR="00D4133F">
        <w:t>ative to</w:t>
      </w:r>
      <w:r w:rsidR="003F114D">
        <w:t xml:space="preserve"> the other requirements that would then apply under the regulation)</w:t>
      </w:r>
      <w:r w:rsidR="00AF0112">
        <w:t xml:space="preserve">. </w:t>
      </w:r>
    </w:p>
    <w:p w14:paraId="19E7BA4B" w14:textId="77777777" w:rsidR="00697094" w:rsidRDefault="00697094" w:rsidP="00492DE0">
      <w:pPr>
        <w:jc w:val="both"/>
      </w:pPr>
    </w:p>
    <w:p w14:paraId="0909A305" w14:textId="7C18C40E" w:rsidR="00FA5E6B" w:rsidRDefault="00697094" w:rsidP="49E560DE">
      <w:pPr>
        <w:jc w:val="both"/>
        <w:rPr>
          <w:i/>
          <w:iCs/>
        </w:rPr>
      </w:pPr>
      <w:r>
        <w:t xml:space="preserve">Part J of Annex II </w:t>
      </w:r>
      <w:r w:rsidR="00C14DCA">
        <w:t xml:space="preserve">envisages granular disclosures that </w:t>
      </w:r>
      <w:r w:rsidR="0091363E">
        <w:t xml:space="preserve">would </w:t>
      </w:r>
      <w:r w:rsidR="00C14DCA">
        <w:t xml:space="preserve">go significantly beyond what is specified in the Level 1 text. </w:t>
      </w:r>
      <w:r w:rsidR="006B2EFD">
        <w:t xml:space="preserve">Specifically, </w:t>
      </w:r>
      <w:r w:rsidR="005131C4">
        <w:t xml:space="preserve">points a) through e) are </w:t>
      </w:r>
      <w:r w:rsidR="000379B5">
        <w:t>supplemental</w:t>
      </w:r>
      <w:r w:rsidR="00816BFD">
        <w:t xml:space="preserve"> </w:t>
      </w:r>
      <w:r w:rsidR="00243E37">
        <w:t>and</w:t>
      </w:r>
      <w:r w:rsidR="00071883">
        <w:t xml:space="preserve"> require the application to contain granular information</w:t>
      </w:r>
      <w:r w:rsidR="00E12627">
        <w:t xml:space="preserve"> on a range of topics, from </w:t>
      </w:r>
      <w:r w:rsidR="007D090D">
        <w:t>the client onboarding process to staff remuneration</w:t>
      </w:r>
      <w:r w:rsidR="00C94732">
        <w:t>.</w:t>
      </w:r>
      <w:r w:rsidR="00905689">
        <w:t xml:space="preserve"> This </w:t>
      </w:r>
      <w:r w:rsidR="00B01547">
        <w:t>would</w:t>
      </w:r>
      <w:r w:rsidR="00905689">
        <w:t xml:space="preserve"> turn </w:t>
      </w:r>
      <w:r w:rsidR="00B733DE">
        <w:t xml:space="preserve">what appears </w:t>
      </w:r>
      <w:r w:rsidR="00A346AD">
        <w:t xml:space="preserve">in the Level 1 text </w:t>
      </w:r>
      <w:r w:rsidR="00D6395B">
        <w:t xml:space="preserve">as a simple element of the application, </w:t>
      </w:r>
      <w:r w:rsidR="00AE4A93">
        <w:t xml:space="preserve">namely </w:t>
      </w:r>
      <w:r w:rsidR="007C79A5" w:rsidRPr="49E560DE">
        <w:rPr>
          <w:i/>
          <w:iCs/>
        </w:rPr>
        <w:t>“</w:t>
      </w:r>
      <w:r w:rsidR="00A86198" w:rsidRPr="49E560DE">
        <w:rPr>
          <w:i/>
          <w:iCs/>
        </w:rPr>
        <w:t xml:space="preserve">the </w:t>
      </w:r>
      <w:r w:rsidR="00035FEF" w:rsidRPr="49E560DE">
        <w:rPr>
          <w:i/>
          <w:iCs/>
        </w:rPr>
        <w:t xml:space="preserve">policies or procedures implemented by the applicant to </w:t>
      </w:r>
      <w:proofErr w:type="gramStart"/>
      <w:r w:rsidR="00035FEF" w:rsidRPr="49E560DE">
        <w:rPr>
          <w:i/>
          <w:iCs/>
        </w:rPr>
        <w:t>identify ,</w:t>
      </w:r>
      <w:proofErr w:type="gramEnd"/>
      <w:r w:rsidR="00035FEF" w:rsidRPr="49E560DE">
        <w:rPr>
          <w:i/>
          <w:iCs/>
        </w:rPr>
        <w:t xml:space="preserve"> manage and disclose any conflicts of interest</w:t>
      </w:r>
      <w:r w:rsidR="00B1701F" w:rsidRPr="49E560DE">
        <w:rPr>
          <w:i/>
          <w:iCs/>
        </w:rPr>
        <w:t xml:space="preserve"> . . .”</w:t>
      </w:r>
      <w:r w:rsidR="007C7B95">
        <w:t xml:space="preserve"> into a more elaborate </w:t>
      </w:r>
      <w:r w:rsidR="00827C42">
        <w:t>and complex requirement</w:t>
      </w:r>
      <w:r w:rsidR="00A52F39" w:rsidRPr="49E560DE">
        <w:rPr>
          <w:i/>
          <w:iCs/>
        </w:rPr>
        <w:t>.</w:t>
      </w:r>
    </w:p>
    <w:p w14:paraId="40DDD1F4" w14:textId="77777777" w:rsidR="00FA5E6B" w:rsidRDefault="00FA5E6B" w:rsidP="00492DE0">
      <w:pPr>
        <w:jc w:val="both"/>
        <w:rPr>
          <w:i/>
          <w:iCs/>
        </w:rPr>
      </w:pPr>
    </w:p>
    <w:p w14:paraId="589FF9D6" w14:textId="7C0A7005" w:rsidR="00697094" w:rsidRDefault="00FA5E6B" w:rsidP="00492DE0">
      <w:pPr>
        <w:jc w:val="both"/>
      </w:pPr>
      <w:r>
        <w:t>Part K of Annex II</w:t>
      </w:r>
      <w:r w:rsidR="0047783D">
        <w:t xml:space="preserve"> </w:t>
      </w:r>
      <w:r w:rsidR="00076639">
        <w:t>would require ESG ratings providers to share “</w:t>
      </w:r>
      <w:r w:rsidR="00076639" w:rsidRPr="003841CB">
        <w:rPr>
          <w:i/>
          <w:iCs/>
        </w:rPr>
        <w:t>a copy of any existing outsourcing agreements</w:t>
      </w:r>
      <w:r w:rsidR="00076639">
        <w:t xml:space="preserve">” </w:t>
      </w:r>
      <w:r w:rsidR="00F63E37">
        <w:t xml:space="preserve">and </w:t>
      </w:r>
      <w:r w:rsidR="00A248D2">
        <w:t>“</w:t>
      </w:r>
      <w:r w:rsidR="00A248D2" w:rsidRPr="003841CB">
        <w:rPr>
          <w:i/>
          <w:iCs/>
        </w:rPr>
        <w:t>information on any foreseen outsourcing agreements”</w:t>
      </w:r>
      <w:r w:rsidR="00CB2BB5" w:rsidRPr="003841CB">
        <w:rPr>
          <w:i/>
          <w:iCs/>
        </w:rPr>
        <w:t xml:space="preserve">. </w:t>
      </w:r>
      <w:r w:rsidR="00030AD4" w:rsidRPr="003841CB">
        <w:t xml:space="preserve">It is not entirely clear </w:t>
      </w:r>
      <w:r w:rsidR="00A10A19" w:rsidRPr="003841CB">
        <w:t>whether</w:t>
      </w:r>
      <w:r w:rsidR="00A10A19" w:rsidRPr="003841CB">
        <w:rPr>
          <w:i/>
          <w:iCs/>
        </w:rPr>
        <w:t xml:space="preserve"> “existing outsourcing agreements</w:t>
      </w:r>
      <w:r w:rsidR="00A10A19">
        <w:t xml:space="preserve">” refers to </w:t>
      </w:r>
      <w:r w:rsidR="002B1520">
        <w:t>the contract</w:t>
      </w:r>
      <w:r w:rsidR="00786667">
        <w:t xml:space="preserve"> with </w:t>
      </w:r>
      <w:r w:rsidR="00FE526F">
        <w:t>external entities. If so, this requirement may not b</w:t>
      </w:r>
      <w:r w:rsidR="00FE3977">
        <w:t>e entirely appropriate nor practicable for ESG rating providers to comply with</w:t>
      </w:r>
      <w:r w:rsidR="0072689C">
        <w:t xml:space="preserve">, particularly where an external entity may be located </w:t>
      </w:r>
      <w:r w:rsidR="008D251C">
        <w:t>outside the EU</w:t>
      </w:r>
      <w:r w:rsidR="00977F6D">
        <w:t>.</w:t>
      </w:r>
    </w:p>
    <w:p w14:paraId="3AC2AD24" w14:textId="77777777" w:rsidR="00D43DF7" w:rsidRDefault="00D43DF7" w:rsidP="00492DE0">
      <w:pPr>
        <w:jc w:val="both"/>
      </w:pPr>
    </w:p>
    <w:p w14:paraId="25F4DF34" w14:textId="6F956289" w:rsidR="00D43DF7" w:rsidRDefault="009A1AA6" w:rsidP="00492DE0">
      <w:pPr>
        <w:jc w:val="both"/>
      </w:pPr>
      <w:r>
        <w:t>We also note that</w:t>
      </w:r>
      <w:r w:rsidR="004D0145">
        <w:t xml:space="preserve">, as per Article 6(4), </w:t>
      </w:r>
      <w:r w:rsidR="004D0145" w:rsidRPr="49E560DE">
        <w:rPr>
          <w:i/>
          <w:iCs/>
        </w:rPr>
        <w:t>“an authorised ESG rating provider shall comply at all times with the requirements under which the initial authorisation was granted”</w:t>
      </w:r>
      <w:r w:rsidR="00240F85">
        <w:t xml:space="preserve"> and</w:t>
      </w:r>
      <w:r w:rsidR="00C36E84">
        <w:t>, as per Article 6(5)</w:t>
      </w:r>
      <w:r w:rsidR="00240F85">
        <w:t xml:space="preserve"> that </w:t>
      </w:r>
      <w:r w:rsidR="00D65618" w:rsidRPr="49E560DE">
        <w:rPr>
          <w:i/>
          <w:iCs/>
        </w:rPr>
        <w:t xml:space="preserve">“ESG ratings </w:t>
      </w:r>
      <w:r w:rsidR="00947F5D" w:rsidRPr="49E560DE">
        <w:rPr>
          <w:i/>
          <w:iCs/>
        </w:rPr>
        <w:t>providers shall notify ESMA of any material changes to the circumstances under which the initial authorisation was granted . . .”</w:t>
      </w:r>
      <w:r w:rsidR="004D0145">
        <w:t>.</w:t>
      </w:r>
      <w:r w:rsidR="001F040F">
        <w:t xml:space="preserve"> </w:t>
      </w:r>
      <w:proofErr w:type="gramStart"/>
      <w:r w:rsidR="00C81069">
        <w:t>In light of</w:t>
      </w:r>
      <w:proofErr w:type="gramEnd"/>
      <w:r w:rsidR="00C81069">
        <w:t xml:space="preserve"> Article </w:t>
      </w:r>
      <w:r w:rsidR="00136FB7">
        <w:t>6(4) and 6(5)</w:t>
      </w:r>
      <w:r w:rsidR="005E67BC">
        <w:t xml:space="preserve">, </w:t>
      </w:r>
      <w:r w:rsidR="00A73BAD">
        <w:t>ESMA may require ESG rating providers to update the information submitted as part of their application for authorisation on a periodic basis</w:t>
      </w:r>
      <w:r w:rsidR="005E7D69">
        <w:t xml:space="preserve"> where they relate to “</w:t>
      </w:r>
      <w:r w:rsidR="005E7D69" w:rsidRPr="0034223F">
        <w:rPr>
          <w:i/>
          <w:iCs/>
        </w:rPr>
        <w:t>material changes</w:t>
      </w:r>
      <w:r w:rsidR="005E7D69">
        <w:t>”</w:t>
      </w:r>
      <w:r w:rsidR="00A73BAD">
        <w:t xml:space="preserve">. That being the case, </w:t>
      </w:r>
      <w:r w:rsidR="0089637A">
        <w:t xml:space="preserve">it is important to highlight that </w:t>
      </w:r>
      <w:r w:rsidR="006F3FD5">
        <w:t>information required as part of the application may become</w:t>
      </w:r>
      <w:r w:rsidR="00B85327">
        <w:t xml:space="preserve">, in effect, </w:t>
      </w:r>
      <w:r w:rsidR="005975F9">
        <w:t xml:space="preserve">a </w:t>
      </w:r>
      <w:r w:rsidR="007856F3">
        <w:t xml:space="preserve">standing reporting requirement. </w:t>
      </w:r>
      <w:r w:rsidR="00807FEC">
        <w:t xml:space="preserve">Accordingly, </w:t>
      </w:r>
      <w:r w:rsidR="006A6D12">
        <w:t>where ESMA supplements the information to be provided as part of the application</w:t>
      </w:r>
      <w:r w:rsidR="001413E5">
        <w:t>, it may</w:t>
      </w:r>
      <w:r w:rsidR="00394312">
        <w:t xml:space="preserve"> represent an ongoing administrative burden for ESG rating providers</w:t>
      </w:r>
      <w:r w:rsidR="005D5BA4">
        <w:t xml:space="preserve">, particularly </w:t>
      </w:r>
      <w:r w:rsidR="00FB61D3">
        <w:t xml:space="preserve">if </w:t>
      </w:r>
      <w:r w:rsidR="00605F47">
        <w:t>personnel changes</w:t>
      </w:r>
      <w:r w:rsidR="00257AD5">
        <w:t xml:space="preserve"> </w:t>
      </w:r>
      <w:proofErr w:type="gramStart"/>
      <w:r w:rsidR="00257AD5">
        <w:t>have to</w:t>
      </w:r>
      <w:proofErr w:type="gramEnd"/>
      <w:r w:rsidR="00257AD5">
        <w:t xml:space="preserve"> be notified to ESMA</w:t>
      </w:r>
      <w:r w:rsidR="00394312">
        <w:t xml:space="preserve">. </w:t>
      </w:r>
    </w:p>
    <w:p w14:paraId="0066B3BB" w14:textId="77777777" w:rsidR="000A2BEE" w:rsidRDefault="000A2BEE" w:rsidP="00492DE0">
      <w:pPr>
        <w:jc w:val="both"/>
      </w:pPr>
    </w:p>
    <w:p w14:paraId="2AE43E4C" w14:textId="40295595" w:rsidR="000A2BEE" w:rsidRPr="003611AE" w:rsidRDefault="000A2BEE" w:rsidP="00492DE0">
      <w:pPr>
        <w:jc w:val="both"/>
      </w:pPr>
      <w:r>
        <w:lastRenderedPageBreak/>
        <w:t>As a final remark, when finalising the RTS, ESMA could acknowledge the</w:t>
      </w:r>
      <w:r w:rsidR="00ED0D79">
        <w:t xml:space="preserve"> general</w:t>
      </w:r>
      <w:r>
        <w:t xml:space="preserve"> importance of allowing ESG rating providers to safeguard commercially and/or personally sensitive information, where justified, when applying the regulation.</w:t>
      </w:r>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35B7ECCA" w14:textId="6E65D552" w:rsidR="001B1B48" w:rsidRPr="00ED4FDB" w:rsidRDefault="00ED4FDB" w:rsidP="002A6B56">
      <w:pPr>
        <w:pStyle w:val="Paragraph"/>
        <w:numPr>
          <w:ilvl w:val="0"/>
          <w:numId w:val="0"/>
        </w:numPr>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44688B22" w14:textId="50F204F9" w:rsidR="00345B0A" w:rsidRDefault="00345B0A" w:rsidP="00345B0A">
      <w:pPr>
        <w:spacing w:after="160" w:line="259" w:lineRule="auto"/>
        <w:jc w:val="both"/>
        <w:rPr>
          <w:rFonts w:eastAsia="Calibri"/>
          <w:kern w:val="2"/>
          <w:lang w:eastAsia="en-US"/>
          <w14:ligatures w14:val="standardContextual"/>
        </w:rPr>
      </w:pPr>
      <w:permStart w:id="1667529024" w:edGrp="everyone"/>
      <w:r>
        <w:rPr>
          <w:rFonts w:eastAsia="Calibri"/>
          <w:kern w:val="2"/>
          <w:lang w:eastAsia="en-US"/>
          <w14:ligatures w14:val="standardContextual"/>
        </w:rPr>
        <w:t>The regulation mandates legal separation between entities engaged in the activities listed in Article 16(1) which would imply a separate organisational structure and reporting lines as proposed in Article 1(1)(a) of the draft RTS. On top of the legal separation mandated by the Level 1 text, the draft RTS propose “</w:t>
      </w:r>
      <w:r w:rsidRPr="006C723B">
        <w:rPr>
          <w:rFonts w:eastAsia="Calibri"/>
          <w:i/>
          <w:iCs/>
          <w:kern w:val="2"/>
          <w:lang w:eastAsia="en-US"/>
          <w14:ligatures w14:val="standardContextual"/>
        </w:rPr>
        <w:t>physical separation measures</w:t>
      </w:r>
      <w:r>
        <w:rPr>
          <w:rFonts w:eastAsia="Calibri"/>
          <w:kern w:val="2"/>
          <w:lang w:eastAsia="en-US"/>
          <w14:ligatures w14:val="standardContextual"/>
        </w:rPr>
        <w:t>” and “</w:t>
      </w:r>
      <w:r w:rsidRPr="006C723B">
        <w:rPr>
          <w:rFonts w:eastAsia="Calibri"/>
          <w:i/>
          <w:iCs/>
          <w:kern w:val="2"/>
          <w:lang w:eastAsia="en-US"/>
          <w14:ligatures w14:val="standardContextual"/>
        </w:rPr>
        <w:t>segregated office space</w:t>
      </w:r>
      <w:r>
        <w:rPr>
          <w:rFonts w:eastAsia="Calibri"/>
          <w:kern w:val="2"/>
          <w:lang w:eastAsia="en-US"/>
          <w14:ligatures w14:val="standardContextual"/>
        </w:rPr>
        <w:t>”, going beyond the requirements of the Level 1 text substantially. This represents a far greater intervention in the operations of ESG rating providers than the co-legislators envisaged and one with the potential to significantly increase the operational costs of ESG rating providers if retained in the final RTS. The extent of the regulatory intervention is also inconsistent with the focus on simplification and EU competitiveness.</w:t>
      </w:r>
    </w:p>
    <w:p w14:paraId="79AE71F0" w14:textId="77777777" w:rsidR="00345B0A" w:rsidRDefault="00345B0A" w:rsidP="00345B0A">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With respect to the measures and safeguards outlined in Article 2, we note that they are intended for the activities listed in Article 16(1) points (d) and (f), namely investment services and the activities of credit institutions, but would also apply to ESG rating providers that administer benchmarks or collect, analyse or process “</w:t>
      </w:r>
      <w:r w:rsidRPr="009765C9">
        <w:rPr>
          <w:rFonts w:eastAsia="Calibri"/>
          <w:i/>
          <w:iCs/>
          <w:kern w:val="2"/>
          <w:lang w:eastAsia="en-US"/>
          <w14:ligatures w14:val="standardContextual"/>
        </w:rPr>
        <w:t>input data</w:t>
      </w:r>
      <w:r>
        <w:rPr>
          <w:rFonts w:eastAsia="Calibri"/>
          <w:kern w:val="2"/>
          <w:lang w:eastAsia="en-US"/>
          <w14:ligatures w14:val="standardContextual"/>
        </w:rPr>
        <w:t xml:space="preserve">” (as defined by Article 3(1)(24) of the BMR) related thereto. </w:t>
      </w:r>
    </w:p>
    <w:p w14:paraId="3455F52E" w14:textId="0B44AE1F" w:rsidR="00345B0A" w:rsidRDefault="00345B0A" w:rsidP="00345B0A">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 xml:space="preserve">We note that ESMA regards physical separation as necessary </w:t>
      </w:r>
      <w:r w:rsidRPr="73E60BF3">
        <w:rPr>
          <w:rFonts w:eastAsia="Calibri"/>
          <w:i/>
          <w:iCs/>
          <w:kern w:val="2"/>
          <w:lang w:eastAsia="en-US"/>
          <w14:ligatures w14:val="standardContextual"/>
        </w:rPr>
        <w:t>“to prevent the flow of sensitive information and avoid unduly influencing different structures or areas of the business”</w:t>
      </w:r>
      <w:r>
        <w:rPr>
          <w:rFonts w:eastAsia="Calibri"/>
          <w:kern w:val="2"/>
          <w:lang w:eastAsia="en-US"/>
          <w14:ligatures w14:val="standardContextual"/>
        </w:rPr>
        <w:t xml:space="preserve">. </w:t>
      </w:r>
      <w:r w:rsidR="005E11B5">
        <w:rPr>
          <w:rFonts w:eastAsia="Calibri"/>
          <w:kern w:val="2"/>
          <w:lang w:eastAsia="en-US"/>
          <w14:ligatures w14:val="standardContextual"/>
        </w:rPr>
        <w:t>T</w:t>
      </w:r>
      <w:r w:rsidR="004C673F">
        <w:rPr>
          <w:rFonts w:eastAsia="Calibri"/>
          <w:kern w:val="2"/>
          <w:lang w:eastAsia="en-US"/>
          <w14:ligatures w14:val="standardContextual"/>
        </w:rPr>
        <w:t>ailored and</w:t>
      </w:r>
      <w:r>
        <w:rPr>
          <w:rFonts w:eastAsia="Calibri"/>
          <w:kern w:val="2"/>
          <w:lang w:eastAsia="en-US"/>
          <w14:ligatures w14:val="standardContextual"/>
        </w:rPr>
        <w:t xml:space="preserve"> proportionate </w:t>
      </w:r>
      <w:r w:rsidR="005E11B5">
        <w:rPr>
          <w:rFonts w:eastAsia="Calibri"/>
          <w:kern w:val="2"/>
          <w:lang w:eastAsia="en-US"/>
          <w14:ligatures w14:val="standardContextual"/>
        </w:rPr>
        <w:t>alternatives exist, however</w:t>
      </w:r>
      <w:r>
        <w:rPr>
          <w:rFonts w:eastAsia="Calibri"/>
          <w:kern w:val="2"/>
          <w:lang w:eastAsia="en-US"/>
          <w14:ligatures w14:val="standardContextual"/>
        </w:rPr>
        <w:t xml:space="preserve">. </w:t>
      </w:r>
    </w:p>
    <w:p w14:paraId="60ABBC40" w14:textId="04B9E369" w:rsidR="00345B0A" w:rsidRPr="00970BA2" w:rsidRDefault="00345B0A" w:rsidP="00345B0A">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 xml:space="preserve">For example, several of the measures envisaged by Article 2 of the draft RTS would achieve the goal of ensuring an appropriate level of segregation between activities while also being practicable for ESG rating providers to implement. These include points: </w:t>
      </w:r>
      <w:r w:rsidRPr="73E60BF3">
        <w:rPr>
          <w:rFonts w:eastAsia="Calibri"/>
          <w:i/>
          <w:iCs/>
          <w:kern w:val="2"/>
          <w:lang w:eastAsia="en-US"/>
          <w14:ligatures w14:val="standardContextual"/>
        </w:rPr>
        <w:t>“(c) policies and procedures on management of confidential information;”</w:t>
      </w:r>
      <w:r>
        <w:rPr>
          <w:rFonts w:eastAsia="Calibri"/>
          <w:kern w:val="2"/>
          <w:lang w:eastAsia="en-US"/>
          <w14:ligatures w14:val="standardContextual"/>
        </w:rPr>
        <w:t xml:space="preserve"> </w:t>
      </w:r>
      <w:r w:rsidRPr="73E60BF3">
        <w:rPr>
          <w:rFonts w:eastAsia="Calibri"/>
          <w:i/>
          <w:iCs/>
          <w:kern w:val="2"/>
          <w:lang w:eastAsia="en-US"/>
          <w14:ligatures w14:val="standardContextual"/>
        </w:rPr>
        <w:t>“(d) regular training of employees on the importance of information barriers,”</w:t>
      </w:r>
      <w:r>
        <w:rPr>
          <w:rFonts w:eastAsia="Calibri"/>
          <w:kern w:val="2"/>
          <w:lang w:eastAsia="en-US"/>
          <w14:ligatures w14:val="standardContextual"/>
        </w:rPr>
        <w:t xml:space="preserve"> </w:t>
      </w:r>
      <w:proofErr w:type="gramStart"/>
      <w:r>
        <w:rPr>
          <w:rFonts w:eastAsia="Calibri"/>
          <w:kern w:val="2"/>
          <w:lang w:eastAsia="en-US"/>
          <w14:ligatures w14:val="standardContextual"/>
        </w:rPr>
        <w:t>and;</w:t>
      </w:r>
      <w:proofErr w:type="gramEnd"/>
      <w:r>
        <w:rPr>
          <w:rFonts w:eastAsia="Calibri"/>
          <w:kern w:val="2"/>
          <w:lang w:eastAsia="en-US"/>
          <w14:ligatures w14:val="standardContextual"/>
        </w:rPr>
        <w:t xml:space="preserve"> </w:t>
      </w:r>
      <w:r w:rsidRPr="73E60BF3">
        <w:rPr>
          <w:rFonts w:eastAsia="Calibri"/>
          <w:i/>
          <w:iCs/>
          <w:kern w:val="2"/>
          <w:lang w:eastAsia="en-US"/>
          <w14:ligatures w14:val="standardContextual"/>
        </w:rPr>
        <w:t>“(e) contractual measures that ensure compliance of employees, throughout the term of their employment, with the internal policies of ESG rating providers.”</w:t>
      </w:r>
      <w:r>
        <w:rPr>
          <w:rFonts w:eastAsia="Calibri"/>
          <w:kern w:val="2"/>
          <w:lang w:eastAsia="en-US"/>
          <w14:ligatures w14:val="standardContextual"/>
        </w:rPr>
        <w:t xml:space="preserve"> </w:t>
      </w:r>
      <w:r w:rsidR="00D70CDD">
        <w:rPr>
          <w:rFonts w:eastAsia="Calibri"/>
          <w:kern w:val="2"/>
          <w:lang w:eastAsia="en-US"/>
          <w14:ligatures w14:val="standardContextual"/>
        </w:rPr>
        <w:t>These are</w:t>
      </w:r>
      <w:r w:rsidR="00196050">
        <w:rPr>
          <w:rFonts w:eastAsia="Calibri"/>
          <w:kern w:val="2"/>
          <w:lang w:eastAsia="en-US"/>
          <w14:ligatures w14:val="standardContextual"/>
        </w:rPr>
        <w:t xml:space="preserve"> generally well-recognised, tested and effective means </w:t>
      </w:r>
      <w:r w:rsidR="00047E93">
        <w:rPr>
          <w:rFonts w:eastAsia="Calibri"/>
          <w:kern w:val="2"/>
          <w:lang w:eastAsia="en-US"/>
          <w14:ligatures w14:val="standardContextual"/>
        </w:rPr>
        <w:t xml:space="preserve">of helping to ensure high-integrity and quality research processes. </w:t>
      </w:r>
      <w:r>
        <w:rPr>
          <w:rFonts w:eastAsia="Calibri"/>
          <w:kern w:val="2"/>
          <w:lang w:eastAsia="en-US"/>
          <w14:ligatures w14:val="standardContextual"/>
        </w:rPr>
        <w:t xml:space="preserve">By comparison, the other measures envisaged under Article 2 of the draft RTS would </w:t>
      </w:r>
      <w:r w:rsidR="00047E93">
        <w:rPr>
          <w:rFonts w:eastAsia="Calibri"/>
          <w:kern w:val="2"/>
          <w:lang w:eastAsia="en-US"/>
          <w14:ligatures w14:val="standardContextual"/>
        </w:rPr>
        <w:t>unnecessarily</w:t>
      </w:r>
      <w:r>
        <w:rPr>
          <w:rFonts w:eastAsia="Calibri"/>
          <w:kern w:val="2"/>
          <w:lang w:eastAsia="en-US"/>
          <w14:ligatures w14:val="standardContextual"/>
        </w:rPr>
        <w:t xml:space="preserve"> incur significant costs on ESG ratings providers and/or be </w:t>
      </w:r>
      <w:proofErr w:type="spellStart"/>
      <w:r w:rsidR="007E5AEE">
        <w:rPr>
          <w:rFonts w:eastAsia="Calibri"/>
          <w:kern w:val="2"/>
          <w:lang w:eastAsia="en-US"/>
          <w14:ligatures w14:val="standardContextual"/>
        </w:rPr>
        <w:t>impacticable</w:t>
      </w:r>
      <w:proofErr w:type="spellEnd"/>
      <w:r w:rsidR="007E5AEE">
        <w:rPr>
          <w:rFonts w:eastAsia="Calibri"/>
          <w:kern w:val="2"/>
          <w:lang w:eastAsia="en-US"/>
          <w14:ligatures w14:val="standardContextual"/>
        </w:rPr>
        <w:t xml:space="preserve"> </w:t>
      </w:r>
      <w:r>
        <w:rPr>
          <w:rFonts w:eastAsia="Calibri"/>
          <w:kern w:val="2"/>
          <w:lang w:eastAsia="en-US"/>
          <w14:ligatures w14:val="standardContextual"/>
        </w:rPr>
        <w:t>to implement</w:t>
      </w:r>
      <w:r w:rsidR="0033343A">
        <w:rPr>
          <w:rFonts w:eastAsia="Calibri"/>
          <w:kern w:val="2"/>
          <w:lang w:eastAsia="en-US"/>
          <w14:ligatures w14:val="standardContextual"/>
        </w:rPr>
        <w:t xml:space="preserve">, </w:t>
      </w:r>
      <w:r w:rsidR="005E11B5">
        <w:rPr>
          <w:rFonts w:eastAsia="Calibri"/>
          <w:kern w:val="2"/>
          <w:lang w:eastAsia="en-US"/>
          <w14:ligatures w14:val="standardContextual"/>
        </w:rPr>
        <w:t xml:space="preserve">including </w:t>
      </w:r>
      <w:r w:rsidR="007909BD">
        <w:rPr>
          <w:rFonts w:eastAsia="Calibri"/>
          <w:kern w:val="2"/>
          <w:lang w:eastAsia="en-US"/>
          <w14:ligatures w14:val="standardContextual"/>
        </w:rPr>
        <w:t xml:space="preserve">in view of the limited time </w:t>
      </w:r>
      <w:r w:rsidR="00B46B99">
        <w:rPr>
          <w:rFonts w:eastAsia="Calibri"/>
          <w:kern w:val="2"/>
          <w:lang w:eastAsia="en-US"/>
          <w14:ligatures w14:val="standardContextual"/>
        </w:rPr>
        <w:t xml:space="preserve">available before the </w:t>
      </w:r>
      <w:r w:rsidR="0056421F">
        <w:rPr>
          <w:rFonts w:eastAsia="Calibri"/>
          <w:kern w:val="2"/>
          <w:lang w:eastAsia="en-US"/>
          <w14:ligatures w14:val="standardContextual"/>
        </w:rPr>
        <w:t>date of application</w:t>
      </w:r>
      <w:r>
        <w:rPr>
          <w:rFonts w:eastAsia="Calibri"/>
          <w:kern w:val="2"/>
          <w:lang w:eastAsia="en-US"/>
          <w14:ligatures w14:val="standardContextual"/>
        </w:rPr>
        <w:t xml:space="preserve">. For instance, point (a) requires </w:t>
      </w:r>
      <w:r w:rsidRPr="73E60BF3">
        <w:rPr>
          <w:rFonts w:eastAsia="Calibri"/>
          <w:i/>
          <w:iCs/>
          <w:kern w:val="2"/>
          <w:lang w:eastAsia="en-US"/>
          <w14:ligatures w14:val="standardContextual"/>
        </w:rPr>
        <w:t>“digital access management providing for network segmentation and role-based access control”</w:t>
      </w:r>
      <w:r>
        <w:rPr>
          <w:rFonts w:eastAsia="Calibri"/>
          <w:kern w:val="2"/>
          <w:lang w:eastAsia="en-US"/>
          <w14:ligatures w14:val="standardContextual"/>
        </w:rPr>
        <w:t xml:space="preserve"> and point (b) envisages </w:t>
      </w:r>
      <w:r w:rsidRPr="73E60BF3">
        <w:rPr>
          <w:rFonts w:eastAsia="Calibri"/>
          <w:i/>
          <w:iCs/>
          <w:kern w:val="2"/>
          <w:lang w:eastAsia="en-US"/>
          <w14:ligatures w14:val="standardContextual"/>
        </w:rPr>
        <w:t>“information controls that enable watermarking methods and data classification levels”</w:t>
      </w:r>
      <w:r>
        <w:rPr>
          <w:rFonts w:eastAsia="Calibri"/>
          <w:kern w:val="2"/>
          <w:lang w:eastAsia="en-US"/>
          <w14:ligatures w14:val="standardContextual"/>
        </w:rPr>
        <w:t>. It is not entirely apparent what is meant by “</w:t>
      </w:r>
      <w:r w:rsidRPr="00EC0E45">
        <w:rPr>
          <w:rFonts w:eastAsia="Calibri"/>
          <w:i/>
          <w:iCs/>
          <w:kern w:val="2"/>
          <w:lang w:eastAsia="en-US"/>
          <w14:ligatures w14:val="standardContextual"/>
        </w:rPr>
        <w:t>network segmentation</w:t>
      </w:r>
      <w:r>
        <w:rPr>
          <w:rFonts w:eastAsia="Calibri"/>
          <w:kern w:val="2"/>
          <w:lang w:eastAsia="en-US"/>
          <w14:ligatures w14:val="standardContextual"/>
        </w:rPr>
        <w:t>” but if it were to imply the duplication or replacement of digital platforms</w:t>
      </w:r>
      <w:r w:rsidR="00D354B7">
        <w:rPr>
          <w:rFonts w:eastAsia="Calibri"/>
          <w:kern w:val="2"/>
          <w:lang w:eastAsia="en-US"/>
          <w14:ligatures w14:val="standardContextual"/>
        </w:rPr>
        <w:t>,</w:t>
      </w:r>
      <w:r>
        <w:rPr>
          <w:rFonts w:eastAsia="Calibri"/>
          <w:kern w:val="2"/>
          <w:lang w:eastAsia="en-US"/>
          <w14:ligatures w14:val="standardContextual"/>
        </w:rPr>
        <w:t xml:space="preserve"> it would </w:t>
      </w:r>
      <w:r w:rsidR="00D354B7">
        <w:rPr>
          <w:rFonts w:eastAsia="Calibri"/>
          <w:kern w:val="2"/>
          <w:lang w:eastAsia="en-US"/>
          <w14:ligatures w14:val="standardContextual"/>
        </w:rPr>
        <w:t xml:space="preserve">amount to </w:t>
      </w:r>
      <w:r>
        <w:rPr>
          <w:rFonts w:eastAsia="Calibri"/>
          <w:kern w:val="2"/>
          <w:lang w:eastAsia="en-US"/>
          <w14:ligatures w14:val="standardContextual"/>
        </w:rPr>
        <w:t>a</w:t>
      </w:r>
      <w:r w:rsidR="00D354B7">
        <w:rPr>
          <w:rFonts w:eastAsia="Calibri"/>
          <w:kern w:val="2"/>
          <w:lang w:eastAsia="en-US"/>
          <w14:ligatures w14:val="standardContextual"/>
        </w:rPr>
        <w:t>n unnecessary,</w:t>
      </w:r>
      <w:r>
        <w:rPr>
          <w:rFonts w:eastAsia="Calibri"/>
          <w:kern w:val="2"/>
          <w:lang w:eastAsia="en-US"/>
          <w14:ligatures w14:val="standardContextual"/>
        </w:rPr>
        <w:t xml:space="preserve"> costly and time-consuming </w:t>
      </w:r>
      <w:proofErr w:type="spellStart"/>
      <w:r>
        <w:rPr>
          <w:rFonts w:eastAsia="Calibri"/>
          <w:kern w:val="2"/>
          <w:lang w:eastAsia="en-US"/>
          <w14:ligatures w14:val="standardContextual"/>
        </w:rPr>
        <w:t>endaevour</w:t>
      </w:r>
      <w:proofErr w:type="spellEnd"/>
      <w:r>
        <w:rPr>
          <w:rFonts w:eastAsia="Calibri"/>
          <w:kern w:val="2"/>
          <w:lang w:eastAsia="en-US"/>
          <w14:ligatures w14:val="standardContextual"/>
        </w:rPr>
        <w:t xml:space="preserve">; not only in terms of developing new platforms but also </w:t>
      </w:r>
      <w:r>
        <w:rPr>
          <w:rFonts w:eastAsia="Calibri"/>
          <w:kern w:val="2"/>
          <w:lang w:eastAsia="en-US"/>
          <w14:ligatures w14:val="standardContextual"/>
        </w:rPr>
        <w:lastRenderedPageBreak/>
        <w:t>onboarding staff on their use and functionalities. This may pose a risk to business continuity and adversely impact service delivery to clients. Similarly, with respect to “</w:t>
      </w:r>
      <w:r w:rsidRPr="00EC0E45">
        <w:rPr>
          <w:rFonts w:eastAsia="Calibri"/>
          <w:i/>
          <w:iCs/>
          <w:kern w:val="2"/>
          <w:lang w:eastAsia="en-US"/>
          <w14:ligatures w14:val="standardContextual"/>
        </w:rPr>
        <w:t>data classification levels</w:t>
      </w:r>
      <w:r>
        <w:rPr>
          <w:rFonts w:eastAsia="Calibri"/>
          <w:kern w:val="2"/>
          <w:lang w:eastAsia="en-US"/>
          <w14:ligatures w14:val="standardContextual"/>
        </w:rPr>
        <w:t xml:space="preserve">”, the Level 1 text requires that non-public information be treated with care. </w:t>
      </w:r>
      <w:r w:rsidR="009F2170">
        <w:rPr>
          <w:rFonts w:eastAsia="Calibri"/>
          <w:kern w:val="2"/>
          <w:lang w:eastAsia="en-US"/>
          <w14:ligatures w14:val="standardContextual"/>
        </w:rPr>
        <w:t>There are existing effective means</w:t>
      </w:r>
      <w:r w:rsidR="00D2001A">
        <w:rPr>
          <w:rFonts w:eastAsia="Calibri"/>
          <w:kern w:val="2"/>
          <w:lang w:eastAsia="en-US"/>
          <w14:ligatures w14:val="standardContextual"/>
        </w:rPr>
        <w:t xml:space="preserve"> of </w:t>
      </w:r>
      <w:r w:rsidR="00885193">
        <w:rPr>
          <w:rFonts w:eastAsia="Calibri"/>
          <w:kern w:val="2"/>
          <w:lang w:eastAsia="en-US"/>
          <w14:ligatures w14:val="standardContextual"/>
        </w:rPr>
        <w:t>meeting</w:t>
      </w:r>
      <w:r w:rsidR="00D2001A">
        <w:rPr>
          <w:rFonts w:eastAsia="Calibri"/>
          <w:kern w:val="2"/>
          <w:lang w:eastAsia="en-US"/>
          <w14:ligatures w14:val="standardContextual"/>
        </w:rPr>
        <w:t xml:space="preserve"> </w:t>
      </w:r>
      <w:r w:rsidR="00BF2712">
        <w:rPr>
          <w:rFonts w:eastAsia="Calibri"/>
          <w:kern w:val="2"/>
          <w:lang w:eastAsia="en-US"/>
          <w14:ligatures w14:val="standardContextual"/>
        </w:rPr>
        <w:t>these objectives</w:t>
      </w:r>
      <w:r w:rsidR="00CE60FF">
        <w:rPr>
          <w:rFonts w:eastAsia="Calibri"/>
          <w:kern w:val="2"/>
          <w:lang w:eastAsia="en-US"/>
          <w14:ligatures w14:val="standardContextual"/>
        </w:rPr>
        <w:t xml:space="preserve"> that are less intrusive</w:t>
      </w:r>
      <w:r w:rsidR="0006495B">
        <w:rPr>
          <w:rFonts w:eastAsia="Calibri"/>
          <w:kern w:val="2"/>
          <w:lang w:eastAsia="en-US"/>
          <w14:ligatures w14:val="standardContextual"/>
        </w:rPr>
        <w:t xml:space="preserve"> than requiring</w:t>
      </w:r>
      <w:r>
        <w:rPr>
          <w:rFonts w:eastAsia="Calibri"/>
          <w:kern w:val="2"/>
          <w:lang w:eastAsia="en-US"/>
          <w14:ligatures w14:val="standardContextual"/>
        </w:rPr>
        <w:t xml:space="preserve"> ESG rating providers to establish a “</w:t>
      </w:r>
      <w:r w:rsidRPr="00EC0E45">
        <w:rPr>
          <w:rFonts w:eastAsia="Calibri"/>
          <w:i/>
          <w:iCs/>
          <w:kern w:val="2"/>
          <w:lang w:eastAsia="en-US"/>
          <w14:ligatures w14:val="standardContextual"/>
        </w:rPr>
        <w:t>data classification</w:t>
      </w:r>
      <w:r>
        <w:rPr>
          <w:rFonts w:eastAsia="Calibri"/>
          <w:kern w:val="2"/>
          <w:lang w:eastAsia="en-US"/>
          <w14:ligatures w14:val="standardContextual"/>
        </w:rPr>
        <w:t xml:space="preserve">” system on top of policies and procedures for handling sensitive or non-public </w:t>
      </w:r>
      <w:proofErr w:type="gramStart"/>
      <w:r>
        <w:rPr>
          <w:rFonts w:eastAsia="Calibri"/>
          <w:kern w:val="2"/>
          <w:lang w:eastAsia="en-US"/>
          <w14:ligatures w14:val="standardContextual"/>
        </w:rPr>
        <w:t>information..</w:t>
      </w:r>
      <w:proofErr w:type="gramEnd"/>
      <w:r>
        <w:rPr>
          <w:rFonts w:eastAsia="Calibri"/>
          <w:kern w:val="2"/>
          <w:lang w:eastAsia="en-US"/>
          <w14:ligatures w14:val="standardContextual"/>
        </w:rPr>
        <w:t xml:space="preserve"> </w:t>
      </w:r>
    </w:p>
    <w:p w14:paraId="77B980C7" w14:textId="40426C01" w:rsidR="002C0FCB" w:rsidRDefault="00BC4984" w:rsidP="004F3049">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 xml:space="preserve">Furthermore, as a general observation, </w:t>
      </w:r>
      <w:r w:rsidR="00EA4A12" w:rsidRPr="009D34C6">
        <w:rPr>
          <w:rFonts w:eastAsia="Calibri"/>
          <w:kern w:val="2"/>
          <w:lang w:eastAsia="en-US"/>
          <w14:ligatures w14:val="standardContextual"/>
        </w:rPr>
        <w:t>Article 16</w:t>
      </w:r>
      <w:r w:rsidR="00226F14" w:rsidRPr="009D34C6">
        <w:rPr>
          <w:rFonts w:eastAsia="Calibri"/>
          <w:kern w:val="2"/>
          <w:lang w:eastAsia="en-US"/>
          <w14:ligatures w14:val="standardContextual"/>
        </w:rPr>
        <w:t>(1</w:t>
      </w:r>
      <w:r w:rsidR="007E134A" w:rsidRPr="009D34C6">
        <w:rPr>
          <w:rFonts w:eastAsia="Calibri"/>
          <w:kern w:val="2"/>
          <w:lang w:eastAsia="en-US"/>
          <w14:ligatures w14:val="standardContextual"/>
        </w:rPr>
        <w:t>)(a)</w:t>
      </w:r>
      <w:r w:rsidR="009042F4" w:rsidRPr="009D34C6">
        <w:rPr>
          <w:rFonts w:eastAsia="Calibri"/>
          <w:kern w:val="2"/>
          <w:lang w:eastAsia="en-US"/>
          <w14:ligatures w14:val="standardContextual"/>
        </w:rPr>
        <w:t xml:space="preserve"> prohibits ESG rating providers from </w:t>
      </w:r>
      <w:r w:rsidR="00EA401F" w:rsidRPr="009D34C6">
        <w:rPr>
          <w:rFonts w:eastAsia="Calibri"/>
          <w:kern w:val="2"/>
          <w:lang w:eastAsia="en-US"/>
          <w14:ligatures w14:val="standardContextual"/>
        </w:rPr>
        <w:t xml:space="preserve">providing </w:t>
      </w:r>
      <w:r w:rsidR="00EA401F" w:rsidRPr="009D34C6">
        <w:rPr>
          <w:rFonts w:eastAsia="Calibri"/>
          <w:i/>
          <w:iCs/>
          <w:kern w:val="2"/>
          <w:lang w:eastAsia="en-US"/>
          <w14:ligatures w14:val="standardContextual"/>
        </w:rPr>
        <w:t>“consulting activities to investors or undertakings”</w:t>
      </w:r>
      <w:r w:rsidR="00901854" w:rsidRPr="009D34C6">
        <w:rPr>
          <w:rFonts w:eastAsia="Calibri"/>
          <w:i/>
          <w:iCs/>
          <w:kern w:val="2"/>
          <w:lang w:eastAsia="en-US"/>
          <w14:ligatures w14:val="standardContextual"/>
        </w:rPr>
        <w:t>.</w:t>
      </w:r>
      <w:r w:rsidR="00901854" w:rsidRPr="009D34C6">
        <w:rPr>
          <w:rFonts w:eastAsia="Calibri"/>
          <w:kern w:val="2"/>
          <w:lang w:eastAsia="en-US"/>
          <w14:ligatures w14:val="standardContextual"/>
        </w:rPr>
        <w:t xml:space="preserve"> </w:t>
      </w:r>
      <w:r w:rsidR="00B8364F" w:rsidRPr="009D34C6">
        <w:rPr>
          <w:rFonts w:eastAsia="Calibri"/>
          <w:kern w:val="2"/>
          <w:lang w:eastAsia="en-US"/>
          <w14:ligatures w14:val="standardContextual"/>
        </w:rPr>
        <w:t xml:space="preserve">No </w:t>
      </w:r>
      <w:r w:rsidR="005C1923" w:rsidRPr="009D34C6">
        <w:rPr>
          <w:rFonts w:eastAsia="Calibri"/>
          <w:kern w:val="2"/>
          <w:lang w:eastAsia="en-US"/>
          <w14:ligatures w14:val="standardContextual"/>
        </w:rPr>
        <w:t xml:space="preserve">legal definition of </w:t>
      </w:r>
      <w:r w:rsidR="005C1923" w:rsidRPr="00606043">
        <w:rPr>
          <w:rFonts w:eastAsia="Calibri"/>
          <w:i/>
          <w:iCs/>
          <w:kern w:val="2"/>
          <w:lang w:eastAsia="en-US"/>
          <w14:ligatures w14:val="standardContextual"/>
        </w:rPr>
        <w:t>“consulting activities to investors”</w:t>
      </w:r>
      <w:r w:rsidR="005C1923" w:rsidRPr="009D34C6">
        <w:rPr>
          <w:rFonts w:eastAsia="Calibri"/>
          <w:kern w:val="2"/>
          <w:lang w:eastAsia="en-US"/>
          <w14:ligatures w14:val="standardContextual"/>
        </w:rPr>
        <w:t xml:space="preserve"> is </w:t>
      </w:r>
      <w:r w:rsidR="00BD274C">
        <w:rPr>
          <w:rFonts w:eastAsia="Calibri"/>
          <w:kern w:val="2"/>
          <w:lang w:eastAsia="en-US"/>
          <w14:ligatures w14:val="standardContextual"/>
        </w:rPr>
        <w:t>provided</w:t>
      </w:r>
      <w:r w:rsidR="005D27AD" w:rsidRPr="009D34C6">
        <w:rPr>
          <w:rFonts w:eastAsia="Calibri"/>
          <w:kern w:val="2"/>
          <w:lang w:eastAsia="en-US"/>
          <w14:ligatures w14:val="standardContextual"/>
        </w:rPr>
        <w:t xml:space="preserve"> in the regulation</w:t>
      </w:r>
      <w:r w:rsidR="00FE5957" w:rsidRPr="009D34C6">
        <w:rPr>
          <w:rFonts w:eastAsia="Calibri"/>
          <w:kern w:val="2"/>
          <w:lang w:eastAsia="en-US"/>
          <w14:ligatures w14:val="standardContextual"/>
        </w:rPr>
        <w:t xml:space="preserve"> apart from </w:t>
      </w:r>
      <w:r w:rsidR="00B16D04" w:rsidRPr="009D34C6">
        <w:rPr>
          <w:rFonts w:eastAsia="Calibri"/>
          <w:kern w:val="2"/>
          <w:lang w:eastAsia="en-US"/>
          <w14:ligatures w14:val="standardContextual"/>
        </w:rPr>
        <w:t>Recital 39, which briefly states</w:t>
      </w:r>
      <w:r w:rsidR="00621F53" w:rsidRPr="009D34C6">
        <w:rPr>
          <w:rFonts w:eastAsia="Calibri"/>
          <w:kern w:val="2"/>
          <w:lang w:eastAsia="en-US"/>
          <w14:ligatures w14:val="standardContextual"/>
        </w:rPr>
        <w:t xml:space="preserve"> that </w:t>
      </w:r>
      <w:r w:rsidR="00621F53" w:rsidRPr="009D34C6">
        <w:rPr>
          <w:rFonts w:eastAsia="Calibri"/>
          <w:i/>
          <w:iCs/>
          <w:kern w:val="2"/>
          <w:lang w:eastAsia="en-US"/>
          <w14:ligatures w14:val="standardContextual"/>
        </w:rPr>
        <w:t>“</w:t>
      </w:r>
      <w:r w:rsidR="003E6754">
        <w:rPr>
          <w:rFonts w:eastAsia="Calibri"/>
          <w:i/>
          <w:iCs/>
          <w:kern w:val="2"/>
          <w:lang w:eastAsia="en-US"/>
          <w14:ligatures w14:val="standardContextual"/>
        </w:rPr>
        <w:t>c</w:t>
      </w:r>
      <w:r w:rsidR="009D34C6" w:rsidRPr="009D34C6">
        <w:rPr>
          <w:rFonts w:eastAsia="Calibri"/>
          <w:i/>
          <w:iCs/>
          <w:kern w:val="2"/>
          <w:lang w:eastAsia="en-US"/>
          <w14:ligatures w14:val="standardContextual"/>
        </w:rPr>
        <w:t>onsulting activities include developing sustainability strategies and strategies to manage sustainability risks or impacts”.</w:t>
      </w:r>
      <w:r w:rsidR="0026450C">
        <w:rPr>
          <w:rFonts w:eastAsia="Calibri"/>
          <w:kern w:val="2"/>
          <w:lang w:eastAsia="en-US"/>
          <w14:ligatures w14:val="standardContextual"/>
        </w:rPr>
        <w:t xml:space="preserve"> </w:t>
      </w:r>
    </w:p>
    <w:p w14:paraId="542C6B9A" w14:textId="5CB1B4A8" w:rsidR="00967622" w:rsidRDefault="00D9247F" w:rsidP="006C7DEB">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T</w:t>
      </w:r>
      <w:r w:rsidR="00562B51">
        <w:rPr>
          <w:rFonts w:eastAsia="Calibri"/>
          <w:kern w:val="2"/>
          <w:lang w:eastAsia="en-US"/>
          <w14:ligatures w14:val="standardContextual"/>
        </w:rPr>
        <w:t>here are multiple investor use cases for o</w:t>
      </w:r>
      <w:r w:rsidR="00B95D96">
        <w:rPr>
          <w:rFonts w:eastAsia="Calibri"/>
          <w:kern w:val="2"/>
          <w:lang w:eastAsia="en-US"/>
          <w14:ligatures w14:val="standardContextual"/>
        </w:rPr>
        <w:t xml:space="preserve">ur ESG ratings and data </w:t>
      </w:r>
      <w:proofErr w:type="gramStart"/>
      <w:r w:rsidR="00B95D96">
        <w:rPr>
          <w:rFonts w:eastAsia="Calibri"/>
          <w:kern w:val="2"/>
          <w:lang w:eastAsia="en-US"/>
          <w14:ligatures w14:val="standardContextual"/>
        </w:rPr>
        <w:t>products</w:t>
      </w:r>
      <w:proofErr w:type="gramEnd"/>
      <w:r w:rsidR="00B95D96">
        <w:rPr>
          <w:rFonts w:eastAsia="Calibri"/>
          <w:kern w:val="2"/>
          <w:lang w:eastAsia="en-US"/>
          <w14:ligatures w14:val="standardContextual"/>
        </w:rPr>
        <w:t xml:space="preserve"> </w:t>
      </w:r>
      <w:r w:rsidR="00562B51">
        <w:rPr>
          <w:rFonts w:eastAsia="Calibri"/>
          <w:kern w:val="2"/>
          <w:lang w:eastAsia="en-US"/>
          <w14:ligatures w14:val="standardContextual"/>
        </w:rPr>
        <w:t xml:space="preserve">and they </w:t>
      </w:r>
      <w:r w:rsidR="00FB5407">
        <w:rPr>
          <w:rFonts w:eastAsia="Calibri"/>
          <w:kern w:val="2"/>
          <w:lang w:eastAsia="en-US"/>
          <w14:ligatures w14:val="standardContextual"/>
        </w:rPr>
        <w:t xml:space="preserve">can be used by </w:t>
      </w:r>
      <w:r w:rsidR="00682E70">
        <w:rPr>
          <w:rFonts w:eastAsia="Calibri"/>
          <w:kern w:val="2"/>
          <w:lang w:eastAsia="en-US"/>
          <w14:ligatures w14:val="standardContextual"/>
        </w:rPr>
        <w:t xml:space="preserve">investors </w:t>
      </w:r>
      <w:r w:rsidR="00853AD3">
        <w:rPr>
          <w:rFonts w:eastAsia="Calibri"/>
          <w:kern w:val="2"/>
          <w:lang w:eastAsia="en-US"/>
          <w14:ligatures w14:val="standardContextual"/>
        </w:rPr>
        <w:t xml:space="preserve">to </w:t>
      </w:r>
      <w:r w:rsidR="00E27B26">
        <w:rPr>
          <w:rFonts w:eastAsia="Calibri"/>
          <w:kern w:val="2"/>
          <w:lang w:eastAsia="en-US"/>
          <w14:ligatures w14:val="standardContextual"/>
        </w:rPr>
        <w:t xml:space="preserve">inform </w:t>
      </w:r>
      <w:r w:rsidR="004C349A">
        <w:rPr>
          <w:rFonts w:eastAsia="Calibri"/>
          <w:kern w:val="2"/>
          <w:lang w:eastAsia="en-US"/>
          <w14:ligatures w14:val="standardContextual"/>
        </w:rPr>
        <w:t>or pursue</w:t>
      </w:r>
      <w:r w:rsidR="00853AD3">
        <w:rPr>
          <w:rFonts w:eastAsia="Calibri"/>
          <w:kern w:val="2"/>
          <w:lang w:eastAsia="en-US"/>
          <w14:ligatures w14:val="standardContextual"/>
        </w:rPr>
        <w:t xml:space="preserve"> </w:t>
      </w:r>
      <w:r w:rsidR="001F230E">
        <w:rPr>
          <w:rFonts w:eastAsia="Calibri"/>
          <w:kern w:val="2"/>
          <w:lang w:eastAsia="en-US"/>
          <w14:ligatures w14:val="standardContextual"/>
        </w:rPr>
        <w:t>a sustainable investment strategy</w:t>
      </w:r>
      <w:r w:rsidR="00562B51">
        <w:rPr>
          <w:rFonts w:eastAsia="Calibri"/>
          <w:kern w:val="2"/>
          <w:lang w:eastAsia="en-US"/>
          <w14:ligatures w14:val="standardContextual"/>
        </w:rPr>
        <w:t>, insofar, as</w:t>
      </w:r>
      <w:r w:rsidR="00F85E22">
        <w:rPr>
          <w:rFonts w:eastAsia="Calibri"/>
          <w:kern w:val="2"/>
          <w:lang w:eastAsia="en-US"/>
          <w14:ligatures w14:val="standardContextual"/>
        </w:rPr>
        <w:t xml:space="preserve"> they may </w:t>
      </w:r>
      <w:r w:rsidR="00922F6F">
        <w:rPr>
          <w:rFonts w:eastAsia="Calibri"/>
          <w:kern w:val="2"/>
          <w:lang w:eastAsia="en-US"/>
          <w14:ligatures w14:val="standardContextual"/>
        </w:rPr>
        <w:t xml:space="preserve">be </w:t>
      </w:r>
      <w:r w:rsidR="005B1570">
        <w:rPr>
          <w:rFonts w:eastAsia="Calibri"/>
          <w:kern w:val="2"/>
          <w:lang w:eastAsia="en-US"/>
          <w14:ligatures w14:val="standardContextual"/>
        </w:rPr>
        <w:t xml:space="preserve">one of several tools that investors use to </w:t>
      </w:r>
      <w:r w:rsidR="00E27B26">
        <w:rPr>
          <w:rFonts w:eastAsia="Calibri"/>
          <w:kern w:val="2"/>
          <w:lang w:eastAsia="en-US"/>
          <w14:ligatures w14:val="standardContextual"/>
        </w:rPr>
        <w:t xml:space="preserve">e.g., </w:t>
      </w:r>
      <w:r w:rsidR="005B1570">
        <w:rPr>
          <w:rFonts w:eastAsia="Calibri"/>
          <w:kern w:val="2"/>
          <w:lang w:eastAsia="en-US"/>
          <w14:ligatures w14:val="standardContextual"/>
        </w:rPr>
        <w:t xml:space="preserve">screen </w:t>
      </w:r>
      <w:r w:rsidR="00DA3125">
        <w:rPr>
          <w:rFonts w:eastAsia="Calibri"/>
          <w:kern w:val="2"/>
          <w:lang w:eastAsia="en-US"/>
          <w14:ligatures w14:val="standardContextual"/>
        </w:rPr>
        <w:t>and/or</w:t>
      </w:r>
      <w:r w:rsidR="00AD1954">
        <w:rPr>
          <w:rFonts w:eastAsia="Calibri"/>
          <w:kern w:val="2"/>
          <w:lang w:eastAsia="en-US"/>
          <w14:ligatures w14:val="standardContextual"/>
        </w:rPr>
        <w:t xml:space="preserve"> construct a portfolio</w:t>
      </w:r>
      <w:r w:rsidR="00DA3125">
        <w:rPr>
          <w:rFonts w:eastAsia="Calibri"/>
          <w:kern w:val="2"/>
          <w:lang w:eastAsia="en-US"/>
          <w14:ligatures w14:val="standardContextual"/>
        </w:rPr>
        <w:t>.</w:t>
      </w:r>
      <w:r w:rsidR="004E1564">
        <w:rPr>
          <w:rFonts w:eastAsia="Calibri"/>
          <w:kern w:val="2"/>
          <w:lang w:eastAsia="en-US"/>
          <w14:ligatures w14:val="standardContextual"/>
        </w:rPr>
        <w:t xml:space="preserve"> </w:t>
      </w:r>
      <w:r w:rsidR="000F73A8">
        <w:rPr>
          <w:rFonts w:eastAsia="Calibri"/>
          <w:kern w:val="2"/>
          <w:lang w:eastAsia="en-US"/>
          <w14:ligatures w14:val="standardContextual"/>
        </w:rPr>
        <w:t xml:space="preserve">As part of client onboarding and account servicing, we </w:t>
      </w:r>
      <w:r w:rsidR="00926823">
        <w:rPr>
          <w:rFonts w:eastAsia="Calibri"/>
          <w:kern w:val="2"/>
          <w:lang w:eastAsia="en-US"/>
          <w14:ligatures w14:val="standardContextual"/>
        </w:rPr>
        <w:t xml:space="preserve">may </w:t>
      </w:r>
      <w:r w:rsidR="000F73A8">
        <w:rPr>
          <w:rFonts w:eastAsia="Calibri"/>
          <w:kern w:val="2"/>
          <w:lang w:eastAsia="en-US"/>
          <w14:ligatures w14:val="standardContextual"/>
        </w:rPr>
        <w:t xml:space="preserve">demonstrate to our clients how they can use our ESG ratings and data products to </w:t>
      </w:r>
      <w:r w:rsidR="00E67D14">
        <w:rPr>
          <w:rFonts w:eastAsia="Calibri"/>
          <w:kern w:val="2"/>
          <w:lang w:eastAsia="en-US"/>
          <w14:ligatures w14:val="standardContextual"/>
        </w:rPr>
        <w:t xml:space="preserve">satisfy </w:t>
      </w:r>
      <w:r w:rsidR="000F73A8">
        <w:rPr>
          <w:rFonts w:eastAsia="Calibri"/>
          <w:kern w:val="2"/>
          <w:lang w:eastAsia="en-US"/>
          <w14:ligatures w14:val="standardContextual"/>
        </w:rPr>
        <w:t xml:space="preserve">their specific needs and obligations. </w:t>
      </w:r>
      <w:r w:rsidR="00E67D14">
        <w:rPr>
          <w:rFonts w:eastAsia="Calibri"/>
          <w:kern w:val="2"/>
          <w:lang w:eastAsia="en-US"/>
          <w14:ligatures w14:val="standardContextual"/>
        </w:rPr>
        <w:t>I</w:t>
      </w:r>
      <w:r w:rsidR="000F73A8">
        <w:rPr>
          <w:rFonts w:eastAsia="Calibri"/>
          <w:kern w:val="2"/>
          <w:lang w:eastAsia="en-US"/>
          <w14:ligatures w14:val="standardContextual"/>
        </w:rPr>
        <w:t>t is the client</w:t>
      </w:r>
      <w:r w:rsidR="00E67D14">
        <w:rPr>
          <w:rFonts w:eastAsia="Calibri"/>
          <w:kern w:val="2"/>
          <w:lang w:eastAsia="en-US"/>
          <w14:ligatures w14:val="standardContextual"/>
        </w:rPr>
        <w:t>, however,</w:t>
      </w:r>
      <w:r w:rsidR="000F73A8">
        <w:rPr>
          <w:rFonts w:eastAsia="Calibri"/>
          <w:kern w:val="2"/>
          <w:lang w:eastAsia="en-US"/>
          <w14:ligatures w14:val="standardContextual"/>
        </w:rPr>
        <w:t xml:space="preserve"> that defines their investment strategy and/or determines their specific needs and obligations. Accordingly, we do not consider that these activities qualify as </w:t>
      </w:r>
      <w:r w:rsidR="000F73A8" w:rsidRPr="00D82C14">
        <w:rPr>
          <w:rFonts w:eastAsia="Calibri"/>
          <w:i/>
          <w:iCs/>
          <w:kern w:val="2"/>
          <w:lang w:eastAsia="en-US"/>
          <w14:ligatures w14:val="standardContextual"/>
        </w:rPr>
        <w:t>“consulting activities to investors”</w:t>
      </w:r>
      <w:r w:rsidR="000F73A8">
        <w:rPr>
          <w:rFonts w:eastAsia="Calibri"/>
          <w:kern w:val="2"/>
          <w:lang w:eastAsia="en-US"/>
          <w14:ligatures w14:val="standardContextual"/>
        </w:rPr>
        <w:t xml:space="preserve"> as envisaged by the co-legislators</w:t>
      </w:r>
      <w:r w:rsidR="000F73A8" w:rsidRPr="00D82C14">
        <w:rPr>
          <w:rFonts w:eastAsia="Calibri"/>
          <w:kern w:val="2"/>
          <w:lang w:eastAsia="en-US"/>
          <w14:ligatures w14:val="standardContextual"/>
        </w:rPr>
        <w:t>.</w:t>
      </w:r>
      <w:r w:rsidR="000F73A8">
        <w:rPr>
          <w:rFonts w:eastAsia="Calibri"/>
          <w:kern w:val="2"/>
          <w:lang w:eastAsia="en-US"/>
          <w14:ligatures w14:val="standardContextual"/>
        </w:rPr>
        <w:t xml:space="preserve"> </w:t>
      </w:r>
      <w:r w:rsidR="00530D6A">
        <w:rPr>
          <w:rFonts w:eastAsia="Calibri"/>
          <w:kern w:val="2"/>
          <w:lang w:eastAsia="en-US"/>
          <w14:ligatures w14:val="standardContextual"/>
        </w:rPr>
        <w:t>Still, we raise this hypothetical example as a general observation</w:t>
      </w:r>
      <w:r w:rsidR="000B7F59">
        <w:rPr>
          <w:rFonts w:eastAsia="Calibri"/>
          <w:kern w:val="2"/>
          <w:lang w:eastAsia="en-US"/>
          <w14:ligatures w14:val="standardContextual"/>
        </w:rPr>
        <w:t>.</w:t>
      </w:r>
      <w:r w:rsidR="000F73A8">
        <w:rPr>
          <w:rFonts w:eastAsia="Calibri"/>
          <w:kern w:val="2"/>
          <w:lang w:eastAsia="en-US"/>
          <w14:ligatures w14:val="standardContextual"/>
        </w:rPr>
        <w:t xml:space="preserve"> </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Default="001B1B48" w:rsidP="001B1B48">
      <w:pPr>
        <w:spacing w:after="160" w:line="259" w:lineRule="auto"/>
        <w:rPr>
          <w:rFonts w:ascii="Calibri" w:eastAsia="Calibri" w:hAnsi="Calibri"/>
          <w:kern w:val="2"/>
          <w:sz w:val="22"/>
          <w:szCs w:val="22"/>
          <w:lang w:eastAsia="en-US"/>
          <w14:ligatures w14:val="standardContextual"/>
        </w:rPr>
      </w:pPr>
    </w:p>
    <w:p w14:paraId="7621830F" w14:textId="77777777" w:rsidR="00365A2B" w:rsidRPr="00BD73CA" w:rsidRDefault="00365A2B" w:rsidP="001B1B48">
      <w:pPr>
        <w:spacing w:after="160" w:line="259" w:lineRule="auto"/>
        <w:rPr>
          <w:rFonts w:ascii="Calibri" w:eastAsia="Calibri" w:hAnsi="Calibri"/>
          <w:b/>
          <w:bCs/>
          <w:kern w:val="2"/>
          <w:sz w:val="22"/>
          <w:szCs w:val="22"/>
          <w:lang w:eastAsia="en-US"/>
          <w14:ligatures w14:val="standardContextual"/>
        </w:rPr>
      </w:pPr>
    </w:p>
    <w:p w14:paraId="30B5FCEB" w14:textId="7A17AB27" w:rsidR="006372FE" w:rsidRPr="00365A2B" w:rsidRDefault="006372FE" w:rsidP="00FC3B26">
      <w:pPr>
        <w:pStyle w:val="Paragraph"/>
        <w:numPr>
          <w:ilvl w:val="0"/>
          <w:numId w:val="0"/>
        </w:numPr>
        <w:ind w:left="708" w:hanging="708"/>
        <w:rPr>
          <w:b/>
          <w:bCs/>
          <w:sz w:val="24"/>
          <w:szCs w:val="24"/>
        </w:rPr>
      </w:pPr>
      <w:r w:rsidRPr="00210E1F">
        <w:rPr>
          <w:b/>
          <w:bCs/>
          <w:sz w:val="24"/>
          <w:szCs w:val="24"/>
        </w:rPr>
        <w:t xml:space="preserve">Q3. </w:t>
      </w:r>
      <w:r w:rsidRPr="00210E1F">
        <w:tab/>
      </w:r>
      <w:r w:rsidRPr="00210E1F">
        <w:rPr>
          <w:b/>
          <w:bCs/>
          <w:sz w:val="24"/>
          <w:szCs w:val="24"/>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087B25C3" w14:textId="29ABD470" w:rsidR="001B1B48" w:rsidRPr="00352D1F" w:rsidRDefault="0013697B" w:rsidP="0068419D">
      <w:pPr>
        <w:spacing w:after="160" w:line="259" w:lineRule="auto"/>
        <w:jc w:val="both"/>
        <w:rPr>
          <w:rFonts w:eastAsia="Calibri"/>
          <w:kern w:val="2"/>
          <w:lang w:eastAsia="en-US"/>
          <w14:ligatures w14:val="standardContextual"/>
        </w:rPr>
      </w:pPr>
      <w:permStart w:id="669658389" w:edGrp="everyone"/>
      <w:r w:rsidRPr="00352D1F">
        <w:rPr>
          <w:rFonts w:eastAsia="Calibri"/>
          <w:kern w:val="2"/>
          <w:lang w:eastAsia="en-US"/>
          <w14:ligatures w14:val="standardContextual"/>
        </w:rPr>
        <w:t xml:space="preserve">We </w:t>
      </w:r>
      <w:r w:rsidR="00BE4714" w:rsidRPr="00352D1F">
        <w:rPr>
          <w:rFonts w:eastAsia="Calibri"/>
          <w:kern w:val="2"/>
          <w:lang w:eastAsia="en-US"/>
          <w14:ligatures w14:val="standardContextual"/>
        </w:rPr>
        <w:t>note that ESMA has</w:t>
      </w:r>
      <w:r w:rsidR="007079A6">
        <w:rPr>
          <w:rFonts w:eastAsia="Calibri"/>
          <w:kern w:val="2"/>
          <w:lang w:eastAsia="en-US"/>
          <w14:ligatures w14:val="standardContextual"/>
        </w:rPr>
        <w:t xml:space="preserve"> </w:t>
      </w:r>
      <w:r w:rsidR="009C3C62" w:rsidRPr="00352D1F">
        <w:rPr>
          <w:rFonts w:eastAsia="Calibri"/>
          <w:kern w:val="2"/>
          <w:lang w:eastAsia="en-US"/>
          <w14:ligatures w14:val="standardContextual"/>
        </w:rPr>
        <w:t xml:space="preserve">decided not to propose </w:t>
      </w:r>
      <w:r w:rsidR="00B13106" w:rsidRPr="00352D1F">
        <w:rPr>
          <w:rFonts w:eastAsia="Calibri"/>
          <w:kern w:val="2"/>
          <w:lang w:eastAsia="en-US"/>
          <w14:ligatures w14:val="standardContextual"/>
        </w:rPr>
        <w:t>disclosure templates</w:t>
      </w:r>
      <w:r w:rsidR="0045000B">
        <w:rPr>
          <w:rFonts w:eastAsia="Calibri"/>
          <w:kern w:val="2"/>
          <w:lang w:eastAsia="en-US"/>
          <w14:ligatures w14:val="standardContextual"/>
        </w:rPr>
        <w:t xml:space="preserve"> in the draft RTS</w:t>
      </w:r>
      <w:r w:rsidR="009D4DC9" w:rsidRPr="00352D1F">
        <w:rPr>
          <w:rFonts w:eastAsia="Calibri"/>
          <w:kern w:val="2"/>
          <w:lang w:eastAsia="en-US"/>
          <w14:ligatures w14:val="standardContextual"/>
        </w:rPr>
        <w:t>, thus granting ESG rating providers a degree of flexibility with respect to the presentation of their disclosures</w:t>
      </w:r>
      <w:r w:rsidR="0046457E">
        <w:rPr>
          <w:rFonts w:eastAsia="Calibri"/>
          <w:kern w:val="2"/>
          <w:lang w:eastAsia="en-US"/>
          <w14:ligatures w14:val="standardContextual"/>
        </w:rPr>
        <w:t xml:space="preserve"> within the limits of Article 2</w:t>
      </w:r>
      <w:r w:rsidR="00ED5E78">
        <w:rPr>
          <w:rFonts w:eastAsia="Calibri"/>
          <w:kern w:val="2"/>
          <w:lang w:eastAsia="en-US"/>
          <w14:ligatures w14:val="standardContextual"/>
        </w:rPr>
        <w:t xml:space="preserve"> of the draft RTS</w:t>
      </w:r>
      <w:r w:rsidR="008A21AD" w:rsidRPr="00352D1F">
        <w:rPr>
          <w:rFonts w:eastAsia="Calibri"/>
          <w:kern w:val="2"/>
          <w:lang w:eastAsia="en-US"/>
          <w14:ligatures w14:val="standardContextual"/>
        </w:rPr>
        <w:t xml:space="preserve">. </w:t>
      </w:r>
    </w:p>
    <w:p w14:paraId="72197FB8" w14:textId="41997179" w:rsidR="00CC7D2A" w:rsidRDefault="00CC7D2A" w:rsidP="0068419D">
      <w:pPr>
        <w:spacing w:after="160" w:line="259" w:lineRule="auto"/>
        <w:jc w:val="both"/>
        <w:rPr>
          <w:rFonts w:eastAsia="Calibri"/>
          <w:kern w:val="2"/>
          <w:lang w:eastAsia="en-US"/>
          <w14:ligatures w14:val="standardContextual"/>
        </w:rPr>
      </w:pPr>
      <w:r w:rsidRPr="00352D1F">
        <w:rPr>
          <w:rFonts w:eastAsia="Calibri"/>
          <w:kern w:val="2"/>
          <w:lang w:eastAsia="en-US"/>
          <w14:ligatures w14:val="standardContextual"/>
        </w:rPr>
        <w:t>We also appreciate that ESMA</w:t>
      </w:r>
      <w:r w:rsidR="003D7B2D" w:rsidRPr="00352D1F">
        <w:rPr>
          <w:rFonts w:eastAsia="Calibri"/>
          <w:kern w:val="2"/>
          <w:lang w:eastAsia="en-US"/>
          <w14:ligatures w14:val="standardContextual"/>
        </w:rPr>
        <w:t>’s proposals remain</w:t>
      </w:r>
      <w:r w:rsidR="00FD23CB">
        <w:rPr>
          <w:rFonts w:eastAsia="Calibri"/>
          <w:kern w:val="2"/>
          <w:lang w:eastAsia="en-US"/>
          <w14:ligatures w14:val="standardContextual"/>
        </w:rPr>
        <w:t xml:space="preserve"> largely</w:t>
      </w:r>
      <w:r w:rsidR="003D7B2D" w:rsidRPr="00352D1F">
        <w:rPr>
          <w:rFonts w:eastAsia="Calibri"/>
          <w:kern w:val="2"/>
          <w:lang w:eastAsia="en-US"/>
          <w14:ligatures w14:val="standardContextual"/>
        </w:rPr>
        <w:t xml:space="preserve"> consistent with the Level 1 text of the regulation</w:t>
      </w:r>
      <w:r w:rsidR="00ED5E78">
        <w:rPr>
          <w:rFonts w:eastAsia="Calibri"/>
          <w:kern w:val="2"/>
          <w:lang w:eastAsia="en-US"/>
          <w14:ligatures w14:val="standardContextual"/>
        </w:rPr>
        <w:t xml:space="preserve"> with some important exceptions</w:t>
      </w:r>
      <w:r w:rsidR="002A0A36" w:rsidRPr="00352D1F">
        <w:rPr>
          <w:rFonts w:eastAsia="Calibri"/>
          <w:kern w:val="2"/>
          <w:lang w:eastAsia="en-US"/>
          <w14:ligatures w14:val="standardContextual"/>
        </w:rPr>
        <w:t xml:space="preserve">. </w:t>
      </w:r>
      <w:r w:rsidR="003C6341">
        <w:rPr>
          <w:rFonts w:eastAsia="Calibri"/>
          <w:kern w:val="2"/>
          <w:lang w:eastAsia="en-US"/>
          <w14:ligatures w14:val="standardContextual"/>
        </w:rPr>
        <w:t xml:space="preserve">Here, we note that Articles 23(4) and </w:t>
      </w:r>
      <w:r w:rsidR="00207AA4">
        <w:rPr>
          <w:rFonts w:eastAsia="Calibri"/>
          <w:kern w:val="2"/>
          <w:lang w:eastAsia="en-US"/>
          <w14:ligatures w14:val="standardContextual"/>
        </w:rPr>
        <w:t xml:space="preserve">24(4) </w:t>
      </w:r>
      <w:r w:rsidR="00FA464D">
        <w:rPr>
          <w:rFonts w:eastAsia="Calibri"/>
          <w:kern w:val="2"/>
          <w:lang w:eastAsia="en-US"/>
          <w14:ligatures w14:val="standardContextual"/>
        </w:rPr>
        <w:t>state that</w:t>
      </w:r>
      <w:r w:rsidR="00DA1907">
        <w:rPr>
          <w:rFonts w:eastAsia="Calibri"/>
          <w:kern w:val="2"/>
          <w:lang w:eastAsia="en-US"/>
          <w14:ligatures w14:val="standardContextual"/>
        </w:rPr>
        <w:t xml:space="preserve"> “</w:t>
      </w:r>
      <w:r w:rsidR="00DA1907" w:rsidRPr="00EB3D8E">
        <w:rPr>
          <w:rFonts w:eastAsia="Calibri"/>
          <w:i/>
          <w:kern w:val="2"/>
          <w:lang w:eastAsia="en-US"/>
          <w14:ligatures w14:val="standardContextual"/>
        </w:rPr>
        <w:t>ESMA shall develop draft technical standards to specify further the elements to be disclosed</w:t>
      </w:r>
      <w:r w:rsidR="002666BE" w:rsidRPr="00EB3D8E">
        <w:rPr>
          <w:rFonts w:eastAsia="Calibri"/>
          <w:i/>
          <w:kern w:val="2"/>
          <w:lang w:eastAsia="en-US"/>
          <w14:ligatures w14:val="standardContextual"/>
        </w:rPr>
        <w:t xml:space="preserve"> . .</w:t>
      </w:r>
      <w:r w:rsidR="002666BE">
        <w:rPr>
          <w:rFonts w:eastAsia="Calibri"/>
          <w:kern w:val="2"/>
          <w:lang w:eastAsia="en-US"/>
          <w14:ligatures w14:val="standardContextual"/>
        </w:rPr>
        <w:t xml:space="preserve"> .” in methodologies</w:t>
      </w:r>
      <w:r w:rsidR="002B18D7">
        <w:rPr>
          <w:rFonts w:eastAsia="Calibri"/>
          <w:kern w:val="2"/>
          <w:lang w:eastAsia="en-US"/>
          <w14:ligatures w14:val="standardContextual"/>
        </w:rPr>
        <w:t>,</w:t>
      </w:r>
      <w:r w:rsidR="00F64FB6">
        <w:rPr>
          <w:rFonts w:eastAsia="Calibri"/>
          <w:kern w:val="2"/>
          <w:lang w:eastAsia="en-US"/>
          <w14:ligatures w14:val="standardContextual"/>
        </w:rPr>
        <w:t xml:space="preserve"> but “</w:t>
      </w:r>
      <w:r w:rsidR="00F64FB6" w:rsidRPr="00EB3D8E">
        <w:rPr>
          <w:rFonts w:eastAsia="Calibri"/>
          <w:i/>
          <w:kern w:val="2"/>
          <w:lang w:eastAsia="en-US"/>
          <w14:ligatures w14:val="standardContextual"/>
        </w:rPr>
        <w:t>those elements shall not include any additional disclosure requirement other than those listed</w:t>
      </w:r>
      <w:r w:rsidR="00D7388A" w:rsidRPr="00EB3D8E">
        <w:rPr>
          <w:rFonts w:eastAsia="Calibri"/>
          <w:i/>
          <w:kern w:val="2"/>
          <w:lang w:eastAsia="en-US"/>
          <w14:ligatures w14:val="standardContextual"/>
        </w:rPr>
        <w:t xml:space="preserve"> </w:t>
      </w:r>
      <w:r w:rsidR="00D7388A">
        <w:rPr>
          <w:rFonts w:eastAsia="Calibri"/>
          <w:kern w:val="2"/>
          <w:lang w:eastAsia="en-US"/>
          <w14:ligatures w14:val="standardContextual"/>
        </w:rPr>
        <w:t>. . .” in points 1 or 2 of Annex III, as the case may be.</w:t>
      </w:r>
      <w:r w:rsidR="002365B4">
        <w:rPr>
          <w:rFonts w:eastAsia="Calibri"/>
          <w:kern w:val="2"/>
          <w:lang w:eastAsia="en-US"/>
          <w14:ligatures w14:val="standardContextual"/>
        </w:rPr>
        <w:t xml:space="preserve"> </w:t>
      </w:r>
      <w:r w:rsidR="003F4C8C">
        <w:rPr>
          <w:rFonts w:eastAsia="Calibri"/>
          <w:kern w:val="2"/>
          <w:lang w:eastAsia="en-US"/>
          <w14:ligatures w14:val="standardContextual"/>
        </w:rPr>
        <w:t xml:space="preserve">Accordingly, </w:t>
      </w:r>
      <w:r w:rsidR="00AF3047">
        <w:rPr>
          <w:rFonts w:eastAsia="Calibri"/>
          <w:kern w:val="2"/>
          <w:lang w:eastAsia="en-US"/>
          <w14:ligatures w14:val="standardContextual"/>
        </w:rPr>
        <w:t xml:space="preserve">to avoid any potential </w:t>
      </w:r>
      <w:r w:rsidR="00880974">
        <w:rPr>
          <w:rFonts w:eastAsia="Calibri"/>
          <w:kern w:val="2"/>
          <w:lang w:eastAsia="en-US"/>
          <w14:ligatures w14:val="standardContextual"/>
        </w:rPr>
        <w:t>and unintentional</w:t>
      </w:r>
      <w:r w:rsidR="00AF3047">
        <w:rPr>
          <w:rFonts w:eastAsia="Calibri"/>
          <w:kern w:val="2"/>
          <w:lang w:eastAsia="en-US"/>
          <w14:ligatures w14:val="standardContextual"/>
        </w:rPr>
        <w:t xml:space="preserve"> infringement of the Level 1 text</w:t>
      </w:r>
      <w:r w:rsidR="00880974">
        <w:rPr>
          <w:rFonts w:eastAsia="Calibri"/>
          <w:kern w:val="2"/>
          <w:lang w:eastAsia="en-US"/>
          <w14:ligatures w14:val="standardContextual"/>
        </w:rPr>
        <w:t xml:space="preserve">, </w:t>
      </w:r>
      <w:r w:rsidR="00F628CB">
        <w:rPr>
          <w:rFonts w:eastAsia="Calibri"/>
          <w:kern w:val="2"/>
          <w:lang w:eastAsia="en-US"/>
          <w14:ligatures w14:val="standardContextual"/>
        </w:rPr>
        <w:t>some of the granular disclosures</w:t>
      </w:r>
      <w:r w:rsidR="002E2970">
        <w:rPr>
          <w:rFonts w:eastAsia="Calibri"/>
          <w:kern w:val="2"/>
          <w:lang w:eastAsia="en-US"/>
          <w14:ligatures w14:val="standardContextual"/>
        </w:rPr>
        <w:t xml:space="preserve"> should be revisited</w:t>
      </w:r>
      <w:r w:rsidR="000A2D53">
        <w:rPr>
          <w:rFonts w:eastAsia="Calibri"/>
          <w:kern w:val="2"/>
          <w:lang w:eastAsia="en-US"/>
          <w14:ligatures w14:val="standardContextual"/>
        </w:rPr>
        <w:t xml:space="preserve"> with a view to proportionality and consideration of </w:t>
      </w:r>
      <w:r w:rsidR="00CC52BD">
        <w:rPr>
          <w:rFonts w:eastAsia="Calibri"/>
          <w:kern w:val="2"/>
          <w:lang w:eastAsia="en-US"/>
          <w14:ligatures w14:val="standardContextual"/>
        </w:rPr>
        <w:t>highly proprietary and commercially sensitive information</w:t>
      </w:r>
      <w:r w:rsidR="00AF3047">
        <w:rPr>
          <w:rFonts w:eastAsia="Calibri"/>
          <w:kern w:val="2"/>
          <w:lang w:eastAsia="en-US"/>
          <w14:ligatures w14:val="standardContextual"/>
        </w:rPr>
        <w:t>.</w:t>
      </w:r>
    </w:p>
    <w:p w14:paraId="6A7E4570" w14:textId="1420C1C1" w:rsidR="004A6FD8" w:rsidRDefault="004A6FD8" w:rsidP="004A6FD8">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lastRenderedPageBreak/>
        <w:t>For example, there are areas where ESMA envisages more granular disclosures.</w:t>
      </w:r>
      <w:r w:rsidR="001263C3">
        <w:rPr>
          <w:rFonts w:eastAsia="Calibri"/>
          <w:kern w:val="2"/>
          <w:lang w:eastAsia="en-US"/>
          <w14:ligatures w14:val="standardContextual"/>
        </w:rPr>
        <w:t xml:space="preserve"> Article 3(1)(a) requires disclosure of </w:t>
      </w:r>
      <w:r w:rsidR="007101E9">
        <w:rPr>
          <w:rFonts w:eastAsia="Calibri"/>
          <w:kern w:val="2"/>
          <w:lang w:eastAsia="en-US"/>
          <w14:ligatures w14:val="standardContextual"/>
        </w:rPr>
        <w:t>information specific to each rated entity</w:t>
      </w:r>
      <w:r w:rsidR="00F30ED7">
        <w:rPr>
          <w:rFonts w:eastAsia="Calibri"/>
          <w:kern w:val="2"/>
          <w:lang w:eastAsia="en-US"/>
          <w14:ligatures w14:val="standardContextual"/>
        </w:rPr>
        <w:t xml:space="preserve"> in addition to disclosure of the rating methodology. </w:t>
      </w:r>
      <w:r w:rsidR="0024227B">
        <w:rPr>
          <w:rFonts w:eastAsia="Calibri"/>
          <w:kern w:val="2"/>
          <w:lang w:eastAsia="en-US"/>
          <w14:ligatures w14:val="standardContextual"/>
        </w:rPr>
        <w:t>In the case of rating methodologies that are applied to thousands of entities and/or items, this r</w:t>
      </w:r>
      <w:r w:rsidR="00691757">
        <w:rPr>
          <w:rFonts w:eastAsia="Calibri"/>
          <w:kern w:val="2"/>
          <w:lang w:eastAsia="en-US"/>
          <w14:ligatures w14:val="standardContextual"/>
        </w:rPr>
        <w:t>equirement would be highly burdensome</w:t>
      </w:r>
      <w:r w:rsidR="00351E8F">
        <w:rPr>
          <w:rFonts w:eastAsia="Calibri"/>
          <w:kern w:val="2"/>
          <w:lang w:eastAsia="en-US"/>
          <w14:ligatures w14:val="standardContextual"/>
        </w:rPr>
        <w:t xml:space="preserve"> and, importantly, </w:t>
      </w:r>
      <w:r w:rsidR="00BD48AC">
        <w:rPr>
          <w:rFonts w:eastAsia="Calibri"/>
          <w:kern w:val="2"/>
          <w:lang w:eastAsia="en-US"/>
          <w14:ligatures w14:val="standardContextual"/>
        </w:rPr>
        <w:t>would risk revealing</w:t>
      </w:r>
      <w:r w:rsidR="00351E8F">
        <w:rPr>
          <w:rFonts w:eastAsia="Calibri"/>
          <w:kern w:val="2"/>
          <w:lang w:eastAsia="en-US"/>
          <w14:ligatures w14:val="standardContextual"/>
        </w:rPr>
        <w:t xml:space="preserve"> the providers’ </w:t>
      </w:r>
      <w:r w:rsidR="00BD48AC">
        <w:rPr>
          <w:rFonts w:eastAsia="Calibri"/>
          <w:kern w:val="2"/>
          <w:lang w:eastAsia="en-US"/>
          <w14:ligatures w14:val="standardContextual"/>
        </w:rPr>
        <w:t>proprietary methodologies</w:t>
      </w:r>
      <w:r w:rsidR="00400197">
        <w:rPr>
          <w:rFonts w:eastAsia="Calibri"/>
          <w:kern w:val="2"/>
          <w:lang w:eastAsia="en-US"/>
          <w14:ligatures w14:val="standardContextual"/>
        </w:rPr>
        <w:t>.</w:t>
      </w:r>
      <w:r w:rsidR="008661F1">
        <w:rPr>
          <w:rFonts w:eastAsia="Calibri"/>
          <w:kern w:val="2"/>
          <w:lang w:eastAsia="en-US"/>
          <w14:ligatures w14:val="standardContextual"/>
        </w:rPr>
        <w:t xml:space="preserve"> Furthermore,</w:t>
      </w:r>
      <w:r>
        <w:rPr>
          <w:rFonts w:eastAsia="Calibri"/>
          <w:kern w:val="2"/>
          <w:lang w:eastAsia="en-US"/>
          <w14:ligatures w14:val="standardContextual"/>
        </w:rPr>
        <w:t xml:space="preserve"> </w:t>
      </w:r>
      <w:r w:rsidR="00683973">
        <w:rPr>
          <w:rFonts w:eastAsia="Calibri"/>
          <w:kern w:val="2"/>
          <w:lang w:eastAsia="en-US"/>
          <w14:ligatures w14:val="standardContextual"/>
        </w:rPr>
        <w:t xml:space="preserve">Article </w:t>
      </w:r>
      <w:r>
        <w:rPr>
          <w:rFonts w:eastAsia="Calibri"/>
          <w:kern w:val="2"/>
          <w:lang w:eastAsia="en-US"/>
          <w14:ligatures w14:val="standardContextual"/>
        </w:rPr>
        <w:t>4 of the draft RTS on general methodological disclosures expands significantly upon the disclosures of Annex III, point 1, letter (a). Moreover, some of the additional information requested under Article 4 is already required under dedicated disclosure items. For example, Article 4(1)(g) relates to “</w:t>
      </w:r>
      <w:r w:rsidRPr="00BA0ACC">
        <w:rPr>
          <w:rFonts w:eastAsia="Calibri"/>
          <w:i/>
          <w:iCs/>
          <w:kern w:val="2"/>
          <w:lang w:eastAsia="en-US"/>
          <w14:ligatures w14:val="standardContextual"/>
        </w:rPr>
        <w:t>data estimation methods and methods to address limitations in data sources</w:t>
      </w:r>
      <w:r>
        <w:rPr>
          <w:rFonts w:eastAsia="Calibri"/>
          <w:kern w:val="2"/>
          <w:lang w:eastAsia="en-US"/>
          <w14:ligatures w14:val="standardContextual"/>
        </w:rPr>
        <w:t>”, which overlap with and duplicate disclosures under letters (c) and (m) of Annex III, point 1.</w:t>
      </w:r>
      <w:r w:rsidR="00470B33">
        <w:rPr>
          <w:rFonts w:eastAsia="Calibri"/>
          <w:kern w:val="2"/>
          <w:lang w:eastAsia="en-US"/>
          <w14:ligatures w14:val="standardContextual"/>
        </w:rPr>
        <w:t xml:space="preserve"> </w:t>
      </w:r>
      <w:r w:rsidR="006E7E46">
        <w:rPr>
          <w:rFonts w:eastAsia="Calibri"/>
          <w:kern w:val="2"/>
          <w:lang w:eastAsia="en-US"/>
          <w14:ligatures w14:val="standardContextual"/>
        </w:rPr>
        <w:t xml:space="preserve">Article 6(2) also goes beyond what is required </w:t>
      </w:r>
      <w:r w:rsidR="00075592">
        <w:rPr>
          <w:rFonts w:eastAsia="Calibri"/>
          <w:kern w:val="2"/>
          <w:lang w:eastAsia="en-US"/>
          <w14:ligatures w14:val="standardContextual"/>
        </w:rPr>
        <w:t>in Annex III</w:t>
      </w:r>
      <w:r w:rsidR="00385EFC">
        <w:rPr>
          <w:rFonts w:eastAsia="Calibri"/>
          <w:kern w:val="2"/>
          <w:lang w:eastAsia="en-US"/>
          <w14:ligatures w14:val="standardContextual"/>
        </w:rPr>
        <w:t>, introducing addition</w:t>
      </w:r>
      <w:r w:rsidR="00BD48AC">
        <w:rPr>
          <w:rFonts w:eastAsia="Calibri"/>
          <w:kern w:val="2"/>
          <w:lang w:eastAsia="en-US"/>
          <w14:ligatures w14:val="standardContextual"/>
        </w:rPr>
        <w:t>al</w:t>
      </w:r>
      <w:r w:rsidR="00385EFC">
        <w:rPr>
          <w:rFonts w:eastAsia="Calibri"/>
          <w:kern w:val="2"/>
          <w:lang w:eastAsia="en-US"/>
          <w14:ligatures w14:val="standardContextual"/>
        </w:rPr>
        <w:t xml:space="preserve"> </w:t>
      </w:r>
      <w:r w:rsidR="00F06E5C">
        <w:rPr>
          <w:rFonts w:eastAsia="Calibri"/>
          <w:kern w:val="2"/>
          <w:lang w:eastAsia="en-US"/>
          <w14:ligatures w14:val="standardContextual"/>
        </w:rPr>
        <w:t>disclosure requirements to those listed</w:t>
      </w:r>
      <w:r w:rsidR="002A4154">
        <w:rPr>
          <w:rFonts w:eastAsia="Calibri"/>
          <w:kern w:val="2"/>
          <w:lang w:eastAsia="en-US"/>
          <w14:ligatures w14:val="standardContextual"/>
        </w:rPr>
        <w:t xml:space="preserve"> by requiring </w:t>
      </w:r>
      <w:r w:rsidR="003B2916">
        <w:rPr>
          <w:rFonts w:eastAsia="Calibri"/>
          <w:kern w:val="2"/>
          <w:lang w:eastAsia="en-US"/>
          <w14:ligatures w14:val="standardContextual"/>
        </w:rPr>
        <w:t>information on all entities within the corporate group to which an ESG rating provider belongs</w:t>
      </w:r>
      <w:r w:rsidR="00355637">
        <w:rPr>
          <w:rFonts w:eastAsia="Calibri"/>
          <w:kern w:val="2"/>
          <w:lang w:eastAsia="en-US"/>
          <w14:ligatures w14:val="standardContextual"/>
        </w:rPr>
        <w:t xml:space="preserve"> and an organisational chart rather than just information on ownership structure.</w:t>
      </w:r>
    </w:p>
    <w:p w14:paraId="093ADB51" w14:textId="50F77B6A" w:rsidR="004A6FD8" w:rsidRPr="00352D1F" w:rsidRDefault="004A6FD8" w:rsidP="004A6FD8">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The approach to letter (e) on “</w:t>
      </w:r>
      <w:r w:rsidRPr="00EB3D8E">
        <w:rPr>
          <w:rFonts w:eastAsia="Calibri"/>
          <w:i/>
          <w:kern w:val="2"/>
          <w:lang w:eastAsia="en-US"/>
          <w14:ligatures w14:val="standardContextual"/>
        </w:rPr>
        <w:t>information on whether and how the rating methodologies are based on scientific evidence</w:t>
      </w:r>
      <w:r>
        <w:rPr>
          <w:rFonts w:eastAsia="Calibri"/>
          <w:kern w:val="2"/>
          <w:lang w:eastAsia="en-US"/>
          <w14:ligatures w14:val="standardContextual"/>
        </w:rPr>
        <w:t xml:space="preserve">” could also be refined. For example, what qualifies as </w:t>
      </w:r>
      <w:r w:rsidR="008F7C8A">
        <w:rPr>
          <w:rFonts w:eastAsia="Calibri"/>
          <w:kern w:val="2"/>
          <w:lang w:eastAsia="en-US"/>
          <w14:ligatures w14:val="standardContextual"/>
        </w:rPr>
        <w:t>“</w:t>
      </w:r>
      <w:r w:rsidRPr="008F7C8A">
        <w:rPr>
          <w:rFonts w:eastAsia="Calibri"/>
          <w:i/>
          <w:iCs/>
          <w:kern w:val="2"/>
          <w:lang w:eastAsia="en-US"/>
          <w14:ligatures w14:val="standardContextual"/>
        </w:rPr>
        <w:t>scientific evidence</w:t>
      </w:r>
      <w:r w:rsidR="008F7C8A">
        <w:rPr>
          <w:rFonts w:eastAsia="Calibri"/>
          <w:kern w:val="2"/>
          <w:lang w:eastAsia="en-US"/>
          <w14:ligatures w14:val="standardContextual"/>
        </w:rPr>
        <w:t>”</w:t>
      </w:r>
      <w:r>
        <w:rPr>
          <w:rFonts w:eastAsia="Calibri"/>
          <w:kern w:val="2"/>
          <w:lang w:eastAsia="en-US"/>
          <w14:ligatures w14:val="standardContextual"/>
        </w:rPr>
        <w:t xml:space="preserve"> is not specified</w:t>
      </w:r>
      <w:r w:rsidR="00573344">
        <w:rPr>
          <w:rFonts w:eastAsia="Calibri"/>
          <w:kern w:val="2"/>
          <w:lang w:eastAsia="en-US"/>
          <w14:ligatures w14:val="standardContextual"/>
        </w:rPr>
        <w:t>,</w:t>
      </w:r>
      <w:r>
        <w:rPr>
          <w:rFonts w:eastAsia="Calibri"/>
          <w:kern w:val="2"/>
          <w:lang w:eastAsia="en-US"/>
          <w14:ligatures w14:val="standardContextual"/>
        </w:rPr>
        <w:t xml:space="preserve"> nor is it clear whether reference to established frameworks such as the Paris Agreement are sufficient to illustrate that a rating methodology has a scientific basis </w:t>
      </w:r>
      <w:proofErr w:type="gramStart"/>
      <w:r>
        <w:rPr>
          <w:rFonts w:eastAsia="Calibri"/>
          <w:kern w:val="2"/>
          <w:lang w:eastAsia="en-US"/>
          <w14:ligatures w14:val="standardContextual"/>
        </w:rPr>
        <w:t>with regard to</w:t>
      </w:r>
      <w:proofErr w:type="gramEnd"/>
      <w:r>
        <w:rPr>
          <w:rFonts w:eastAsia="Calibri"/>
          <w:kern w:val="2"/>
          <w:lang w:eastAsia="en-US"/>
          <w14:ligatures w14:val="standardContextual"/>
        </w:rPr>
        <w:t xml:space="preserve"> climate and environmental matters. Under Article 4(3), ESG rating providers would be required to list scientific studies used to underpin a rating methodology. This is disproportionate and </w:t>
      </w:r>
      <w:r w:rsidR="000D3670">
        <w:rPr>
          <w:rFonts w:eastAsia="Calibri"/>
          <w:kern w:val="2"/>
          <w:lang w:eastAsia="en-US"/>
          <w14:ligatures w14:val="standardContextual"/>
        </w:rPr>
        <w:t>needlessly</w:t>
      </w:r>
      <w:r>
        <w:rPr>
          <w:rFonts w:eastAsia="Calibri"/>
          <w:kern w:val="2"/>
          <w:lang w:eastAsia="en-US"/>
          <w14:ligatures w14:val="standardContextual"/>
        </w:rPr>
        <w:t xml:space="preserve"> adds significantly to disclosure points under Annex III. Article 4(3) could be </w:t>
      </w:r>
      <w:r w:rsidR="000D3670">
        <w:rPr>
          <w:rFonts w:eastAsia="Calibri"/>
          <w:kern w:val="2"/>
          <w:lang w:eastAsia="en-US"/>
          <w14:ligatures w14:val="standardContextual"/>
        </w:rPr>
        <w:t>narrowed to a more practical standard, such as</w:t>
      </w:r>
      <w:r w:rsidR="00161C2A">
        <w:rPr>
          <w:rFonts w:eastAsia="Calibri"/>
          <w:kern w:val="2"/>
          <w:lang w:eastAsia="en-US"/>
          <w14:ligatures w14:val="standardContextual"/>
        </w:rPr>
        <w:t xml:space="preserve"> </w:t>
      </w:r>
      <w:r>
        <w:rPr>
          <w:rFonts w:eastAsia="Calibri"/>
          <w:kern w:val="2"/>
          <w:lang w:eastAsia="en-US"/>
          <w14:ligatures w14:val="standardContextual"/>
        </w:rPr>
        <w:t xml:space="preserve">to a requirement to reference established frameworks or international standards. </w:t>
      </w:r>
    </w:p>
    <w:p w14:paraId="2927D6AC" w14:textId="5E8ACAAE" w:rsidR="009D2FEA" w:rsidRDefault="00A36974" w:rsidP="0068419D">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In addition</w:t>
      </w:r>
      <w:r w:rsidR="00C96A1C">
        <w:rPr>
          <w:rFonts w:eastAsia="Calibri"/>
          <w:kern w:val="2"/>
          <w:lang w:eastAsia="en-US"/>
          <w14:ligatures w14:val="standardContextual"/>
        </w:rPr>
        <w:t xml:space="preserve">, </w:t>
      </w:r>
      <w:r w:rsidR="00444C20">
        <w:rPr>
          <w:rFonts w:eastAsia="Calibri"/>
          <w:kern w:val="2"/>
          <w:lang w:eastAsia="en-US"/>
          <w14:ligatures w14:val="standardContextual"/>
        </w:rPr>
        <w:t xml:space="preserve">ESG rating providers would benefit </w:t>
      </w:r>
      <w:r w:rsidR="00C547AE">
        <w:rPr>
          <w:rFonts w:eastAsia="Calibri"/>
          <w:kern w:val="2"/>
          <w:lang w:eastAsia="en-US"/>
          <w14:ligatures w14:val="standardContextual"/>
        </w:rPr>
        <w:t xml:space="preserve">from being able </w:t>
      </w:r>
      <w:r w:rsidR="00444C20">
        <w:rPr>
          <w:rFonts w:eastAsia="Calibri"/>
          <w:kern w:val="2"/>
          <w:lang w:eastAsia="en-US"/>
          <w14:ligatures w14:val="standardContextual"/>
        </w:rPr>
        <w:t>t</w:t>
      </w:r>
      <w:r w:rsidR="002F4B70">
        <w:rPr>
          <w:rFonts w:eastAsia="Calibri"/>
          <w:kern w:val="2"/>
          <w:lang w:eastAsia="en-US"/>
          <w14:ligatures w14:val="standardContextual"/>
        </w:rPr>
        <w:t xml:space="preserve">o reference or </w:t>
      </w:r>
      <w:r w:rsidR="005C7125">
        <w:rPr>
          <w:rFonts w:eastAsia="Calibri"/>
          <w:kern w:val="2"/>
          <w:lang w:eastAsia="en-US"/>
          <w14:ligatures w14:val="standardContextual"/>
        </w:rPr>
        <w:t xml:space="preserve">provide </w:t>
      </w:r>
      <w:r w:rsidR="002F4B70">
        <w:rPr>
          <w:rFonts w:eastAsia="Calibri"/>
          <w:kern w:val="2"/>
          <w:lang w:eastAsia="en-US"/>
          <w14:ligatures w14:val="standardContextual"/>
        </w:rPr>
        <w:t>link</w:t>
      </w:r>
      <w:r w:rsidR="005C7125">
        <w:rPr>
          <w:rFonts w:eastAsia="Calibri"/>
          <w:kern w:val="2"/>
          <w:lang w:eastAsia="en-US"/>
          <w14:ligatures w14:val="standardContextual"/>
        </w:rPr>
        <w:t xml:space="preserve">s to </w:t>
      </w:r>
      <w:r w:rsidR="002B579D">
        <w:rPr>
          <w:rFonts w:eastAsia="Calibri"/>
          <w:kern w:val="2"/>
          <w:lang w:eastAsia="en-US"/>
          <w14:ligatures w14:val="standardContextual"/>
        </w:rPr>
        <w:t xml:space="preserve">the </w:t>
      </w:r>
      <w:r w:rsidR="002F4B70">
        <w:rPr>
          <w:rFonts w:eastAsia="Calibri"/>
          <w:kern w:val="2"/>
          <w:lang w:eastAsia="en-US"/>
          <w14:ligatures w14:val="standardContextual"/>
        </w:rPr>
        <w:t>organisation-specific information</w:t>
      </w:r>
      <w:r w:rsidR="00DD6150">
        <w:rPr>
          <w:rFonts w:eastAsia="Calibri"/>
          <w:kern w:val="2"/>
          <w:lang w:eastAsia="en-US"/>
          <w14:ligatures w14:val="standardContextual"/>
        </w:rPr>
        <w:t xml:space="preserve"> </w:t>
      </w:r>
      <w:r w:rsidR="002B579D">
        <w:rPr>
          <w:rFonts w:eastAsia="Calibri"/>
          <w:kern w:val="2"/>
          <w:lang w:eastAsia="en-US"/>
          <w14:ligatures w14:val="standardContextual"/>
        </w:rPr>
        <w:t xml:space="preserve">required in </w:t>
      </w:r>
      <w:r w:rsidR="00517A3F">
        <w:rPr>
          <w:rFonts w:eastAsia="Calibri"/>
          <w:kern w:val="2"/>
          <w:lang w:eastAsia="en-US"/>
          <w14:ligatures w14:val="standardContextual"/>
        </w:rPr>
        <w:t>product-level disclosures</w:t>
      </w:r>
      <w:r w:rsidR="002D0BCF">
        <w:rPr>
          <w:rFonts w:eastAsia="Calibri"/>
          <w:kern w:val="2"/>
          <w:lang w:eastAsia="en-US"/>
          <w14:ligatures w14:val="standardContextual"/>
        </w:rPr>
        <w:t xml:space="preserve"> whe</w:t>
      </w:r>
      <w:r w:rsidR="003955D8">
        <w:rPr>
          <w:rFonts w:eastAsia="Calibri"/>
          <w:kern w:val="2"/>
          <w:lang w:eastAsia="en-US"/>
          <w14:ligatures w14:val="standardContextual"/>
        </w:rPr>
        <w:t xml:space="preserve">n this information is </w:t>
      </w:r>
      <w:r w:rsidR="00E93966">
        <w:rPr>
          <w:rFonts w:eastAsia="Calibri"/>
          <w:kern w:val="2"/>
          <w:lang w:eastAsia="en-US"/>
          <w14:ligatures w14:val="standardContextual"/>
        </w:rPr>
        <w:t>already available</w:t>
      </w:r>
      <w:r w:rsidR="003955D8">
        <w:rPr>
          <w:rFonts w:eastAsia="Calibri"/>
          <w:kern w:val="2"/>
          <w:lang w:eastAsia="en-US"/>
          <w14:ligatures w14:val="standardContextual"/>
        </w:rPr>
        <w:t xml:space="preserve"> elsewhere</w:t>
      </w:r>
      <w:r w:rsidR="00E93966">
        <w:rPr>
          <w:rFonts w:eastAsia="Calibri"/>
          <w:kern w:val="2"/>
          <w:lang w:eastAsia="en-US"/>
          <w14:ligatures w14:val="standardContextual"/>
        </w:rPr>
        <w:t xml:space="preserve"> on the provider’s website</w:t>
      </w:r>
      <w:r w:rsidR="00517A3F">
        <w:rPr>
          <w:rFonts w:eastAsia="Calibri"/>
          <w:kern w:val="2"/>
          <w:lang w:eastAsia="en-US"/>
          <w14:ligatures w14:val="standardContextual"/>
        </w:rPr>
        <w:t>.</w:t>
      </w:r>
      <w:r w:rsidR="002F4B70">
        <w:rPr>
          <w:rFonts w:eastAsia="Calibri"/>
          <w:kern w:val="2"/>
          <w:lang w:eastAsia="en-US"/>
          <w14:ligatures w14:val="standardContextual"/>
        </w:rPr>
        <w:t xml:space="preserve"> </w:t>
      </w:r>
      <w:r w:rsidR="00517A3F">
        <w:rPr>
          <w:rFonts w:eastAsia="Calibri"/>
          <w:kern w:val="2"/>
          <w:lang w:eastAsia="en-US"/>
          <w14:ligatures w14:val="standardContextual"/>
        </w:rPr>
        <w:t>This</w:t>
      </w:r>
      <w:r w:rsidR="00B06A6D">
        <w:rPr>
          <w:rFonts w:eastAsia="Calibri"/>
          <w:kern w:val="2"/>
          <w:lang w:eastAsia="en-US"/>
          <w14:ligatures w14:val="standardContextual"/>
        </w:rPr>
        <w:t xml:space="preserve"> </w:t>
      </w:r>
      <w:r w:rsidR="009C5033">
        <w:rPr>
          <w:rFonts w:eastAsia="Calibri"/>
          <w:kern w:val="2"/>
          <w:lang w:eastAsia="en-US"/>
          <w14:ligatures w14:val="standardContextual"/>
        </w:rPr>
        <w:t xml:space="preserve">would </w:t>
      </w:r>
      <w:r w:rsidR="0003455B">
        <w:rPr>
          <w:rFonts w:eastAsia="Calibri"/>
          <w:kern w:val="2"/>
          <w:lang w:eastAsia="en-US"/>
          <w14:ligatures w14:val="standardContextual"/>
        </w:rPr>
        <w:t xml:space="preserve">avoid </w:t>
      </w:r>
      <w:r w:rsidR="00D44CCC">
        <w:rPr>
          <w:rFonts w:eastAsia="Calibri"/>
          <w:kern w:val="2"/>
          <w:lang w:eastAsia="en-US"/>
          <w14:ligatures w14:val="standardContextual"/>
        </w:rPr>
        <w:t xml:space="preserve">a situation in which ESG rating providers have to </w:t>
      </w:r>
      <w:r w:rsidR="002353F8">
        <w:rPr>
          <w:rFonts w:eastAsia="Calibri"/>
          <w:kern w:val="2"/>
          <w:lang w:eastAsia="en-US"/>
          <w14:ligatures w14:val="standardContextual"/>
        </w:rPr>
        <w:t xml:space="preserve">provide the same </w:t>
      </w:r>
      <w:r w:rsidR="003A0F9A">
        <w:rPr>
          <w:rFonts w:eastAsia="Calibri"/>
          <w:kern w:val="2"/>
          <w:lang w:eastAsia="en-US"/>
          <w14:ligatures w14:val="standardContextual"/>
        </w:rPr>
        <w:t xml:space="preserve">information </w:t>
      </w:r>
      <w:r w:rsidR="005375E6">
        <w:rPr>
          <w:rFonts w:eastAsia="Calibri"/>
          <w:kern w:val="2"/>
          <w:lang w:eastAsia="en-US"/>
          <w14:ligatures w14:val="standardContextual"/>
        </w:rPr>
        <w:t>across multiple methodological disclosures</w:t>
      </w:r>
      <w:r w:rsidR="000509FE">
        <w:rPr>
          <w:rFonts w:eastAsia="Calibri"/>
          <w:kern w:val="2"/>
          <w:lang w:eastAsia="en-US"/>
          <w14:ligatures w14:val="standardContextual"/>
        </w:rPr>
        <w:t xml:space="preserve">. </w:t>
      </w:r>
    </w:p>
    <w:p w14:paraId="1CCF84CB" w14:textId="46A16BB8" w:rsidR="000509FE" w:rsidRDefault="008A58A1" w:rsidP="00CB766A">
      <w:pPr>
        <w:spacing w:after="160" w:line="259" w:lineRule="auto"/>
        <w:jc w:val="both"/>
        <w:rPr>
          <w:rFonts w:eastAsia="Calibri"/>
          <w:kern w:val="2"/>
          <w:lang w:eastAsia="en-US"/>
          <w14:ligatures w14:val="standardContextual"/>
        </w:rPr>
      </w:pPr>
      <w:r>
        <w:rPr>
          <w:rFonts w:eastAsia="Calibri"/>
          <w:kern w:val="2"/>
          <w:lang w:eastAsia="en-US"/>
          <w14:ligatures w14:val="standardContextual"/>
        </w:rPr>
        <w:t xml:space="preserve">This arrangement would </w:t>
      </w:r>
      <w:r w:rsidR="00453881">
        <w:rPr>
          <w:rFonts w:eastAsia="Calibri"/>
          <w:kern w:val="2"/>
          <w:lang w:eastAsia="en-US"/>
          <w14:ligatures w14:val="standardContextual"/>
        </w:rPr>
        <w:t xml:space="preserve">make sense </w:t>
      </w:r>
      <w:r w:rsidR="004C7CF1">
        <w:rPr>
          <w:rFonts w:eastAsia="Calibri"/>
          <w:kern w:val="2"/>
          <w:lang w:eastAsia="en-US"/>
          <w14:ligatures w14:val="standardContextual"/>
        </w:rPr>
        <w:t xml:space="preserve">for </w:t>
      </w:r>
      <w:proofErr w:type="gramStart"/>
      <w:r w:rsidR="004C7CF1">
        <w:rPr>
          <w:rFonts w:eastAsia="Calibri"/>
          <w:kern w:val="2"/>
          <w:lang w:eastAsia="en-US"/>
          <w14:ligatures w14:val="standardContextual"/>
        </w:rPr>
        <w:t xml:space="preserve">certain </w:t>
      </w:r>
      <w:r w:rsidR="007F7578">
        <w:rPr>
          <w:rFonts w:eastAsia="Calibri"/>
          <w:kern w:val="2"/>
          <w:lang w:eastAsia="en-US"/>
          <w14:ligatures w14:val="standardContextual"/>
        </w:rPr>
        <w:t xml:space="preserve"> disclosures</w:t>
      </w:r>
      <w:proofErr w:type="gramEnd"/>
      <w:r w:rsidR="007F7578">
        <w:rPr>
          <w:rFonts w:eastAsia="Calibri"/>
          <w:kern w:val="2"/>
          <w:lang w:eastAsia="en-US"/>
          <w14:ligatures w14:val="standardContextual"/>
        </w:rPr>
        <w:t xml:space="preserve"> </w:t>
      </w:r>
      <w:r w:rsidR="00CE3070">
        <w:rPr>
          <w:rFonts w:eastAsia="Calibri"/>
          <w:kern w:val="2"/>
          <w:lang w:eastAsia="en-US"/>
          <w14:ligatures w14:val="standardContextual"/>
        </w:rPr>
        <w:t xml:space="preserve">requirements </w:t>
      </w:r>
      <w:r w:rsidR="008F4025">
        <w:rPr>
          <w:rFonts w:eastAsia="Calibri"/>
          <w:kern w:val="2"/>
          <w:lang w:eastAsia="en-US"/>
          <w14:ligatures w14:val="standardContextual"/>
        </w:rPr>
        <w:t>under Point 1 of Annex III</w:t>
      </w:r>
      <w:r w:rsidR="004C7CF1">
        <w:rPr>
          <w:rFonts w:eastAsia="Calibri"/>
          <w:kern w:val="2"/>
          <w:lang w:eastAsia="en-US"/>
          <w14:ligatures w14:val="standardContextual"/>
        </w:rPr>
        <w:t>. For example:</w:t>
      </w:r>
      <w:r w:rsidR="008F4025">
        <w:rPr>
          <w:rFonts w:eastAsia="Calibri"/>
          <w:kern w:val="2"/>
          <w:lang w:eastAsia="en-US"/>
          <w14:ligatures w14:val="standardContextual"/>
        </w:rPr>
        <w:t xml:space="preserve"> part (m) </w:t>
      </w:r>
      <w:r w:rsidR="00F03ED0">
        <w:rPr>
          <w:rFonts w:eastAsia="Calibri"/>
          <w:kern w:val="2"/>
          <w:lang w:eastAsia="en-US"/>
          <w14:ligatures w14:val="standardContextual"/>
        </w:rPr>
        <w:t>on</w:t>
      </w:r>
      <w:r w:rsidR="004B4CC5">
        <w:rPr>
          <w:rFonts w:eastAsia="Calibri"/>
          <w:kern w:val="2"/>
          <w:lang w:eastAsia="en-US"/>
          <w14:ligatures w14:val="standardContextual"/>
        </w:rPr>
        <w:t>:</w:t>
      </w:r>
      <w:r w:rsidR="00F03ED0">
        <w:rPr>
          <w:rFonts w:eastAsia="Calibri"/>
          <w:kern w:val="2"/>
          <w:lang w:eastAsia="en-US"/>
          <w14:ligatures w14:val="standardContextual"/>
        </w:rPr>
        <w:t xml:space="preserve"> any limitation in data sources and methodologies used for the construction of ESG ratings, part (q) on</w:t>
      </w:r>
      <w:r w:rsidR="004B4CC5">
        <w:rPr>
          <w:rFonts w:eastAsia="Calibri"/>
          <w:kern w:val="2"/>
          <w:lang w:eastAsia="en-US"/>
          <w14:ligatures w14:val="standardContextual"/>
        </w:rPr>
        <w:t>:</w:t>
      </w:r>
      <w:r w:rsidR="00F03ED0">
        <w:rPr>
          <w:rFonts w:eastAsia="Calibri"/>
          <w:kern w:val="2"/>
          <w:lang w:eastAsia="en-US"/>
          <w14:ligatures w14:val="standardContextual"/>
        </w:rPr>
        <w:t xml:space="preserve"> any limitation in the information available to ESG rating providers, part (d)</w:t>
      </w:r>
      <w:r w:rsidR="004B4CC5">
        <w:rPr>
          <w:rFonts w:eastAsia="Calibri"/>
          <w:kern w:val="2"/>
          <w:lang w:eastAsia="en-US"/>
          <w14:ligatures w14:val="standardContextual"/>
        </w:rPr>
        <w:t xml:space="preserve"> on</w:t>
      </w:r>
      <w:r w:rsidR="00F03ED0">
        <w:rPr>
          <w:rFonts w:eastAsia="Calibri"/>
          <w:kern w:val="2"/>
          <w:lang w:eastAsia="en-US"/>
          <w14:ligatures w14:val="standardContextual"/>
        </w:rPr>
        <w:t>: the ownership structure of the ESG rating provider, part (l) on</w:t>
      </w:r>
      <w:r w:rsidR="004B4CC5">
        <w:rPr>
          <w:rFonts w:eastAsia="Calibri"/>
          <w:kern w:val="2"/>
          <w:lang w:eastAsia="en-US"/>
          <w14:ligatures w14:val="standardContextual"/>
        </w:rPr>
        <w:t>:</w:t>
      </w:r>
      <w:r w:rsidR="00F03ED0">
        <w:rPr>
          <w:rFonts w:eastAsia="Calibri"/>
          <w:kern w:val="2"/>
          <w:lang w:eastAsia="en-US"/>
          <w14:ligatures w14:val="standardContextual"/>
        </w:rPr>
        <w:t xml:space="preserve"> general information on criteria used for establishing fees charged to clients, specifying the va</w:t>
      </w:r>
      <w:r w:rsidR="006073CC">
        <w:rPr>
          <w:rFonts w:eastAsia="Calibri"/>
          <w:kern w:val="2"/>
          <w:lang w:eastAsia="en-US"/>
          <w14:ligatures w14:val="standardContextual"/>
        </w:rPr>
        <w:t xml:space="preserve">rious elements taken into consideration, and general information on the business/payment model, </w:t>
      </w:r>
      <w:r w:rsidR="00763A95">
        <w:rPr>
          <w:rFonts w:eastAsia="Calibri"/>
          <w:kern w:val="2"/>
          <w:lang w:eastAsia="en-US"/>
          <w14:ligatures w14:val="standardContextual"/>
        </w:rPr>
        <w:t>part (n) on</w:t>
      </w:r>
      <w:r w:rsidR="004B4CC5">
        <w:rPr>
          <w:rFonts w:eastAsia="Calibri"/>
          <w:kern w:val="2"/>
          <w:lang w:eastAsia="en-US"/>
          <w14:ligatures w14:val="standardContextual"/>
        </w:rPr>
        <w:t>:</w:t>
      </w:r>
      <w:r w:rsidR="00763A95">
        <w:rPr>
          <w:rFonts w:eastAsia="Calibri"/>
          <w:kern w:val="2"/>
          <w:lang w:eastAsia="en-US"/>
          <w14:ligatures w14:val="standardContextual"/>
        </w:rPr>
        <w:t xml:space="preserve"> the main risks of conflicts of interest and the steps taken to mitigate them</w:t>
      </w:r>
      <w:r w:rsidR="000509FE">
        <w:rPr>
          <w:rFonts w:eastAsia="Calibri"/>
          <w:kern w:val="2"/>
          <w:lang w:eastAsia="en-US"/>
          <w14:ligatures w14:val="standardContextual"/>
        </w:rPr>
        <w:t xml:space="preserve">. </w:t>
      </w:r>
      <w:r w:rsidR="00CD44E3">
        <w:rPr>
          <w:rFonts w:eastAsia="Calibri"/>
          <w:kern w:val="2"/>
          <w:lang w:eastAsia="en-US"/>
          <w14:ligatures w14:val="standardContextual"/>
        </w:rPr>
        <w:t xml:space="preserve">Allowing ESG rating providers to leverage their existing disclosures would render the length of product-level disclosures more manageable for members of the public and users of ESG ratings, avoiding unnecessary repetition </w:t>
      </w:r>
      <w:proofErr w:type="gramStart"/>
      <w:r w:rsidR="00CD44E3">
        <w:rPr>
          <w:rFonts w:eastAsia="Calibri"/>
          <w:kern w:val="2"/>
          <w:lang w:eastAsia="en-US"/>
          <w14:ligatures w14:val="standardContextual"/>
        </w:rPr>
        <w:t>and also</w:t>
      </w:r>
      <w:proofErr w:type="gramEnd"/>
      <w:r w:rsidR="00CD44E3">
        <w:rPr>
          <w:rFonts w:eastAsia="Calibri"/>
          <w:kern w:val="2"/>
          <w:lang w:eastAsia="en-US"/>
          <w14:ligatures w14:val="standardContextual"/>
        </w:rPr>
        <w:t xml:space="preserve"> reducing the burden that disclosures may otherwise imply for ESG rating providers. </w:t>
      </w:r>
    </w:p>
    <w:permEnd w:id="669658389"/>
    <w:p w14:paraId="77645EA9" w14:textId="67311EC5" w:rsid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01B0D5BE" w14:textId="3C17302A" w:rsidR="00B753D5" w:rsidRPr="00B753D5" w:rsidRDefault="00B753D5" w:rsidP="00B753D5">
      <w:pPr>
        <w:pStyle w:val="NormalWeb"/>
        <w:rPr>
          <w:lang w:val="en-US" w:eastAsia="en-US"/>
        </w:rPr>
      </w:pPr>
    </w:p>
    <w:p w14:paraId="633947B7" w14:textId="77777777" w:rsidR="00B753D5" w:rsidRPr="001B1B48" w:rsidRDefault="00B753D5" w:rsidP="001B1B48">
      <w:pPr>
        <w:spacing w:after="160" w:line="259" w:lineRule="auto"/>
        <w:rPr>
          <w:rFonts w:ascii="Calibri" w:eastAsia="Calibri" w:hAnsi="Calibri"/>
          <w:kern w:val="2"/>
          <w:sz w:val="22"/>
          <w:szCs w:val="22"/>
          <w:lang w:eastAsia="en-US"/>
          <w14:ligatures w14:val="standardContextual"/>
        </w:rPr>
      </w:pPr>
    </w:p>
    <w:p w14:paraId="374EDE5B" w14:textId="29DF36F2" w:rsidR="00513DA2" w:rsidRPr="00513DA2" w:rsidRDefault="00655791" w:rsidP="00513DA2">
      <w:pPr>
        <w:pStyle w:val="Paragraph"/>
        <w:numPr>
          <w:ilvl w:val="0"/>
          <w:numId w:val="0"/>
        </w:numPr>
        <w:ind w:left="708" w:hanging="708"/>
        <w:rPr>
          <w:b/>
          <w:bCs/>
        </w:rPr>
      </w:pPr>
      <w:r w:rsidRPr="00EB3D8E">
        <w:rPr>
          <w:b/>
          <w:bCs/>
        </w:rPr>
        <w:t>Q4.</w:t>
      </w:r>
      <w:r w:rsidRPr="00EB3D8E">
        <w:tab/>
      </w:r>
      <w:r w:rsidR="00513DA2" w:rsidRPr="00EB3D8E">
        <w:rPr>
          <w:b/>
          <w:bCs/>
          <w:sz w:val="24"/>
          <w:szCs w:val="24"/>
        </w:rPr>
        <w:t xml:space="preserve">Do you consider that the draft technical standards under Articles 23(4) or 24(3) </w:t>
      </w:r>
      <w:proofErr w:type="gramStart"/>
      <w:r w:rsidR="00513DA2" w:rsidRPr="00EB3D8E">
        <w:rPr>
          <w:b/>
          <w:bCs/>
          <w:sz w:val="24"/>
          <w:szCs w:val="24"/>
        </w:rPr>
        <w:t>should  instead</w:t>
      </w:r>
      <w:proofErr w:type="gramEnd"/>
      <w:r w:rsidR="00513DA2" w:rsidRPr="00EB3D8E">
        <w:rPr>
          <w:b/>
          <w:bCs/>
          <w:sz w:val="24"/>
          <w:szCs w:val="24"/>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236767A5" w:rsidR="001B1B48" w:rsidRPr="00EB3D8E" w:rsidRDefault="007D6D45" w:rsidP="000F4874">
      <w:pPr>
        <w:spacing w:after="160" w:line="259" w:lineRule="auto"/>
        <w:jc w:val="both"/>
        <w:rPr>
          <w:rFonts w:eastAsia="Calibri"/>
          <w:kern w:val="2"/>
          <w:lang w:eastAsia="en-US"/>
          <w14:ligatures w14:val="standardContextual"/>
        </w:rPr>
      </w:pPr>
      <w:permStart w:id="1645309941" w:edGrp="everyone"/>
      <w:r w:rsidRPr="00EB3D8E">
        <w:rPr>
          <w:rFonts w:eastAsia="Calibri"/>
          <w:kern w:val="2"/>
          <w:lang w:eastAsia="en-US"/>
          <w14:ligatures w14:val="standardContextual"/>
        </w:rPr>
        <w:t>We note that ESMA has refrained from proposing disclosure templates in the draft RTS</w:t>
      </w:r>
      <w:r w:rsidR="007046EB" w:rsidRPr="00EB3D8E">
        <w:rPr>
          <w:rFonts w:eastAsia="Calibri"/>
          <w:kern w:val="2"/>
          <w:lang w:eastAsia="en-US"/>
          <w14:ligatures w14:val="standardContextual"/>
        </w:rPr>
        <w:t xml:space="preserve">, which grants ESG rating providers flexibility </w:t>
      </w:r>
      <w:r w:rsidR="00FA0D16" w:rsidRPr="00EB3D8E">
        <w:rPr>
          <w:rFonts w:eastAsia="Calibri"/>
          <w:kern w:val="2"/>
          <w:lang w:eastAsia="en-US"/>
          <w14:ligatures w14:val="standardContextual"/>
        </w:rPr>
        <w:t xml:space="preserve">as to how they </w:t>
      </w:r>
      <w:r w:rsidR="00374F87" w:rsidRPr="00EB3D8E">
        <w:rPr>
          <w:rFonts w:eastAsia="Calibri"/>
          <w:kern w:val="2"/>
          <w:lang w:eastAsia="en-US"/>
          <w14:ligatures w14:val="standardContextual"/>
        </w:rPr>
        <w:t>structure and present their disclosures.</w:t>
      </w:r>
      <w:r w:rsidR="0031526C" w:rsidRPr="00EB3D8E">
        <w:rPr>
          <w:rFonts w:eastAsia="Calibri"/>
          <w:kern w:val="2"/>
          <w:lang w:eastAsia="en-US"/>
          <w14:ligatures w14:val="standardContextual"/>
        </w:rPr>
        <w:t xml:space="preserve"> </w:t>
      </w:r>
      <w:r w:rsidR="00EA6796" w:rsidRPr="00EB3D8E">
        <w:rPr>
          <w:rFonts w:eastAsia="Calibri"/>
          <w:kern w:val="2"/>
          <w:lang w:eastAsia="en-US"/>
          <w14:ligatures w14:val="standardContextual"/>
        </w:rPr>
        <w:t>We welcome and appreciate this approach.</w:t>
      </w:r>
      <w:r w:rsidR="0031526C" w:rsidRPr="00EB3D8E">
        <w:rPr>
          <w:rFonts w:eastAsia="Calibri"/>
          <w:kern w:val="2"/>
          <w:lang w:eastAsia="en-US"/>
          <w14:ligatures w14:val="standardContextual"/>
        </w:rPr>
        <w:t xml:space="preserve"> Similarly, </w:t>
      </w:r>
      <w:r w:rsidR="00ED3255" w:rsidRPr="00EB3D8E">
        <w:rPr>
          <w:rFonts w:eastAsia="Calibri"/>
          <w:kern w:val="2"/>
          <w:lang w:eastAsia="en-US"/>
          <w14:ligatures w14:val="standardContextual"/>
        </w:rPr>
        <w:t xml:space="preserve">leaving </w:t>
      </w:r>
      <w:r w:rsidR="0031526C" w:rsidRPr="00EB3D8E">
        <w:rPr>
          <w:rFonts w:eastAsia="Calibri"/>
          <w:kern w:val="2"/>
          <w:lang w:eastAsia="en-US"/>
          <w14:ligatures w14:val="standardContextual"/>
        </w:rPr>
        <w:t>the sequence and structure of disclosures to ESG rating providers would likely improve the quality of</w:t>
      </w:r>
      <w:r w:rsidR="00EA6796" w:rsidRPr="00EB3D8E">
        <w:rPr>
          <w:rFonts w:eastAsia="Calibri"/>
          <w:kern w:val="2"/>
          <w:lang w:eastAsia="en-US"/>
          <w14:ligatures w14:val="standardContextual"/>
        </w:rPr>
        <w:t>,</w:t>
      </w:r>
      <w:r w:rsidR="0031526C" w:rsidRPr="00EB3D8E">
        <w:rPr>
          <w:rFonts w:eastAsia="Calibri"/>
          <w:kern w:val="2"/>
          <w:lang w:eastAsia="en-US"/>
          <w14:ligatures w14:val="standardContextual"/>
        </w:rPr>
        <w:t xml:space="preserve"> </w:t>
      </w:r>
      <w:r w:rsidR="00EA6796" w:rsidRPr="00EB3D8E">
        <w:rPr>
          <w:rFonts w:eastAsia="Calibri"/>
          <w:kern w:val="2"/>
          <w:lang w:eastAsia="en-US"/>
          <w14:ligatures w14:val="standardContextual"/>
        </w:rPr>
        <w:t>and practicability of providing, these</w:t>
      </w:r>
      <w:r w:rsidR="0031526C" w:rsidRPr="00EB3D8E">
        <w:rPr>
          <w:rFonts w:eastAsia="Calibri"/>
          <w:kern w:val="2"/>
          <w:lang w:eastAsia="en-US"/>
          <w14:ligatures w14:val="standardContextual"/>
        </w:rPr>
        <w:t xml:space="preserve"> disclosures</w:t>
      </w:r>
      <w:r w:rsidR="00832DAE" w:rsidRPr="00EB3D8E">
        <w:rPr>
          <w:rFonts w:eastAsia="Calibri"/>
          <w:kern w:val="2"/>
          <w:lang w:eastAsia="en-US"/>
          <w14:ligatures w14:val="standardContextual"/>
        </w:rPr>
        <w:t>.</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365A2B" w:rsidRDefault="00EA357E" w:rsidP="00EA357E">
      <w:pPr>
        <w:pStyle w:val="Paragraph"/>
        <w:numPr>
          <w:ilvl w:val="0"/>
          <w:numId w:val="0"/>
        </w:numPr>
        <w:rPr>
          <w:b/>
          <w:bCs/>
          <w:sz w:val="24"/>
          <w:szCs w:val="24"/>
        </w:rPr>
      </w:pPr>
      <w:proofErr w:type="gramStart"/>
      <w:r w:rsidRPr="00EA357E">
        <w:rPr>
          <w:b/>
          <w:bCs/>
        </w:rPr>
        <w:t>Q5</w:t>
      </w:r>
      <w:proofErr w:type="gramEnd"/>
      <w:r w:rsidRPr="00EA357E">
        <w:rPr>
          <w:b/>
          <w:bCs/>
        </w:rPr>
        <w:t xml:space="preserve"> </w:t>
      </w:r>
      <w:r w:rsidRPr="00EA357E">
        <w:rPr>
          <w:b/>
          <w:bCs/>
        </w:rPr>
        <w:tab/>
      </w:r>
      <w:r w:rsidRPr="006713FF">
        <w:rPr>
          <w:b/>
          <w:bCs/>
          <w:sz w:val="24"/>
          <w:szCs w:val="24"/>
        </w:rPr>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844BD" w14:textId="77777777" w:rsidR="00350347" w:rsidRDefault="00350347" w:rsidP="007E7997">
      <w:r>
        <w:separator/>
      </w:r>
    </w:p>
  </w:endnote>
  <w:endnote w:type="continuationSeparator" w:id="0">
    <w:p w14:paraId="4838ED0C" w14:textId="77777777" w:rsidR="00350347" w:rsidRDefault="00350347" w:rsidP="007E7997">
      <w:r>
        <w:continuationSeparator/>
      </w:r>
    </w:p>
  </w:endnote>
  <w:endnote w:type="continuationNotice" w:id="1">
    <w:p w14:paraId="2C39E7BE" w14:textId="77777777" w:rsidR="00350347" w:rsidRDefault="00350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B7609" w14:textId="77777777" w:rsidR="00350347" w:rsidRDefault="00350347" w:rsidP="007E7997">
      <w:r>
        <w:separator/>
      </w:r>
    </w:p>
  </w:footnote>
  <w:footnote w:type="continuationSeparator" w:id="0">
    <w:p w14:paraId="2767353A" w14:textId="77777777" w:rsidR="00350347" w:rsidRDefault="00350347" w:rsidP="007E7997">
      <w:r>
        <w:continuationSeparator/>
      </w:r>
    </w:p>
  </w:footnote>
  <w:footnote w:type="continuationNotice" w:id="1">
    <w:p w14:paraId="4D898AC7" w14:textId="77777777" w:rsidR="00350347" w:rsidRDefault="003503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4DA60"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05E9"/>
    <w:rsid w:val="00000F3B"/>
    <w:rsid w:val="0000380B"/>
    <w:rsid w:val="00003C2B"/>
    <w:rsid w:val="0000414C"/>
    <w:rsid w:val="000050D8"/>
    <w:rsid w:val="00005505"/>
    <w:rsid w:val="000060DC"/>
    <w:rsid w:val="00006275"/>
    <w:rsid w:val="00006971"/>
    <w:rsid w:val="00006E3E"/>
    <w:rsid w:val="000073E7"/>
    <w:rsid w:val="00010ABD"/>
    <w:rsid w:val="00010E3A"/>
    <w:rsid w:val="000113CE"/>
    <w:rsid w:val="000117E9"/>
    <w:rsid w:val="00011882"/>
    <w:rsid w:val="00011F6C"/>
    <w:rsid w:val="000120B5"/>
    <w:rsid w:val="0001249B"/>
    <w:rsid w:val="000126B1"/>
    <w:rsid w:val="00012D68"/>
    <w:rsid w:val="00012E44"/>
    <w:rsid w:val="000142BB"/>
    <w:rsid w:val="00014344"/>
    <w:rsid w:val="00014C40"/>
    <w:rsid w:val="0001633D"/>
    <w:rsid w:val="0001707A"/>
    <w:rsid w:val="0001726F"/>
    <w:rsid w:val="0001755E"/>
    <w:rsid w:val="00020098"/>
    <w:rsid w:val="00020300"/>
    <w:rsid w:val="00021325"/>
    <w:rsid w:val="00021A9A"/>
    <w:rsid w:val="0002297B"/>
    <w:rsid w:val="00022ADA"/>
    <w:rsid w:val="000231CA"/>
    <w:rsid w:val="00023BE6"/>
    <w:rsid w:val="00024AC2"/>
    <w:rsid w:val="00026327"/>
    <w:rsid w:val="00026ECE"/>
    <w:rsid w:val="00027EC9"/>
    <w:rsid w:val="000302ED"/>
    <w:rsid w:val="00030AD4"/>
    <w:rsid w:val="000310AB"/>
    <w:rsid w:val="00032E04"/>
    <w:rsid w:val="00033238"/>
    <w:rsid w:val="000333AC"/>
    <w:rsid w:val="00033934"/>
    <w:rsid w:val="00033F8E"/>
    <w:rsid w:val="0003455B"/>
    <w:rsid w:val="00034860"/>
    <w:rsid w:val="00034A5F"/>
    <w:rsid w:val="0003505A"/>
    <w:rsid w:val="00035477"/>
    <w:rsid w:val="00035868"/>
    <w:rsid w:val="000358FF"/>
    <w:rsid w:val="00035FEF"/>
    <w:rsid w:val="00036113"/>
    <w:rsid w:val="00036BCE"/>
    <w:rsid w:val="00036C09"/>
    <w:rsid w:val="00036EA3"/>
    <w:rsid w:val="000372BF"/>
    <w:rsid w:val="0003736D"/>
    <w:rsid w:val="000379B5"/>
    <w:rsid w:val="00040276"/>
    <w:rsid w:val="00040A52"/>
    <w:rsid w:val="00042387"/>
    <w:rsid w:val="000428DB"/>
    <w:rsid w:val="00044C5A"/>
    <w:rsid w:val="00044E0A"/>
    <w:rsid w:val="000453A8"/>
    <w:rsid w:val="000459C1"/>
    <w:rsid w:val="00045A25"/>
    <w:rsid w:val="00047C57"/>
    <w:rsid w:val="00047E93"/>
    <w:rsid w:val="00050549"/>
    <w:rsid w:val="000506E1"/>
    <w:rsid w:val="000509FE"/>
    <w:rsid w:val="0005176E"/>
    <w:rsid w:val="00051905"/>
    <w:rsid w:val="00053B58"/>
    <w:rsid w:val="00054E00"/>
    <w:rsid w:val="00054E42"/>
    <w:rsid w:val="00055F01"/>
    <w:rsid w:val="000561D1"/>
    <w:rsid w:val="00056C79"/>
    <w:rsid w:val="0005799F"/>
    <w:rsid w:val="00057AF6"/>
    <w:rsid w:val="00057FE5"/>
    <w:rsid w:val="00060AB4"/>
    <w:rsid w:val="00060C5B"/>
    <w:rsid w:val="0006127C"/>
    <w:rsid w:val="00061ABC"/>
    <w:rsid w:val="00061B2B"/>
    <w:rsid w:val="00062394"/>
    <w:rsid w:val="000627C5"/>
    <w:rsid w:val="0006448C"/>
    <w:rsid w:val="0006449B"/>
    <w:rsid w:val="00064627"/>
    <w:rsid w:val="00064953"/>
    <w:rsid w:val="0006495B"/>
    <w:rsid w:val="000655AD"/>
    <w:rsid w:val="00066FD1"/>
    <w:rsid w:val="000677C0"/>
    <w:rsid w:val="00067B3C"/>
    <w:rsid w:val="00070924"/>
    <w:rsid w:val="0007107A"/>
    <w:rsid w:val="000710F2"/>
    <w:rsid w:val="00071757"/>
    <w:rsid w:val="00071883"/>
    <w:rsid w:val="00072BF9"/>
    <w:rsid w:val="000732BD"/>
    <w:rsid w:val="00073354"/>
    <w:rsid w:val="00073744"/>
    <w:rsid w:val="00073DF9"/>
    <w:rsid w:val="00074CCA"/>
    <w:rsid w:val="00075592"/>
    <w:rsid w:val="00076639"/>
    <w:rsid w:val="00076652"/>
    <w:rsid w:val="000772E5"/>
    <w:rsid w:val="0007767E"/>
    <w:rsid w:val="0007796D"/>
    <w:rsid w:val="000808EB"/>
    <w:rsid w:val="000809EA"/>
    <w:rsid w:val="000830DA"/>
    <w:rsid w:val="00083439"/>
    <w:rsid w:val="00083D46"/>
    <w:rsid w:val="00083FBB"/>
    <w:rsid w:val="00084159"/>
    <w:rsid w:val="0008458C"/>
    <w:rsid w:val="00086184"/>
    <w:rsid w:val="00086F71"/>
    <w:rsid w:val="0008758D"/>
    <w:rsid w:val="00090396"/>
    <w:rsid w:val="00090477"/>
    <w:rsid w:val="00091662"/>
    <w:rsid w:val="000921E6"/>
    <w:rsid w:val="00092D6C"/>
    <w:rsid w:val="00093239"/>
    <w:rsid w:val="000935D2"/>
    <w:rsid w:val="0009483D"/>
    <w:rsid w:val="000959AA"/>
    <w:rsid w:val="00096107"/>
    <w:rsid w:val="00096B28"/>
    <w:rsid w:val="00096EA5"/>
    <w:rsid w:val="00097569"/>
    <w:rsid w:val="0009785E"/>
    <w:rsid w:val="000979E0"/>
    <w:rsid w:val="00097E7E"/>
    <w:rsid w:val="000A0015"/>
    <w:rsid w:val="000A03C9"/>
    <w:rsid w:val="000A047E"/>
    <w:rsid w:val="000A12CC"/>
    <w:rsid w:val="000A247E"/>
    <w:rsid w:val="000A2738"/>
    <w:rsid w:val="000A2833"/>
    <w:rsid w:val="000A2BEE"/>
    <w:rsid w:val="000A2D53"/>
    <w:rsid w:val="000A2DF1"/>
    <w:rsid w:val="000A368E"/>
    <w:rsid w:val="000A384D"/>
    <w:rsid w:val="000A3D10"/>
    <w:rsid w:val="000A409B"/>
    <w:rsid w:val="000A426C"/>
    <w:rsid w:val="000A4ACD"/>
    <w:rsid w:val="000A4C86"/>
    <w:rsid w:val="000A648C"/>
    <w:rsid w:val="000A66FC"/>
    <w:rsid w:val="000A741E"/>
    <w:rsid w:val="000B0444"/>
    <w:rsid w:val="000B0E51"/>
    <w:rsid w:val="000B1615"/>
    <w:rsid w:val="000B2948"/>
    <w:rsid w:val="000B2AAF"/>
    <w:rsid w:val="000B2E26"/>
    <w:rsid w:val="000B337D"/>
    <w:rsid w:val="000B3E31"/>
    <w:rsid w:val="000B47FC"/>
    <w:rsid w:val="000B4A6F"/>
    <w:rsid w:val="000B5D3D"/>
    <w:rsid w:val="000B5F4C"/>
    <w:rsid w:val="000B65AF"/>
    <w:rsid w:val="000B6DFD"/>
    <w:rsid w:val="000B77DF"/>
    <w:rsid w:val="000B7ABD"/>
    <w:rsid w:val="000B7F59"/>
    <w:rsid w:val="000C0BCC"/>
    <w:rsid w:val="000C0C7A"/>
    <w:rsid w:val="000C0CE0"/>
    <w:rsid w:val="000C0DF7"/>
    <w:rsid w:val="000C101B"/>
    <w:rsid w:val="000C1396"/>
    <w:rsid w:val="000C1515"/>
    <w:rsid w:val="000C22A7"/>
    <w:rsid w:val="000C2400"/>
    <w:rsid w:val="000C299C"/>
    <w:rsid w:val="000C3690"/>
    <w:rsid w:val="000C406A"/>
    <w:rsid w:val="000C43E7"/>
    <w:rsid w:val="000C4723"/>
    <w:rsid w:val="000C5032"/>
    <w:rsid w:val="000C516E"/>
    <w:rsid w:val="000C5ACC"/>
    <w:rsid w:val="000C77AE"/>
    <w:rsid w:val="000C78A5"/>
    <w:rsid w:val="000C78D7"/>
    <w:rsid w:val="000D0293"/>
    <w:rsid w:val="000D0378"/>
    <w:rsid w:val="000D0850"/>
    <w:rsid w:val="000D1038"/>
    <w:rsid w:val="000D11A9"/>
    <w:rsid w:val="000D123B"/>
    <w:rsid w:val="000D20E1"/>
    <w:rsid w:val="000D2D7B"/>
    <w:rsid w:val="000D3077"/>
    <w:rsid w:val="000D3670"/>
    <w:rsid w:val="000D3DA5"/>
    <w:rsid w:val="000D3E53"/>
    <w:rsid w:val="000D49AF"/>
    <w:rsid w:val="000D501A"/>
    <w:rsid w:val="000D522A"/>
    <w:rsid w:val="000D5D2C"/>
    <w:rsid w:val="000D5FD0"/>
    <w:rsid w:val="000D62D2"/>
    <w:rsid w:val="000D6C28"/>
    <w:rsid w:val="000D6C3F"/>
    <w:rsid w:val="000D6FDE"/>
    <w:rsid w:val="000D7663"/>
    <w:rsid w:val="000E0294"/>
    <w:rsid w:val="000E115B"/>
    <w:rsid w:val="000E2055"/>
    <w:rsid w:val="000E2232"/>
    <w:rsid w:val="000E2ECE"/>
    <w:rsid w:val="000E3DB1"/>
    <w:rsid w:val="000E4570"/>
    <w:rsid w:val="000E520E"/>
    <w:rsid w:val="000E6526"/>
    <w:rsid w:val="000E69DC"/>
    <w:rsid w:val="000E71EF"/>
    <w:rsid w:val="000F0169"/>
    <w:rsid w:val="000F017E"/>
    <w:rsid w:val="000F0357"/>
    <w:rsid w:val="000F0951"/>
    <w:rsid w:val="000F1D0A"/>
    <w:rsid w:val="000F2598"/>
    <w:rsid w:val="000F2635"/>
    <w:rsid w:val="000F29C0"/>
    <w:rsid w:val="000F2BE6"/>
    <w:rsid w:val="000F2E7A"/>
    <w:rsid w:val="000F2F31"/>
    <w:rsid w:val="000F474D"/>
    <w:rsid w:val="000F4874"/>
    <w:rsid w:val="000F5C90"/>
    <w:rsid w:val="000F5EA6"/>
    <w:rsid w:val="000F5F9F"/>
    <w:rsid w:val="000F682F"/>
    <w:rsid w:val="000F6D48"/>
    <w:rsid w:val="000F6FD2"/>
    <w:rsid w:val="000F7174"/>
    <w:rsid w:val="000F73A8"/>
    <w:rsid w:val="000F7998"/>
    <w:rsid w:val="000F7E47"/>
    <w:rsid w:val="001000D7"/>
    <w:rsid w:val="00100ADC"/>
    <w:rsid w:val="00100EC6"/>
    <w:rsid w:val="00102AD8"/>
    <w:rsid w:val="00102C50"/>
    <w:rsid w:val="0010429A"/>
    <w:rsid w:val="00105424"/>
    <w:rsid w:val="00105BD5"/>
    <w:rsid w:val="001073D5"/>
    <w:rsid w:val="001075EC"/>
    <w:rsid w:val="00107C34"/>
    <w:rsid w:val="00110A38"/>
    <w:rsid w:val="00111BE3"/>
    <w:rsid w:val="0011330F"/>
    <w:rsid w:val="00113D82"/>
    <w:rsid w:val="00114148"/>
    <w:rsid w:val="00114ACA"/>
    <w:rsid w:val="00114D48"/>
    <w:rsid w:val="00115691"/>
    <w:rsid w:val="00115990"/>
    <w:rsid w:val="00116146"/>
    <w:rsid w:val="001168B5"/>
    <w:rsid w:val="00116AED"/>
    <w:rsid w:val="00117DE9"/>
    <w:rsid w:val="0012099D"/>
    <w:rsid w:val="00120F0D"/>
    <w:rsid w:val="0012105E"/>
    <w:rsid w:val="001211F3"/>
    <w:rsid w:val="001214DA"/>
    <w:rsid w:val="0012227B"/>
    <w:rsid w:val="00123647"/>
    <w:rsid w:val="00123DD2"/>
    <w:rsid w:val="0012549C"/>
    <w:rsid w:val="00125B45"/>
    <w:rsid w:val="001263C3"/>
    <w:rsid w:val="0012722A"/>
    <w:rsid w:val="001279E5"/>
    <w:rsid w:val="00127CA7"/>
    <w:rsid w:val="00127FDD"/>
    <w:rsid w:val="0013090E"/>
    <w:rsid w:val="00130EF9"/>
    <w:rsid w:val="001313B0"/>
    <w:rsid w:val="001319C7"/>
    <w:rsid w:val="00132909"/>
    <w:rsid w:val="0013290E"/>
    <w:rsid w:val="001347B5"/>
    <w:rsid w:val="001355E6"/>
    <w:rsid w:val="0013572B"/>
    <w:rsid w:val="0013644A"/>
    <w:rsid w:val="001364E0"/>
    <w:rsid w:val="0013697B"/>
    <w:rsid w:val="00136FB7"/>
    <w:rsid w:val="0013723E"/>
    <w:rsid w:val="0013772F"/>
    <w:rsid w:val="00140483"/>
    <w:rsid w:val="00140762"/>
    <w:rsid w:val="00140A6A"/>
    <w:rsid w:val="00140BA6"/>
    <w:rsid w:val="001413E5"/>
    <w:rsid w:val="00141946"/>
    <w:rsid w:val="00141A3D"/>
    <w:rsid w:val="00141B12"/>
    <w:rsid w:val="00141C3B"/>
    <w:rsid w:val="00142C55"/>
    <w:rsid w:val="00142E86"/>
    <w:rsid w:val="00143432"/>
    <w:rsid w:val="00143DCA"/>
    <w:rsid w:val="00144AAD"/>
    <w:rsid w:val="00144D4C"/>
    <w:rsid w:val="00144DCE"/>
    <w:rsid w:val="00145142"/>
    <w:rsid w:val="001455E7"/>
    <w:rsid w:val="00145832"/>
    <w:rsid w:val="00146155"/>
    <w:rsid w:val="0014624E"/>
    <w:rsid w:val="00146E9F"/>
    <w:rsid w:val="001476BA"/>
    <w:rsid w:val="00147941"/>
    <w:rsid w:val="00151007"/>
    <w:rsid w:val="0015135F"/>
    <w:rsid w:val="00151950"/>
    <w:rsid w:val="001522AF"/>
    <w:rsid w:val="001522DD"/>
    <w:rsid w:val="00152695"/>
    <w:rsid w:val="00152939"/>
    <w:rsid w:val="00155963"/>
    <w:rsid w:val="00155BAB"/>
    <w:rsid w:val="00156175"/>
    <w:rsid w:val="00156AA9"/>
    <w:rsid w:val="001572F6"/>
    <w:rsid w:val="00157970"/>
    <w:rsid w:val="001608B2"/>
    <w:rsid w:val="00160FB2"/>
    <w:rsid w:val="00160FE0"/>
    <w:rsid w:val="00161C2A"/>
    <w:rsid w:val="0016364E"/>
    <w:rsid w:val="00163AB3"/>
    <w:rsid w:val="00163DE9"/>
    <w:rsid w:val="001646F9"/>
    <w:rsid w:val="00165047"/>
    <w:rsid w:val="00165561"/>
    <w:rsid w:val="00165FF8"/>
    <w:rsid w:val="0016669F"/>
    <w:rsid w:val="00166999"/>
    <w:rsid w:val="00166D91"/>
    <w:rsid w:val="00167115"/>
    <w:rsid w:val="00170AD6"/>
    <w:rsid w:val="00172DC0"/>
    <w:rsid w:val="00172F8A"/>
    <w:rsid w:val="001735B8"/>
    <w:rsid w:val="00173A59"/>
    <w:rsid w:val="001740FC"/>
    <w:rsid w:val="00175418"/>
    <w:rsid w:val="00176269"/>
    <w:rsid w:val="00177AA7"/>
    <w:rsid w:val="001800F8"/>
    <w:rsid w:val="00180917"/>
    <w:rsid w:val="001809AA"/>
    <w:rsid w:val="00180E53"/>
    <w:rsid w:val="00181294"/>
    <w:rsid w:val="00181CB7"/>
    <w:rsid w:val="00182C34"/>
    <w:rsid w:val="0018302D"/>
    <w:rsid w:val="00183359"/>
    <w:rsid w:val="00183504"/>
    <w:rsid w:val="001836F7"/>
    <w:rsid w:val="001839B7"/>
    <w:rsid w:val="00184305"/>
    <w:rsid w:val="00184439"/>
    <w:rsid w:val="0018628A"/>
    <w:rsid w:val="001862A5"/>
    <w:rsid w:val="0018636D"/>
    <w:rsid w:val="00186A70"/>
    <w:rsid w:val="001903E5"/>
    <w:rsid w:val="00190BE6"/>
    <w:rsid w:val="00191035"/>
    <w:rsid w:val="001918E5"/>
    <w:rsid w:val="00192205"/>
    <w:rsid w:val="00192A7A"/>
    <w:rsid w:val="00193A53"/>
    <w:rsid w:val="00193D6E"/>
    <w:rsid w:val="001947E5"/>
    <w:rsid w:val="00194AC9"/>
    <w:rsid w:val="001950D2"/>
    <w:rsid w:val="0019538D"/>
    <w:rsid w:val="00195A53"/>
    <w:rsid w:val="00196050"/>
    <w:rsid w:val="001969AB"/>
    <w:rsid w:val="00197AAF"/>
    <w:rsid w:val="001A0691"/>
    <w:rsid w:val="001A1B7C"/>
    <w:rsid w:val="001A1C40"/>
    <w:rsid w:val="001A1EF4"/>
    <w:rsid w:val="001A356A"/>
    <w:rsid w:val="001A3D8D"/>
    <w:rsid w:val="001A44A5"/>
    <w:rsid w:val="001A4DCA"/>
    <w:rsid w:val="001A51DF"/>
    <w:rsid w:val="001A574F"/>
    <w:rsid w:val="001A5CB7"/>
    <w:rsid w:val="001A61EF"/>
    <w:rsid w:val="001A6F05"/>
    <w:rsid w:val="001A7046"/>
    <w:rsid w:val="001A710D"/>
    <w:rsid w:val="001A7B50"/>
    <w:rsid w:val="001A7E6F"/>
    <w:rsid w:val="001B0A77"/>
    <w:rsid w:val="001B1157"/>
    <w:rsid w:val="001B1727"/>
    <w:rsid w:val="001B1B48"/>
    <w:rsid w:val="001B2151"/>
    <w:rsid w:val="001B24D4"/>
    <w:rsid w:val="001B2753"/>
    <w:rsid w:val="001B3CFF"/>
    <w:rsid w:val="001B4157"/>
    <w:rsid w:val="001B45D7"/>
    <w:rsid w:val="001B4957"/>
    <w:rsid w:val="001B4996"/>
    <w:rsid w:val="001B6005"/>
    <w:rsid w:val="001B7A16"/>
    <w:rsid w:val="001C014F"/>
    <w:rsid w:val="001C07CE"/>
    <w:rsid w:val="001C0C12"/>
    <w:rsid w:val="001C0DCC"/>
    <w:rsid w:val="001C0E59"/>
    <w:rsid w:val="001C232A"/>
    <w:rsid w:val="001C27AE"/>
    <w:rsid w:val="001C3AC3"/>
    <w:rsid w:val="001C432D"/>
    <w:rsid w:val="001C469E"/>
    <w:rsid w:val="001C56C3"/>
    <w:rsid w:val="001C5D8C"/>
    <w:rsid w:val="001C769D"/>
    <w:rsid w:val="001C76D8"/>
    <w:rsid w:val="001C7E0A"/>
    <w:rsid w:val="001D0112"/>
    <w:rsid w:val="001D0FD4"/>
    <w:rsid w:val="001D19F5"/>
    <w:rsid w:val="001D20CF"/>
    <w:rsid w:val="001D35F0"/>
    <w:rsid w:val="001D385A"/>
    <w:rsid w:val="001D3AC4"/>
    <w:rsid w:val="001D5837"/>
    <w:rsid w:val="001D6B39"/>
    <w:rsid w:val="001D6C76"/>
    <w:rsid w:val="001D7B81"/>
    <w:rsid w:val="001E0D0B"/>
    <w:rsid w:val="001E1450"/>
    <w:rsid w:val="001E1994"/>
    <w:rsid w:val="001E1ECD"/>
    <w:rsid w:val="001E2846"/>
    <w:rsid w:val="001E313E"/>
    <w:rsid w:val="001E3E0D"/>
    <w:rsid w:val="001E4A45"/>
    <w:rsid w:val="001E4A5B"/>
    <w:rsid w:val="001E4C9F"/>
    <w:rsid w:val="001E559A"/>
    <w:rsid w:val="001E5AB7"/>
    <w:rsid w:val="001E5E30"/>
    <w:rsid w:val="001E62F1"/>
    <w:rsid w:val="001E7BC4"/>
    <w:rsid w:val="001F040F"/>
    <w:rsid w:val="001F0479"/>
    <w:rsid w:val="001F13A4"/>
    <w:rsid w:val="001F1DB1"/>
    <w:rsid w:val="001F1F10"/>
    <w:rsid w:val="001F1F71"/>
    <w:rsid w:val="001F230E"/>
    <w:rsid w:val="001F23C9"/>
    <w:rsid w:val="001F36CD"/>
    <w:rsid w:val="001F384C"/>
    <w:rsid w:val="001F3999"/>
    <w:rsid w:val="001F3D9D"/>
    <w:rsid w:val="001F4605"/>
    <w:rsid w:val="001F4AC8"/>
    <w:rsid w:val="001F4BD0"/>
    <w:rsid w:val="001F582A"/>
    <w:rsid w:val="001F6561"/>
    <w:rsid w:val="001F6704"/>
    <w:rsid w:val="001F6AC9"/>
    <w:rsid w:val="001F6F6F"/>
    <w:rsid w:val="001F7631"/>
    <w:rsid w:val="0020040F"/>
    <w:rsid w:val="00200894"/>
    <w:rsid w:val="00200D49"/>
    <w:rsid w:val="002015A3"/>
    <w:rsid w:val="00201C57"/>
    <w:rsid w:val="00202333"/>
    <w:rsid w:val="00202FA8"/>
    <w:rsid w:val="002034B8"/>
    <w:rsid w:val="00204132"/>
    <w:rsid w:val="00205922"/>
    <w:rsid w:val="00205C71"/>
    <w:rsid w:val="00205DC6"/>
    <w:rsid w:val="00206FB8"/>
    <w:rsid w:val="0020766F"/>
    <w:rsid w:val="00207A07"/>
    <w:rsid w:val="00207AA4"/>
    <w:rsid w:val="00210181"/>
    <w:rsid w:val="00210498"/>
    <w:rsid w:val="00210862"/>
    <w:rsid w:val="00210E1F"/>
    <w:rsid w:val="00211094"/>
    <w:rsid w:val="00211300"/>
    <w:rsid w:val="0021147A"/>
    <w:rsid w:val="00212408"/>
    <w:rsid w:val="00212445"/>
    <w:rsid w:val="00212D16"/>
    <w:rsid w:val="002130F4"/>
    <w:rsid w:val="00213BFB"/>
    <w:rsid w:val="002143A7"/>
    <w:rsid w:val="00214C1F"/>
    <w:rsid w:val="002156A3"/>
    <w:rsid w:val="00216517"/>
    <w:rsid w:val="00217478"/>
    <w:rsid w:val="00220938"/>
    <w:rsid w:val="00220D1F"/>
    <w:rsid w:val="0022157C"/>
    <w:rsid w:val="002216F8"/>
    <w:rsid w:val="002218B9"/>
    <w:rsid w:val="00221CD1"/>
    <w:rsid w:val="00222492"/>
    <w:rsid w:val="002233F6"/>
    <w:rsid w:val="002246B0"/>
    <w:rsid w:val="00224806"/>
    <w:rsid w:val="00225013"/>
    <w:rsid w:val="00225958"/>
    <w:rsid w:val="00226AD8"/>
    <w:rsid w:val="00226CD9"/>
    <w:rsid w:val="00226F14"/>
    <w:rsid w:val="0022747D"/>
    <w:rsid w:val="00231398"/>
    <w:rsid w:val="00231AB2"/>
    <w:rsid w:val="002322F9"/>
    <w:rsid w:val="0023230E"/>
    <w:rsid w:val="00232F8E"/>
    <w:rsid w:val="00233071"/>
    <w:rsid w:val="00234B33"/>
    <w:rsid w:val="00234E88"/>
    <w:rsid w:val="002353F8"/>
    <w:rsid w:val="002356F4"/>
    <w:rsid w:val="00235888"/>
    <w:rsid w:val="00235E99"/>
    <w:rsid w:val="002365B4"/>
    <w:rsid w:val="002367B6"/>
    <w:rsid w:val="00236F63"/>
    <w:rsid w:val="00237481"/>
    <w:rsid w:val="002374AC"/>
    <w:rsid w:val="00237BFF"/>
    <w:rsid w:val="00240F85"/>
    <w:rsid w:val="002417A7"/>
    <w:rsid w:val="00242105"/>
    <w:rsid w:val="0024227B"/>
    <w:rsid w:val="0024299F"/>
    <w:rsid w:val="00242A83"/>
    <w:rsid w:val="00242A8F"/>
    <w:rsid w:val="00242C9F"/>
    <w:rsid w:val="00242D4C"/>
    <w:rsid w:val="002435FF"/>
    <w:rsid w:val="00243E37"/>
    <w:rsid w:val="00243E95"/>
    <w:rsid w:val="00243F7E"/>
    <w:rsid w:val="00244354"/>
    <w:rsid w:val="002449D8"/>
    <w:rsid w:val="00244B86"/>
    <w:rsid w:val="00244C97"/>
    <w:rsid w:val="0024512F"/>
    <w:rsid w:val="00245358"/>
    <w:rsid w:val="00245406"/>
    <w:rsid w:val="00245419"/>
    <w:rsid w:val="002455D7"/>
    <w:rsid w:val="00245D2E"/>
    <w:rsid w:val="00245E06"/>
    <w:rsid w:val="00246E1D"/>
    <w:rsid w:val="0024708B"/>
    <w:rsid w:val="002472F6"/>
    <w:rsid w:val="0024770A"/>
    <w:rsid w:val="0025020D"/>
    <w:rsid w:val="00251A46"/>
    <w:rsid w:val="002526E1"/>
    <w:rsid w:val="0025297E"/>
    <w:rsid w:val="002533A1"/>
    <w:rsid w:val="00254CC2"/>
    <w:rsid w:val="0025640F"/>
    <w:rsid w:val="00256690"/>
    <w:rsid w:val="002574D1"/>
    <w:rsid w:val="0025779A"/>
    <w:rsid w:val="00257AD5"/>
    <w:rsid w:val="002608F0"/>
    <w:rsid w:val="00261CCB"/>
    <w:rsid w:val="002623C3"/>
    <w:rsid w:val="002624DB"/>
    <w:rsid w:val="002629A1"/>
    <w:rsid w:val="002629B3"/>
    <w:rsid w:val="00262E56"/>
    <w:rsid w:val="002630C0"/>
    <w:rsid w:val="0026332A"/>
    <w:rsid w:val="002633E8"/>
    <w:rsid w:val="00263DAA"/>
    <w:rsid w:val="0026450C"/>
    <w:rsid w:val="002645A8"/>
    <w:rsid w:val="0026493B"/>
    <w:rsid w:val="00265566"/>
    <w:rsid w:val="00265C14"/>
    <w:rsid w:val="00265F44"/>
    <w:rsid w:val="002665E3"/>
    <w:rsid w:val="002666BE"/>
    <w:rsid w:val="002676F1"/>
    <w:rsid w:val="002678A7"/>
    <w:rsid w:val="00270D47"/>
    <w:rsid w:val="0027188D"/>
    <w:rsid w:val="0027199C"/>
    <w:rsid w:val="00272052"/>
    <w:rsid w:val="002728F4"/>
    <w:rsid w:val="00272C4E"/>
    <w:rsid w:val="00272F9E"/>
    <w:rsid w:val="00274DA5"/>
    <w:rsid w:val="002751FC"/>
    <w:rsid w:val="002753BD"/>
    <w:rsid w:val="002753DF"/>
    <w:rsid w:val="0027564F"/>
    <w:rsid w:val="00276484"/>
    <w:rsid w:val="002767B3"/>
    <w:rsid w:val="00276BF5"/>
    <w:rsid w:val="00277604"/>
    <w:rsid w:val="002801FC"/>
    <w:rsid w:val="00280830"/>
    <w:rsid w:val="00280E11"/>
    <w:rsid w:val="00281D37"/>
    <w:rsid w:val="00282290"/>
    <w:rsid w:val="002825B2"/>
    <w:rsid w:val="002825C5"/>
    <w:rsid w:val="00282B3A"/>
    <w:rsid w:val="00282D38"/>
    <w:rsid w:val="00282FBE"/>
    <w:rsid w:val="00283163"/>
    <w:rsid w:val="00283AC7"/>
    <w:rsid w:val="002841E6"/>
    <w:rsid w:val="00284802"/>
    <w:rsid w:val="00284AF2"/>
    <w:rsid w:val="0028536B"/>
    <w:rsid w:val="00285C08"/>
    <w:rsid w:val="00285CED"/>
    <w:rsid w:val="00285EB5"/>
    <w:rsid w:val="00285FC1"/>
    <w:rsid w:val="002862F9"/>
    <w:rsid w:val="00286D9F"/>
    <w:rsid w:val="0028709C"/>
    <w:rsid w:val="002874D0"/>
    <w:rsid w:val="00287C8F"/>
    <w:rsid w:val="0029024D"/>
    <w:rsid w:val="00290893"/>
    <w:rsid w:val="00290B8B"/>
    <w:rsid w:val="002917B9"/>
    <w:rsid w:val="00291944"/>
    <w:rsid w:val="00291A55"/>
    <w:rsid w:val="00292C2A"/>
    <w:rsid w:val="00292CC2"/>
    <w:rsid w:val="0029394C"/>
    <w:rsid w:val="002942C9"/>
    <w:rsid w:val="00294AAE"/>
    <w:rsid w:val="00294E79"/>
    <w:rsid w:val="00295048"/>
    <w:rsid w:val="002A01B8"/>
    <w:rsid w:val="002A0A36"/>
    <w:rsid w:val="002A13B0"/>
    <w:rsid w:val="002A1D37"/>
    <w:rsid w:val="002A2101"/>
    <w:rsid w:val="002A2583"/>
    <w:rsid w:val="002A2941"/>
    <w:rsid w:val="002A2C91"/>
    <w:rsid w:val="002A364F"/>
    <w:rsid w:val="002A4154"/>
    <w:rsid w:val="002A4EB1"/>
    <w:rsid w:val="002A5815"/>
    <w:rsid w:val="002A6793"/>
    <w:rsid w:val="002A6B56"/>
    <w:rsid w:val="002A6C21"/>
    <w:rsid w:val="002A6FCD"/>
    <w:rsid w:val="002A780E"/>
    <w:rsid w:val="002B144C"/>
    <w:rsid w:val="002B1520"/>
    <w:rsid w:val="002B18D7"/>
    <w:rsid w:val="002B2D15"/>
    <w:rsid w:val="002B3122"/>
    <w:rsid w:val="002B44D6"/>
    <w:rsid w:val="002B4BC1"/>
    <w:rsid w:val="002B4E13"/>
    <w:rsid w:val="002B53F3"/>
    <w:rsid w:val="002B579D"/>
    <w:rsid w:val="002B5866"/>
    <w:rsid w:val="002B58F4"/>
    <w:rsid w:val="002B68F5"/>
    <w:rsid w:val="002B7AE9"/>
    <w:rsid w:val="002C03FD"/>
    <w:rsid w:val="002C044D"/>
    <w:rsid w:val="002C0FCB"/>
    <w:rsid w:val="002C1AA5"/>
    <w:rsid w:val="002C235D"/>
    <w:rsid w:val="002C2A46"/>
    <w:rsid w:val="002C3048"/>
    <w:rsid w:val="002C352D"/>
    <w:rsid w:val="002C5A73"/>
    <w:rsid w:val="002C619D"/>
    <w:rsid w:val="002C67C1"/>
    <w:rsid w:val="002C6B12"/>
    <w:rsid w:val="002C76AE"/>
    <w:rsid w:val="002C7B68"/>
    <w:rsid w:val="002C7C0F"/>
    <w:rsid w:val="002D0495"/>
    <w:rsid w:val="002D0A00"/>
    <w:rsid w:val="002D0BCF"/>
    <w:rsid w:val="002D1151"/>
    <w:rsid w:val="002D23F0"/>
    <w:rsid w:val="002D2992"/>
    <w:rsid w:val="002D35E7"/>
    <w:rsid w:val="002D369A"/>
    <w:rsid w:val="002D37A0"/>
    <w:rsid w:val="002D3B3D"/>
    <w:rsid w:val="002D3CC5"/>
    <w:rsid w:val="002D4B90"/>
    <w:rsid w:val="002D5AB5"/>
    <w:rsid w:val="002D6667"/>
    <w:rsid w:val="002D6C44"/>
    <w:rsid w:val="002D6D9B"/>
    <w:rsid w:val="002D6DFB"/>
    <w:rsid w:val="002D756C"/>
    <w:rsid w:val="002D761A"/>
    <w:rsid w:val="002D79F3"/>
    <w:rsid w:val="002E12F4"/>
    <w:rsid w:val="002E12F6"/>
    <w:rsid w:val="002E1BFD"/>
    <w:rsid w:val="002E1C11"/>
    <w:rsid w:val="002E1D76"/>
    <w:rsid w:val="002E2043"/>
    <w:rsid w:val="002E274F"/>
    <w:rsid w:val="002E2970"/>
    <w:rsid w:val="002E2DE4"/>
    <w:rsid w:val="002E3D0B"/>
    <w:rsid w:val="002E3E7D"/>
    <w:rsid w:val="002E4211"/>
    <w:rsid w:val="002E426B"/>
    <w:rsid w:val="002E4749"/>
    <w:rsid w:val="002E4E8E"/>
    <w:rsid w:val="002E5910"/>
    <w:rsid w:val="002E6998"/>
    <w:rsid w:val="002E6A8E"/>
    <w:rsid w:val="002E6DF2"/>
    <w:rsid w:val="002F2A7F"/>
    <w:rsid w:val="002F2D59"/>
    <w:rsid w:val="002F3656"/>
    <w:rsid w:val="002F4B70"/>
    <w:rsid w:val="002F569F"/>
    <w:rsid w:val="002F6279"/>
    <w:rsid w:val="002F7DDD"/>
    <w:rsid w:val="0030009A"/>
    <w:rsid w:val="00300544"/>
    <w:rsid w:val="00300F55"/>
    <w:rsid w:val="00300F6B"/>
    <w:rsid w:val="0030138B"/>
    <w:rsid w:val="003013B7"/>
    <w:rsid w:val="00301993"/>
    <w:rsid w:val="00301E55"/>
    <w:rsid w:val="003025E6"/>
    <w:rsid w:val="00302E07"/>
    <w:rsid w:val="00303B85"/>
    <w:rsid w:val="00304D92"/>
    <w:rsid w:val="00304DF8"/>
    <w:rsid w:val="00305CD0"/>
    <w:rsid w:val="00307397"/>
    <w:rsid w:val="003101EF"/>
    <w:rsid w:val="00311298"/>
    <w:rsid w:val="00311FE4"/>
    <w:rsid w:val="003123BD"/>
    <w:rsid w:val="00312BDD"/>
    <w:rsid w:val="00314117"/>
    <w:rsid w:val="00314724"/>
    <w:rsid w:val="00314C94"/>
    <w:rsid w:val="0031526C"/>
    <w:rsid w:val="003170D3"/>
    <w:rsid w:val="00317EDF"/>
    <w:rsid w:val="0032033F"/>
    <w:rsid w:val="00321945"/>
    <w:rsid w:val="0032206C"/>
    <w:rsid w:val="00322B55"/>
    <w:rsid w:val="0032302A"/>
    <w:rsid w:val="00323AB4"/>
    <w:rsid w:val="00323C31"/>
    <w:rsid w:val="00324D84"/>
    <w:rsid w:val="00325A68"/>
    <w:rsid w:val="00326422"/>
    <w:rsid w:val="003279E7"/>
    <w:rsid w:val="00327A0A"/>
    <w:rsid w:val="00327B62"/>
    <w:rsid w:val="00330CCC"/>
    <w:rsid w:val="00331684"/>
    <w:rsid w:val="003316E4"/>
    <w:rsid w:val="00331830"/>
    <w:rsid w:val="00331FE9"/>
    <w:rsid w:val="0033324D"/>
    <w:rsid w:val="0033343A"/>
    <w:rsid w:val="0033425E"/>
    <w:rsid w:val="0033483D"/>
    <w:rsid w:val="003349C6"/>
    <w:rsid w:val="0033587C"/>
    <w:rsid w:val="00336370"/>
    <w:rsid w:val="003365D5"/>
    <w:rsid w:val="0033696D"/>
    <w:rsid w:val="00336B0F"/>
    <w:rsid w:val="00336BF9"/>
    <w:rsid w:val="003371E8"/>
    <w:rsid w:val="003373F5"/>
    <w:rsid w:val="00337471"/>
    <w:rsid w:val="00337EB8"/>
    <w:rsid w:val="00340F09"/>
    <w:rsid w:val="0034134C"/>
    <w:rsid w:val="0034151D"/>
    <w:rsid w:val="00341B20"/>
    <w:rsid w:val="00341B66"/>
    <w:rsid w:val="0034223F"/>
    <w:rsid w:val="00342B5B"/>
    <w:rsid w:val="00342C63"/>
    <w:rsid w:val="00343512"/>
    <w:rsid w:val="00343532"/>
    <w:rsid w:val="00343A1A"/>
    <w:rsid w:val="00343E70"/>
    <w:rsid w:val="0034474F"/>
    <w:rsid w:val="0034484A"/>
    <w:rsid w:val="00344A4D"/>
    <w:rsid w:val="00344E3E"/>
    <w:rsid w:val="00345469"/>
    <w:rsid w:val="003454ED"/>
    <w:rsid w:val="00345B0A"/>
    <w:rsid w:val="00345EB9"/>
    <w:rsid w:val="00345F8A"/>
    <w:rsid w:val="0035004B"/>
    <w:rsid w:val="0035013F"/>
    <w:rsid w:val="003501D6"/>
    <w:rsid w:val="0035030F"/>
    <w:rsid w:val="00350340"/>
    <w:rsid w:val="00350347"/>
    <w:rsid w:val="003504F7"/>
    <w:rsid w:val="00350516"/>
    <w:rsid w:val="0035073B"/>
    <w:rsid w:val="00350B22"/>
    <w:rsid w:val="00350D16"/>
    <w:rsid w:val="003518F1"/>
    <w:rsid w:val="003519DD"/>
    <w:rsid w:val="00351B68"/>
    <w:rsid w:val="00351E8F"/>
    <w:rsid w:val="00351F68"/>
    <w:rsid w:val="0035229B"/>
    <w:rsid w:val="00352D1F"/>
    <w:rsid w:val="00353C4B"/>
    <w:rsid w:val="003545A6"/>
    <w:rsid w:val="00355497"/>
    <w:rsid w:val="0035551D"/>
    <w:rsid w:val="00355637"/>
    <w:rsid w:val="00355C16"/>
    <w:rsid w:val="00355E90"/>
    <w:rsid w:val="00355F75"/>
    <w:rsid w:val="0035607F"/>
    <w:rsid w:val="00356C60"/>
    <w:rsid w:val="00356EBF"/>
    <w:rsid w:val="00357649"/>
    <w:rsid w:val="003578D1"/>
    <w:rsid w:val="00357A71"/>
    <w:rsid w:val="003609FD"/>
    <w:rsid w:val="003611AE"/>
    <w:rsid w:val="0036132F"/>
    <w:rsid w:val="003616F7"/>
    <w:rsid w:val="003618DD"/>
    <w:rsid w:val="00361DA4"/>
    <w:rsid w:val="0036228A"/>
    <w:rsid w:val="00362A97"/>
    <w:rsid w:val="00362E8F"/>
    <w:rsid w:val="00363639"/>
    <w:rsid w:val="00363CBC"/>
    <w:rsid w:val="00363D87"/>
    <w:rsid w:val="00364660"/>
    <w:rsid w:val="00364D76"/>
    <w:rsid w:val="0036586D"/>
    <w:rsid w:val="00365A2B"/>
    <w:rsid w:val="00365CAE"/>
    <w:rsid w:val="00366116"/>
    <w:rsid w:val="00366358"/>
    <w:rsid w:val="0036673F"/>
    <w:rsid w:val="00366C78"/>
    <w:rsid w:val="00366D42"/>
    <w:rsid w:val="00366E4F"/>
    <w:rsid w:val="0036748C"/>
    <w:rsid w:val="003706A9"/>
    <w:rsid w:val="00371831"/>
    <w:rsid w:val="00372615"/>
    <w:rsid w:val="003726BB"/>
    <w:rsid w:val="00372EA3"/>
    <w:rsid w:val="0037311D"/>
    <w:rsid w:val="0037358E"/>
    <w:rsid w:val="00373A3C"/>
    <w:rsid w:val="00373AB8"/>
    <w:rsid w:val="00373FCF"/>
    <w:rsid w:val="00374F86"/>
    <w:rsid w:val="00374F87"/>
    <w:rsid w:val="00375BD2"/>
    <w:rsid w:val="00376233"/>
    <w:rsid w:val="003774F9"/>
    <w:rsid w:val="003777FD"/>
    <w:rsid w:val="003804D4"/>
    <w:rsid w:val="003804F5"/>
    <w:rsid w:val="00380921"/>
    <w:rsid w:val="00380B30"/>
    <w:rsid w:val="00380D44"/>
    <w:rsid w:val="00381784"/>
    <w:rsid w:val="00381EB0"/>
    <w:rsid w:val="003826AC"/>
    <w:rsid w:val="00382A72"/>
    <w:rsid w:val="00382EBA"/>
    <w:rsid w:val="0038325C"/>
    <w:rsid w:val="0038331A"/>
    <w:rsid w:val="00383A2D"/>
    <w:rsid w:val="003841CB"/>
    <w:rsid w:val="00384D7F"/>
    <w:rsid w:val="00384FBB"/>
    <w:rsid w:val="00384FDB"/>
    <w:rsid w:val="0038552D"/>
    <w:rsid w:val="00385C51"/>
    <w:rsid w:val="00385EFC"/>
    <w:rsid w:val="00386A58"/>
    <w:rsid w:val="00386B48"/>
    <w:rsid w:val="00390A84"/>
    <w:rsid w:val="0039135B"/>
    <w:rsid w:val="00391FEB"/>
    <w:rsid w:val="0039239A"/>
    <w:rsid w:val="00392AB3"/>
    <w:rsid w:val="003934C4"/>
    <w:rsid w:val="00393C87"/>
    <w:rsid w:val="00394312"/>
    <w:rsid w:val="003955D8"/>
    <w:rsid w:val="003956CC"/>
    <w:rsid w:val="00396C32"/>
    <w:rsid w:val="003971EE"/>
    <w:rsid w:val="00397E81"/>
    <w:rsid w:val="003A0BD0"/>
    <w:rsid w:val="003A0F9A"/>
    <w:rsid w:val="003A22E2"/>
    <w:rsid w:val="003A2D9D"/>
    <w:rsid w:val="003A2EF1"/>
    <w:rsid w:val="003A32B3"/>
    <w:rsid w:val="003A34E7"/>
    <w:rsid w:val="003A39ED"/>
    <w:rsid w:val="003A3C96"/>
    <w:rsid w:val="003A3CB1"/>
    <w:rsid w:val="003A3D55"/>
    <w:rsid w:val="003A46E4"/>
    <w:rsid w:val="003A57A8"/>
    <w:rsid w:val="003A59FF"/>
    <w:rsid w:val="003A5D12"/>
    <w:rsid w:val="003A72BB"/>
    <w:rsid w:val="003A73A4"/>
    <w:rsid w:val="003A7CBC"/>
    <w:rsid w:val="003B0A80"/>
    <w:rsid w:val="003B102E"/>
    <w:rsid w:val="003B26BA"/>
    <w:rsid w:val="003B2916"/>
    <w:rsid w:val="003B2C73"/>
    <w:rsid w:val="003B3BF6"/>
    <w:rsid w:val="003B43BA"/>
    <w:rsid w:val="003B4574"/>
    <w:rsid w:val="003B4E3D"/>
    <w:rsid w:val="003B50BD"/>
    <w:rsid w:val="003B61D7"/>
    <w:rsid w:val="003B6514"/>
    <w:rsid w:val="003C0A45"/>
    <w:rsid w:val="003C105F"/>
    <w:rsid w:val="003C167E"/>
    <w:rsid w:val="003C17A0"/>
    <w:rsid w:val="003C1988"/>
    <w:rsid w:val="003C3739"/>
    <w:rsid w:val="003C3CCA"/>
    <w:rsid w:val="003C3FED"/>
    <w:rsid w:val="003C420D"/>
    <w:rsid w:val="003C481D"/>
    <w:rsid w:val="003C4DF2"/>
    <w:rsid w:val="003C4EB5"/>
    <w:rsid w:val="003C6341"/>
    <w:rsid w:val="003C6E3A"/>
    <w:rsid w:val="003C7F91"/>
    <w:rsid w:val="003D02DE"/>
    <w:rsid w:val="003D0506"/>
    <w:rsid w:val="003D1099"/>
    <w:rsid w:val="003D1BA0"/>
    <w:rsid w:val="003D1BF8"/>
    <w:rsid w:val="003D21F7"/>
    <w:rsid w:val="003D22D4"/>
    <w:rsid w:val="003D2CED"/>
    <w:rsid w:val="003D313A"/>
    <w:rsid w:val="003D344A"/>
    <w:rsid w:val="003D3BB8"/>
    <w:rsid w:val="003D5306"/>
    <w:rsid w:val="003D587E"/>
    <w:rsid w:val="003D5958"/>
    <w:rsid w:val="003D6D0F"/>
    <w:rsid w:val="003D72F4"/>
    <w:rsid w:val="003D7B2D"/>
    <w:rsid w:val="003D7C07"/>
    <w:rsid w:val="003E1186"/>
    <w:rsid w:val="003E12DA"/>
    <w:rsid w:val="003E13FD"/>
    <w:rsid w:val="003E1C24"/>
    <w:rsid w:val="003E3E0C"/>
    <w:rsid w:val="003E3E69"/>
    <w:rsid w:val="003E4FCF"/>
    <w:rsid w:val="003E526E"/>
    <w:rsid w:val="003E5392"/>
    <w:rsid w:val="003E59C6"/>
    <w:rsid w:val="003E61FC"/>
    <w:rsid w:val="003E651F"/>
    <w:rsid w:val="003E6754"/>
    <w:rsid w:val="003E6BF7"/>
    <w:rsid w:val="003E6F24"/>
    <w:rsid w:val="003E77BC"/>
    <w:rsid w:val="003F04BD"/>
    <w:rsid w:val="003F0B89"/>
    <w:rsid w:val="003F0EDF"/>
    <w:rsid w:val="003F109E"/>
    <w:rsid w:val="003F114D"/>
    <w:rsid w:val="003F1C9E"/>
    <w:rsid w:val="003F1DB7"/>
    <w:rsid w:val="003F1E64"/>
    <w:rsid w:val="003F20C7"/>
    <w:rsid w:val="003F26C9"/>
    <w:rsid w:val="003F2895"/>
    <w:rsid w:val="003F2D1D"/>
    <w:rsid w:val="003F39B1"/>
    <w:rsid w:val="003F4AAD"/>
    <w:rsid w:val="003F4C8C"/>
    <w:rsid w:val="003F50CD"/>
    <w:rsid w:val="003F5DCC"/>
    <w:rsid w:val="003F7DB9"/>
    <w:rsid w:val="003F7F03"/>
    <w:rsid w:val="00400197"/>
    <w:rsid w:val="004006AF"/>
    <w:rsid w:val="004009B2"/>
    <w:rsid w:val="00400D9C"/>
    <w:rsid w:val="00400FBE"/>
    <w:rsid w:val="0040195A"/>
    <w:rsid w:val="004022CF"/>
    <w:rsid w:val="00402705"/>
    <w:rsid w:val="004029B1"/>
    <w:rsid w:val="004031BB"/>
    <w:rsid w:val="004038F1"/>
    <w:rsid w:val="00404282"/>
    <w:rsid w:val="004046C4"/>
    <w:rsid w:val="00404A04"/>
    <w:rsid w:val="00404ED5"/>
    <w:rsid w:val="00404F57"/>
    <w:rsid w:val="004055B7"/>
    <w:rsid w:val="00405C3E"/>
    <w:rsid w:val="00405D2E"/>
    <w:rsid w:val="00406059"/>
    <w:rsid w:val="004060D6"/>
    <w:rsid w:val="00406E43"/>
    <w:rsid w:val="00406E8E"/>
    <w:rsid w:val="0040743A"/>
    <w:rsid w:val="00407623"/>
    <w:rsid w:val="004079A5"/>
    <w:rsid w:val="00407A74"/>
    <w:rsid w:val="00407A76"/>
    <w:rsid w:val="00407DE0"/>
    <w:rsid w:val="00410470"/>
    <w:rsid w:val="004114D5"/>
    <w:rsid w:val="00411EEB"/>
    <w:rsid w:val="00411FAF"/>
    <w:rsid w:val="004124D6"/>
    <w:rsid w:val="004125F3"/>
    <w:rsid w:val="004131DE"/>
    <w:rsid w:val="00413C67"/>
    <w:rsid w:val="00414210"/>
    <w:rsid w:val="0041527E"/>
    <w:rsid w:val="00415698"/>
    <w:rsid w:val="004159DB"/>
    <w:rsid w:val="00415E99"/>
    <w:rsid w:val="0041681E"/>
    <w:rsid w:val="0041756C"/>
    <w:rsid w:val="004200FC"/>
    <w:rsid w:val="00420642"/>
    <w:rsid w:val="0042070A"/>
    <w:rsid w:val="00420E95"/>
    <w:rsid w:val="00420FD4"/>
    <w:rsid w:val="00421405"/>
    <w:rsid w:val="0042141B"/>
    <w:rsid w:val="0042163D"/>
    <w:rsid w:val="00421F92"/>
    <w:rsid w:val="00422321"/>
    <w:rsid w:val="004228A1"/>
    <w:rsid w:val="004242B3"/>
    <w:rsid w:val="00424A4F"/>
    <w:rsid w:val="00425571"/>
    <w:rsid w:val="004255B0"/>
    <w:rsid w:val="00425936"/>
    <w:rsid w:val="00425EB0"/>
    <w:rsid w:val="00425FA3"/>
    <w:rsid w:val="00426D62"/>
    <w:rsid w:val="0042741C"/>
    <w:rsid w:val="00427A89"/>
    <w:rsid w:val="0043007D"/>
    <w:rsid w:val="004301C0"/>
    <w:rsid w:val="004306F8"/>
    <w:rsid w:val="00430C5B"/>
    <w:rsid w:val="004315E0"/>
    <w:rsid w:val="00431968"/>
    <w:rsid w:val="00432157"/>
    <w:rsid w:val="00433936"/>
    <w:rsid w:val="0043475E"/>
    <w:rsid w:val="00434814"/>
    <w:rsid w:val="0043537E"/>
    <w:rsid w:val="00435714"/>
    <w:rsid w:val="00435A7D"/>
    <w:rsid w:val="00435FE9"/>
    <w:rsid w:val="00436039"/>
    <w:rsid w:val="00436279"/>
    <w:rsid w:val="0043635A"/>
    <w:rsid w:val="00440152"/>
    <w:rsid w:val="0044085D"/>
    <w:rsid w:val="00441237"/>
    <w:rsid w:val="00441477"/>
    <w:rsid w:val="0044199E"/>
    <w:rsid w:val="0044206D"/>
    <w:rsid w:val="0044299A"/>
    <w:rsid w:val="004433D8"/>
    <w:rsid w:val="004433F8"/>
    <w:rsid w:val="0044466D"/>
    <w:rsid w:val="00444803"/>
    <w:rsid w:val="00444B8C"/>
    <w:rsid w:val="00444C20"/>
    <w:rsid w:val="00444E49"/>
    <w:rsid w:val="00445696"/>
    <w:rsid w:val="004465F2"/>
    <w:rsid w:val="00446E5F"/>
    <w:rsid w:val="00447558"/>
    <w:rsid w:val="00447A0D"/>
    <w:rsid w:val="00447D13"/>
    <w:rsid w:val="00447F42"/>
    <w:rsid w:val="0045000B"/>
    <w:rsid w:val="0045003A"/>
    <w:rsid w:val="00450420"/>
    <w:rsid w:val="00450C4E"/>
    <w:rsid w:val="004527AB"/>
    <w:rsid w:val="004531DD"/>
    <w:rsid w:val="00453881"/>
    <w:rsid w:val="00453BA3"/>
    <w:rsid w:val="00453DDF"/>
    <w:rsid w:val="00454120"/>
    <w:rsid w:val="0045504C"/>
    <w:rsid w:val="004550EC"/>
    <w:rsid w:val="00455243"/>
    <w:rsid w:val="00455577"/>
    <w:rsid w:val="0045602C"/>
    <w:rsid w:val="004562C5"/>
    <w:rsid w:val="00456795"/>
    <w:rsid w:val="0045706F"/>
    <w:rsid w:val="0045749C"/>
    <w:rsid w:val="004578B3"/>
    <w:rsid w:val="00460451"/>
    <w:rsid w:val="00460595"/>
    <w:rsid w:val="0046150E"/>
    <w:rsid w:val="004618EE"/>
    <w:rsid w:val="00461977"/>
    <w:rsid w:val="00461CC8"/>
    <w:rsid w:val="00462B2F"/>
    <w:rsid w:val="00462E09"/>
    <w:rsid w:val="00462F07"/>
    <w:rsid w:val="0046457E"/>
    <w:rsid w:val="00465554"/>
    <w:rsid w:val="00465599"/>
    <w:rsid w:val="00465D04"/>
    <w:rsid w:val="00465EAA"/>
    <w:rsid w:val="00465EC3"/>
    <w:rsid w:val="00466371"/>
    <w:rsid w:val="00466386"/>
    <w:rsid w:val="00466C33"/>
    <w:rsid w:val="0046730A"/>
    <w:rsid w:val="00467428"/>
    <w:rsid w:val="00467DE6"/>
    <w:rsid w:val="004704AA"/>
    <w:rsid w:val="004708CA"/>
    <w:rsid w:val="00470974"/>
    <w:rsid w:val="004709E7"/>
    <w:rsid w:val="00470ADE"/>
    <w:rsid w:val="00470B33"/>
    <w:rsid w:val="004712C7"/>
    <w:rsid w:val="00471AD9"/>
    <w:rsid w:val="004732A4"/>
    <w:rsid w:val="00473535"/>
    <w:rsid w:val="00474117"/>
    <w:rsid w:val="00475722"/>
    <w:rsid w:val="004759EB"/>
    <w:rsid w:val="00476013"/>
    <w:rsid w:val="004777E2"/>
    <w:rsid w:val="0047783D"/>
    <w:rsid w:val="00477919"/>
    <w:rsid w:val="004810D7"/>
    <w:rsid w:val="004813FA"/>
    <w:rsid w:val="00481FCE"/>
    <w:rsid w:val="00482611"/>
    <w:rsid w:val="00482A12"/>
    <w:rsid w:val="00482A27"/>
    <w:rsid w:val="004838DC"/>
    <w:rsid w:val="00483A62"/>
    <w:rsid w:val="00484369"/>
    <w:rsid w:val="00484375"/>
    <w:rsid w:val="0048447A"/>
    <w:rsid w:val="00484A51"/>
    <w:rsid w:val="00485D68"/>
    <w:rsid w:val="00485DC3"/>
    <w:rsid w:val="00485E08"/>
    <w:rsid w:val="00486996"/>
    <w:rsid w:val="00486B3A"/>
    <w:rsid w:val="004873DB"/>
    <w:rsid w:val="00487B54"/>
    <w:rsid w:val="00487DCE"/>
    <w:rsid w:val="0049166D"/>
    <w:rsid w:val="00492629"/>
    <w:rsid w:val="00492701"/>
    <w:rsid w:val="00492DA8"/>
    <w:rsid w:val="00492DCE"/>
    <w:rsid w:val="00492DE0"/>
    <w:rsid w:val="00494DEA"/>
    <w:rsid w:val="004950B7"/>
    <w:rsid w:val="004950F3"/>
    <w:rsid w:val="0049534D"/>
    <w:rsid w:val="00497D95"/>
    <w:rsid w:val="00497FEA"/>
    <w:rsid w:val="004A00F1"/>
    <w:rsid w:val="004A0258"/>
    <w:rsid w:val="004A0548"/>
    <w:rsid w:val="004A1894"/>
    <w:rsid w:val="004A1920"/>
    <w:rsid w:val="004A1F9A"/>
    <w:rsid w:val="004A38B0"/>
    <w:rsid w:val="004A6209"/>
    <w:rsid w:val="004A6E01"/>
    <w:rsid w:val="004A6E81"/>
    <w:rsid w:val="004A6FD8"/>
    <w:rsid w:val="004A75F5"/>
    <w:rsid w:val="004A7DF7"/>
    <w:rsid w:val="004A7EAF"/>
    <w:rsid w:val="004B07B2"/>
    <w:rsid w:val="004B07F3"/>
    <w:rsid w:val="004B0955"/>
    <w:rsid w:val="004B0C04"/>
    <w:rsid w:val="004B143D"/>
    <w:rsid w:val="004B1842"/>
    <w:rsid w:val="004B1B6F"/>
    <w:rsid w:val="004B25D0"/>
    <w:rsid w:val="004B2B04"/>
    <w:rsid w:val="004B3553"/>
    <w:rsid w:val="004B37C1"/>
    <w:rsid w:val="004B43CC"/>
    <w:rsid w:val="004B440B"/>
    <w:rsid w:val="004B453D"/>
    <w:rsid w:val="004B4920"/>
    <w:rsid w:val="004B4CC5"/>
    <w:rsid w:val="004B5E92"/>
    <w:rsid w:val="004B5F65"/>
    <w:rsid w:val="004B6859"/>
    <w:rsid w:val="004B6F9F"/>
    <w:rsid w:val="004B74E4"/>
    <w:rsid w:val="004C0329"/>
    <w:rsid w:val="004C08BC"/>
    <w:rsid w:val="004C0A30"/>
    <w:rsid w:val="004C1135"/>
    <w:rsid w:val="004C1F7F"/>
    <w:rsid w:val="004C2C2E"/>
    <w:rsid w:val="004C2D55"/>
    <w:rsid w:val="004C349A"/>
    <w:rsid w:val="004C357C"/>
    <w:rsid w:val="004C3A25"/>
    <w:rsid w:val="004C3D18"/>
    <w:rsid w:val="004C3F18"/>
    <w:rsid w:val="004C5C3C"/>
    <w:rsid w:val="004C5D1B"/>
    <w:rsid w:val="004C673F"/>
    <w:rsid w:val="004C6B4D"/>
    <w:rsid w:val="004C6B75"/>
    <w:rsid w:val="004C7CF1"/>
    <w:rsid w:val="004D0145"/>
    <w:rsid w:val="004D1C63"/>
    <w:rsid w:val="004D23AA"/>
    <w:rsid w:val="004D259F"/>
    <w:rsid w:val="004D2A8B"/>
    <w:rsid w:val="004D395B"/>
    <w:rsid w:val="004D417A"/>
    <w:rsid w:val="004D42B1"/>
    <w:rsid w:val="004D4E29"/>
    <w:rsid w:val="004D526F"/>
    <w:rsid w:val="004D5986"/>
    <w:rsid w:val="004D64CA"/>
    <w:rsid w:val="004D65A1"/>
    <w:rsid w:val="004D66F5"/>
    <w:rsid w:val="004D6FBC"/>
    <w:rsid w:val="004D704A"/>
    <w:rsid w:val="004D78D1"/>
    <w:rsid w:val="004D7C60"/>
    <w:rsid w:val="004D7E2B"/>
    <w:rsid w:val="004E00A8"/>
    <w:rsid w:val="004E0583"/>
    <w:rsid w:val="004E0681"/>
    <w:rsid w:val="004E09B2"/>
    <w:rsid w:val="004E1564"/>
    <w:rsid w:val="004E1744"/>
    <w:rsid w:val="004E1894"/>
    <w:rsid w:val="004E19C0"/>
    <w:rsid w:val="004E1C54"/>
    <w:rsid w:val="004E2196"/>
    <w:rsid w:val="004E2C37"/>
    <w:rsid w:val="004E2DDA"/>
    <w:rsid w:val="004E3833"/>
    <w:rsid w:val="004E4C70"/>
    <w:rsid w:val="004E5285"/>
    <w:rsid w:val="004E614E"/>
    <w:rsid w:val="004E6610"/>
    <w:rsid w:val="004E6C72"/>
    <w:rsid w:val="004F0CF3"/>
    <w:rsid w:val="004F172B"/>
    <w:rsid w:val="004F196A"/>
    <w:rsid w:val="004F1D8D"/>
    <w:rsid w:val="004F2D08"/>
    <w:rsid w:val="004F2F69"/>
    <w:rsid w:val="004F3049"/>
    <w:rsid w:val="004F3178"/>
    <w:rsid w:val="004F3E61"/>
    <w:rsid w:val="004F5740"/>
    <w:rsid w:val="004F5887"/>
    <w:rsid w:val="004F58C9"/>
    <w:rsid w:val="004F5CD6"/>
    <w:rsid w:val="004F6219"/>
    <w:rsid w:val="004F631E"/>
    <w:rsid w:val="004F63B7"/>
    <w:rsid w:val="004F640E"/>
    <w:rsid w:val="004F6D01"/>
    <w:rsid w:val="004F6EB8"/>
    <w:rsid w:val="004F6FA8"/>
    <w:rsid w:val="004F7432"/>
    <w:rsid w:val="00500056"/>
    <w:rsid w:val="00500301"/>
    <w:rsid w:val="00501B7E"/>
    <w:rsid w:val="0050205E"/>
    <w:rsid w:val="005028B9"/>
    <w:rsid w:val="00503944"/>
    <w:rsid w:val="00503A3F"/>
    <w:rsid w:val="00503B4E"/>
    <w:rsid w:val="005042B6"/>
    <w:rsid w:val="00504425"/>
    <w:rsid w:val="00504F75"/>
    <w:rsid w:val="005050E2"/>
    <w:rsid w:val="005058B7"/>
    <w:rsid w:val="00505ABC"/>
    <w:rsid w:val="00505E17"/>
    <w:rsid w:val="0050774A"/>
    <w:rsid w:val="00507C50"/>
    <w:rsid w:val="005104BC"/>
    <w:rsid w:val="005111B5"/>
    <w:rsid w:val="005118A5"/>
    <w:rsid w:val="00511A59"/>
    <w:rsid w:val="00511C3B"/>
    <w:rsid w:val="005131C4"/>
    <w:rsid w:val="0051323B"/>
    <w:rsid w:val="0051353C"/>
    <w:rsid w:val="00513751"/>
    <w:rsid w:val="00513DA2"/>
    <w:rsid w:val="00513DAB"/>
    <w:rsid w:val="00514183"/>
    <w:rsid w:val="00514440"/>
    <w:rsid w:val="0051578D"/>
    <w:rsid w:val="00515BAE"/>
    <w:rsid w:val="005166C3"/>
    <w:rsid w:val="00516DC7"/>
    <w:rsid w:val="00517A3F"/>
    <w:rsid w:val="00520F7C"/>
    <w:rsid w:val="0052154F"/>
    <w:rsid w:val="0052206A"/>
    <w:rsid w:val="0052269A"/>
    <w:rsid w:val="00522A13"/>
    <w:rsid w:val="00522CE4"/>
    <w:rsid w:val="0052320F"/>
    <w:rsid w:val="005234AF"/>
    <w:rsid w:val="00523952"/>
    <w:rsid w:val="00523974"/>
    <w:rsid w:val="00523B49"/>
    <w:rsid w:val="00523BC6"/>
    <w:rsid w:val="005252F8"/>
    <w:rsid w:val="00525387"/>
    <w:rsid w:val="00525624"/>
    <w:rsid w:val="00525CC1"/>
    <w:rsid w:val="00526E5D"/>
    <w:rsid w:val="00526EC6"/>
    <w:rsid w:val="00527517"/>
    <w:rsid w:val="00530D6A"/>
    <w:rsid w:val="00531432"/>
    <w:rsid w:val="00532BC8"/>
    <w:rsid w:val="005333E8"/>
    <w:rsid w:val="005334A1"/>
    <w:rsid w:val="005338F8"/>
    <w:rsid w:val="005339A7"/>
    <w:rsid w:val="00533EEE"/>
    <w:rsid w:val="0053479A"/>
    <w:rsid w:val="00534912"/>
    <w:rsid w:val="00536439"/>
    <w:rsid w:val="005370E7"/>
    <w:rsid w:val="005375E6"/>
    <w:rsid w:val="0053772D"/>
    <w:rsid w:val="005409B7"/>
    <w:rsid w:val="00540D4C"/>
    <w:rsid w:val="0054169D"/>
    <w:rsid w:val="005430CE"/>
    <w:rsid w:val="00544579"/>
    <w:rsid w:val="00544ECE"/>
    <w:rsid w:val="00545E62"/>
    <w:rsid w:val="00546CFF"/>
    <w:rsid w:val="00547020"/>
    <w:rsid w:val="00547C7B"/>
    <w:rsid w:val="005506D7"/>
    <w:rsid w:val="00551070"/>
    <w:rsid w:val="00551CA1"/>
    <w:rsid w:val="0055244A"/>
    <w:rsid w:val="00552C75"/>
    <w:rsid w:val="00552C8A"/>
    <w:rsid w:val="005540AB"/>
    <w:rsid w:val="00554E50"/>
    <w:rsid w:val="00555156"/>
    <w:rsid w:val="0055535B"/>
    <w:rsid w:val="00557132"/>
    <w:rsid w:val="00557601"/>
    <w:rsid w:val="005607FC"/>
    <w:rsid w:val="00560A96"/>
    <w:rsid w:val="0056125D"/>
    <w:rsid w:val="005619CB"/>
    <w:rsid w:val="00561B71"/>
    <w:rsid w:val="00561F98"/>
    <w:rsid w:val="0056241B"/>
    <w:rsid w:val="00562892"/>
    <w:rsid w:val="00562B51"/>
    <w:rsid w:val="0056399D"/>
    <w:rsid w:val="0056421F"/>
    <w:rsid w:val="00564607"/>
    <w:rsid w:val="00565193"/>
    <w:rsid w:val="00565812"/>
    <w:rsid w:val="005663E5"/>
    <w:rsid w:val="005664AB"/>
    <w:rsid w:val="00566612"/>
    <w:rsid w:val="0056796B"/>
    <w:rsid w:val="005679AE"/>
    <w:rsid w:val="00570152"/>
    <w:rsid w:val="0057111F"/>
    <w:rsid w:val="005725BD"/>
    <w:rsid w:val="00572BD9"/>
    <w:rsid w:val="005730B0"/>
    <w:rsid w:val="00573344"/>
    <w:rsid w:val="005736A7"/>
    <w:rsid w:val="00573C9B"/>
    <w:rsid w:val="005758A4"/>
    <w:rsid w:val="00575DCC"/>
    <w:rsid w:val="00576E3D"/>
    <w:rsid w:val="005777D9"/>
    <w:rsid w:val="005820E7"/>
    <w:rsid w:val="005821B0"/>
    <w:rsid w:val="00582875"/>
    <w:rsid w:val="00582A22"/>
    <w:rsid w:val="00582D32"/>
    <w:rsid w:val="005843D6"/>
    <w:rsid w:val="00585A8E"/>
    <w:rsid w:val="00585D57"/>
    <w:rsid w:val="00585EA5"/>
    <w:rsid w:val="0058652A"/>
    <w:rsid w:val="005872BF"/>
    <w:rsid w:val="00587DF8"/>
    <w:rsid w:val="00590021"/>
    <w:rsid w:val="005909E6"/>
    <w:rsid w:val="0059175F"/>
    <w:rsid w:val="00591AAC"/>
    <w:rsid w:val="005920A4"/>
    <w:rsid w:val="0059222A"/>
    <w:rsid w:val="005931F7"/>
    <w:rsid w:val="00595461"/>
    <w:rsid w:val="00595D29"/>
    <w:rsid w:val="00595F08"/>
    <w:rsid w:val="00595FBE"/>
    <w:rsid w:val="0059606F"/>
    <w:rsid w:val="00596173"/>
    <w:rsid w:val="005966A6"/>
    <w:rsid w:val="005975F9"/>
    <w:rsid w:val="00597E02"/>
    <w:rsid w:val="00597E68"/>
    <w:rsid w:val="005A0BD3"/>
    <w:rsid w:val="005A1C55"/>
    <w:rsid w:val="005A1E57"/>
    <w:rsid w:val="005A232A"/>
    <w:rsid w:val="005A27EE"/>
    <w:rsid w:val="005A2BF8"/>
    <w:rsid w:val="005A2E98"/>
    <w:rsid w:val="005A322A"/>
    <w:rsid w:val="005A324D"/>
    <w:rsid w:val="005A3855"/>
    <w:rsid w:val="005A4E67"/>
    <w:rsid w:val="005A6766"/>
    <w:rsid w:val="005A6C2F"/>
    <w:rsid w:val="005A7F59"/>
    <w:rsid w:val="005B072F"/>
    <w:rsid w:val="005B1570"/>
    <w:rsid w:val="005B15E3"/>
    <w:rsid w:val="005B169D"/>
    <w:rsid w:val="005B1AFF"/>
    <w:rsid w:val="005B2DE3"/>
    <w:rsid w:val="005B36DF"/>
    <w:rsid w:val="005B402D"/>
    <w:rsid w:val="005B467C"/>
    <w:rsid w:val="005B472A"/>
    <w:rsid w:val="005B4ACA"/>
    <w:rsid w:val="005B5232"/>
    <w:rsid w:val="005B545C"/>
    <w:rsid w:val="005B6076"/>
    <w:rsid w:val="005B6214"/>
    <w:rsid w:val="005B67B0"/>
    <w:rsid w:val="005B6B12"/>
    <w:rsid w:val="005C06F3"/>
    <w:rsid w:val="005C0960"/>
    <w:rsid w:val="005C099A"/>
    <w:rsid w:val="005C1923"/>
    <w:rsid w:val="005C19E9"/>
    <w:rsid w:val="005C2500"/>
    <w:rsid w:val="005C2750"/>
    <w:rsid w:val="005C2AF4"/>
    <w:rsid w:val="005C2DBC"/>
    <w:rsid w:val="005C368E"/>
    <w:rsid w:val="005C3BD8"/>
    <w:rsid w:val="005C45DB"/>
    <w:rsid w:val="005C4838"/>
    <w:rsid w:val="005C548A"/>
    <w:rsid w:val="005C5899"/>
    <w:rsid w:val="005C5F13"/>
    <w:rsid w:val="005C6541"/>
    <w:rsid w:val="005C65F9"/>
    <w:rsid w:val="005C6B0E"/>
    <w:rsid w:val="005C709F"/>
    <w:rsid w:val="005C7125"/>
    <w:rsid w:val="005C7383"/>
    <w:rsid w:val="005C7E15"/>
    <w:rsid w:val="005C7E1F"/>
    <w:rsid w:val="005D017F"/>
    <w:rsid w:val="005D08FD"/>
    <w:rsid w:val="005D0F9E"/>
    <w:rsid w:val="005D19A8"/>
    <w:rsid w:val="005D1B9E"/>
    <w:rsid w:val="005D1F6B"/>
    <w:rsid w:val="005D27AD"/>
    <w:rsid w:val="005D2DE7"/>
    <w:rsid w:val="005D2F96"/>
    <w:rsid w:val="005D331C"/>
    <w:rsid w:val="005D3A31"/>
    <w:rsid w:val="005D4709"/>
    <w:rsid w:val="005D4D40"/>
    <w:rsid w:val="005D50F4"/>
    <w:rsid w:val="005D55F2"/>
    <w:rsid w:val="005D55FD"/>
    <w:rsid w:val="005D5756"/>
    <w:rsid w:val="005D5BA4"/>
    <w:rsid w:val="005D6073"/>
    <w:rsid w:val="005D6355"/>
    <w:rsid w:val="005D681C"/>
    <w:rsid w:val="005D7AAF"/>
    <w:rsid w:val="005D7F77"/>
    <w:rsid w:val="005E0B24"/>
    <w:rsid w:val="005E0C07"/>
    <w:rsid w:val="005E0C59"/>
    <w:rsid w:val="005E11B5"/>
    <w:rsid w:val="005E18A3"/>
    <w:rsid w:val="005E18DE"/>
    <w:rsid w:val="005E1DA3"/>
    <w:rsid w:val="005E306B"/>
    <w:rsid w:val="005E4424"/>
    <w:rsid w:val="005E4FF9"/>
    <w:rsid w:val="005E53D0"/>
    <w:rsid w:val="005E5785"/>
    <w:rsid w:val="005E5BFD"/>
    <w:rsid w:val="005E5F4E"/>
    <w:rsid w:val="005E6098"/>
    <w:rsid w:val="005E6271"/>
    <w:rsid w:val="005E67BC"/>
    <w:rsid w:val="005E7969"/>
    <w:rsid w:val="005E7D69"/>
    <w:rsid w:val="005F0539"/>
    <w:rsid w:val="005F0C93"/>
    <w:rsid w:val="005F276B"/>
    <w:rsid w:val="005F2B6B"/>
    <w:rsid w:val="005F341F"/>
    <w:rsid w:val="005F3F22"/>
    <w:rsid w:val="005F42DF"/>
    <w:rsid w:val="005F4E55"/>
    <w:rsid w:val="005F4FC0"/>
    <w:rsid w:val="005F51AC"/>
    <w:rsid w:val="005F540F"/>
    <w:rsid w:val="005F5491"/>
    <w:rsid w:val="005F6144"/>
    <w:rsid w:val="005F6573"/>
    <w:rsid w:val="005F701D"/>
    <w:rsid w:val="005F7B2E"/>
    <w:rsid w:val="006010BD"/>
    <w:rsid w:val="00601541"/>
    <w:rsid w:val="0060166E"/>
    <w:rsid w:val="0060173A"/>
    <w:rsid w:val="00601BB7"/>
    <w:rsid w:val="00601ED5"/>
    <w:rsid w:val="00602802"/>
    <w:rsid w:val="0060361E"/>
    <w:rsid w:val="006040AD"/>
    <w:rsid w:val="0060493A"/>
    <w:rsid w:val="00604A25"/>
    <w:rsid w:val="00604E16"/>
    <w:rsid w:val="00605C2D"/>
    <w:rsid w:val="00605F47"/>
    <w:rsid w:val="00606043"/>
    <w:rsid w:val="00606379"/>
    <w:rsid w:val="00606683"/>
    <w:rsid w:val="006066A1"/>
    <w:rsid w:val="00606702"/>
    <w:rsid w:val="00606CAF"/>
    <w:rsid w:val="00606F7B"/>
    <w:rsid w:val="006072C6"/>
    <w:rsid w:val="006073CC"/>
    <w:rsid w:val="00607BBB"/>
    <w:rsid w:val="00610091"/>
    <w:rsid w:val="006107DC"/>
    <w:rsid w:val="00611011"/>
    <w:rsid w:val="0061114C"/>
    <w:rsid w:val="00612226"/>
    <w:rsid w:val="006129F5"/>
    <w:rsid w:val="00613983"/>
    <w:rsid w:val="00613BF6"/>
    <w:rsid w:val="00614D77"/>
    <w:rsid w:val="00614EFD"/>
    <w:rsid w:val="00615B8F"/>
    <w:rsid w:val="006160B8"/>
    <w:rsid w:val="006167F6"/>
    <w:rsid w:val="00616D27"/>
    <w:rsid w:val="00617648"/>
    <w:rsid w:val="0062128A"/>
    <w:rsid w:val="00621662"/>
    <w:rsid w:val="00621B98"/>
    <w:rsid w:val="00621F53"/>
    <w:rsid w:val="00622E5D"/>
    <w:rsid w:val="00623133"/>
    <w:rsid w:val="006234FE"/>
    <w:rsid w:val="00623840"/>
    <w:rsid w:val="00623E67"/>
    <w:rsid w:val="00623ED3"/>
    <w:rsid w:val="00624122"/>
    <w:rsid w:val="00624C0A"/>
    <w:rsid w:val="00624FE5"/>
    <w:rsid w:val="00625568"/>
    <w:rsid w:val="006255EC"/>
    <w:rsid w:val="00625A25"/>
    <w:rsid w:val="006262D7"/>
    <w:rsid w:val="0062736A"/>
    <w:rsid w:val="006311F4"/>
    <w:rsid w:val="006316BD"/>
    <w:rsid w:val="006316FA"/>
    <w:rsid w:val="00631719"/>
    <w:rsid w:val="0063361D"/>
    <w:rsid w:val="00633978"/>
    <w:rsid w:val="00633CD2"/>
    <w:rsid w:val="0063565E"/>
    <w:rsid w:val="006357D1"/>
    <w:rsid w:val="00636E02"/>
    <w:rsid w:val="006370F3"/>
    <w:rsid w:val="006372FE"/>
    <w:rsid w:val="0063771C"/>
    <w:rsid w:val="00640619"/>
    <w:rsid w:val="00640691"/>
    <w:rsid w:val="00641086"/>
    <w:rsid w:val="00641266"/>
    <w:rsid w:val="00641DB1"/>
    <w:rsid w:val="00642217"/>
    <w:rsid w:val="00642297"/>
    <w:rsid w:val="00643032"/>
    <w:rsid w:val="00643290"/>
    <w:rsid w:val="00643742"/>
    <w:rsid w:val="006437A5"/>
    <w:rsid w:val="0064492A"/>
    <w:rsid w:val="00644A07"/>
    <w:rsid w:val="00644A34"/>
    <w:rsid w:val="00644BC0"/>
    <w:rsid w:val="00644BC5"/>
    <w:rsid w:val="006457F5"/>
    <w:rsid w:val="00645C00"/>
    <w:rsid w:val="00645CB0"/>
    <w:rsid w:val="006472E4"/>
    <w:rsid w:val="00647D4E"/>
    <w:rsid w:val="0065300B"/>
    <w:rsid w:val="0065344C"/>
    <w:rsid w:val="006540DA"/>
    <w:rsid w:val="00654824"/>
    <w:rsid w:val="00655791"/>
    <w:rsid w:val="0065710B"/>
    <w:rsid w:val="0065737A"/>
    <w:rsid w:val="0065753A"/>
    <w:rsid w:val="00657C4F"/>
    <w:rsid w:val="006602AD"/>
    <w:rsid w:val="00660951"/>
    <w:rsid w:val="00661766"/>
    <w:rsid w:val="00662237"/>
    <w:rsid w:val="00662361"/>
    <w:rsid w:val="00662882"/>
    <w:rsid w:val="0066298C"/>
    <w:rsid w:val="00663008"/>
    <w:rsid w:val="00663093"/>
    <w:rsid w:val="00663CF0"/>
    <w:rsid w:val="00663F7E"/>
    <w:rsid w:val="0066553D"/>
    <w:rsid w:val="0066597C"/>
    <w:rsid w:val="00665A70"/>
    <w:rsid w:val="00665A7C"/>
    <w:rsid w:val="00665B0B"/>
    <w:rsid w:val="00665BA0"/>
    <w:rsid w:val="00665BC3"/>
    <w:rsid w:val="0066665B"/>
    <w:rsid w:val="006666E4"/>
    <w:rsid w:val="0066693D"/>
    <w:rsid w:val="00666ECF"/>
    <w:rsid w:val="006676F2"/>
    <w:rsid w:val="00667A57"/>
    <w:rsid w:val="006701FE"/>
    <w:rsid w:val="006705CD"/>
    <w:rsid w:val="00671363"/>
    <w:rsid w:val="006713FF"/>
    <w:rsid w:val="006715E9"/>
    <w:rsid w:val="006718D2"/>
    <w:rsid w:val="00672780"/>
    <w:rsid w:val="00672842"/>
    <w:rsid w:val="00673001"/>
    <w:rsid w:val="006733E9"/>
    <w:rsid w:val="00673475"/>
    <w:rsid w:val="00674DAC"/>
    <w:rsid w:val="00675046"/>
    <w:rsid w:val="006760E0"/>
    <w:rsid w:val="00676CFC"/>
    <w:rsid w:val="00677133"/>
    <w:rsid w:val="006776F0"/>
    <w:rsid w:val="00680C6C"/>
    <w:rsid w:val="00681482"/>
    <w:rsid w:val="00681727"/>
    <w:rsid w:val="006820CE"/>
    <w:rsid w:val="006826A4"/>
    <w:rsid w:val="00682E70"/>
    <w:rsid w:val="00683973"/>
    <w:rsid w:val="00683F8F"/>
    <w:rsid w:val="0068419D"/>
    <w:rsid w:val="00684474"/>
    <w:rsid w:val="00685036"/>
    <w:rsid w:val="00687BF0"/>
    <w:rsid w:val="006904CF"/>
    <w:rsid w:val="006912FB"/>
    <w:rsid w:val="00691331"/>
    <w:rsid w:val="00691757"/>
    <w:rsid w:val="00693162"/>
    <w:rsid w:val="006944D4"/>
    <w:rsid w:val="00694F3E"/>
    <w:rsid w:val="00695489"/>
    <w:rsid w:val="00695AF2"/>
    <w:rsid w:val="00696921"/>
    <w:rsid w:val="00696A2B"/>
    <w:rsid w:val="00696BD5"/>
    <w:rsid w:val="00697094"/>
    <w:rsid w:val="00697940"/>
    <w:rsid w:val="006A0200"/>
    <w:rsid w:val="006A04AE"/>
    <w:rsid w:val="006A06DE"/>
    <w:rsid w:val="006A0AE4"/>
    <w:rsid w:val="006A103F"/>
    <w:rsid w:val="006A11D8"/>
    <w:rsid w:val="006A155E"/>
    <w:rsid w:val="006A1886"/>
    <w:rsid w:val="006A23F3"/>
    <w:rsid w:val="006A2CF3"/>
    <w:rsid w:val="006A3C4C"/>
    <w:rsid w:val="006A440E"/>
    <w:rsid w:val="006A4BDA"/>
    <w:rsid w:val="006A5047"/>
    <w:rsid w:val="006A5604"/>
    <w:rsid w:val="006A5753"/>
    <w:rsid w:val="006A5DD0"/>
    <w:rsid w:val="006A5DDC"/>
    <w:rsid w:val="006A5E48"/>
    <w:rsid w:val="006A6426"/>
    <w:rsid w:val="006A6C21"/>
    <w:rsid w:val="006A6D12"/>
    <w:rsid w:val="006A703F"/>
    <w:rsid w:val="006A7A10"/>
    <w:rsid w:val="006B0936"/>
    <w:rsid w:val="006B0DA4"/>
    <w:rsid w:val="006B1B6B"/>
    <w:rsid w:val="006B286F"/>
    <w:rsid w:val="006B2C57"/>
    <w:rsid w:val="006B2EFD"/>
    <w:rsid w:val="006B3125"/>
    <w:rsid w:val="006B3666"/>
    <w:rsid w:val="006B391B"/>
    <w:rsid w:val="006B3E43"/>
    <w:rsid w:val="006B4302"/>
    <w:rsid w:val="006B496E"/>
    <w:rsid w:val="006B5E12"/>
    <w:rsid w:val="006B6038"/>
    <w:rsid w:val="006B6606"/>
    <w:rsid w:val="006B70A6"/>
    <w:rsid w:val="006B7249"/>
    <w:rsid w:val="006B79E0"/>
    <w:rsid w:val="006C053F"/>
    <w:rsid w:val="006C080F"/>
    <w:rsid w:val="006C0B2D"/>
    <w:rsid w:val="006C0DAF"/>
    <w:rsid w:val="006C1633"/>
    <w:rsid w:val="006C1D01"/>
    <w:rsid w:val="006C388D"/>
    <w:rsid w:val="006C3AA7"/>
    <w:rsid w:val="006C47DD"/>
    <w:rsid w:val="006C52D3"/>
    <w:rsid w:val="006C537E"/>
    <w:rsid w:val="006C5BF8"/>
    <w:rsid w:val="006C5DE9"/>
    <w:rsid w:val="006C6204"/>
    <w:rsid w:val="006C723B"/>
    <w:rsid w:val="006C7399"/>
    <w:rsid w:val="006C7811"/>
    <w:rsid w:val="006C7CCB"/>
    <w:rsid w:val="006C7DEB"/>
    <w:rsid w:val="006D0D33"/>
    <w:rsid w:val="006D0D81"/>
    <w:rsid w:val="006D1C58"/>
    <w:rsid w:val="006D38BC"/>
    <w:rsid w:val="006D3F14"/>
    <w:rsid w:val="006D3FDF"/>
    <w:rsid w:val="006D4458"/>
    <w:rsid w:val="006D4A37"/>
    <w:rsid w:val="006D577A"/>
    <w:rsid w:val="006D6009"/>
    <w:rsid w:val="006D6B77"/>
    <w:rsid w:val="006D7160"/>
    <w:rsid w:val="006D7389"/>
    <w:rsid w:val="006D7D41"/>
    <w:rsid w:val="006E16A3"/>
    <w:rsid w:val="006E171B"/>
    <w:rsid w:val="006E1B11"/>
    <w:rsid w:val="006E214B"/>
    <w:rsid w:val="006E2435"/>
    <w:rsid w:val="006E2758"/>
    <w:rsid w:val="006E2F4D"/>
    <w:rsid w:val="006E33F5"/>
    <w:rsid w:val="006E3520"/>
    <w:rsid w:val="006E3FDD"/>
    <w:rsid w:val="006E4177"/>
    <w:rsid w:val="006E41D5"/>
    <w:rsid w:val="006E58FB"/>
    <w:rsid w:val="006E5AF6"/>
    <w:rsid w:val="006E5B6C"/>
    <w:rsid w:val="006E5BB8"/>
    <w:rsid w:val="006E5D1A"/>
    <w:rsid w:val="006E5D82"/>
    <w:rsid w:val="006E63A4"/>
    <w:rsid w:val="006E6405"/>
    <w:rsid w:val="006E66B2"/>
    <w:rsid w:val="006E6C50"/>
    <w:rsid w:val="006E7000"/>
    <w:rsid w:val="006E7A69"/>
    <w:rsid w:val="006E7DE4"/>
    <w:rsid w:val="006E7E46"/>
    <w:rsid w:val="006F09C5"/>
    <w:rsid w:val="006F0FBD"/>
    <w:rsid w:val="006F2767"/>
    <w:rsid w:val="006F2ACF"/>
    <w:rsid w:val="006F3FD5"/>
    <w:rsid w:val="006F4139"/>
    <w:rsid w:val="006F425D"/>
    <w:rsid w:val="006F53E8"/>
    <w:rsid w:val="006F5FB8"/>
    <w:rsid w:val="006F6038"/>
    <w:rsid w:val="006F6353"/>
    <w:rsid w:val="006F7B84"/>
    <w:rsid w:val="006F7D6C"/>
    <w:rsid w:val="0070017B"/>
    <w:rsid w:val="00700377"/>
    <w:rsid w:val="00700D56"/>
    <w:rsid w:val="00700FC1"/>
    <w:rsid w:val="00701ADD"/>
    <w:rsid w:val="00703520"/>
    <w:rsid w:val="00703622"/>
    <w:rsid w:val="0070427E"/>
    <w:rsid w:val="0070449B"/>
    <w:rsid w:val="007046EB"/>
    <w:rsid w:val="00704933"/>
    <w:rsid w:val="00704D53"/>
    <w:rsid w:val="007056C3"/>
    <w:rsid w:val="00705B98"/>
    <w:rsid w:val="00706072"/>
    <w:rsid w:val="007060C3"/>
    <w:rsid w:val="0070638C"/>
    <w:rsid w:val="007079A6"/>
    <w:rsid w:val="00707AF7"/>
    <w:rsid w:val="007101E9"/>
    <w:rsid w:val="0071051F"/>
    <w:rsid w:val="007115E6"/>
    <w:rsid w:val="0071199B"/>
    <w:rsid w:val="007127F1"/>
    <w:rsid w:val="00713644"/>
    <w:rsid w:val="007148CC"/>
    <w:rsid w:val="00714EFA"/>
    <w:rsid w:val="00715358"/>
    <w:rsid w:val="00715812"/>
    <w:rsid w:val="00716582"/>
    <w:rsid w:val="0071680D"/>
    <w:rsid w:val="00720239"/>
    <w:rsid w:val="00720A39"/>
    <w:rsid w:val="00721256"/>
    <w:rsid w:val="007212F9"/>
    <w:rsid w:val="00721732"/>
    <w:rsid w:val="007217AD"/>
    <w:rsid w:val="007219A9"/>
    <w:rsid w:val="00721BA4"/>
    <w:rsid w:val="00722EEF"/>
    <w:rsid w:val="0072334A"/>
    <w:rsid w:val="0072343E"/>
    <w:rsid w:val="00723A19"/>
    <w:rsid w:val="00723BA1"/>
    <w:rsid w:val="00723CA8"/>
    <w:rsid w:val="007249D9"/>
    <w:rsid w:val="00724A1B"/>
    <w:rsid w:val="00726185"/>
    <w:rsid w:val="0072689C"/>
    <w:rsid w:val="00727D0F"/>
    <w:rsid w:val="0073173E"/>
    <w:rsid w:val="007318BE"/>
    <w:rsid w:val="007319C3"/>
    <w:rsid w:val="00731D9A"/>
    <w:rsid w:val="00732307"/>
    <w:rsid w:val="007337ED"/>
    <w:rsid w:val="00733FB8"/>
    <w:rsid w:val="0073454F"/>
    <w:rsid w:val="007345DA"/>
    <w:rsid w:val="00734C36"/>
    <w:rsid w:val="00735C00"/>
    <w:rsid w:val="00736104"/>
    <w:rsid w:val="0073616B"/>
    <w:rsid w:val="007364C6"/>
    <w:rsid w:val="0073755C"/>
    <w:rsid w:val="00740386"/>
    <w:rsid w:val="0074073C"/>
    <w:rsid w:val="00740BF3"/>
    <w:rsid w:val="007417B5"/>
    <w:rsid w:val="00741D5C"/>
    <w:rsid w:val="007422B5"/>
    <w:rsid w:val="0074347D"/>
    <w:rsid w:val="0074352F"/>
    <w:rsid w:val="00744421"/>
    <w:rsid w:val="00744C40"/>
    <w:rsid w:val="00745012"/>
    <w:rsid w:val="007469CF"/>
    <w:rsid w:val="007479DC"/>
    <w:rsid w:val="00747C5E"/>
    <w:rsid w:val="00750210"/>
    <w:rsid w:val="00750288"/>
    <w:rsid w:val="007510B5"/>
    <w:rsid w:val="0075114F"/>
    <w:rsid w:val="0075162F"/>
    <w:rsid w:val="00751E4B"/>
    <w:rsid w:val="00751E5B"/>
    <w:rsid w:val="007527B7"/>
    <w:rsid w:val="00754844"/>
    <w:rsid w:val="00754AE5"/>
    <w:rsid w:val="00754B57"/>
    <w:rsid w:val="0075582D"/>
    <w:rsid w:val="00756628"/>
    <w:rsid w:val="0075671D"/>
    <w:rsid w:val="00756C1D"/>
    <w:rsid w:val="00756CC0"/>
    <w:rsid w:val="00756E48"/>
    <w:rsid w:val="00757F06"/>
    <w:rsid w:val="0076002F"/>
    <w:rsid w:val="0076038B"/>
    <w:rsid w:val="00761100"/>
    <w:rsid w:val="00761744"/>
    <w:rsid w:val="007619D4"/>
    <w:rsid w:val="007619EB"/>
    <w:rsid w:val="00761E03"/>
    <w:rsid w:val="00762014"/>
    <w:rsid w:val="007621E0"/>
    <w:rsid w:val="00762924"/>
    <w:rsid w:val="00763A95"/>
    <w:rsid w:val="00764582"/>
    <w:rsid w:val="0076536F"/>
    <w:rsid w:val="00765FA3"/>
    <w:rsid w:val="007667FF"/>
    <w:rsid w:val="00766961"/>
    <w:rsid w:val="00766B5A"/>
    <w:rsid w:val="00766FDB"/>
    <w:rsid w:val="0077026A"/>
    <w:rsid w:val="00770278"/>
    <w:rsid w:val="00770C33"/>
    <w:rsid w:val="00771C61"/>
    <w:rsid w:val="00773EB2"/>
    <w:rsid w:val="007741C3"/>
    <w:rsid w:val="0077428F"/>
    <w:rsid w:val="007770EE"/>
    <w:rsid w:val="00777BE0"/>
    <w:rsid w:val="00777CFF"/>
    <w:rsid w:val="00780119"/>
    <w:rsid w:val="00780231"/>
    <w:rsid w:val="00780923"/>
    <w:rsid w:val="00780D1E"/>
    <w:rsid w:val="00781265"/>
    <w:rsid w:val="0078131F"/>
    <w:rsid w:val="007814B9"/>
    <w:rsid w:val="00782D7E"/>
    <w:rsid w:val="007830DC"/>
    <w:rsid w:val="00783F2D"/>
    <w:rsid w:val="007844C6"/>
    <w:rsid w:val="00784DCA"/>
    <w:rsid w:val="007856F3"/>
    <w:rsid w:val="00785BF1"/>
    <w:rsid w:val="00786667"/>
    <w:rsid w:val="00787235"/>
    <w:rsid w:val="007876EF"/>
    <w:rsid w:val="0078779F"/>
    <w:rsid w:val="00787E5F"/>
    <w:rsid w:val="00790306"/>
    <w:rsid w:val="00790805"/>
    <w:rsid w:val="007909BD"/>
    <w:rsid w:val="00790F37"/>
    <w:rsid w:val="0079176F"/>
    <w:rsid w:val="00792A48"/>
    <w:rsid w:val="0079364C"/>
    <w:rsid w:val="007942B9"/>
    <w:rsid w:val="007945C4"/>
    <w:rsid w:val="007958BE"/>
    <w:rsid w:val="00796B11"/>
    <w:rsid w:val="00796C02"/>
    <w:rsid w:val="00796C7F"/>
    <w:rsid w:val="00797041"/>
    <w:rsid w:val="007971CA"/>
    <w:rsid w:val="007974F2"/>
    <w:rsid w:val="0079780B"/>
    <w:rsid w:val="00797E0C"/>
    <w:rsid w:val="007A160F"/>
    <w:rsid w:val="007A18C9"/>
    <w:rsid w:val="007A1B5B"/>
    <w:rsid w:val="007A2297"/>
    <w:rsid w:val="007A2E07"/>
    <w:rsid w:val="007A3C7D"/>
    <w:rsid w:val="007A48BC"/>
    <w:rsid w:val="007A547F"/>
    <w:rsid w:val="007A7C04"/>
    <w:rsid w:val="007A7E4F"/>
    <w:rsid w:val="007B0BC1"/>
    <w:rsid w:val="007B0CDB"/>
    <w:rsid w:val="007B2003"/>
    <w:rsid w:val="007B294F"/>
    <w:rsid w:val="007B354B"/>
    <w:rsid w:val="007B3DF0"/>
    <w:rsid w:val="007B3FE9"/>
    <w:rsid w:val="007B4497"/>
    <w:rsid w:val="007B4FC3"/>
    <w:rsid w:val="007B5ADF"/>
    <w:rsid w:val="007B5D20"/>
    <w:rsid w:val="007B6FD6"/>
    <w:rsid w:val="007B73F3"/>
    <w:rsid w:val="007B7EE5"/>
    <w:rsid w:val="007C092B"/>
    <w:rsid w:val="007C182B"/>
    <w:rsid w:val="007C1C28"/>
    <w:rsid w:val="007C2A2C"/>
    <w:rsid w:val="007C31F7"/>
    <w:rsid w:val="007C3577"/>
    <w:rsid w:val="007C5E08"/>
    <w:rsid w:val="007C6CF5"/>
    <w:rsid w:val="007C7299"/>
    <w:rsid w:val="007C72E3"/>
    <w:rsid w:val="007C79A5"/>
    <w:rsid w:val="007C7B95"/>
    <w:rsid w:val="007D0002"/>
    <w:rsid w:val="007D090D"/>
    <w:rsid w:val="007D0AA6"/>
    <w:rsid w:val="007D0E88"/>
    <w:rsid w:val="007D0F2E"/>
    <w:rsid w:val="007D27E9"/>
    <w:rsid w:val="007D2A13"/>
    <w:rsid w:val="007D3DAC"/>
    <w:rsid w:val="007D4365"/>
    <w:rsid w:val="007D52F0"/>
    <w:rsid w:val="007D6825"/>
    <w:rsid w:val="007D6D45"/>
    <w:rsid w:val="007D7753"/>
    <w:rsid w:val="007D7A59"/>
    <w:rsid w:val="007E0E75"/>
    <w:rsid w:val="007E134A"/>
    <w:rsid w:val="007E14F8"/>
    <w:rsid w:val="007E1A49"/>
    <w:rsid w:val="007E2575"/>
    <w:rsid w:val="007E2E97"/>
    <w:rsid w:val="007E3D2E"/>
    <w:rsid w:val="007E427E"/>
    <w:rsid w:val="007E5394"/>
    <w:rsid w:val="007E53F5"/>
    <w:rsid w:val="007E5AEE"/>
    <w:rsid w:val="007E6CC7"/>
    <w:rsid w:val="007E6E9E"/>
    <w:rsid w:val="007E7141"/>
    <w:rsid w:val="007E7637"/>
    <w:rsid w:val="007E7997"/>
    <w:rsid w:val="007F014A"/>
    <w:rsid w:val="007F04EF"/>
    <w:rsid w:val="007F0763"/>
    <w:rsid w:val="007F0912"/>
    <w:rsid w:val="007F1DE9"/>
    <w:rsid w:val="007F2338"/>
    <w:rsid w:val="007F2475"/>
    <w:rsid w:val="007F25C2"/>
    <w:rsid w:val="007F25D6"/>
    <w:rsid w:val="007F348B"/>
    <w:rsid w:val="007F348D"/>
    <w:rsid w:val="007F359F"/>
    <w:rsid w:val="007F38A8"/>
    <w:rsid w:val="007F3BB9"/>
    <w:rsid w:val="007F4F88"/>
    <w:rsid w:val="007F4FB4"/>
    <w:rsid w:val="007F5223"/>
    <w:rsid w:val="007F561E"/>
    <w:rsid w:val="007F5642"/>
    <w:rsid w:val="007F5647"/>
    <w:rsid w:val="007F5822"/>
    <w:rsid w:val="007F5B86"/>
    <w:rsid w:val="007F6386"/>
    <w:rsid w:val="007F6932"/>
    <w:rsid w:val="007F69FE"/>
    <w:rsid w:val="007F6A48"/>
    <w:rsid w:val="007F6D1B"/>
    <w:rsid w:val="007F7578"/>
    <w:rsid w:val="007F7779"/>
    <w:rsid w:val="007F7CAD"/>
    <w:rsid w:val="0080010B"/>
    <w:rsid w:val="00800A6C"/>
    <w:rsid w:val="00800A7F"/>
    <w:rsid w:val="00800B1F"/>
    <w:rsid w:val="00801E89"/>
    <w:rsid w:val="0080285D"/>
    <w:rsid w:val="00802E5A"/>
    <w:rsid w:val="00804377"/>
    <w:rsid w:val="008049E1"/>
    <w:rsid w:val="00804CED"/>
    <w:rsid w:val="00805325"/>
    <w:rsid w:val="0080548D"/>
    <w:rsid w:val="00805680"/>
    <w:rsid w:val="00807FEC"/>
    <w:rsid w:val="00810083"/>
    <w:rsid w:val="0081028F"/>
    <w:rsid w:val="008107D9"/>
    <w:rsid w:val="008108CF"/>
    <w:rsid w:val="0081093B"/>
    <w:rsid w:val="00811562"/>
    <w:rsid w:val="008116D9"/>
    <w:rsid w:val="00811936"/>
    <w:rsid w:val="00811F2B"/>
    <w:rsid w:val="008125C5"/>
    <w:rsid w:val="0081281F"/>
    <w:rsid w:val="00812BE2"/>
    <w:rsid w:val="00813059"/>
    <w:rsid w:val="0081360B"/>
    <w:rsid w:val="00813F47"/>
    <w:rsid w:val="008146FD"/>
    <w:rsid w:val="00814D3E"/>
    <w:rsid w:val="00815227"/>
    <w:rsid w:val="008157C8"/>
    <w:rsid w:val="00815C43"/>
    <w:rsid w:val="00816BFD"/>
    <w:rsid w:val="00816F20"/>
    <w:rsid w:val="00816FBC"/>
    <w:rsid w:val="008173E2"/>
    <w:rsid w:val="00817537"/>
    <w:rsid w:val="008201C3"/>
    <w:rsid w:val="00820422"/>
    <w:rsid w:val="0082047F"/>
    <w:rsid w:val="00820655"/>
    <w:rsid w:val="008213FD"/>
    <w:rsid w:val="00821A32"/>
    <w:rsid w:val="008227D7"/>
    <w:rsid w:val="00822F8A"/>
    <w:rsid w:val="008231EF"/>
    <w:rsid w:val="00824593"/>
    <w:rsid w:val="008249A1"/>
    <w:rsid w:val="00824B24"/>
    <w:rsid w:val="0082588B"/>
    <w:rsid w:val="00825D43"/>
    <w:rsid w:val="00825E9C"/>
    <w:rsid w:val="0082632D"/>
    <w:rsid w:val="00826CB2"/>
    <w:rsid w:val="00826DA5"/>
    <w:rsid w:val="00826E6C"/>
    <w:rsid w:val="00826FE3"/>
    <w:rsid w:val="0082797B"/>
    <w:rsid w:val="008279D3"/>
    <w:rsid w:val="00827C42"/>
    <w:rsid w:val="00830AC0"/>
    <w:rsid w:val="008316D9"/>
    <w:rsid w:val="00832500"/>
    <w:rsid w:val="00832787"/>
    <w:rsid w:val="0083293A"/>
    <w:rsid w:val="00832DAE"/>
    <w:rsid w:val="00833000"/>
    <w:rsid w:val="00833599"/>
    <w:rsid w:val="00834338"/>
    <w:rsid w:val="00835192"/>
    <w:rsid w:val="008352F6"/>
    <w:rsid w:val="008356D0"/>
    <w:rsid w:val="008357A1"/>
    <w:rsid w:val="00835805"/>
    <w:rsid w:val="0083595F"/>
    <w:rsid w:val="00835A3C"/>
    <w:rsid w:val="00835EE2"/>
    <w:rsid w:val="008372B6"/>
    <w:rsid w:val="00837DD3"/>
    <w:rsid w:val="00837E5B"/>
    <w:rsid w:val="00840CE9"/>
    <w:rsid w:val="00840CF9"/>
    <w:rsid w:val="008410D1"/>
    <w:rsid w:val="00841379"/>
    <w:rsid w:val="00841543"/>
    <w:rsid w:val="00842BF5"/>
    <w:rsid w:val="00843A1A"/>
    <w:rsid w:val="00844BFD"/>
    <w:rsid w:val="00844ECA"/>
    <w:rsid w:val="00845A3F"/>
    <w:rsid w:val="00846433"/>
    <w:rsid w:val="008472C2"/>
    <w:rsid w:val="00847887"/>
    <w:rsid w:val="0084788E"/>
    <w:rsid w:val="00850112"/>
    <w:rsid w:val="008501D1"/>
    <w:rsid w:val="0085086C"/>
    <w:rsid w:val="00850B43"/>
    <w:rsid w:val="008510D9"/>
    <w:rsid w:val="00851B2C"/>
    <w:rsid w:val="00851EE3"/>
    <w:rsid w:val="00852E8F"/>
    <w:rsid w:val="00852F6D"/>
    <w:rsid w:val="00853094"/>
    <w:rsid w:val="00853121"/>
    <w:rsid w:val="008533E3"/>
    <w:rsid w:val="00853AD3"/>
    <w:rsid w:val="008555E4"/>
    <w:rsid w:val="0085571C"/>
    <w:rsid w:val="008557EC"/>
    <w:rsid w:val="00855EB6"/>
    <w:rsid w:val="008576CC"/>
    <w:rsid w:val="00857862"/>
    <w:rsid w:val="00857B76"/>
    <w:rsid w:val="0086041E"/>
    <w:rsid w:val="008607A6"/>
    <w:rsid w:val="00860DB5"/>
    <w:rsid w:val="00861C5F"/>
    <w:rsid w:val="00861F92"/>
    <w:rsid w:val="008626B5"/>
    <w:rsid w:val="0086392B"/>
    <w:rsid w:val="008639D1"/>
    <w:rsid w:val="00863CC1"/>
    <w:rsid w:val="00864124"/>
    <w:rsid w:val="00864227"/>
    <w:rsid w:val="00864B6D"/>
    <w:rsid w:val="00864E60"/>
    <w:rsid w:val="008661F1"/>
    <w:rsid w:val="00866A09"/>
    <w:rsid w:val="008674F8"/>
    <w:rsid w:val="008707C0"/>
    <w:rsid w:val="00870D38"/>
    <w:rsid w:val="00871163"/>
    <w:rsid w:val="008712BF"/>
    <w:rsid w:val="00872209"/>
    <w:rsid w:val="008731EB"/>
    <w:rsid w:val="00873656"/>
    <w:rsid w:val="00873792"/>
    <w:rsid w:val="00874E2C"/>
    <w:rsid w:val="0087534E"/>
    <w:rsid w:val="0087644F"/>
    <w:rsid w:val="00877772"/>
    <w:rsid w:val="00880140"/>
    <w:rsid w:val="00880974"/>
    <w:rsid w:val="008824A1"/>
    <w:rsid w:val="008827BB"/>
    <w:rsid w:val="008838A4"/>
    <w:rsid w:val="008842F7"/>
    <w:rsid w:val="00885193"/>
    <w:rsid w:val="008853C7"/>
    <w:rsid w:val="00885B94"/>
    <w:rsid w:val="008860F1"/>
    <w:rsid w:val="0088683F"/>
    <w:rsid w:val="00887EA9"/>
    <w:rsid w:val="008901E9"/>
    <w:rsid w:val="00890470"/>
    <w:rsid w:val="0089075A"/>
    <w:rsid w:val="00890F80"/>
    <w:rsid w:val="00892BFD"/>
    <w:rsid w:val="0089338A"/>
    <w:rsid w:val="008933D2"/>
    <w:rsid w:val="008936CF"/>
    <w:rsid w:val="008937D8"/>
    <w:rsid w:val="00894199"/>
    <w:rsid w:val="008945EB"/>
    <w:rsid w:val="0089482E"/>
    <w:rsid w:val="008948BE"/>
    <w:rsid w:val="00894E14"/>
    <w:rsid w:val="00895978"/>
    <w:rsid w:val="00895BC5"/>
    <w:rsid w:val="0089637A"/>
    <w:rsid w:val="00897202"/>
    <w:rsid w:val="008A0451"/>
    <w:rsid w:val="008A07CF"/>
    <w:rsid w:val="008A0F3B"/>
    <w:rsid w:val="008A1006"/>
    <w:rsid w:val="008A1E27"/>
    <w:rsid w:val="008A21AD"/>
    <w:rsid w:val="008A2339"/>
    <w:rsid w:val="008A2B52"/>
    <w:rsid w:val="008A2C86"/>
    <w:rsid w:val="008A2C92"/>
    <w:rsid w:val="008A3C07"/>
    <w:rsid w:val="008A40D4"/>
    <w:rsid w:val="008A426F"/>
    <w:rsid w:val="008A47D9"/>
    <w:rsid w:val="008A58A1"/>
    <w:rsid w:val="008A6000"/>
    <w:rsid w:val="008A6496"/>
    <w:rsid w:val="008A70A8"/>
    <w:rsid w:val="008A7FAC"/>
    <w:rsid w:val="008B0032"/>
    <w:rsid w:val="008B0F36"/>
    <w:rsid w:val="008B1FD9"/>
    <w:rsid w:val="008B24F2"/>
    <w:rsid w:val="008B2AF1"/>
    <w:rsid w:val="008B2AF6"/>
    <w:rsid w:val="008B31FF"/>
    <w:rsid w:val="008B390A"/>
    <w:rsid w:val="008B3AA8"/>
    <w:rsid w:val="008B4325"/>
    <w:rsid w:val="008B4CB3"/>
    <w:rsid w:val="008B5191"/>
    <w:rsid w:val="008B5892"/>
    <w:rsid w:val="008B63E3"/>
    <w:rsid w:val="008B6766"/>
    <w:rsid w:val="008B710D"/>
    <w:rsid w:val="008B76B3"/>
    <w:rsid w:val="008B7CA1"/>
    <w:rsid w:val="008C0177"/>
    <w:rsid w:val="008C0389"/>
    <w:rsid w:val="008C1A63"/>
    <w:rsid w:val="008C1C26"/>
    <w:rsid w:val="008C2719"/>
    <w:rsid w:val="008C27D3"/>
    <w:rsid w:val="008C2AC8"/>
    <w:rsid w:val="008C3191"/>
    <w:rsid w:val="008C37B5"/>
    <w:rsid w:val="008C4B2B"/>
    <w:rsid w:val="008C5E91"/>
    <w:rsid w:val="008C686D"/>
    <w:rsid w:val="008C6B18"/>
    <w:rsid w:val="008C75E6"/>
    <w:rsid w:val="008C767A"/>
    <w:rsid w:val="008C7A12"/>
    <w:rsid w:val="008C7A73"/>
    <w:rsid w:val="008D0569"/>
    <w:rsid w:val="008D07AE"/>
    <w:rsid w:val="008D0BA2"/>
    <w:rsid w:val="008D114E"/>
    <w:rsid w:val="008D1886"/>
    <w:rsid w:val="008D2407"/>
    <w:rsid w:val="008D251C"/>
    <w:rsid w:val="008D28FD"/>
    <w:rsid w:val="008D32B7"/>
    <w:rsid w:val="008D3458"/>
    <w:rsid w:val="008D3B8E"/>
    <w:rsid w:val="008D4A2C"/>
    <w:rsid w:val="008D59F9"/>
    <w:rsid w:val="008D5C28"/>
    <w:rsid w:val="008D64C6"/>
    <w:rsid w:val="008D68C4"/>
    <w:rsid w:val="008D729D"/>
    <w:rsid w:val="008D7CF5"/>
    <w:rsid w:val="008E0047"/>
    <w:rsid w:val="008E00A6"/>
    <w:rsid w:val="008E0BE6"/>
    <w:rsid w:val="008E1BE9"/>
    <w:rsid w:val="008E1EE5"/>
    <w:rsid w:val="008E2D26"/>
    <w:rsid w:val="008E3C8E"/>
    <w:rsid w:val="008E3E30"/>
    <w:rsid w:val="008E4076"/>
    <w:rsid w:val="008E429C"/>
    <w:rsid w:val="008E7DBA"/>
    <w:rsid w:val="008F06BB"/>
    <w:rsid w:val="008F1993"/>
    <w:rsid w:val="008F1F9F"/>
    <w:rsid w:val="008F23BB"/>
    <w:rsid w:val="008F2A00"/>
    <w:rsid w:val="008F3386"/>
    <w:rsid w:val="008F340E"/>
    <w:rsid w:val="008F39DF"/>
    <w:rsid w:val="008F3AD9"/>
    <w:rsid w:val="008F3AE7"/>
    <w:rsid w:val="008F3F28"/>
    <w:rsid w:val="008F4025"/>
    <w:rsid w:val="008F4642"/>
    <w:rsid w:val="008F4799"/>
    <w:rsid w:val="008F4C29"/>
    <w:rsid w:val="008F4E00"/>
    <w:rsid w:val="008F54F3"/>
    <w:rsid w:val="008F56A8"/>
    <w:rsid w:val="008F58EA"/>
    <w:rsid w:val="008F5C16"/>
    <w:rsid w:val="008F5F8E"/>
    <w:rsid w:val="008F5F9D"/>
    <w:rsid w:val="008F6163"/>
    <w:rsid w:val="008F6B47"/>
    <w:rsid w:val="008F6F50"/>
    <w:rsid w:val="008F761D"/>
    <w:rsid w:val="008F7C8A"/>
    <w:rsid w:val="009002B2"/>
    <w:rsid w:val="00900D44"/>
    <w:rsid w:val="00901854"/>
    <w:rsid w:val="00901B0B"/>
    <w:rsid w:val="00902520"/>
    <w:rsid w:val="00902BBF"/>
    <w:rsid w:val="00902EA2"/>
    <w:rsid w:val="00902F11"/>
    <w:rsid w:val="0090331E"/>
    <w:rsid w:val="00903600"/>
    <w:rsid w:val="009042F4"/>
    <w:rsid w:val="009054E7"/>
    <w:rsid w:val="00905689"/>
    <w:rsid w:val="00905BC0"/>
    <w:rsid w:val="00905BF0"/>
    <w:rsid w:val="00905FBC"/>
    <w:rsid w:val="00906ACD"/>
    <w:rsid w:val="00906DC4"/>
    <w:rsid w:val="00906F5F"/>
    <w:rsid w:val="009108C8"/>
    <w:rsid w:val="009109CB"/>
    <w:rsid w:val="0091187D"/>
    <w:rsid w:val="00911A61"/>
    <w:rsid w:val="00911CC2"/>
    <w:rsid w:val="009122B1"/>
    <w:rsid w:val="0091363E"/>
    <w:rsid w:val="0091373B"/>
    <w:rsid w:val="00913DB1"/>
    <w:rsid w:val="0091457F"/>
    <w:rsid w:val="00914E93"/>
    <w:rsid w:val="00914F86"/>
    <w:rsid w:val="009162F0"/>
    <w:rsid w:val="00916722"/>
    <w:rsid w:val="0091729E"/>
    <w:rsid w:val="00917CBD"/>
    <w:rsid w:val="00920620"/>
    <w:rsid w:val="0092076F"/>
    <w:rsid w:val="00921B12"/>
    <w:rsid w:val="00922F6F"/>
    <w:rsid w:val="0092331E"/>
    <w:rsid w:val="0092378B"/>
    <w:rsid w:val="00923A83"/>
    <w:rsid w:val="00923AFB"/>
    <w:rsid w:val="00925112"/>
    <w:rsid w:val="009261C8"/>
    <w:rsid w:val="00926823"/>
    <w:rsid w:val="009269D8"/>
    <w:rsid w:val="00927CF1"/>
    <w:rsid w:val="009303C4"/>
    <w:rsid w:val="00930D2A"/>
    <w:rsid w:val="00932328"/>
    <w:rsid w:val="0093261E"/>
    <w:rsid w:val="009326C9"/>
    <w:rsid w:val="00932FEF"/>
    <w:rsid w:val="00933433"/>
    <w:rsid w:val="009336AE"/>
    <w:rsid w:val="009342C2"/>
    <w:rsid w:val="0093499B"/>
    <w:rsid w:val="00934E76"/>
    <w:rsid w:val="00935180"/>
    <w:rsid w:val="0093599B"/>
    <w:rsid w:val="009365BC"/>
    <w:rsid w:val="0094008E"/>
    <w:rsid w:val="0094070D"/>
    <w:rsid w:val="00940D77"/>
    <w:rsid w:val="00941419"/>
    <w:rsid w:val="00941C0C"/>
    <w:rsid w:val="00942480"/>
    <w:rsid w:val="00942504"/>
    <w:rsid w:val="009437F2"/>
    <w:rsid w:val="00943CC4"/>
    <w:rsid w:val="00944725"/>
    <w:rsid w:val="0094528B"/>
    <w:rsid w:val="0094542A"/>
    <w:rsid w:val="00945557"/>
    <w:rsid w:val="00947F5D"/>
    <w:rsid w:val="009504FC"/>
    <w:rsid w:val="00950755"/>
    <w:rsid w:val="00951EBC"/>
    <w:rsid w:val="00952236"/>
    <w:rsid w:val="00954043"/>
    <w:rsid w:val="00954CA6"/>
    <w:rsid w:val="00955293"/>
    <w:rsid w:val="0095566E"/>
    <w:rsid w:val="00955DB3"/>
    <w:rsid w:val="00956AFE"/>
    <w:rsid w:val="00957144"/>
    <w:rsid w:val="00957330"/>
    <w:rsid w:val="00957842"/>
    <w:rsid w:val="00957EE0"/>
    <w:rsid w:val="0096060B"/>
    <w:rsid w:val="00960A8B"/>
    <w:rsid w:val="0096178C"/>
    <w:rsid w:val="00962F5A"/>
    <w:rsid w:val="00963062"/>
    <w:rsid w:val="009630EA"/>
    <w:rsid w:val="0096367A"/>
    <w:rsid w:val="00963E78"/>
    <w:rsid w:val="00964102"/>
    <w:rsid w:val="00964404"/>
    <w:rsid w:val="009647D6"/>
    <w:rsid w:val="00965128"/>
    <w:rsid w:val="0096532D"/>
    <w:rsid w:val="009653F7"/>
    <w:rsid w:val="00967068"/>
    <w:rsid w:val="00967369"/>
    <w:rsid w:val="00967622"/>
    <w:rsid w:val="0096779E"/>
    <w:rsid w:val="00967DA2"/>
    <w:rsid w:val="00970BA2"/>
    <w:rsid w:val="00970FAA"/>
    <w:rsid w:val="0097124D"/>
    <w:rsid w:val="009718C9"/>
    <w:rsid w:val="00973F43"/>
    <w:rsid w:val="00974B09"/>
    <w:rsid w:val="00974E16"/>
    <w:rsid w:val="00975715"/>
    <w:rsid w:val="009758FE"/>
    <w:rsid w:val="00975F8E"/>
    <w:rsid w:val="009765C9"/>
    <w:rsid w:val="00976A03"/>
    <w:rsid w:val="0097760F"/>
    <w:rsid w:val="0097785D"/>
    <w:rsid w:val="00977F6D"/>
    <w:rsid w:val="0098011D"/>
    <w:rsid w:val="00980950"/>
    <w:rsid w:val="00981040"/>
    <w:rsid w:val="0098153A"/>
    <w:rsid w:val="009816BC"/>
    <w:rsid w:val="00981912"/>
    <w:rsid w:val="009819C0"/>
    <w:rsid w:val="0098258E"/>
    <w:rsid w:val="009835AD"/>
    <w:rsid w:val="00983773"/>
    <w:rsid w:val="0098399B"/>
    <w:rsid w:val="00983B34"/>
    <w:rsid w:val="00985914"/>
    <w:rsid w:val="00985F11"/>
    <w:rsid w:val="0098707E"/>
    <w:rsid w:val="00987A58"/>
    <w:rsid w:val="00987A75"/>
    <w:rsid w:val="009900FB"/>
    <w:rsid w:val="00990C72"/>
    <w:rsid w:val="00990DF0"/>
    <w:rsid w:val="00990ECE"/>
    <w:rsid w:val="00991A8A"/>
    <w:rsid w:val="0099200D"/>
    <w:rsid w:val="00992611"/>
    <w:rsid w:val="0099349B"/>
    <w:rsid w:val="00993B7A"/>
    <w:rsid w:val="00994303"/>
    <w:rsid w:val="00994F4A"/>
    <w:rsid w:val="0099526D"/>
    <w:rsid w:val="0099592A"/>
    <w:rsid w:val="00996C8B"/>
    <w:rsid w:val="00996CED"/>
    <w:rsid w:val="00997142"/>
    <w:rsid w:val="009976B0"/>
    <w:rsid w:val="0099785E"/>
    <w:rsid w:val="009A0054"/>
    <w:rsid w:val="009A0102"/>
    <w:rsid w:val="009A03DE"/>
    <w:rsid w:val="009A0F6E"/>
    <w:rsid w:val="009A177C"/>
    <w:rsid w:val="009A1AA6"/>
    <w:rsid w:val="009A252F"/>
    <w:rsid w:val="009A273E"/>
    <w:rsid w:val="009A2D9C"/>
    <w:rsid w:val="009A38D9"/>
    <w:rsid w:val="009A3C5E"/>
    <w:rsid w:val="009A3E23"/>
    <w:rsid w:val="009A41FB"/>
    <w:rsid w:val="009A520F"/>
    <w:rsid w:val="009A52A8"/>
    <w:rsid w:val="009A5548"/>
    <w:rsid w:val="009A589B"/>
    <w:rsid w:val="009A5AAF"/>
    <w:rsid w:val="009A65B7"/>
    <w:rsid w:val="009A70AE"/>
    <w:rsid w:val="009A72AB"/>
    <w:rsid w:val="009B17C1"/>
    <w:rsid w:val="009B2016"/>
    <w:rsid w:val="009B25C1"/>
    <w:rsid w:val="009B2EDF"/>
    <w:rsid w:val="009B4922"/>
    <w:rsid w:val="009B5795"/>
    <w:rsid w:val="009B5D67"/>
    <w:rsid w:val="009B7371"/>
    <w:rsid w:val="009B7A82"/>
    <w:rsid w:val="009B7B79"/>
    <w:rsid w:val="009C0383"/>
    <w:rsid w:val="009C145B"/>
    <w:rsid w:val="009C1606"/>
    <w:rsid w:val="009C23E6"/>
    <w:rsid w:val="009C37C7"/>
    <w:rsid w:val="009C3C62"/>
    <w:rsid w:val="009C3E04"/>
    <w:rsid w:val="009C42B8"/>
    <w:rsid w:val="009C4FB0"/>
    <w:rsid w:val="009C5033"/>
    <w:rsid w:val="009C5071"/>
    <w:rsid w:val="009C5187"/>
    <w:rsid w:val="009C5529"/>
    <w:rsid w:val="009C6124"/>
    <w:rsid w:val="009C6906"/>
    <w:rsid w:val="009C6DF2"/>
    <w:rsid w:val="009C75D1"/>
    <w:rsid w:val="009C7694"/>
    <w:rsid w:val="009C7BC2"/>
    <w:rsid w:val="009D01E3"/>
    <w:rsid w:val="009D0570"/>
    <w:rsid w:val="009D214A"/>
    <w:rsid w:val="009D2458"/>
    <w:rsid w:val="009D2FEA"/>
    <w:rsid w:val="009D34C6"/>
    <w:rsid w:val="009D35BA"/>
    <w:rsid w:val="009D3E5C"/>
    <w:rsid w:val="009D3FF8"/>
    <w:rsid w:val="009D482D"/>
    <w:rsid w:val="009D495C"/>
    <w:rsid w:val="009D4DC9"/>
    <w:rsid w:val="009D52B2"/>
    <w:rsid w:val="009D570F"/>
    <w:rsid w:val="009D5E88"/>
    <w:rsid w:val="009D6C6F"/>
    <w:rsid w:val="009D6E1A"/>
    <w:rsid w:val="009D7294"/>
    <w:rsid w:val="009E070D"/>
    <w:rsid w:val="009E1690"/>
    <w:rsid w:val="009E17E9"/>
    <w:rsid w:val="009E18AF"/>
    <w:rsid w:val="009E19EA"/>
    <w:rsid w:val="009E1ACF"/>
    <w:rsid w:val="009E2C9D"/>
    <w:rsid w:val="009E2CDD"/>
    <w:rsid w:val="009E321B"/>
    <w:rsid w:val="009E3545"/>
    <w:rsid w:val="009E3D10"/>
    <w:rsid w:val="009E4FCE"/>
    <w:rsid w:val="009E5001"/>
    <w:rsid w:val="009E522E"/>
    <w:rsid w:val="009E5778"/>
    <w:rsid w:val="009E6629"/>
    <w:rsid w:val="009E7C17"/>
    <w:rsid w:val="009E7D3C"/>
    <w:rsid w:val="009F0ABA"/>
    <w:rsid w:val="009F0AF5"/>
    <w:rsid w:val="009F0C42"/>
    <w:rsid w:val="009F2170"/>
    <w:rsid w:val="009F21C4"/>
    <w:rsid w:val="009F3E52"/>
    <w:rsid w:val="009F6A98"/>
    <w:rsid w:val="009F776F"/>
    <w:rsid w:val="009F7BAB"/>
    <w:rsid w:val="009F7CBE"/>
    <w:rsid w:val="00A014D2"/>
    <w:rsid w:val="00A01B47"/>
    <w:rsid w:val="00A02199"/>
    <w:rsid w:val="00A026A4"/>
    <w:rsid w:val="00A038F5"/>
    <w:rsid w:val="00A04044"/>
    <w:rsid w:val="00A049B4"/>
    <w:rsid w:val="00A055DD"/>
    <w:rsid w:val="00A06410"/>
    <w:rsid w:val="00A06AD5"/>
    <w:rsid w:val="00A06D44"/>
    <w:rsid w:val="00A06E2E"/>
    <w:rsid w:val="00A06E5E"/>
    <w:rsid w:val="00A07C36"/>
    <w:rsid w:val="00A10560"/>
    <w:rsid w:val="00A10A19"/>
    <w:rsid w:val="00A11D0C"/>
    <w:rsid w:val="00A12955"/>
    <w:rsid w:val="00A12C82"/>
    <w:rsid w:val="00A13136"/>
    <w:rsid w:val="00A13F74"/>
    <w:rsid w:val="00A14105"/>
    <w:rsid w:val="00A15E94"/>
    <w:rsid w:val="00A1602D"/>
    <w:rsid w:val="00A16579"/>
    <w:rsid w:val="00A17419"/>
    <w:rsid w:val="00A208C2"/>
    <w:rsid w:val="00A20D58"/>
    <w:rsid w:val="00A21733"/>
    <w:rsid w:val="00A21AAB"/>
    <w:rsid w:val="00A21C22"/>
    <w:rsid w:val="00A21D68"/>
    <w:rsid w:val="00A233E1"/>
    <w:rsid w:val="00A23FFF"/>
    <w:rsid w:val="00A24843"/>
    <w:rsid w:val="00A248D2"/>
    <w:rsid w:val="00A24BB0"/>
    <w:rsid w:val="00A25819"/>
    <w:rsid w:val="00A25AB7"/>
    <w:rsid w:val="00A25DF1"/>
    <w:rsid w:val="00A25E98"/>
    <w:rsid w:val="00A26809"/>
    <w:rsid w:val="00A26C44"/>
    <w:rsid w:val="00A26D48"/>
    <w:rsid w:val="00A27123"/>
    <w:rsid w:val="00A272F4"/>
    <w:rsid w:val="00A30B2A"/>
    <w:rsid w:val="00A3198A"/>
    <w:rsid w:val="00A31C7C"/>
    <w:rsid w:val="00A32BDA"/>
    <w:rsid w:val="00A33703"/>
    <w:rsid w:val="00A33757"/>
    <w:rsid w:val="00A346AD"/>
    <w:rsid w:val="00A3557E"/>
    <w:rsid w:val="00A3566D"/>
    <w:rsid w:val="00A367AA"/>
    <w:rsid w:val="00A36974"/>
    <w:rsid w:val="00A36C71"/>
    <w:rsid w:val="00A37195"/>
    <w:rsid w:val="00A378DF"/>
    <w:rsid w:val="00A379F9"/>
    <w:rsid w:val="00A37AC6"/>
    <w:rsid w:val="00A37E54"/>
    <w:rsid w:val="00A4061F"/>
    <w:rsid w:val="00A409C2"/>
    <w:rsid w:val="00A40FEA"/>
    <w:rsid w:val="00A410CC"/>
    <w:rsid w:val="00A421BF"/>
    <w:rsid w:val="00A42B43"/>
    <w:rsid w:val="00A42BD0"/>
    <w:rsid w:val="00A42F02"/>
    <w:rsid w:val="00A43067"/>
    <w:rsid w:val="00A433DC"/>
    <w:rsid w:val="00A43D86"/>
    <w:rsid w:val="00A44A8E"/>
    <w:rsid w:val="00A453BB"/>
    <w:rsid w:val="00A45553"/>
    <w:rsid w:val="00A455AB"/>
    <w:rsid w:val="00A460CD"/>
    <w:rsid w:val="00A4682E"/>
    <w:rsid w:val="00A470F7"/>
    <w:rsid w:val="00A4750F"/>
    <w:rsid w:val="00A47F39"/>
    <w:rsid w:val="00A50761"/>
    <w:rsid w:val="00A508FB"/>
    <w:rsid w:val="00A51DF2"/>
    <w:rsid w:val="00A52DD8"/>
    <w:rsid w:val="00A52F39"/>
    <w:rsid w:val="00A5347C"/>
    <w:rsid w:val="00A53AF0"/>
    <w:rsid w:val="00A54EB6"/>
    <w:rsid w:val="00A54ED7"/>
    <w:rsid w:val="00A564EF"/>
    <w:rsid w:val="00A566E4"/>
    <w:rsid w:val="00A56787"/>
    <w:rsid w:val="00A56D19"/>
    <w:rsid w:val="00A60452"/>
    <w:rsid w:val="00A606AA"/>
    <w:rsid w:val="00A61561"/>
    <w:rsid w:val="00A620BD"/>
    <w:rsid w:val="00A62A57"/>
    <w:rsid w:val="00A62DCF"/>
    <w:rsid w:val="00A6318B"/>
    <w:rsid w:val="00A63249"/>
    <w:rsid w:val="00A632DC"/>
    <w:rsid w:val="00A63901"/>
    <w:rsid w:val="00A63948"/>
    <w:rsid w:val="00A63DFC"/>
    <w:rsid w:val="00A64675"/>
    <w:rsid w:val="00A656ED"/>
    <w:rsid w:val="00A6691F"/>
    <w:rsid w:val="00A6693F"/>
    <w:rsid w:val="00A669C1"/>
    <w:rsid w:val="00A66B6E"/>
    <w:rsid w:val="00A67E6A"/>
    <w:rsid w:val="00A70F49"/>
    <w:rsid w:val="00A716C5"/>
    <w:rsid w:val="00A72203"/>
    <w:rsid w:val="00A7281F"/>
    <w:rsid w:val="00A73299"/>
    <w:rsid w:val="00A73949"/>
    <w:rsid w:val="00A73A52"/>
    <w:rsid w:val="00A73BAD"/>
    <w:rsid w:val="00A74149"/>
    <w:rsid w:val="00A745AB"/>
    <w:rsid w:val="00A74F9B"/>
    <w:rsid w:val="00A751C3"/>
    <w:rsid w:val="00A7528A"/>
    <w:rsid w:val="00A76396"/>
    <w:rsid w:val="00A76707"/>
    <w:rsid w:val="00A7697E"/>
    <w:rsid w:val="00A76C98"/>
    <w:rsid w:val="00A76E20"/>
    <w:rsid w:val="00A777FA"/>
    <w:rsid w:val="00A80005"/>
    <w:rsid w:val="00A80C4B"/>
    <w:rsid w:val="00A8132A"/>
    <w:rsid w:val="00A82471"/>
    <w:rsid w:val="00A8284E"/>
    <w:rsid w:val="00A85C18"/>
    <w:rsid w:val="00A85E9A"/>
    <w:rsid w:val="00A86198"/>
    <w:rsid w:val="00A862BA"/>
    <w:rsid w:val="00A8707B"/>
    <w:rsid w:val="00A870EE"/>
    <w:rsid w:val="00A9079D"/>
    <w:rsid w:val="00A91343"/>
    <w:rsid w:val="00A91CAC"/>
    <w:rsid w:val="00A91D91"/>
    <w:rsid w:val="00A92290"/>
    <w:rsid w:val="00A92FF3"/>
    <w:rsid w:val="00A93783"/>
    <w:rsid w:val="00A94993"/>
    <w:rsid w:val="00A96F81"/>
    <w:rsid w:val="00A9709D"/>
    <w:rsid w:val="00A972C0"/>
    <w:rsid w:val="00AA054E"/>
    <w:rsid w:val="00AA0A10"/>
    <w:rsid w:val="00AA105A"/>
    <w:rsid w:val="00AA19FD"/>
    <w:rsid w:val="00AA2094"/>
    <w:rsid w:val="00AA2095"/>
    <w:rsid w:val="00AA2447"/>
    <w:rsid w:val="00AA2870"/>
    <w:rsid w:val="00AA28DE"/>
    <w:rsid w:val="00AA2947"/>
    <w:rsid w:val="00AA3301"/>
    <w:rsid w:val="00AA3A55"/>
    <w:rsid w:val="00AA6BC3"/>
    <w:rsid w:val="00AA7461"/>
    <w:rsid w:val="00AA7DFB"/>
    <w:rsid w:val="00AB0430"/>
    <w:rsid w:val="00AB1034"/>
    <w:rsid w:val="00AB10B4"/>
    <w:rsid w:val="00AB1894"/>
    <w:rsid w:val="00AB1C16"/>
    <w:rsid w:val="00AB22DF"/>
    <w:rsid w:val="00AB299E"/>
    <w:rsid w:val="00AB2AA8"/>
    <w:rsid w:val="00AB2C3F"/>
    <w:rsid w:val="00AB30EA"/>
    <w:rsid w:val="00AB32AA"/>
    <w:rsid w:val="00AB354C"/>
    <w:rsid w:val="00AB3C8E"/>
    <w:rsid w:val="00AB43DF"/>
    <w:rsid w:val="00AB43E6"/>
    <w:rsid w:val="00AB458B"/>
    <w:rsid w:val="00AB45E4"/>
    <w:rsid w:val="00AB6157"/>
    <w:rsid w:val="00AB64BD"/>
    <w:rsid w:val="00AB65EB"/>
    <w:rsid w:val="00AB7542"/>
    <w:rsid w:val="00AB79C8"/>
    <w:rsid w:val="00AC022D"/>
    <w:rsid w:val="00AC0629"/>
    <w:rsid w:val="00AC08AE"/>
    <w:rsid w:val="00AC0AEA"/>
    <w:rsid w:val="00AC12E5"/>
    <w:rsid w:val="00AC1DC6"/>
    <w:rsid w:val="00AC41B6"/>
    <w:rsid w:val="00AC451F"/>
    <w:rsid w:val="00AC64E8"/>
    <w:rsid w:val="00AC70C7"/>
    <w:rsid w:val="00AC79E0"/>
    <w:rsid w:val="00AD0C19"/>
    <w:rsid w:val="00AD0FAB"/>
    <w:rsid w:val="00AD1954"/>
    <w:rsid w:val="00AD1A96"/>
    <w:rsid w:val="00AD1AD6"/>
    <w:rsid w:val="00AD32CE"/>
    <w:rsid w:val="00AD46BD"/>
    <w:rsid w:val="00AD47A0"/>
    <w:rsid w:val="00AD5187"/>
    <w:rsid w:val="00AD6034"/>
    <w:rsid w:val="00AD6B11"/>
    <w:rsid w:val="00AD6B34"/>
    <w:rsid w:val="00AD6F90"/>
    <w:rsid w:val="00AD735E"/>
    <w:rsid w:val="00AD73A6"/>
    <w:rsid w:val="00AE0286"/>
    <w:rsid w:val="00AE070B"/>
    <w:rsid w:val="00AE09E3"/>
    <w:rsid w:val="00AE13D8"/>
    <w:rsid w:val="00AE16C4"/>
    <w:rsid w:val="00AE175F"/>
    <w:rsid w:val="00AE1A22"/>
    <w:rsid w:val="00AE21C0"/>
    <w:rsid w:val="00AE247F"/>
    <w:rsid w:val="00AE2FC6"/>
    <w:rsid w:val="00AE3434"/>
    <w:rsid w:val="00AE3738"/>
    <w:rsid w:val="00AE45EF"/>
    <w:rsid w:val="00AE4A24"/>
    <w:rsid w:val="00AE4A93"/>
    <w:rsid w:val="00AE4FC7"/>
    <w:rsid w:val="00AE58F2"/>
    <w:rsid w:val="00AE5D90"/>
    <w:rsid w:val="00AE635E"/>
    <w:rsid w:val="00AE712A"/>
    <w:rsid w:val="00AE7213"/>
    <w:rsid w:val="00AE7E3A"/>
    <w:rsid w:val="00AF0112"/>
    <w:rsid w:val="00AF01E3"/>
    <w:rsid w:val="00AF05C4"/>
    <w:rsid w:val="00AF23AE"/>
    <w:rsid w:val="00AF23E3"/>
    <w:rsid w:val="00AF2BD2"/>
    <w:rsid w:val="00AF2CBC"/>
    <w:rsid w:val="00AF2EF7"/>
    <w:rsid w:val="00AF3047"/>
    <w:rsid w:val="00AF3741"/>
    <w:rsid w:val="00AF3B5C"/>
    <w:rsid w:val="00AF41BC"/>
    <w:rsid w:val="00AF6270"/>
    <w:rsid w:val="00AF632C"/>
    <w:rsid w:val="00AF6545"/>
    <w:rsid w:val="00AF674B"/>
    <w:rsid w:val="00AF72F5"/>
    <w:rsid w:val="00AF753B"/>
    <w:rsid w:val="00AF7F2B"/>
    <w:rsid w:val="00B0014A"/>
    <w:rsid w:val="00B003FA"/>
    <w:rsid w:val="00B004DC"/>
    <w:rsid w:val="00B00B50"/>
    <w:rsid w:val="00B00B8E"/>
    <w:rsid w:val="00B00DB2"/>
    <w:rsid w:val="00B00FFD"/>
    <w:rsid w:val="00B01547"/>
    <w:rsid w:val="00B016B6"/>
    <w:rsid w:val="00B016E3"/>
    <w:rsid w:val="00B01FB0"/>
    <w:rsid w:val="00B0220D"/>
    <w:rsid w:val="00B02B0B"/>
    <w:rsid w:val="00B03817"/>
    <w:rsid w:val="00B04283"/>
    <w:rsid w:val="00B0486D"/>
    <w:rsid w:val="00B05210"/>
    <w:rsid w:val="00B059AC"/>
    <w:rsid w:val="00B05BA8"/>
    <w:rsid w:val="00B05C4B"/>
    <w:rsid w:val="00B05FCA"/>
    <w:rsid w:val="00B06936"/>
    <w:rsid w:val="00B069C8"/>
    <w:rsid w:val="00B06A6D"/>
    <w:rsid w:val="00B0741D"/>
    <w:rsid w:val="00B07AD8"/>
    <w:rsid w:val="00B07B20"/>
    <w:rsid w:val="00B107CB"/>
    <w:rsid w:val="00B1081B"/>
    <w:rsid w:val="00B10B77"/>
    <w:rsid w:val="00B1142B"/>
    <w:rsid w:val="00B114BB"/>
    <w:rsid w:val="00B129E2"/>
    <w:rsid w:val="00B12C70"/>
    <w:rsid w:val="00B13106"/>
    <w:rsid w:val="00B139A1"/>
    <w:rsid w:val="00B1429F"/>
    <w:rsid w:val="00B14406"/>
    <w:rsid w:val="00B1468F"/>
    <w:rsid w:val="00B14885"/>
    <w:rsid w:val="00B14AE1"/>
    <w:rsid w:val="00B14F01"/>
    <w:rsid w:val="00B15525"/>
    <w:rsid w:val="00B15617"/>
    <w:rsid w:val="00B15C0B"/>
    <w:rsid w:val="00B15C69"/>
    <w:rsid w:val="00B16014"/>
    <w:rsid w:val="00B16706"/>
    <w:rsid w:val="00B16986"/>
    <w:rsid w:val="00B16D04"/>
    <w:rsid w:val="00B1701F"/>
    <w:rsid w:val="00B1731A"/>
    <w:rsid w:val="00B174BA"/>
    <w:rsid w:val="00B17AF3"/>
    <w:rsid w:val="00B17FAA"/>
    <w:rsid w:val="00B211B3"/>
    <w:rsid w:val="00B219D7"/>
    <w:rsid w:val="00B22160"/>
    <w:rsid w:val="00B223B5"/>
    <w:rsid w:val="00B2250C"/>
    <w:rsid w:val="00B229AD"/>
    <w:rsid w:val="00B22ABD"/>
    <w:rsid w:val="00B22F22"/>
    <w:rsid w:val="00B237BC"/>
    <w:rsid w:val="00B23DD2"/>
    <w:rsid w:val="00B24E02"/>
    <w:rsid w:val="00B25DAC"/>
    <w:rsid w:val="00B267A4"/>
    <w:rsid w:val="00B2691B"/>
    <w:rsid w:val="00B269BF"/>
    <w:rsid w:val="00B26EBB"/>
    <w:rsid w:val="00B27499"/>
    <w:rsid w:val="00B309DB"/>
    <w:rsid w:val="00B32B85"/>
    <w:rsid w:val="00B33099"/>
    <w:rsid w:val="00B33214"/>
    <w:rsid w:val="00B335C4"/>
    <w:rsid w:val="00B3369E"/>
    <w:rsid w:val="00B33D9A"/>
    <w:rsid w:val="00B34B1F"/>
    <w:rsid w:val="00B351CE"/>
    <w:rsid w:val="00B35739"/>
    <w:rsid w:val="00B35C00"/>
    <w:rsid w:val="00B37D5C"/>
    <w:rsid w:val="00B40D81"/>
    <w:rsid w:val="00B4232F"/>
    <w:rsid w:val="00B424F5"/>
    <w:rsid w:val="00B43167"/>
    <w:rsid w:val="00B4328C"/>
    <w:rsid w:val="00B434C0"/>
    <w:rsid w:val="00B435BE"/>
    <w:rsid w:val="00B43A9D"/>
    <w:rsid w:val="00B4401B"/>
    <w:rsid w:val="00B448A1"/>
    <w:rsid w:val="00B45A68"/>
    <w:rsid w:val="00B467B0"/>
    <w:rsid w:val="00B46805"/>
    <w:rsid w:val="00B46B99"/>
    <w:rsid w:val="00B47B05"/>
    <w:rsid w:val="00B47F9B"/>
    <w:rsid w:val="00B502B1"/>
    <w:rsid w:val="00B5044A"/>
    <w:rsid w:val="00B50534"/>
    <w:rsid w:val="00B50D31"/>
    <w:rsid w:val="00B51C6B"/>
    <w:rsid w:val="00B51FCB"/>
    <w:rsid w:val="00B524FC"/>
    <w:rsid w:val="00B5289B"/>
    <w:rsid w:val="00B52A8D"/>
    <w:rsid w:val="00B52E10"/>
    <w:rsid w:val="00B52F88"/>
    <w:rsid w:val="00B5331D"/>
    <w:rsid w:val="00B536CC"/>
    <w:rsid w:val="00B53A77"/>
    <w:rsid w:val="00B54333"/>
    <w:rsid w:val="00B543D6"/>
    <w:rsid w:val="00B54F3A"/>
    <w:rsid w:val="00B556B0"/>
    <w:rsid w:val="00B55A2E"/>
    <w:rsid w:val="00B55B54"/>
    <w:rsid w:val="00B563AE"/>
    <w:rsid w:val="00B56736"/>
    <w:rsid w:val="00B56993"/>
    <w:rsid w:val="00B57687"/>
    <w:rsid w:val="00B578E3"/>
    <w:rsid w:val="00B57C09"/>
    <w:rsid w:val="00B57CE5"/>
    <w:rsid w:val="00B60698"/>
    <w:rsid w:val="00B63379"/>
    <w:rsid w:val="00B63A44"/>
    <w:rsid w:val="00B63C6B"/>
    <w:rsid w:val="00B648F2"/>
    <w:rsid w:val="00B64D0E"/>
    <w:rsid w:val="00B6518D"/>
    <w:rsid w:val="00B6527A"/>
    <w:rsid w:val="00B655D1"/>
    <w:rsid w:val="00B675E3"/>
    <w:rsid w:val="00B707F9"/>
    <w:rsid w:val="00B70BE8"/>
    <w:rsid w:val="00B711FE"/>
    <w:rsid w:val="00B71D3E"/>
    <w:rsid w:val="00B72FD5"/>
    <w:rsid w:val="00B733DE"/>
    <w:rsid w:val="00B73634"/>
    <w:rsid w:val="00B73754"/>
    <w:rsid w:val="00B73A79"/>
    <w:rsid w:val="00B73FF2"/>
    <w:rsid w:val="00B74682"/>
    <w:rsid w:val="00B74CBA"/>
    <w:rsid w:val="00B74ED3"/>
    <w:rsid w:val="00B75094"/>
    <w:rsid w:val="00B753D5"/>
    <w:rsid w:val="00B7588B"/>
    <w:rsid w:val="00B7659E"/>
    <w:rsid w:val="00B766F1"/>
    <w:rsid w:val="00B768CF"/>
    <w:rsid w:val="00B77B78"/>
    <w:rsid w:val="00B80A4C"/>
    <w:rsid w:val="00B81A3B"/>
    <w:rsid w:val="00B81A44"/>
    <w:rsid w:val="00B81BC0"/>
    <w:rsid w:val="00B826AF"/>
    <w:rsid w:val="00B8288A"/>
    <w:rsid w:val="00B83272"/>
    <w:rsid w:val="00B8364F"/>
    <w:rsid w:val="00B83A9B"/>
    <w:rsid w:val="00B83EDF"/>
    <w:rsid w:val="00B84C3A"/>
    <w:rsid w:val="00B85327"/>
    <w:rsid w:val="00B857AF"/>
    <w:rsid w:val="00B85A7D"/>
    <w:rsid w:val="00B862C4"/>
    <w:rsid w:val="00B865BE"/>
    <w:rsid w:val="00B86BB5"/>
    <w:rsid w:val="00B86E5C"/>
    <w:rsid w:val="00B86F29"/>
    <w:rsid w:val="00B87385"/>
    <w:rsid w:val="00B8777E"/>
    <w:rsid w:val="00B879E1"/>
    <w:rsid w:val="00B906DB"/>
    <w:rsid w:val="00B91072"/>
    <w:rsid w:val="00B91B6E"/>
    <w:rsid w:val="00B92259"/>
    <w:rsid w:val="00B9233C"/>
    <w:rsid w:val="00B9266A"/>
    <w:rsid w:val="00B9322B"/>
    <w:rsid w:val="00B93978"/>
    <w:rsid w:val="00B94846"/>
    <w:rsid w:val="00B949E5"/>
    <w:rsid w:val="00B94B2C"/>
    <w:rsid w:val="00B95672"/>
    <w:rsid w:val="00B95D96"/>
    <w:rsid w:val="00B95E6E"/>
    <w:rsid w:val="00B96AEE"/>
    <w:rsid w:val="00B96F7D"/>
    <w:rsid w:val="00B970D0"/>
    <w:rsid w:val="00B975A3"/>
    <w:rsid w:val="00BA0780"/>
    <w:rsid w:val="00BA0ACC"/>
    <w:rsid w:val="00BA149C"/>
    <w:rsid w:val="00BA1DF9"/>
    <w:rsid w:val="00BA3A38"/>
    <w:rsid w:val="00BA3E85"/>
    <w:rsid w:val="00BA429D"/>
    <w:rsid w:val="00BA4481"/>
    <w:rsid w:val="00BA49F4"/>
    <w:rsid w:val="00BA4C8E"/>
    <w:rsid w:val="00BA504B"/>
    <w:rsid w:val="00BA53AD"/>
    <w:rsid w:val="00BA553B"/>
    <w:rsid w:val="00BA5923"/>
    <w:rsid w:val="00BA5B30"/>
    <w:rsid w:val="00BA5C41"/>
    <w:rsid w:val="00BA5CC5"/>
    <w:rsid w:val="00BA5E6D"/>
    <w:rsid w:val="00BA691F"/>
    <w:rsid w:val="00BA6ACA"/>
    <w:rsid w:val="00BA6BFC"/>
    <w:rsid w:val="00BA7051"/>
    <w:rsid w:val="00BA7192"/>
    <w:rsid w:val="00BA7232"/>
    <w:rsid w:val="00BA7809"/>
    <w:rsid w:val="00BA79A4"/>
    <w:rsid w:val="00BB02E9"/>
    <w:rsid w:val="00BB11F9"/>
    <w:rsid w:val="00BB21C1"/>
    <w:rsid w:val="00BB230B"/>
    <w:rsid w:val="00BB29AA"/>
    <w:rsid w:val="00BB2CD9"/>
    <w:rsid w:val="00BB4134"/>
    <w:rsid w:val="00BB449C"/>
    <w:rsid w:val="00BB44D7"/>
    <w:rsid w:val="00BB4DE3"/>
    <w:rsid w:val="00BB6213"/>
    <w:rsid w:val="00BB6808"/>
    <w:rsid w:val="00BB6983"/>
    <w:rsid w:val="00BB78CE"/>
    <w:rsid w:val="00BB7AD7"/>
    <w:rsid w:val="00BB7C45"/>
    <w:rsid w:val="00BC0207"/>
    <w:rsid w:val="00BC09A2"/>
    <w:rsid w:val="00BC147E"/>
    <w:rsid w:val="00BC2561"/>
    <w:rsid w:val="00BC3B1D"/>
    <w:rsid w:val="00BC3C65"/>
    <w:rsid w:val="00BC3E3E"/>
    <w:rsid w:val="00BC422A"/>
    <w:rsid w:val="00BC468E"/>
    <w:rsid w:val="00BC4984"/>
    <w:rsid w:val="00BC4D50"/>
    <w:rsid w:val="00BC5128"/>
    <w:rsid w:val="00BC545F"/>
    <w:rsid w:val="00BC5608"/>
    <w:rsid w:val="00BC5AE1"/>
    <w:rsid w:val="00BC5D26"/>
    <w:rsid w:val="00BC7DE8"/>
    <w:rsid w:val="00BD04C9"/>
    <w:rsid w:val="00BD1AF2"/>
    <w:rsid w:val="00BD2049"/>
    <w:rsid w:val="00BD23B9"/>
    <w:rsid w:val="00BD23E2"/>
    <w:rsid w:val="00BD274C"/>
    <w:rsid w:val="00BD3536"/>
    <w:rsid w:val="00BD367B"/>
    <w:rsid w:val="00BD3761"/>
    <w:rsid w:val="00BD37E3"/>
    <w:rsid w:val="00BD37FD"/>
    <w:rsid w:val="00BD3972"/>
    <w:rsid w:val="00BD42DA"/>
    <w:rsid w:val="00BD47B4"/>
    <w:rsid w:val="00BD48AC"/>
    <w:rsid w:val="00BD52D1"/>
    <w:rsid w:val="00BD571C"/>
    <w:rsid w:val="00BD6A5D"/>
    <w:rsid w:val="00BD73CA"/>
    <w:rsid w:val="00BD7748"/>
    <w:rsid w:val="00BD7C64"/>
    <w:rsid w:val="00BE0B46"/>
    <w:rsid w:val="00BE10EB"/>
    <w:rsid w:val="00BE17C2"/>
    <w:rsid w:val="00BE1AB2"/>
    <w:rsid w:val="00BE1EEB"/>
    <w:rsid w:val="00BE225E"/>
    <w:rsid w:val="00BE237E"/>
    <w:rsid w:val="00BE26DC"/>
    <w:rsid w:val="00BE2BDB"/>
    <w:rsid w:val="00BE2CC7"/>
    <w:rsid w:val="00BE3703"/>
    <w:rsid w:val="00BE4714"/>
    <w:rsid w:val="00BE4860"/>
    <w:rsid w:val="00BE4AAF"/>
    <w:rsid w:val="00BE4C05"/>
    <w:rsid w:val="00BE567F"/>
    <w:rsid w:val="00BE5C91"/>
    <w:rsid w:val="00BE621B"/>
    <w:rsid w:val="00BE6251"/>
    <w:rsid w:val="00BE6338"/>
    <w:rsid w:val="00BE6A3B"/>
    <w:rsid w:val="00BF0442"/>
    <w:rsid w:val="00BF05B6"/>
    <w:rsid w:val="00BF0A29"/>
    <w:rsid w:val="00BF1B2C"/>
    <w:rsid w:val="00BF1D32"/>
    <w:rsid w:val="00BF25CD"/>
    <w:rsid w:val="00BF2712"/>
    <w:rsid w:val="00BF2D67"/>
    <w:rsid w:val="00BF2DD3"/>
    <w:rsid w:val="00BF3C33"/>
    <w:rsid w:val="00BF4AD8"/>
    <w:rsid w:val="00BF5553"/>
    <w:rsid w:val="00BF5B53"/>
    <w:rsid w:val="00BF75CD"/>
    <w:rsid w:val="00C001F9"/>
    <w:rsid w:val="00C00434"/>
    <w:rsid w:val="00C00D4F"/>
    <w:rsid w:val="00C00EA7"/>
    <w:rsid w:val="00C00F1C"/>
    <w:rsid w:val="00C010B7"/>
    <w:rsid w:val="00C0120D"/>
    <w:rsid w:val="00C017DD"/>
    <w:rsid w:val="00C03259"/>
    <w:rsid w:val="00C03451"/>
    <w:rsid w:val="00C0346D"/>
    <w:rsid w:val="00C0358F"/>
    <w:rsid w:val="00C03BB0"/>
    <w:rsid w:val="00C041CF"/>
    <w:rsid w:val="00C05376"/>
    <w:rsid w:val="00C05B78"/>
    <w:rsid w:val="00C05E5B"/>
    <w:rsid w:val="00C0696A"/>
    <w:rsid w:val="00C06D5D"/>
    <w:rsid w:val="00C07D1D"/>
    <w:rsid w:val="00C1031E"/>
    <w:rsid w:val="00C112D2"/>
    <w:rsid w:val="00C11900"/>
    <w:rsid w:val="00C11CFA"/>
    <w:rsid w:val="00C12034"/>
    <w:rsid w:val="00C12494"/>
    <w:rsid w:val="00C128C4"/>
    <w:rsid w:val="00C12E80"/>
    <w:rsid w:val="00C1396B"/>
    <w:rsid w:val="00C14DCA"/>
    <w:rsid w:val="00C152BE"/>
    <w:rsid w:val="00C15528"/>
    <w:rsid w:val="00C1599C"/>
    <w:rsid w:val="00C162BE"/>
    <w:rsid w:val="00C16775"/>
    <w:rsid w:val="00C1698A"/>
    <w:rsid w:val="00C17150"/>
    <w:rsid w:val="00C17E6C"/>
    <w:rsid w:val="00C221E9"/>
    <w:rsid w:val="00C22258"/>
    <w:rsid w:val="00C24276"/>
    <w:rsid w:val="00C249CC"/>
    <w:rsid w:val="00C24C05"/>
    <w:rsid w:val="00C24E5F"/>
    <w:rsid w:val="00C255B6"/>
    <w:rsid w:val="00C262E7"/>
    <w:rsid w:val="00C26D02"/>
    <w:rsid w:val="00C26F3A"/>
    <w:rsid w:val="00C2770B"/>
    <w:rsid w:val="00C27A45"/>
    <w:rsid w:val="00C30296"/>
    <w:rsid w:val="00C30522"/>
    <w:rsid w:val="00C31392"/>
    <w:rsid w:val="00C3170E"/>
    <w:rsid w:val="00C31947"/>
    <w:rsid w:val="00C3199C"/>
    <w:rsid w:val="00C31FB2"/>
    <w:rsid w:val="00C32BF6"/>
    <w:rsid w:val="00C34DC7"/>
    <w:rsid w:val="00C35145"/>
    <w:rsid w:val="00C362CF"/>
    <w:rsid w:val="00C36999"/>
    <w:rsid w:val="00C36E84"/>
    <w:rsid w:val="00C37839"/>
    <w:rsid w:val="00C40053"/>
    <w:rsid w:val="00C40421"/>
    <w:rsid w:val="00C40557"/>
    <w:rsid w:val="00C406EF"/>
    <w:rsid w:val="00C40AB6"/>
    <w:rsid w:val="00C4294D"/>
    <w:rsid w:val="00C430B9"/>
    <w:rsid w:val="00C43BDC"/>
    <w:rsid w:val="00C43E68"/>
    <w:rsid w:val="00C440E0"/>
    <w:rsid w:val="00C44322"/>
    <w:rsid w:val="00C444C8"/>
    <w:rsid w:val="00C44A23"/>
    <w:rsid w:val="00C4512C"/>
    <w:rsid w:val="00C452DD"/>
    <w:rsid w:val="00C45856"/>
    <w:rsid w:val="00C46603"/>
    <w:rsid w:val="00C4673B"/>
    <w:rsid w:val="00C46745"/>
    <w:rsid w:val="00C4694F"/>
    <w:rsid w:val="00C46DC3"/>
    <w:rsid w:val="00C474DD"/>
    <w:rsid w:val="00C474E0"/>
    <w:rsid w:val="00C50F52"/>
    <w:rsid w:val="00C515C3"/>
    <w:rsid w:val="00C52811"/>
    <w:rsid w:val="00C540F7"/>
    <w:rsid w:val="00C54316"/>
    <w:rsid w:val="00C54634"/>
    <w:rsid w:val="00C547AE"/>
    <w:rsid w:val="00C54826"/>
    <w:rsid w:val="00C55056"/>
    <w:rsid w:val="00C55208"/>
    <w:rsid w:val="00C5527D"/>
    <w:rsid w:val="00C555AB"/>
    <w:rsid w:val="00C5567E"/>
    <w:rsid w:val="00C55A66"/>
    <w:rsid w:val="00C57778"/>
    <w:rsid w:val="00C600CD"/>
    <w:rsid w:val="00C6027E"/>
    <w:rsid w:val="00C604E1"/>
    <w:rsid w:val="00C61B1A"/>
    <w:rsid w:val="00C61D10"/>
    <w:rsid w:val="00C62A53"/>
    <w:rsid w:val="00C6344E"/>
    <w:rsid w:val="00C655B2"/>
    <w:rsid w:val="00C67E94"/>
    <w:rsid w:val="00C705AF"/>
    <w:rsid w:val="00C709F9"/>
    <w:rsid w:val="00C70EDE"/>
    <w:rsid w:val="00C71B09"/>
    <w:rsid w:val="00C7374C"/>
    <w:rsid w:val="00C73A00"/>
    <w:rsid w:val="00C73A6D"/>
    <w:rsid w:val="00C73A70"/>
    <w:rsid w:val="00C75D3C"/>
    <w:rsid w:val="00C76054"/>
    <w:rsid w:val="00C76210"/>
    <w:rsid w:val="00C770A1"/>
    <w:rsid w:val="00C779A2"/>
    <w:rsid w:val="00C77B43"/>
    <w:rsid w:val="00C80016"/>
    <w:rsid w:val="00C80546"/>
    <w:rsid w:val="00C81069"/>
    <w:rsid w:val="00C81D34"/>
    <w:rsid w:val="00C8297F"/>
    <w:rsid w:val="00C83241"/>
    <w:rsid w:val="00C83927"/>
    <w:rsid w:val="00C83AE7"/>
    <w:rsid w:val="00C83CAD"/>
    <w:rsid w:val="00C8419E"/>
    <w:rsid w:val="00C84828"/>
    <w:rsid w:val="00C851D7"/>
    <w:rsid w:val="00C8565C"/>
    <w:rsid w:val="00C85C8B"/>
    <w:rsid w:val="00C867AD"/>
    <w:rsid w:val="00C87F9F"/>
    <w:rsid w:val="00C90FDC"/>
    <w:rsid w:val="00C918DF"/>
    <w:rsid w:val="00C91BB6"/>
    <w:rsid w:val="00C9223A"/>
    <w:rsid w:val="00C92FE2"/>
    <w:rsid w:val="00C933BD"/>
    <w:rsid w:val="00C94732"/>
    <w:rsid w:val="00C94F70"/>
    <w:rsid w:val="00C95287"/>
    <w:rsid w:val="00C9545D"/>
    <w:rsid w:val="00C9625C"/>
    <w:rsid w:val="00C96A1C"/>
    <w:rsid w:val="00C96C1E"/>
    <w:rsid w:val="00C978C6"/>
    <w:rsid w:val="00C97F2A"/>
    <w:rsid w:val="00C97F9B"/>
    <w:rsid w:val="00CA0192"/>
    <w:rsid w:val="00CA089B"/>
    <w:rsid w:val="00CA0FC5"/>
    <w:rsid w:val="00CA112D"/>
    <w:rsid w:val="00CA1B09"/>
    <w:rsid w:val="00CA1F9F"/>
    <w:rsid w:val="00CA2179"/>
    <w:rsid w:val="00CA22DB"/>
    <w:rsid w:val="00CA2A97"/>
    <w:rsid w:val="00CA2DDA"/>
    <w:rsid w:val="00CA382B"/>
    <w:rsid w:val="00CA3D16"/>
    <w:rsid w:val="00CA3D8A"/>
    <w:rsid w:val="00CA4A87"/>
    <w:rsid w:val="00CA4CA5"/>
    <w:rsid w:val="00CA6AEE"/>
    <w:rsid w:val="00CA6F15"/>
    <w:rsid w:val="00CA7985"/>
    <w:rsid w:val="00CA79B4"/>
    <w:rsid w:val="00CB04D3"/>
    <w:rsid w:val="00CB06AD"/>
    <w:rsid w:val="00CB0C0C"/>
    <w:rsid w:val="00CB1220"/>
    <w:rsid w:val="00CB1291"/>
    <w:rsid w:val="00CB2BB5"/>
    <w:rsid w:val="00CB312D"/>
    <w:rsid w:val="00CB32B8"/>
    <w:rsid w:val="00CB4B3E"/>
    <w:rsid w:val="00CB50EF"/>
    <w:rsid w:val="00CB5C3D"/>
    <w:rsid w:val="00CB623F"/>
    <w:rsid w:val="00CB63CA"/>
    <w:rsid w:val="00CB766A"/>
    <w:rsid w:val="00CB791A"/>
    <w:rsid w:val="00CB7D1B"/>
    <w:rsid w:val="00CB7D90"/>
    <w:rsid w:val="00CC09F2"/>
    <w:rsid w:val="00CC11DF"/>
    <w:rsid w:val="00CC11ED"/>
    <w:rsid w:val="00CC1A6E"/>
    <w:rsid w:val="00CC2486"/>
    <w:rsid w:val="00CC2F23"/>
    <w:rsid w:val="00CC316F"/>
    <w:rsid w:val="00CC3D12"/>
    <w:rsid w:val="00CC3D59"/>
    <w:rsid w:val="00CC3E0C"/>
    <w:rsid w:val="00CC3F62"/>
    <w:rsid w:val="00CC4A54"/>
    <w:rsid w:val="00CC52BD"/>
    <w:rsid w:val="00CC536E"/>
    <w:rsid w:val="00CC59DD"/>
    <w:rsid w:val="00CC7D2A"/>
    <w:rsid w:val="00CC7F12"/>
    <w:rsid w:val="00CC7FC6"/>
    <w:rsid w:val="00CD063E"/>
    <w:rsid w:val="00CD0807"/>
    <w:rsid w:val="00CD16F9"/>
    <w:rsid w:val="00CD185C"/>
    <w:rsid w:val="00CD28FD"/>
    <w:rsid w:val="00CD2D6E"/>
    <w:rsid w:val="00CD3FE2"/>
    <w:rsid w:val="00CD4099"/>
    <w:rsid w:val="00CD4291"/>
    <w:rsid w:val="00CD44E3"/>
    <w:rsid w:val="00CD47B2"/>
    <w:rsid w:val="00CD48E6"/>
    <w:rsid w:val="00CD508A"/>
    <w:rsid w:val="00CD5AFD"/>
    <w:rsid w:val="00CD7237"/>
    <w:rsid w:val="00CD726F"/>
    <w:rsid w:val="00CD74EB"/>
    <w:rsid w:val="00CD7E62"/>
    <w:rsid w:val="00CE0896"/>
    <w:rsid w:val="00CE103C"/>
    <w:rsid w:val="00CE3070"/>
    <w:rsid w:val="00CE4207"/>
    <w:rsid w:val="00CE49F8"/>
    <w:rsid w:val="00CE4E1E"/>
    <w:rsid w:val="00CE5046"/>
    <w:rsid w:val="00CE5B9D"/>
    <w:rsid w:val="00CE60FF"/>
    <w:rsid w:val="00CE66B5"/>
    <w:rsid w:val="00CF12D1"/>
    <w:rsid w:val="00CF23DA"/>
    <w:rsid w:val="00CF283C"/>
    <w:rsid w:val="00CF2CE9"/>
    <w:rsid w:val="00CF377D"/>
    <w:rsid w:val="00CF3BD8"/>
    <w:rsid w:val="00CF3D42"/>
    <w:rsid w:val="00CF405A"/>
    <w:rsid w:val="00CF50B9"/>
    <w:rsid w:val="00CF52DF"/>
    <w:rsid w:val="00CF5832"/>
    <w:rsid w:val="00CF5911"/>
    <w:rsid w:val="00CF6693"/>
    <w:rsid w:val="00CF7221"/>
    <w:rsid w:val="00CF724E"/>
    <w:rsid w:val="00CF7C2D"/>
    <w:rsid w:val="00D00C99"/>
    <w:rsid w:val="00D01439"/>
    <w:rsid w:val="00D01AC0"/>
    <w:rsid w:val="00D01B79"/>
    <w:rsid w:val="00D02427"/>
    <w:rsid w:val="00D0418A"/>
    <w:rsid w:val="00D05066"/>
    <w:rsid w:val="00D05997"/>
    <w:rsid w:val="00D059F5"/>
    <w:rsid w:val="00D05AD6"/>
    <w:rsid w:val="00D05D9A"/>
    <w:rsid w:val="00D06334"/>
    <w:rsid w:val="00D064C1"/>
    <w:rsid w:val="00D07D42"/>
    <w:rsid w:val="00D1016E"/>
    <w:rsid w:val="00D102B7"/>
    <w:rsid w:val="00D10DD2"/>
    <w:rsid w:val="00D117F5"/>
    <w:rsid w:val="00D11B30"/>
    <w:rsid w:val="00D12A84"/>
    <w:rsid w:val="00D13661"/>
    <w:rsid w:val="00D142BD"/>
    <w:rsid w:val="00D146DE"/>
    <w:rsid w:val="00D14989"/>
    <w:rsid w:val="00D14F70"/>
    <w:rsid w:val="00D1552A"/>
    <w:rsid w:val="00D1562A"/>
    <w:rsid w:val="00D15C47"/>
    <w:rsid w:val="00D15CD8"/>
    <w:rsid w:val="00D169F1"/>
    <w:rsid w:val="00D16AD7"/>
    <w:rsid w:val="00D171A8"/>
    <w:rsid w:val="00D17880"/>
    <w:rsid w:val="00D17A7B"/>
    <w:rsid w:val="00D17FEC"/>
    <w:rsid w:val="00D2001A"/>
    <w:rsid w:val="00D200E7"/>
    <w:rsid w:val="00D20499"/>
    <w:rsid w:val="00D206BB"/>
    <w:rsid w:val="00D20E86"/>
    <w:rsid w:val="00D21427"/>
    <w:rsid w:val="00D22164"/>
    <w:rsid w:val="00D22701"/>
    <w:rsid w:val="00D229D4"/>
    <w:rsid w:val="00D22B86"/>
    <w:rsid w:val="00D22DEA"/>
    <w:rsid w:val="00D22F2F"/>
    <w:rsid w:val="00D22F5F"/>
    <w:rsid w:val="00D23B76"/>
    <w:rsid w:val="00D240F9"/>
    <w:rsid w:val="00D24194"/>
    <w:rsid w:val="00D2460F"/>
    <w:rsid w:val="00D24F5B"/>
    <w:rsid w:val="00D2590F"/>
    <w:rsid w:val="00D25E88"/>
    <w:rsid w:val="00D26321"/>
    <w:rsid w:val="00D268AF"/>
    <w:rsid w:val="00D26B99"/>
    <w:rsid w:val="00D27150"/>
    <w:rsid w:val="00D27886"/>
    <w:rsid w:val="00D27EB3"/>
    <w:rsid w:val="00D30340"/>
    <w:rsid w:val="00D30814"/>
    <w:rsid w:val="00D30D31"/>
    <w:rsid w:val="00D321D5"/>
    <w:rsid w:val="00D322B2"/>
    <w:rsid w:val="00D34DB4"/>
    <w:rsid w:val="00D354AC"/>
    <w:rsid w:val="00D354B7"/>
    <w:rsid w:val="00D35E02"/>
    <w:rsid w:val="00D377F7"/>
    <w:rsid w:val="00D378C9"/>
    <w:rsid w:val="00D37B9F"/>
    <w:rsid w:val="00D40016"/>
    <w:rsid w:val="00D40274"/>
    <w:rsid w:val="00D406CD"/>
    <w:rsid w:val="00D40FB8"/>
    <w:rsid w:val="00D4115B"/>
    <w:rsid w:val="00D4133F"/>
    <w:rsid w:val="00D41425"/>
    <w:rsid w:val="00D41650"/>
    <w:rsid w:val="00D41EDB"/>
    <w:rsid w:val="00D428C4"/>
    <w:rsid w:val="00D42D34"/>
    <w:rsid w:val="00D432F4"/>
    <w:rsid w:val="00D43DF7"/>
    <w:rsid w:val="00D43FEC"/>
    <w:rsid w:val="00D44CCC"/>
    <w:rsid w:val="00D457DE"/>
    <w:rsid w:val="00D45B3D"/>
    <w:rsid w:val="00D46275"/>
    <w:rsid w:val="00D467CA"/>
    <w:rsid w:val="00D47211"/>
    <w:rsid w:val="00D4759B"/>
    <w:rsid w:val="00D500A4"/>
    <w:rsid w:val="00D51121"/>
    <w:rsid w:val="00D51205"/>
    <w:rsid w:val="00D516FC"/>
    <w:rsid w:val="00D51934"/>
    <w:rsid w:val="00D51A93"/>
    <w:rsid w:val="00D51F2D"/>
    <w:rsid w:val="00D5294B"/>
    <w:rsid w:val="00D535EE"/>
    <w:rsid w:val="00D53C5A"/>
    <w:rsid w:val="00D53E3F"/>
    <w:rsid w:val="00D541F3"/>
    <w:rsid w:val="00D54FC4"/>
    <w:rsid w:val="00D55882"/>
    <w:rsid w:val="00D5593B"/>
    <w:rsid w:val="00D56156"/>
    <w:rsid w:val="00D57019"/>
    <w:rsid w:val="00D574C1"/>
    <w:rsid w:val="00D57615"/>
    <w:rsid w:val="00D577B0"/>
    <w:rsid w:val="00D577C9"/>
    <w:rsid w:val="00D57D3B"/>
    <w:rsid w:val="00D606B7"/>
    <w:rsid w:val="00D60976"/>
    <w:rsid w:val="00D60DF0"/>
    <w:rsid w:val="00D60F53"/>
    <w:rsid w:val="00D615C7"/>
    <w:rsid w:val="00D6182E"/>
    <w:rsid w:val="00D61A42"/>
    <w:rsid w:val="00D61A94"/>
    <w:rsid w:val="00D62282"/>
    <w:rsid w:val="00D6289C"/>
    <w:rsid w:val="00D6356C"/>
    <w:rsid w:val="00D6395B"/>
    <w:rsid w:val="00D6470A"/>
    <w:rsid w:val="00D64A32"/>
    <w:rsid w:val="00D64B59"/>
    <w:rsid w:val="00D6553A"/>
    <w:rsid w:val="00D65618"/>
    <w:rsid w:val="00D657CA"/>
    <w:rsid w:val="00D65CEE"/>
    <w:rsid w:val="00D6664E"/>
    <w:rsid w:val="00D6756E"/>
    <w:rsid w:val="00D67A10"/>
    <w:rsid w:val="00D70B84"/>
    <w:rsid w:val="00D70CDD"/>
    <w:rsid w:val="00D70DF5"/>
    <w:rsid w:val="00D7114B"/>
    <w:rsid w:val="00D72053"/>
    <w:rsid w:val="00D73338"/>
    <w:rsid w:val="00D7388A"/>
    <w:rsid w:val="00D74A03"/>
    <w:rsid w:val="00D754C0"/>
    <w:rsid w:val="00D75B4C"/>
    <w:rsid w:val="00D769AC"/>
    <w:rsid w:val="00D775F3"/>
    <w:rsid w:val="00D77868"/>
    <w:rsid w:val="00D7797E"/>
    <w:rsid w:val="00D77F25"/>
    <w:rsid w:val="00D802EE"/>
    <w:rsid w:val="00D8084F"/>
    <w:rsid w:val="00D82C14"/>
    <w:rsid w:val="00D8372C"/>
    <w:rsid w:val="00D8385F"/>
    <w:rsid w:val="00D83F1B"/>
    <w:rsid w:val="00D842AA"/>
    <w:rsid w:val="00D842C3"/>
    <w:rsid w:val="00D84C2A"/>
    <w:rsid w:val="00D9064B"/>
    <w:rsid w:val="00D90739"/>
    <w:rsid w:val="00D91D49"/>
    <w:rsid w:val="00D9247F"/>
    <w:rsid w:val="00D92E1F"/>
    <w:rsid w:val="00D92F0A"/>
    <w:rsid w:val="00D95CD8"/>
    <w:rsid w:val="00D95D17"/>
    <w:rsid w:val="00D978C6"/>
    <w:rsid w:val="00DA03F6"/>
    <w:rsid w:val="00DA0594"/>
    <w:rsid w:val="00DA0F78"/>
    <w:rsid w:val="00DA0FD5"/>
    <w:rsid w:val="00DA134A"/>
    <w:rsid w:val="00DA1648"/>
    <w:rsid w:val="00DA1907"/>
    <w:rsid w:val="00DA1A2E"/>
    <w:rsid w:val="00DA2506"/>
    <w:rsid w:val="00DA3125"/>
    <w:rsid w:val="00DA3413"/>
    <w:rsid w:val="00DA426E"/>
    <w:rsid w:val="00DA4339"/>
    <w:rsid w:val="00DA462C"/>
    <w:rsid w:val="00DA4A7E"/>
    <w:rsid w:val="00DA4B1B"/>
    <w:rsid w:val="00DA4EFC"/>
    <w:rsid w:val="00DA648D"/>
    <w:rsid w:val="00DA680F"/>
    <w:rsid w:val="00DA6A7B"/>
    <w:rsid w:val="00DA7171"/>
    <w:rsid w:val="00DA726D"/>
    <w:rsid w:val="00DB0022"/>
    <w:rsid w:val="00DB0A83"/>
    <w:rsid w:val="00DB103B"/>
    <w:rsid w:val="00DB10A4"/>
    <w:rsid w:val="00DB1B8D"/>
    <w:rsid w:val="00DB1EED"/>
    <w:rsid w:val="00DB2268"/>
    <w:rsid w:val="00DB243B"/>
    <w:rsid w:val="00DB24C6"/>
    <w:rsid w:val="00DB2567"/>
    <w:rsid w:val="00DB2693"/>
    <w:rsid w:val="00DB27DE"/>
    <w:rsid w:val="00DB3197"/>
    <w:rsid w:val="00DB344E"/>
    <w:rsid w:val="00DB39CC"/>
    <w:rsid w:val="00DB3DEA"/>
    <w:rsid w:val="00DB40BD"/>
    <w:rsid w:val="00DB4B8E"/>
    <w:rsid w:val="00DB4F4B"/>
    <w:rsid w:val="00DB6FF7"/>
    <w:rsid w:val="00DB7773"/>
    <w:rsid w:val="00DC070F"/>
    <w:rsid w:val="00DC1692"/>
    <w:rsid w:val="00DC1CB0"/>
    <w:rsid w:val="00DC1CD0"/>
    <w:rsid w:val="00DC20FC"/>
    <w:rsid w:val="00DC2731"/>
    <w:rsid w:val="00DC3097"/>
    <w:rsid w:val="00DC340A"/>
    <w:rsid w:val="00DC3462"/>
    <w:rsid w:val="00DC383E"/>
    <w:rsid w:val="00DC3858"/>
    <w:rsid w:val="00DC3A57"/>
    <w:rsid w:val="00DC6866"/>
    <w:rsid w:val="00DC7811"/>
    <w:rsid w:val="00DC7A95"/>
    <w:rsid w:val="00DD03F8"/>
    <w:rsid w:val="00DD0DD2"/>
    <w:rsid w:val="00DD0EF1"/>
    <w:rsid w:val="00DD1093"/>
    <w:rsid w:val="00DD10A0"/>
    <w:rsid w:val="00DD1908"/>
    <w:rsid w:val="00DD1DAF"/>
    <w:rsid w:val="00DD3A2C"/>
    <w:rsid w:val="00DD3C16"/>
    <w:rsid w:val="00DD466D"/>
    <w:rsid w:val="00DD51C3"/>
    <w:rsid w:val="00DD55C2"/>
    <w:rsid w:val="00DD5C1D"/>
    <w:rsid w:val="00DD6150"/>
    <w:rsid w:val="00DD6D78"/>
    <w:rsid w:val="00DD759E"/>
    <w:rsid w:val="00DD7C10"/>
    <w:rsid w:val="00DE0E83"/>
    <w:rsid w:val="00DE314E"/>
    <w:rsid w:val="00DE35E6"/>
    <w:rsid w:val="00DE3667"/>
    <w:rsid w:val="00DE47C7"/>
    <w:rsid w:val="00DE4CFB"/>
    <w:rsid w:val="00DE6B61"/>
    <w:rsid w:val="00DE6CA9"/>
    <w:rsid w:val="00DE7CB9"/>
    <w:rsid w:val="00DE7F70"/>
    <w:rsid w:val="00DF045B"/>
    <w:rsid w:val="00DF0901"/>
    <w:rsid w:val="00DF1270"/>
    <w:rsid w:val="00DF1ED8"/>
    <w:rsid w:val="00DF1F82"/>
    <w:rsid w:val="00DF2CA1"/>
    <w:rsid w:val="00DF34FD"/>
    <w:rsid w:val="00DF36B1"/>
    <w:rsid w:val="00DF3785"/>
    <w:rsid w:val="00DF3D27"/>
    <w:rsid w:val="00DF570F"/>
    <w:rsid w:val="00DF5804"/>
    <w:rsid w:val="00DF5A9A"/>
    <w:rsid w:val="00DF6074"/>
    <w:rsid w:val="00DF6599"/>
    <w:rsid w:val="00DF7E8C"/>
    <w:rsid w:val="00DF7F15"/>
    <w:rsid w:val="00E009AD"/>
    <w:rsid w:val="00E00E59"/>
    <w:rsid w:val="00E013F7"/>
    <w:rsid w:val="00E0195E"/>
    <w:rsid w:val="00E020BD"/>
    <w:rsid w:val="00E02239"/>
    <w:rsid w:val="00E04427"/>
    <w:rsid w:val="00E047EC"/>
    <w:rsid w:val="00E04E5B"/>
    <w:rsid w:val="00E05485"/>
    <w:rsid w:val="00E06831"/>
    <w:rsid w:val="00E06AC6"/>
    <w:rsid w:val="00E06EBE"/>
    <w:rsid w:val="00E071DB"/>
    <w:rsid w:val="00E07D42"/>
    <w:rsid w:val="00E117E9"/>
    <w:rsid w:val="00E12627"/>
    <w:rsid w:val="00E13BBD"/>
    <w:rsid w:val="00E14D58"/>
    <w:rsid w:val="00E161F9"/>
    <w:rsid w:val="00E16307"/>
    <w:rsid w:val="00E163E9"/>
    <w:rsid w:val="00E17B0B"/>
    <w:rsid w:val="00E17C67"/>
    <w:rsid w:val="00E20D37"/>
    <w:rsid w:val="00E20EFF"/>
    <w:rsid w:val="00E2145C"/>
    <w:rsid w:val="00E217C9"/>
    <w:rsid w:val="00E21EA6"/>
    <w:rsid w:val="00E228A8"/>
    <w:rsid w:val="00E22D24"/>
    <w:rsid w:val="00E233D5"/>
    <w:rsid w:val="00E235AB"/>
    <w:rsid w:val="00E238CA"/>
    <w:rsid w:val="00E23C5D"/>
    <w:rsid w:val="00E240F5"/>
    <w:rsid w:val="00E24815"/>
    <w:rsid w:val="00E24C0D"/>
    <w:rsid w:val="00E24C10"/>
    <w:rsid w:val="00E251B8"/>
    <w:rsid w:val="00E26302"/>
    <w:rsid w:val="00E27B26"/>
    <w:rsid w:val="00E27EB1"/>
    <w:rsid w:val="00E27F91"/>
    <w:rsid w:val="00E30004"/>
    <w:rsid w:val="00E308C5"/>
    <w:rsid w:val="00E31A5B"/>
    <w:rsid w:val="00E32C36"/>
    <w:rsid w:val="00E330EC"/>
    <w:rsid w:val="00E333AC"/>
    <w:rsid w:val="00E33DF3"/>
    <w:rsid w:val="00E3456B"/>
    <w:rsid w:val="00E34A16"/>
    <w:rsid w:val="00E3535B"/>
    <w:rsid w:val="00E35A52"/>
    <w:rsid w:val="00E35C16"/>
    <w:rsid w:val="00E36055"/>
    <w:rsid w:val="00E36085"/>
    <w:rsid w:val="00E36344"/>
    <w:rsid w:val="00E36752"/>
    <w:rsid w:val="00E36813"/>
    <w:rsid w:val="00E3749C"/>
    <w:rsid w:val="00E37EAC"/>
    <w:rsid w:val="00E40B6C"/>
    <w:rsid w:val="00E410CC"/>
    <w:rsid w:val="00E418DA"/>
    <w:rsid w:val="00E41C8B"/>
    <w:rsid w:val="00E41DCC"/>
    <w:rsid w:val="00E41E14"/>
    <w:rsid w:val="00E42382"/>
    <w:rsid w:val="00E431B9"/>
    <w:rsid w:val="00E43E3F"/>
    <w:rsid w:val="00E4400D"/>
    <w:rsid w:val="00E44BFE"/>
    <w:rsid w:val="00E452DC"/>
    <w:rsid w:val="00E454EF"/>
    <w:rsid w:val="00E46B40"/>
    <w:rsid w:val="00E46E15"/>
    <w:rsid w:val="00E47419"/>
    <w:rsid w:val="00E50408"/>
    <w:rsid w:val="00E518F6"/>
    <w:rsid w:val="00E52709"/>
    <w:rsid w:val="00E534E3"/>
    <w:rsid w:val="00E546F9"/>
    <w:rsid w:val="00E5515E"/>
    <w:rsid w:val="00E55C10"/>
    <w:rsid w:val="00E55F1E"/>
    <w:rsid w:val="00E5638A"/>
    <w:rsid w:val="00E564B5"/>
    <w:rsid w:val="00E57669"/>
    <w:rsid w:val="00E57D83"/>
    <w:rsid w:val="00E603DF"/>
    <w:rsid w:val="00E60FA2"/>
    <w:rsid w:val="00E6117F"/>
    <w:rsid w:val="00E61363"/>
    <w:rsid w:val="00E62C2F"/>
    <w:rsid w:val="00E63745"/>
    <w:rsid w:val="00E63794"/>
    <w:rsid w:val="00E648B4"/>
    <w:rsid w:val="00E64F16"/>
    <w:rsid w:val="00E65ECF"/>
    <w:rsid w:val="00E6699F"/>
    <w:rsid w:val="00E67845"/>
    <w:rsid w:val="00E67B40"/>
    <w:rsid w:val="00E67D14"/>
    <w:rsid w:val="00E7017D"/>
    <w:rsid w:val="00E703AE"/>
    <w:rsid w:val="00E71AC6"/>
    <w:rsid w:val="00E71BE9"/>
    <w:rsid w:val="00E72373"/>
    <w:rsid w:val="00E724F2"/>
    <w:rsid w:val="00E73378"/>
    <w:rsid w:val="00E73BEC"/>
    <w:rsid w:val="00E73F55"/>
    <w:rsid w:val="00E74484"/>
    <w:rsid w:val="00E746CD"/>
    <w:rsid w:val="00E7486C"/>
    <w:rsid w:val="00E74A40"/>
    <w:rsid w:val="00E76273"/>
    <w:rsid w:val="00E768F2"/>
    <w:rsid w:val="00E76AF9"/>
    <w:rsid w:val="00E77923"/>
    <w:rsid w:val="00E80657"/>
    <w:rsid w:val="00E815BF"/>
    <w:rsid w:val="00E833A8"/>
    <w:rsid w:val="00E84A19"/>
    <w:rsid w:val="00E84EF0"/>
    <w:rsid w:val="00E85752"/>
    <w:rsid w:val="00E8639C"/>
    <w:rsid w:val="00E8649C"/>
    <w:rsid w:val="00E8698E"/>
    <w:rsid w:val="00E87886"/>
    <w:rsid w:val="00E87CDE"/>
    <w:rsid w:val="00E913BD"/>
    <w:rsid w:val="00E91E3B"/>
    <w:rsid w:val="00E91FC1"/>
    <w:rsid w:val="00E92D54"/>
    <w:rsid w:val="00E93082"/>
    <w:rsid w:val="00E9323C"/>
    <w:rsid w:val="00E93248"/>
    <w:rsid w:val="00E933DB"/>
    <w:rsid w:val="00E93966"/>
    <w:rsid w:val="00E95E67"/>
    <w:rsid w:val="00E95FD8"/>
    <w:rsid w:val="00E9607E"/>
    <w:rsid w:val="00E97037"/>
    <w:rsid w:val="00E97EB0"/>
    <w:rsid w:val="00EA0283"/>
    <w:rsid w:val="00EA0FCC"/>
    <w:rsid w:val="00EA227E"/>
    <w:rsid w:val="00EA357E"/>
    <w:rsid w:val="00EA401F"/>
    <w:rsid w:val="00EA4A12"/>
    <w:rsid w:val="00EA5754"/>
    <w:rsid w:val="00EA5DE1"/>
    <w:rsid w:val="00EA6796"/>
    <w:rsid w:val="00EB074C"/>
    <w:rsid w:val="00EB098E"/>
    <w:rsid w:val="00EB0C86"/>
    <w:rsid w:val="00EB0E16"/>
    <w:rsid w:val="00EB1A57"/>
    <w:rsid w:val="00EB1BB8"/>
    <w:rsid w:val="00EB236F"/>
    <w:rsid w:val="00EB237E"/>
    <w:rsid w:val="00EB2420"/>
    <w:rsid w:val="00EB2BAC"/>
    <w:rsid w:val="00EB2C4E"/>
    <w:rsid w:val="00EB3268"/>
    <w:rsid w:val="00EB3D8E"/>
    <w:rsid w:val="00EB5B2B"/>
    <w:rsid w:val="00EB6E71"/>
    <w:rsid w:val="00EB7F2B"/>
    <w:rsid w:val="00EC08D7"/>
    <w:rsid w:val="00EC0E45"/>
    <w:rsid w:val="00EC1546"/>
    <w:rsid w:val="00EC15D5"/>
    <w:rsid w:val="00EC1E27"/>
    <w:rsid w:val="00EC32B0"/>
    <w:rsid w:val="00EC4D18"/>
    <w:rsid w:val="00EC518D"/>
    <w:rsid w:val="00EC5B23"/>
    <w:rsid w:val="00EC5BC7"/>
    <w:rsid w:val="00EC5DED"/>
    <w:rsid w:val="00EC6BD8"/>
    <w:rsid w:val="00EC6F39"/>
    <w:rsid w:val="00EC6FE8"/>
    <w:rsid w:val="00EC7533"/>
    <w:rsid w:val="00EC7762"/>
    <w:rsid w:val="00ED0057"/>
    <w:rsid w:val="00ED0356"/>
    <w:rsid w:val="00ED0D71"/>
    <w:rsid w:val="00ED0D79"/>
    <w:rsid w:val="00ED1B16"/>
    <w:rsid w:val="00ED23DF"/>
    <w:rsid w:val="00ED3255"/>
    <w:rsid w:val="00ED3DCD"/>
    <w:rsid w:val="00ED3DD5"/>
    <w:rsid w:val="00ED4307"/>
    <w:rsid w:val="00ED4FDB"/>
    <w:rsid w:val="00ED54A9"/>
    <w:rsid w:val="00ED55B1"/>
    <w:rsid w:val="00ED56BE"/>
    <w:rsid w:val="00ED5723"/>
    <w:rsid w:val="00ED5E78"/>
    <w:rsid w:val="00ED7490"/>
    <w:rsid w:val="00ED74D7"/>
    <w:rsid w:val="00ED7F43"/>
    <w:rsid w:val="00EE0CEE"/>
    <w:rsid w:val="00EE0D6E"/>
    <w:rsid w:val="00EE1A02"/>
    <w:rsid w:val="00EE21B9"/>
    <w:rsid w:val="00EE2284"/>
    <w:rsid w:val="00EE2337"/>
    <w:rsid w:val="00EE2A40"/>
    <w:rsid w:val="00EE2E73"/>
    <w:rsid w:val="00EE2F41"/>
    <w:rsid w:val="00EE3B3E"/>
    <w:rsid w:val="00EE3CE1"/>
    <w:rsid w:val="00EE40F8"/>
    <w:rsid w:val="00EE43AC"/>
    <w:rsid w:val="00EE461E"/>
    <w:rsid w:val="00EE6316"/>
    <w:rsid w:val="00EE63FD"/>
    <w:rsid w:val="00EE6DD6"/>
    <w:rsid w:val="00EE709B"/>
    <w:rsid w:val="00EF0867"/>
    <w:rsid w:val="00EF08CC"/>
    <w:rsid w:val="00EF0C46"/>
    <w:rsid w:val="00EF1A10"/>
    <w:rsid w:val="00EF1A9F"/>
    <w:rsid w:val="00EF1B27"/>
    <w:rsid w:val="00EF1E12"/>
    <w:rsid w:val="00EF33B4"/>
    <w:rsid w:val="00EF33EF"/>
    <w:rsid w:val="00EF4370"/>
    <w:rsid w:val="00EF5AD7"/>
    <w:rsid w:val="00EF6849"/>
    <w:rsid w:val="00EF7390"/>
    <w:rsid w:val="00EF7847"/>
    <w:rsid w:val="00EF7D89"/>
    <w:rsid w:val="00F0000D"/>
    <w:rsid w:val="00F00086"/>
    <w:rsid w:val="00F00106"/>
    <w:rsid w:val="00F001F8"/>
    <w:rsid w:val="00F01B6B"/>
    <w:rsid w:val="00F03ED0"/>
    <w:rsid w:val="00F03FA7"/>
    <w:rsid w:val="00F048EF"/>
    <w:rsid w:val="00F04CA7"/>
    <w:rsid w:val="00F0501D"/>
    <w:rsid w:val="00F05182"/>
    <w:rsid w:val="00F05C0E"/>
    <w:rsid w:val="00F068AD"/>
    <w:rsid w:val="00F068DF"/>
    <w:rsid w:val="00F06AAD"/>
    <w:rsid w:val="00F06E5C"/>
    <w:rsid w:val="00F07F97"/>
    <w:rsid w:val="00F10D44"/>
    <w:rsid w:val="00F11255"/>
    <w:rsid w:val="00F12371"/>
    <w:rsid w:val="00F12BF0"/>
    <w:rsid w:val="00F132EB"/>
    <w:rsid w:val="00F1382A"/>
    <w:rsid w:val="00F146BE"/>
    <w:rsid w:val="00F14783"/>
    <w:rsid w:val="00F149E5"/>
    <w:rsid w:val="00F15D70"/>
    <w:rsid w:val="00F16291"/>
    <w:rsid w:val="00F16D32"/>
    <w:rsid w:val="00F1799C"/>
    <w:rsid w:val="00F17C61"/>
    <w:rsid w:val="00F202EA"/>
    <w:rsid w:val="00F22013"/>
    <w:rsid w:val="00F22356"/>
    <w:rsid w:val="00F226E0"/>
    <w:rsid w:val="00F2334D"/>
    <w:rsid w:val="00F24B79"/>
    <w:rsid w:val="00F2522F"/>
    <w:rsid w:val="00F27F73"/>
    <w:rsid w:val="00F30180"/>
    <w:rsid w:val="00F30440"/>
    <w:rsid w:val="00F30753"/>
    <w:rsid w:val="00F30ED4"/>
    <w:rsid w:val="00F30ED7"/>
    <w:rsid w:val="00F31A29"/>
    <w:rsid w:val="00F3279A"/>
    <w:rsid w:val="00F328A1"/>
    <w:rsid w:val="00F32AAD"/>
    <w:rsid w:val="00F32E00"/>
    <w:rsid w:val="00F333DC"/>
    <w:rsid w:val="00F34544"/>
    <w:rsid w:val="00F34737"/>
    <w:rsid w:val="00F34F9C"/>
    <w:rsid w:val="00F35CD6"/>
    <w:rsid w:val="00F36099"/>
    <w:rsid w:val="00F37236"/>
    <w:rsid w:val="00F408A5"/>
    <w:rsid w:val="00F40AC9"/>
    <w:rsid w:val="00F40C09"/>
    <w:rsid w:val="00F4110C"/>
    <w:rsid w:val="00F41E71"/>
    <w:rsid w:val="00F424E9"/>
    <w:rsid w:val="00F4279F"/>
    <w:rsid w:val="00F44354"/>
    <w:rsid w:val="00F44552"/>
    <w:rsid w:val="00F44609"/>
    <w:rsid w:val="00F44634"/>
    <w:rsid w:val="00F44FCC"/>
    <w:rsid w:val="00F452E0"/>
    <w:rsid w:val="00F45473"/>
    <w:rsid w:val="00F456A2"/>
    <w:rsid w:val="00F45EF0"/>
    <w:rsid w:val="00F46FDE"/>
    <w:rsid w:val="00F47757"/>
    <w:rsid w:val="00F505EC"/>
    <w:rsid w:val="00F5088F"/>
    <w:rsid w:val="00F50E98"/>
    <w:rsid w:val="00F51657"/>
    <w:rsid w:val="00F51DB6"/>
    <w:rsid w:val="00F5223C"/>
    <w:rsid w:val="00F52638"/>
    <w:rsid w:val="00F52A3F"/>
    <w:rsid w:val="00F544AF"/>
    <w:rsid w:val="00F551FB"/>
    <w:rsid w:val="00F556FE"/>
    <w:rsid w:val="00F55F69"/>
    <w:rsid w:val="00F57787"/>
    <w:rsid w:val="00F61E82"/>
    <w:rsid w:val="00F6243A"/>
    <w:rsid w:val="00F6263B"/>
    <w:rsid w:val="00F627D6"/>
    <w:rsid w:val="00F628CB"/>
    <w:rsid w:val="00F62ACC"/>
    <w:rsid w:val="00F63323"/>
    <w:rsid w:val="00F636FE"/>
    <w:rsid w:val="00F63968"/>
    <w:rsid w:val="00F63E37"/>
    <w:rsid w:val="00F645E2"/>
    <w:rsid w:val="00F648B2"/>
    <w:rsid w:val="00F64FB6"/>
    <w:rsid w:val="00F65274"/>
    <w:rsid w:val="00F65A5D"/>
    <w:rsid w:val="00F66157"/>
    <w:rsid w:val="00F66544"/>
    <w:rsid w:val="00F6717B"/>
    <w:rsid w:val="00F675E6"/>
    <w:rsid w:val="00F67B71"/>
    <w:rsid w:val="00F67E3C"/>
    <w:rsid w:val="00F67EBD"/>
    <w:rsid w:val="00F702C8"/>
    <w:rsid w:val="00F7056E"/>
    <w:rsid w:val="00F70EA4"/>
    <w:rsid w:val="00F70F7D"/>
    <w:rsid w:val="00F71A29"/>
    <w:rsid w:val="00F71BF1"/>
    <w:rsid w:val="00F71C0C"/>
    <w:rsid w:val="00F71FD9"/>
    <w:rsid w:val="00F72DD9"/>
    <w:rsid w:val="00F73006"/>
    <w:rsid w:val="00F73432"/>
    <w:rsid w:val="00F735BC"/>
    <w:rsid w:val="00F737DD"/>
    <w:rsid w:val="00F7382B"/>
    <w:rsid w:val="00F73835"/>
    <w:rsid w:val="00F73D17"/>
    <w:rsid w:val="00F74D0A"/>
    <w:rsid w:val="00F74FA7"/>
    <w:rsid w:val="00F77259"/>
    <w:rsid w:val="00F77851"/>
    <w:rsid w:val="00F77CF3"/>
    <w:rsid w:val="00F806AF"/>
    <w:rsid w:val="00F80855"/>
    <w:rsid w:val="00F80FAB"/>
    <w:rsid w:val="00F81AAC"/>
    <w:rsid w:val="00F81D92"/>
    <w:rsid w:val="00F81E3B"/>
    <w:rsid w:val="00F823CE"/>
    <w:rsid w:val="00F827E1"/>
    <w:rsid w:val="00F836DF"/>
    <w:rsid w:val="00F84272"/>
    <w:rsid w:val="00F84A42"/>
    <w:rsid w:val="00F84D66"/>
    <w:rsid w:val="00F84E4F"/>
    <w:rsid w:val="00F85E22"/>
    <w:rsid w:val="00F86C05"/>
    <w:rsid w:val="00F86C66"/>
    <w:rsid w:val="00F87761"/>
    <w:rsid w:val="00F87D39"/>
    <w:rsid w:val="00F87F28"/>
    <w:rsid w:val="00F9040F"/>
    <w:rsid w:val="00F91780"/>
    <w:rsid w:val="00F91E5A"/>
    <w:rsid w:val="00F91E64"/>
    <w:rsid w:val="00F927B5"/>
    <w:rsid w:val="00F9316B"/>
    <w:rsid w:val="00F9345E"/>
    <w:rsid w:val="00F93659"/>
    <w:rsid w:val="00F93868"/>
    <w:rsid w:val="00F946CC"/>
    <w:rsid w:val="00F94BD0"/>
    <w:rsid w:val="00F95403"/>
    <w:rsid w:val="00F9619B"/>
    <w:rsid w:val="00F96705"/>
    <w:rsid w:val="00F96750"/>
    <w:rsid w:val="00F96D27"/>
    <w:rsid w:val="00F9704D"/>
    <w:rsid w:val="00F9716B"/>
    <w:rsid w:val="00FA0166"/>
    <w:rsid w:val="00FA02AE"/>
    <w:rsid w:val="00FA0D16"/>
    <w:rsid w:val="00FA1ADE"/>
    <w:rsid w:val="00FA218A"/>
    <w:rsid w:val="00FA218B"/>
    <w:rsid w:val="00FA2400"/>
    <w:rsid w:val="00FA291B"/>
    <w:rsid w:val="00FA33E9"/>
    <w:rsid w:val="00FA3501"/>
    <w:rsid w:val="00FA3F9D"/>
    <w:rsid w:val="00FA41D3"/>
    <w:rsid w:val="00FA464D"/>
    <w:rsid w:val="00FA55C8"/>
    <w:rsid w:val="00FA5E6B"/>
    <w:rsid w:val="00FA64BE"/>
    <w:rsid w:val="00FA64EA"/>
    <w:rsid w:val="00FA6F7E"/>
    <w:rsid w:val="00FA74C6"/>
    <w:rsid w:val="00FA7AAC"/>
    <w:rsid w:val="00FB01D7"/>
    <w:rsid w:val="00FB04FE"/>
    <w:rsid w:val="00FB0539"/>
    <w:rsid w:val="00FB23D9"/>
    <w:rsid w:val="00FB24ED"/>
    <w:rsid w:val="00FB27EC"/>
    <w:rsid w:val="00FB29AF"/>
    <w:rsid w:val="00FB2D58"/>
    <w:rsid w:val="00FB313D"/>
    <w:rsid w:val="00FB3165"/>
    <w:rsid w:val="00FB4003"/>
    <w:rsid w:val="00FB4957"/>
    <w:rsid w:val="00FB4DBE"/>
    <w:rsid w:val="00FB4EBA"/>
    <w:rsid w:val="00FB5407"/>
    <w:rsid w:val="00FB61D3"/>
    <w:rsid w:val="00FB6BD8"/>
    <w:rsid w:val="00FB7086"/>
    <w:rsid w:val="00FB72E3"/>
    <w:rsid w:val="00FB79FF"/>
    <w:rsid w:val="00FB7AE8"/>
    <w:rsid w:val="00FC00A1"/>
    <w:rsid w:val="00FC0FF8"/>
    <w:rsid w:val="00FC13E0"/>
    <w:rsid w:val="00FC1B94"/>
    <w:rsid w:val="00FC3710"/>
    <w:rsid w:val="00FC3B26"/>
    <w:rsid w:val="00FC49B2"/>
    <w:rsid w:val="00FC5456"/>
    <w:rsid w:val="00FC5841"/>
    <w:rsid w:val="00FC6384"/>
    <w:rsid w:val="00FC6733"/>
    <w:rsid w:val="00FC7F19"/>
    <w:rsid w:val="00FD0238"/>
    <w:rsid w:val="00FD0DC5"/>
    <w:rsid w:val="00FD15E1"/>
    <w:rsid w:val="00FD17BC"/>
    <w:rsid w:val="00FD23CB"/>
    <w:rsid w:val="00FD2677"/>
    <w:rsid w:val="00FD28B8"/>
    <w:rsid w:val="00FD2DE8"/>
    <w:rsid w:val="00FD3230"/>
    <w:rsid w:val="00FD3B7E"/>
    <w:rsid w:val="00FD3B8A"/>
    <w:rsid w:val="00FD3E90"/>
    <w:rsid w:val="00FD4940"/>
    <w:rsid w:val="00FD4D00"/>
    <w:rsid w:val="00FD696F"/>
    <w:rsid w:val="00FD69AC"/>
    <w:rsid w:val="00FD6D6A"/>
    <w:rsid w:val="00FD79DF"/>
    <w:rsid w:val="00FE0781"/>
    <w:rsid w:val="00FE0BD8"/>
    <w:rsid w:val="00FE1709"/>
    <w:rsid w:val="00FE1C1D"/>
    <w:rsid w:val="00FE1FC9"/>
    <w:rsid w:val="00FE3977"/>
    <w:rsid w:val="00FE3A70"/>
    <w:rsid w:val="00FE429B"/>
    <w:rsid w:val="00FE526F"/>
    <w:rsid w:val="00FE5957"/>
    <w:rsid w:val="00FE5BFC"/>
    <w:rsid w:val="00FE6E00"/>
    <w:rsid w:val="00FE752F"/>
    <w:rsid w:val="00FF184E"/>
    <w:rsid w:val="00FF26D4"/>
    <w:rsid w:val="00FF2C43"/>
    <w:rsid w:val="00FF30D8"/>
    <w:rsid w:val="00FF32DE"/>
    <w:rsid w:val="00FF3C6A"/>
    <w:rsid w:val="00FF3CB7"/>
    <w:rsid w:val="00FF3FA6"/>
    <w:rsid w:val="00FF4205"/>
    <w:rsid w:val="00FF5858"/>
    <w:rsid w:val="00FF6889"/>
    <w:rsid w:val="00FF6930"/>
    <w:rsid w:val="00FF7941"/>
    <w:rsid w:val="00FF7AB8"/>
    <w:rsid w:val="04F2CD61"/>
    <w:rsid w:val="059CFA13"/>
    <w:rsid w:val="075D5852"/>
    <w:rsid w:val="0AD78E32"/>
    <w:rsid w:val="0E00E539"/>
    <w:rsid w:val="1144917B"/>
    <w:rsid w:val="1DEC8A8E"/>
    <w:rsid w:val="1FDC36B0"/>
    <w:rsid w:val="21397807"/>
    <w:rsid w:val="2662FAC4"/>
    <w:rsid w:val="2EA4FF75"/>
    <w:rsid w:val="2F277347"/>
    <w:rsid w:val="2F8C58B3"/>
    <w:rsid w:val="304AE5D0"/>
    <w:rsid w:val="34D5F9B8"/>
    <w:rsid w:val="36725D5C"/>
    <w:rsid w:val="3CFE2AD9"/>
    <w:rsid w:val="3D083C78"/>
    <w:rsid w:val="3EC79034"/>
    <w:rsid w:val="4119874D"/>
    <w:rsid w:val="42EC885E"/>
    <w:rsid w:val="440F045F"/>
    <w:rsid w:val="49E560DE"/>
    <w:rsid w:val="563EF20D"/>
    <w:rsid w:val="56AF898D"/>
    <w:rsid w:val="59379E88"/>
    <w:rsid w:val="5CEC1FA5"/>
    <w:rsid w:val="6233BE84"/>
    <w:rsid w:val="64326B6E"/>
    <w:rsid w:val="66BEDE9A"/>
    <w:rsid w:val="68030A53"/>
    <w:rsid w:val="73BCEFCB"/>
    <w:rsid w:val="73C2C3BE"/>
    <w:rsid w:val="73E60BF3"/>
    <w:rsid w:val="74491CE0"/>
    <w:rsid w:val="752C6E9A"/>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20D1D3B0-0A80-4573-B028-C211E2C6D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character" w:styleId="UnresolvedMention">
    <w:name w:val="Unresolved Mention"/>
    <w:basedOn w:val="DefaultParagraphFont"/>
    <w:uiPriority w:val="99"/>
    <w:semiHidden/>
    <w:unhideWhenUsed/>
    <w:rsid w:val="00067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373895541">
      <w:bodyDiv w:val="1"/>
      <w:marLeft w:val="0"/>
      <w:marRight w:val="0"/>
      <w:marTop w:val="0"/>
      <w:marBottom w:val="0"/>
      <w:divBdr>
        <w:top w:val="none" w:sz="0" w:space="0" w:color="auto"/>
        <w:left w:val="none" w:sz="0" w:space="0" w:color="auto"/>
        <w:bottom w:val="none" w:sz="0" w:space="0" w:color="auto"/>
        <w:right w:val="none" w:sz="0" w:space="0" w:color="auto"/>
      </w:divBdr>
    </w:div>
    <w:div w:id="507257071">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2fc2c5-8ed7-442c-94bf-c7d493f772a8" xsi:nil="true"/>
    <lcf76f155ced4ddcb4097134ff3c332f xmlns="5d8f03b5-fa5f-426d-b289-5f314cd7781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80BB37D6D61C44B523CFBEFA6252FE" ma:contentTypeVersion="15" ma:contentTypeDescription="Create a new document." ma:contentTypeScope="" ma:versionID="0cea5cd4516a70ecec28a931246bcc0b">
  <xsd:schema xmlns:xsd="http://www.w3.org/2001/XMLSchema" xmlns:xs="http://www.w3.org/2001/XMLSchema" xmlns:p="http://schemas.microsoft.com/office/2006/metadata/properties" xmlns:ns2="5d8f03b5-fa5f-426d-b289-5f314cd7781d" xmlns:ns3="5c2fc2c5-8ed7-442c-94bf-c7d493f772a8" targetNamespace="http://schemas.microsoft.com/office/2006/metadata/properties" ma:root="true" ma:fieldsID="08a06bbfea9002460d6a280831ee7ecc" ns2:_="" ns3:_="">
    <xsd:import namespace="5d8f03b5-fa5f-426d-b289-5f314cd7781d"/>
    <xsd:import namespace="5c2fc2c5-8ed7-442c-94bf-c7d493f772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f03b5-fa5f-426d-b289-5f314cd77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8bf74a-d3be-4a92-b6f9-0aab25236a6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fc2c5-8ed7-442c-94bf-c7d493f772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4bfe2fa-d9f7-4ec8-9a3d-e3b8de1c020f}" ma:internalName="TaxCatchAll" ma:showField="CatchAllData" ma:web="5c2fc2c5-8ed7-442c-94bf-c7d493f772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5c2fc2c5-8ed7-442c-94bf-c7d493f772a8"/>
    <ds:schemaRef ds:uri="5d8f03b5-fa5f-426d-b289-5f314cd7781d"/>
  </ds:schemaRefs>
</ds:datastoreItem>
</file>

<file path=customXml/itemProps4.xml><?xml version="1.0" encoding="utf-8"?>
<ds:datastoreItem xmlns:ds="http://schemas.openxmlformats.org/officeDocument/2006/customXml" ds:itemID="{CF9D3CC1-ED7D-4939-B500-0CE43BC64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f03b5-fa5f-426d-b289-5f314cd7781d"/>
    <ds:schemaRef ds:uri="5c2fc2c5-8ed7-442c-94bf-c7d493f77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6</TotalTime>
  <Pages>10</Pages>
  <Words>3003</Words>
  <Characters>17120</Characters>
  <Application>Microsoft Office Word</Application>
  <DocSecurity>0</DocSecurity>
  <Lines>142</Lines>
  <Paragraphs>40</Paragraphs>
  <ScaleCrop>false</ScaleCrop>
  <Company>ESMA</Company>
  <LinksUpToDate>false</LinksUpToDate>
  <CharactersWithSpaces>20083</CharactersWithSpaces>
  <SharedDoc>false</SharedDoc>
  <HLinks>
    <vt:vector size="18" baseType="variant">
      <vt:variant>
        <vt:i4>7733344</vt:i4>
      </vt:variant>
      <vt:variant>
        <vt:i4>3</vt:i4>
      </vt:variant>
      <vt:variant>
        <vt:i4>0</vt:i4>
      </vt:variant>
      <vt:variant>
        <vt:i4>5</vt:i4>
      </vt:variant>
      <vt:variant>
        <vt:lpwstr>http://www.esma.europa.eu/legal-notice</vt:lpwstr>
      </vt:variant>
      <vt:variant>
        <vt:lpwstr/>
      </vt:variant>
      <vt:variant>
        <vt:i4>3932286</vt:i4>
      </vt:variant>
      <vt:variant>
        <vt:i4>0</vt:i4>
      </vt:variant>
      <vt:variant>
        <vt:i4>0</vt:i4>
      </vt:variant>
      <vt:variant>
        <vt:i4>5</vt:i4>
      </vt:variant>
      <vt:variant>
        <vt:lpwstr>http://www.esma.europa.eu/</vt:lpwstr>
      </vt:variant>
      <vt:variant>
        <vt:lpwstr/>
      </vt:variant>
      <vt:variant>
        <vt:i4>7798878</vt:i4>
      </vt:variant>
      <vt:variant>
        <vt:i4>3</vt:i4>
      </vt:variant>
      <vt:variant>
        <vt:i4>0</vt:i4>
      </vt:variant>
      <vt:variant>
        <vt:i4>5</vt:i4>
      </vt:variant>
      <vt:variant>
        <vt:lpwstr>https://sherpa.esma.europa.eu/sites/MKT/SMK/_layouts/15/DocIdRedir.aspx?ID=ESMA70-156-1484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Hugo Gallagher</cp:lastModifiedBy>
  <cp:revision>5</cp:revision>
  <cp:lastPrinted>2025-05-23T08:53:00Z</cp:lastPrinted>
  <dcterms:created xsi:type="dcterms:W3CDTF">2025-06-20T15:46:00Z</dcterms:created>
  <dcterms:modified xsi:type="dcterms:W3CDTF">2025-06-20T15:52:00Z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0x0101000E80BB37D6D61C44B523CFBEFA6252FE</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MediaServiceImageTags">
    <vt:lpwstr/>
  </property>
</Properties>
</file>