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le"/>
                  <w:rPr>
                    <w:sz w:val="48"/>
                    <w:szCs w:val="48"/>
                  </w:rPr>
                </w:pPr>
                <w:r w:rsidRPr="00FA64BE">
                  <w:rPr>
                    <w:sz w:val="48"/>
                    <w:szCs w:val="48"/>
                  </w:rPr>
                  <w:t xml:space="preserve">Reply form </w:t>
                </w:r>
              </w:p>
              <w:p w14:paraId="2F2A3347" w14:textId="77777777" w:rsidR="000310AB" w:rsidRPr="00FA64BE" w:rsidRDefault="000310AB" w:rsidP="000310AB"/>
              <w:p w14:paraId="00FE0097" w14:textId="16164DCD" w:rsidR="000310AB" w:rsidRPr="00FA64BE" w:rsidRDefault="000310AB" w:rsidP="000310AB">
                <w:pPr>
                  <w:pStyle w:val="Title"/>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 xml:space="preserve">the </w:t>
                </w:r>
                <w:r w:rsidR="00D40FA1">
                  <w:rPr>
                    <w:rFonts w:cs="Arial"/>
                    <w:bCs/>
                    <w:color w:val="auto"/>
                    <w:sz w:val="24"/>
                    <w:szCs w:val="24"/>
                  </w:rPr>
                  <w:t>Call for Evidence on a</w:t>
                </w:r>
                <w:r w:rsidR="006C791B">
                  <w:rPr>
                    <w:rFonts w:cs="Arial"/>
                    <w:bCs/>
                    <w:color w:val="auto"/>
                    <w:sz w:val="24"/>
                    <w:szCs w:val="24"/>
                  </w:rPr>
                  <w:t xml:space="preserve"> </w:t>
                </w:r>
                <w:r w:rsidR="005A5EF1">
                  <w:rPr>
                    <w:rFonts w:cs="Arial"/>
                    <w:bCs/>
                    <w:color w:val="auto"/>
                    <w:sz w:val="24"/>
                    <w:szCs w:val="24"/>
                  </w:rPr>
                  <w:t>C</w:t>
                </w:r>
                <w:r w:rsidR="006C791B" w:rsidRPr="006C791B">
                  <w:rPr>
                    <w:rFonts w:cs="Arial"/>
                    <w:bCs/>
                    <w:color w:val="auto"/>
                    <w:sz w:val="24"/>
                    <w:szCs w:val="24"/>
                  </w:rPr>
                  <w:t xml:space="preserve">omprehensive </w:t>
                </w:r>
                <w:r w:rsidR="005A5EF1">
                  <w:rPr>
                    <w:rFonts w:cs="Arial"/>
                    <w:bCs/>
                    <w:color w:val="auto"/>
                    <w:sz w:val="24"/>
                    <w:szCs w:val="24"/>
                  </w:rPr>
                  <w:t>A</w:t>
                </w:r>
                <w:r w:rsidR="006C791B" w:rsidRPr="006C791B">
                  <w:rPr>
                    <w:rFonts w:cs="Arial"/>
                    <w:bCs/>
                    <w:color w:val="auto"/>
                    <w:sz w:val="24"/>
                    <w:szCs w:val="24"/>
                  </w:rPr>
                  <w:t xml:space="preserve">pproach for the </w:t>
                </w:r>
                <w:r w:rsidR="005A5EF1">
                  <w:rPr>
                    <w:rFonts w:cs="Arial"/>
                    <w:bCs/>
                    <w:color w:val="auto"/>
                    <w:sz w:val="24"/>
                    <w:szCs w:val="24"/>
                  </w:rPr>
                  <w:t>S</w:t>
                </w:r>
                <w:r w:rsidR="006C791B" w:rsidRPr="006C791B">
                  <w:rPr>
                    <w:rFonts w:cs="Arial"/>
                    <w:bCs/>
                    <w:color w:val="auto"/>
                    <w:sz w:val="24"/>
                    <w:szCs w:val="24"/>
                  </w:rPr>
                  <w:t xml:space="preserve">implification of </w:t>
                </w:r>
                <w:r w:rsidR="005A5EF1">
                  <w:rPr>
                    <w:rFonts w:cs="Arial"/>
                    <w:bCs/>
                    <w:color w:val="auto"/>
                    <w:sz w:val="24"/>
                    <w:szCs w:val="24"/>
                  </w:rPr>
                  <w:t>F</w:t>
                </w:r>
                <w:r w:rsidR="006C791B" w:rsidRPr="006C791B">
                  <w:rPr>
                    <w:rFonts w:cs="Arial"/>
                    <w:bCs/>
                    <w:color w:val="auto"/>
                    <w:sz w:val="24"/>
                    <w:szCs w:val="24"/>
                  </w:rPr>
                  <w:t xml:space="preserve">inancial </w:t>
                </w:r>
                <w:r w:rsidR="005A5EF1">
                  <w:rPr>
                    <w:rFonts w:cs="Arial"/>
                    <w:bCs/>
                    <w:color w:val="auto"/>
                    <w:sz w:val="24"/>
                    <w:szCs w:val="24"/>
                  </w:rPr>
                  <w:t>T</w:t>
                </w:r>
                <w:r w:rsidR="006C791B" w:rsidRPr="006C791B">
                  <w:rPr>
                    <w:rFonts w:cs="Arial"/>
                    <w:bCs/>
                    <w:color w:val="auto"/>
                    <w:sz w:val="24"/>
                    <w:szCs w:val="24"/>
                  </w:rPr>
                  <w:t xml:space="preserve">ransaction </w:t>
                </w:r>
                <w:r w:rsidR="005A5EF1">
                  <w:rPr>
                    <w:rFonts w:cs="Arial"/>
                    <w:bCs/>
                    <w:color w:val="auto"/>
                    <w:sz w:val="24"/>
                    <w:szCs w:val="24"/>
                  </w:rPr>
                  <w:t>R</w:t>
                </w:r>
                <w:r w:rsidR="006C791B" w:rsidRPr="006C791B">
                  <w:rPr>
                    <w:rFonts w:cs="Arial"/>
                    <w:bCs/>
                    <w:color w:val="auto"/>
                    <w:sz w:val="24"/>
                    <w:szCs w:val="24"/>
                  </w:rPr>
                  <w:t>eporting</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Heading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Heading2"/>
            <w:numPr>
              <w:ilvl w:val="0"/>
              <w:numId w:val="0"/>
            </w:numPr>
            <w:sectPr w:rsidR="00AF2EF7" w:rsidRPr="00B16706" w:rsidSect="007E7997">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E726E"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8"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lastRenderedPageBreak/>
            <w:t xml:space="preserve">Responding to this paper </w:t>
          </w:r>
        </w:p>
        <w:p w14:paraId="46CF9AD5" w14:textId="41E1E65E"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CD7091">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xml:space="preserve">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053DB6">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053DB6">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053DB6">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053DB6">
          <w:pPr>
            <w:numPr>
              <w:ilvl w:val="0"/>
              <w:numId w:val="8"/>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5D303D54"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BF7E68">
            <w:rPr>
              <w:rFonts w:asciiTheme="minorHAnsi" w:eastAsiaTheme="minorEastAsia" w:hAnsiTheme="minorHAnsi" w:cstheme="minorBidi"/>
              <w:b/>
              <w:bCs/>
              <w:sz w:val="18"/>
              <w:szCs w:val="16"/>
              <w:lang w:eastAsia="en-US"/>
            </w:rPr>
            <w:t>19</w:t>
          </w:r>
          <w:r w:rsidR="005B4A69" w:rsidRPr="005B4A69">
            <w:rPr>
              <w:rFonts w:asciiTheme="minorHAnsi" w:eastAsiaTheme="minorEastAsia" w:hAnsiTheme="minorHAnsi" w:cstheme="minorBidi"/>
              <w:b/>
              <w:bCs/>
              <w:sz w:val="18"/>
              <w:szCs w:val="16"/>
              <w:vertAlign w:val="superscript"/>
              <w:lang w:eastAsia="en-US"/>
            </w:rPr>
            <w:t>th</w:t>
          </w:r>
          <w:r w:rsidR="005B4A69" w:rsidRPr="005B4A69">
            <w:rPr>
              <w:rFonts w:asciiTheme="minorHAnsi" w:eastAsiaTheme="minorEastAsia" w:hAnsiTheme="minorHAnsi" w:cstheme="minorBidi"/>
              <w:sz w:val="18"/>
              <w:szCs w:val="16"/>
              <w:lang w:eastAsia="en-US"/>
            </w:rPr>
            <w:t xml:space="preserve"> </w:t>
          </w:r>
          <w:r w:rsidR="004D19BD">
            <w:rPr>
              <w:rFonts w:asciiTheme="minorHAnsi" w:eastAsiaTheme="minorEastAsia" w:hAnsiTheme="minorHAnsi" w:cstheme="minorBidi"/>
              <w:b/>
              <w:sz w:val="18"/>
              <w:szCs w:val="16"/>
              <w:lang w:eastAsia="en-US"/>
            </w:rPr>
            <w:t>September</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31609EB1"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 order to facilitate analysis of responses to the </w:t>
          </w:r>
          <w:r w:rsidR="00C97337">
            <w:rPr>
              <w:rFonts w:asciiTheme="minorHAnsi" w:eastAsiaTheme="minorEastAsia" w:hAnsiTheme="minorHAnsi" w:cstheme="minorBidi"/>
              <w:sz w:val="18"/>
              <w:szCs w:val="16"/>
              <w:lang w:eastAsia="en-US"/>
            </w:rPr>
            <w:t>Call for Evidence</w:t>
          </w:r>
          <w:r w:rsidRPr="00B16706">
            <w:rPr>
              <w:rFonts w:asciiTheme="minorHAnsi" w:eastAsiaTheme="minorEastAsia" w:hAnsiTheme="minorHAnsi" w:cstheme="minorBidi"/>
              <w:sz w:val="18"/>
              <w:szCs w:val="16"/>
              <w:lang w:eastAsia="en-US"/>
            </w:rPr>
            <w:t>, respondents are requested to follow the below steps when preparing and submitting their response:</w:t>
          </w:r>
        </w:p>
        <w:p w14:paraId="7AAE3F58" w14:textId="495A59C6" w:rsidR="00A409C2" w:rsidRPr="00A409C2" w:rsidRDefault="00B16706" w:rsidP="00053DB6">
          <w:pPr>
            <w:pStyle w:val="ListParagraph"/>
            <w:numPr>
              <w:ilvl w:val="0"/>
              <w:numId w:val="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w:t>
          </w:r>
          <w:r w:rsidR="00C97337">
            <w:rPr>
              <w:rFonts w:eastAsiaTheme="minorEastAsia" w:cstheme="minorBidi"/>
              <w:sz w:val="18"/>
              <w:szCs w:val="16"/>
              <w:lang w:eastAsia="en-US"/>
            </w:rPr>
            <w:t>Call for Evidence</w:t>
          </w:r>
          <w:r w:rsidRPr="00A409C2">
            <w:rPr>
              <w:rFonts w:eastAsiaTheme="minorEastAsia" w:cstheme="minorBidi"/>
              <w:sz w:val="18"/>
              <w:szCs w:val="16"/>
              <w:lang w:eastAsia="en-US"/>
            </w:rPr>
            <w:t xml:space="preserve"> in the present response form. </w:t>
          </w:r>
        </w:p>
        <w:p w14:paraId="28D63108" w14:textId="0392516A" w:rsidR="00A409C2" w:rsidRPr="00871163" w:rsidRDefault="008279D3" w:rsidP="00053DB6">
          <w:pPr>
            <w:pStyle w:val="ListParagraph"/>
            <w:numPr>
              <w:ilvl w:val="0"/>
              <w:numId w:val="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51F62ACA" w:rsidR="00B16706" w:rsidRPr="00A409C2" w:rsidRDefault="00B16706" w:rsidP="00053DB6">
          <w:pPr>
            <w:pStyle w:val="ListParagraph"/>
            <w:numPr>
              <w:ilvl w:val="0"/>
              <w:numId w:val="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40647">
            <w:rPr>
              <w:rFonts w:eastAsiaTheme="minorEastAsia" w:cstheme="minorBidi"/>
              <w:sz w:val="18"/>
              <w:szCs w:val="16"/>
              <w:lang w:eastAsia="en-US"/>
            </w:rPr>
            <w:t>CASR</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053DB6">
          <w:pPr>
            <w:pStyle w:val="ListParagraph"/>
            <w:numPr>
              <w:ilvl w:val="0"/>
              <w:numId w:val="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019DBA5D" w:rsidR="00B16706" w:rsidRPr="00A409C2" w:rsidRDefault="00B16706" w:rsidP="00053DB6">
          <w:pPr>
            <w:pStyle w:val="ListParagraph"/>
            <w:numPr>
              <w:ilvl w:val="0"/>
              <w:numId w:val="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_nameofrespondent_RESPONSEFORM. For example, for a respondent named ABCD, the response form would be entitled ESMA_</w:t>
          </w:r>
          <w:r w:rsidR="00340647">
            <w:rPr>
              <w:rFonts w:eastAsiaTheme="minorEastAsia" w:cstheme="minorBidi"/>
              <w:sz w:val="18"/>
              <w:szCs w:val="16"/>
              <w:lang w:eastAsia="en-US"/>
            </w:rPr>
            <w:t>CASR</w:t>
          </w:r>
          <w:r w:rsidRPr="00A409C2">
            <w:rPr>
              <w:rFonts w:eastAsiaTheme="minorEastAsia" w:cstheme="minorBidi"/>
              <w:sz w:val="18"/>
              <w:szCs w:val="16"/>
              <w:lang w:eastAsia="en-US"/>
            </w:rPr>
            <w:t>_ABCD_RESPONSEFORM.</w:t>
          </w:r>
        </w:p>
        <w:p w14:paraId="28EEA743" w14:textId="0DC50177" w:rsidR="00A02199" w:rsidRPr="00A409C2" w:rsidRDefault="00B16706" w:rsidP="00053DB6">
          <w:pPr>
            <w:pStyle w:val="ListParagraph"/>
            <w:numPr>
              <w:ilvl w:val="0"/>
              <w:numId w:val="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340647">
            <w:rPr>
              <w:rFonts w:eastAsiaTheme="minorEastAsia" w:cstheme="minorBidi"/>
              <w:sz w:val="18"/>
              <w:szCs w:val="16"/>
              <w:lang w:eastAsia="en-US"/>
            </w:rPr>
            <w:t>Call for evidence on a comprehensive approach for the simplification of financial transaction reporting</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E7B7DDF"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r w:rsidR="00896D5B" w:rsidRPr="00B16706">
            <w:rPr>
              <w:rFonts w:asciiTheme="minorHAnsi" w:eastAsiaTheme="minorEastAsia" w:hAnsiTheme="minorHAnsi" w:cstheme="minorBidi"/>
              <w:sz w:val="18"/>
              <w:szCs w:val="16"/>
              <w:lang w:eastAsia="en-US"/>
            </w:rPr>
            <w:t>publicly</w:t>
          </w:r>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9"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20"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230BBB13"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This paper is primarily addressed to all financial market participants and in particular reporting entities and market infrastructures, as well as to trade associations and other stakeholders involved in financial regulation, investor education, and retail investment market developments.  It seeks input on major cost drivers linked to derivative regulatory reporting and the identification of possibilities on integration, streamlining and simplification. </w:t>
      </w:r>
    </w:p>
    <w:p w14:paraId="14147BD5" w14:textId="77777777" w:rsidR="00F954EE" w:rsidRPr="00F954EE" w:rsidRDefault="00F954EE" w:rsidP="00F954EE">
      <w:pPr>
        <w:pStyle w:val="Heading1"/>
        <w:numPr>
          <w:ilvl w:val="0"/>
          <w:numId w:val="0"/>
        </w:numPr>
        <w:spacing w:line="276" w:lineRule="auto"/>
        <w:rPr>
          <w:rFonts w:ascii="Arial" w:eastAsia="Times New Roman" w:hAnsi="Arial" w:cs="Arial"/>
          <w:b w:val="0"/>
          <w:sz w:val="18"/>
          <w:szCs w:val="18"/>
          <w:lang w:eastAsia="it-IT"/>
        </w:rPr>
      </w:pPr>
      <w:r w:rsidRPr="00F954EE">
        <w:rPr>
          <w:rFonts w:ascii="Arial" w:eastAsia="Times New Roman" w:hAnsi="Arial" w:cs="Arial"/>
          <w:b w:val="0"/>
          <w:sz w:val="18"/>
          <w:szCs w:val="18"/>
          <w:lang w:eastAsia="it-IT"/>
        </w:rPr>
        <w:t xml:space="preserve">The paper is also relevant to competent authorities, with competences in the context of MiFIR, EMIR, SFTR regulation. </w:t>
      </w:r>
    </w:p>
    <w:p w14:paraId="1F90B8D3" w14:textId="6DE5C6E2" w:rsidR="00C85C8B" w:rsidRDefault="00AF2EF7" w:rsidP="008279D3">
      <w:pPr>
        <w:pStyle w:val="Heading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282AB265" w:rsidR="00C85C8B" w:rsidRPr="00B16706" w:rsidRDefault="00951970" w:rsidP="00C85C8B">
                <w:pPr>
                  <w:rPr>
                    <w:rFonts w:ascii="Arial" w:hAnsi="Arial" w:cs="Arial"/>
                    <w:color w:val="808080"/>
                    <w:sz w:val="16"/>
                    <w:szCs w:val="20"/>
                    <w:lang w:eastAsia="de-DE"/>
                  </w:rPr>
                </w:pPr>
                <w:r w:rsidRPr="00951970">
                  <w:rPr>
                    <w:rFonts w:ascii="Arial" w:hAnsi="Arial" w:cs="Arial"/>
                    <w:color w:val="808080"/>
                    <w:sz w:val="16"/>
                    <w:szCs w:val="20"/>
                    <w:lang w:eastAsia="de-DE"/>
                  </w:rPr>
                  <w:t>BNP Paribas Asset Management</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54AE774D"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8A264B">
                  <w:rPr>
                    <w:rFonts w:ascii="Arial" w:hAnsi="Arial" w:cs="Arial"/>
                    <w:sz w:val="16"/>
                    <w:szCs w:val="20"/>
                    <w:lang w:eastAsia="de-DE"/>
                  </w:rPr>
                  <w:t>Investment Services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tcPr>
              <w:p w14:paraId="6C4423E1" w14:textId="1FB59F3D" w:rsidR="00C85C8B" w:rsidRPr="00B16706" w:rsidRDefault="008A264B"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283758CE" w:rsidR="00C85C8B" w:rsidRPr="00B16706" w:rsidRDefault="008A264B" w:rsidP="00C85C8B">
                <w:pPr>
                  <w:rPr>
                    <w:rFonts w:ascii="Arial" w:hAnsi="Arial" w:cs="Arial"/>
                    <w:sz w:val="16"/>
                    <w:szCs w:val="20"/>
                    <w:lang w:eastAsia="de-DE"/>
                  </w:rPr>
                </w:pPr>
                <w:r>
                  <w:rPr>
                    <w:rFonts w:ascii="Arial" w:hAnsi="Arial" w:cs="Arial"/>
                    <w:sz w:val="16"/>
                    <w:szCs w:val="20"/>
                    <w:lang w:eastAsia="de-DE"/>
                  </w:rPr>
                  <w:t>Europe</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473708D6" w14:textId="77777777" w:rsidR="00926BDA" w:rsidRDefault="00926BDA" w:rsidP="00BF7E68">
      <w:pPr>
        <w:pStyle w:val="Questionstyle"/>
        <w:numPr>
          <w:ilvl w:val="0"/>
          <w:numId w:val="0"/>
        </w:numPr>
        <w:ind w:left="360"/>
      </w:pPr>
    </w:p>
    <w:p w14:paraId="255AD77B" w14:textId="77777777" w:rsidR="00926BDA" w:rsidRPr="00BC53D2" w:rsidRDefault="00926BDA" w:rsidP="00926BDA">
      <w:pPr>
        <w:rPr>
          <w:lang w:val="en-US"/>
        </w:rPr>
      </w:pPr>
    </w:p>
    <w:p w14:paraId="29094614" w14:textId="77777777" w:rsidR="00926BDA" w:rsidRPr="00E56247" w:rsidRDefault="00926BDA" w:rsidP="00926BDA">
      <w:pPr>
        <w:pStyle w:val="Questionstyle"/>
        <w:spacing w:before="120" w:after="120"/>
        <w:ind w:left="851" w:hanging="709"/>
      </w:pPr>
      <w:r w:rsidRPr="00E56247">
        <w:t>Do stakeholders agree with the description of the key challenges outlined above? Is there any other issue linked to multiple regulatory regimes with duplicative or inconsistent requirements that is not reflected in this section? Out of the 10 sources of costs identified in this section and the ones that you may add, what are the three main cost drivers in your view?</w:t>
      </w:r>
    </w:p>
    <w:p w14:paraId="63D2302D" w14:textId="77777777" w:rsidR="00926BDA" w:rsidRDefault="00926BDA" w:rsidP="00926BDA">
      <w:r>
        <w:t>&lt;ESMA_QUESTION_CASR_1&gt;</w:t>
      </w:r>
    </w:p>
    <w:p w14:paraId="2F3E1EE4" w14:textId="77777777" w:rsidR="00053DB6" w:rsidRDefault="00053DB6" w:rsidP="00053DB6">
      <w:permStart w:id="785210304" w:edGrp="everyone"/>
      <w:r w:rsidRPr="00F04202">
        <w:t xml:space="preserve">From the perspective of </w:t>
      </w:r>
      <w:r w:rsidRPr="00F04202">
        <w:rPr>
          <w:b/>
          <w:bCs/>
        </w:rPr>
        <w:t>BNP Paribas Asset Management</w:t>
      </w:r>
      <w:r w:rsidRPr="00F04202">
        <w:t>, the key challenges described are valid.</w:t>
      </w:r>
    </w:p>
    <w:p w14:paraId="7D33DE13" w14:textId="77777777" w:rsidR="00053DB6" w:rsidRPr="00F04202" w:rsidRDefault="00053DB6" w:rsidP="00053DB6">
      <w:r w:rsidRPr="00F04202">
        <w:t xml:space="preserve">The </w:t>
      </w:r>
      <w:r w:rsidRPr="00F04202">
        <w:rPr>
          <w:b/>
          <w:bCs/>
        </w:rPr>
        <w:t xml:space="preserve">three main cost </w:t>
      </w:r>
      <w:proofErr w:type="gramStart"/>
      <w:r w:rsidRPr="00F04202">
        <w:rPr>
          <w:b/>
          <w:bCs/>
        </w:rPr>
        <w:t>drivers</w:t>
      </w:r>
      <w:r w:rsidRPr="00F04202">
        <w:t xml:space="preserve"> </w:t>
      </w:r>
      <w:r>
        <w:t xml:space="preserve"> from</w:t>
      </w:r>
      <w:proofErr w:type="gramEnd"/>
      <w:r>
        <w:t xml:space="preserve"> the key challenges listed in this section </w:t>
      </w:r>
      <w:r w:rsidRPr="00F04202">
        <w:t>are:</w:t>
      </w:r>
    </w:p>
    <w:p w14:paraId="49DB8985" w14:textId="77777777" w:rsidR="00053DB6" w:rsidRPr="00F04202" w:rsidRDefault="00053DB6" w:rsidP="00053DB6">
      <w:pPr>
        <w:numPr>
          <w:ilvl w:val="0"/>
          <w:numId w:val="11"/>
        </w:numPr>
        <w:spacing w:after="160" w:line="278" w:lineRule="auto"/>
      </w:pPr>
      <w:r w:rsidRPr="00F04202">
        <w:rPr>
          <w:b/>
          <w:bCs/>
        </w:rPr>
        <w:t>Duplicative reporting across multiple regimes</w:t>
      </w:r>
      <w:r w:rsidRPr="00F04202">
        <w:t xml:space="preserve"> (e.g., EMIR, MiFIR, SFTR), leading to inefficiencies and increased operational burden.</w:t>
      </w:r>
    </w:p>
    <w:p w14:paraId="06378EA8" w14:textId="77777777" w:rsidR="00053DB6" w:rsidRPr="00F04202" w:rsidRDefault="00053DB6" w:rsidP="00053DB6">
      <w:pPr>
        <w:numPr>
          <w:ilvl w:val="0"/>
          <w:numId w:val="11"/>
        </w:numPr>
        <w:spacing w:after="160" w:line="278" w:lineRule="auto"/>
      </w:pPr>
      <w:r w:rsidRPr="00F04202">
        <w:rPr>
          <w:b/>
          <w:bCs/>
        </w:rPr>
        <w:t>Fragmented and inconsistent reporting channels</w:t>
      </w:r>
      <w:r w:rsidRPr="00F04202">
        <w:t>, which require maintaining multiple systems and hinder automation.</w:t>
      </w:r>
    </w:p>
    <w:p w14:paraId="1C68869E" w14:textId="77777777" w:rsidR="00053DB6" w:rsidRDefault="00053DB6" w:rsidP="00053DB6">
      <w:pPr>
        <w:numPr>
          <w:ilvl w:val="0"/>
          <w:numId w:val="11"/>
        </w:numPr>
        <w:spacing w:after="160" w:line="278" w:lineRule="auto"/>
      </w:pPr>
      <w:r w:rsidRPr="00F04202">
        <w:rPr>
          <w:b/>
          <w:bCs/>
        </w:rPr>
        <w:t>Frequent and uncoordinated regulatory updates</w:t>
      </w:r>
      <w:r w:rsidRPr="00F04202">
        <w:t>, which strain resources and complicate implementation planning.</w:t>
      </w:r>
    </w:p>
    <w:p w14:paraId="71012F17" w14:textId="77777777" w:rsidR="00053DB6" w:rsidRPr="007052DB" w:rsidRDefault="00053DB6" w:rsidP="00053DB6">
      <w:r w:rsidRPr="007052DB">
        <w:t>Howeve</w:t>
      </w:r>
      <w:r>
        <w:t>r, w</w:t>
      </w:r>
      <w:r w:rsidRPr="007052DB">
        <w:t xml:space="preserve">e wish to stress that the </w:t>
      </w:r>
      <w:r w:rsidRPr="007052DB">
        <w:rPr>
          <w:b/>
          <w:bCs/>
        </w:rPr>
        <w:t>most critical issue for us</w:t>
      </w:r>
      <w:r w:rsidRPr="007052DB">
        <w:t xml:space="preserve">, beyond all those </w:t>
      </w:r>
      <w:proofErr w:type="gramStart"/>
      <w:r w:rsidRPr="007052DB">
        <w:t>listed</w:t>
      </w:r>
      <w:proofErr w:type="gramEnd"/>
      <w:r w:rsidRPr="007052DB">
        <w:t xml:space="preserve"> and the options presented, is the </w:t>
      </w:r>
      <w:r w:rsidRPr="007052DB">
        <w:rPr>
          <w:b/>
          <w:bCs/>
        </w:rPr>
        <w:t>challenge of data accuracy</w:t>
      </w:r>
      <w:r w:rsidRPr="007052DB">
        <w:t>, especially under EMIR and SFTR reporting.</w:t>
      </w:r>
    </w:p>
    <w:p w14:paraId="55788170" w14:textId="77777777" w:rsidR="00053DB6" w:rsidRPr="007052DB" w:rsidRDefault="00053DB6" w:rsidP="00053DB6">
      <w:r w:rsidRPr="007052DB">
        <w:t xml:space="preserve">While duplicative reporting, inconsistent channels, and frequent uncoordinated regulatory updates are major cost drivers, </w:t>
      </w:r>
      <w:r w:rsidRPr="007052DB">
        <w:rPr>
          <w:b/>
          <w:bCs/>
        </w:rPr>
        <w:t>the main operational burden stems from the ever-increasing number of required reporting fields</w:t>
      </w:r>
      <w:r w:rsidRPr="007052DB">
        <w:t>, many of which are difficult to populate accurately due to system limitations of third-party providers.</w:t>
      </w:r>
    </w:p>
    <w:p w14:paraId="0B0A77BD" w14:textId="77777777" w:rsidR="00053DB6" w:rsidRPr="007052DB" w:rsidRDefault="00053DB6" w:rsidP="00053DB6">
      <w:r w:rsidRPr="007052DB">
        <w:t xml:space="preserve">The implementation of </w:t>
      </w:r>
      <w:r w:rsidRPr="007052DB">
        <w:rPr>
          <w:b/>
          <w:bCs/>
        </w:rPr>
        <w:t>EMIR Refit</w:t>
      </w:r>
      <w:r w:rsidRPr="007052DB">
        <w:t>, which aligned EMIR more closely with MiFIR by adding over 100 new fields, has significantly increased complexity. In practice, this has led to numerous issues: for example, when certain fields are unsupported by providers, we are forced to default values (e.g., reporting “0” for a mandatory field) just to avoid rejection by trade repositories. In such cases, we must even notify the regulator, despite the field often being of limited supervisory relevance (e.g., clearing timestamp).</w:t>
      </w:r>
    </w:p>
    <w:p w14:paraId="2BA03D2B" w14:textId="77777777" w:rsidR="00053DB6" w:rsidRPr="007052DB" w:rsidRDefault="00053DB6" w:rsidP="00053DB6">
      <w:r w:rsidRPr="007052DB">
        <w:t xml:space="preserve">This highlights that the </w:t>
      </w:r>
      <w:r w:rsidRPr="007052DB">
        <w:rPr>
          <w:b/>
          <w:bCs/>
        </w:rPr>
        <w:t>issue is not frequency, but practicality and data quality</w:t>
      </w:r>
      <w:r w:rsidRPr="007052DB">
        <w:t xml:space="preserve">. We strongly recommend </w:t>
      </w:r>
      <w:r w:rsidRPr="007052DB">
        <w:rPr>
          <w:b/>
          <w:bCs/>
        </w:rPr>
        <w:t>a reduction in the number of required fields</w:t>
      </w:r>
      <w:r w:rsidRPr="007052DB">
        <w:t xml:space="preserve"> and a more focused approach on </w:t>
      </w:r>
      <w:r w:rsidRPr="007052DB">
        <w:rPr>
          <w:b/>
          <w:bCs/>
        </w:rPr>
        <w:t>relevant, available, and reliable data</w:t>
      </w:r>
      <w:r w:rsidRPr="007052DB">
        <w:t>. The implementation burden—both operational and financial—has grown significantly due to unnecessary complexity and lack of flexibility from providers.</w:t>
      </w:r>
    </w:p>
    <w:p w14:paraId="3D57543E" w14:textId="77777777" w:rsidR="00053DB6" w:rsidRDefault="00053DB6" w:rsidP="00053DB6">
      <w:r w:rsidRPr="007052DB">
        <w:t xml:space="preserve">Therefore, we urge ESMA to prioritize </w:t>
      </w:r>
      <w:r w:rsidRPr="007052DB">
        <w:rPr>
          <w:b/>
          <w:bCs/>
        </w:rPr>
        <w:t>relevance over quantity</w:t>
      </w:r>
      <w:r w:rsidRPr="007052DB">
        <w:t xml:space="preserve"> in reporting obligations and ensure that requirements are </w:t>
      </w:r>
      <w:r w:rsidRPr="007052DB">
        <w:rPr>
          <w:b/>
          <w:bCs/>
        </w:rPr>
        <w:t>aligned with what can realistically be provided by the industry</w:t>
      </w:r>
      <w:r w:rsidRPr="007052DB">
        <w:t>.</w:t>
      </w:r>
    </w:p>
    <w:p w14:paraId="5A479C26" w14:textId="77777777" w:rsidR="00053DB6" w:rsidRDefault="00053DB6" w:rsidP="00053DB6">
      <w:r>
        <w:t>Below you can find field level recommendation for both EMIR and MIFIR reporting.</w:t>
      </w:r>
    </w:p>
    <w:p w14:paraId="083E3E8A" w14:textId="77777777" w:rsidR="00053DB6" w:rsidRPr="00F4091E" w:rsidRDefault="00053DB6" w:rsidP="00053DB6">
      <w:pPr>
        <w:rPr>
          <w:b/>
          <w:bCs/>
        </w:rPr>
      </w:pPr>
      <w:r w:rsidRPr="00F4091E">
        <w:rPr>
          <w:b/>
          <w:bCs/>
        </w:rPr>
        <w:t>Field-Level Recommendations – EMIR</w:t>
      </w:r>
    </w:p>
    <w:p w14:paraId="56F1FAB7" w14:textId="77777777" w:rsidR="00053DB6" w:rsidRPr="00F4091E" w:rsidRDefault="00053DB6" w:rsidP="00053DB6">
      <w:pPr>
        <w:numPr>
          <w:ilvl w:val="0"/>
          <w:numId w:val="12"/>
        </w:numPr>
        <w:spacing w:after="160" w:line="278" w:lineRule="auto"/>
      </w:pPr>
      <w:r w:rsidRPr="00F4091E">
        <w:rPr>
          <w:b/>
          <w:bCs/>
        </w:rPr>
        <w:lastRenderedPageBreak/>
        <w:t>Collateral Portfolio Code (CPC)</w:t>
      </w:r>
      <w:r w:rsidRPr="00F4091E">
        <w:br/>
        <w:t>Rarely populated correctly, as firms often use placeholder or dummy codes due to lack of standardization or clear usage. Consider removing or making this field optional.</w:t>
      </w:r>
    </w:p>
    <w:p w14:paraId="1C2C1C5E" w14:textId="77777777" w:rsidR="00053DB6" w:rsidRPr="00F4091E" w:rsidRDefault="00053DB6" w:rsidP="00053DB6">
      <w:pPr>
        <w:numPr>
          <w:ilvl w:val="0"/>
          <w:numId w:val="12"/>
        </w:numPr>
        <w:spacing w:after="160" w:line="278" w:lineRule="auto"/>
      </w:pPr>
      <w:r w:rsidRPr="00F4091E">
        <w:rPr>
          <w:b/>
          <w:bCs/>
        </w:rPr>
        <w:t>Valuation Fields</w:t>
      </w:r>
      <w:r w:rsidRPr="00F4091E">
        <w:br/>
        <w:t>Harmonize the valuation methodology across firms to improve consistency. Current approaches vary significantly, reducing comparability and increasing reconciliation issues.</w:t>
      </w:r>
    </w:p>
    <w:p w14:paraId="63490C7A" w14:textId="77777777" w:rsidR="00053DB6" w:rsidRPr="00F4091E" w:rsidRDefault="00053DB6" w:rsidP="00053DB6">
      <w:pPr>
        <w:numPr>
          <w:ilvl w:val="0"/>
          <w:numId w:val="12"/>
        </w:numPr>
        <w:spacing w:after="160" w:line="278" w:lineRule="auto"/>
      </w:pPr>
      <w:r w:rsidRPr="00F4091E">
        <w:rPr>
          <w:b/>
          <w:bCs/>
        </w:rPr>
        <w:t>Execution Timestamp vs. Clearing Timestamp</w:t>
      </w:r>
      <w:r w:rsidRPr="00F4091E">
        <w:br/>
        <w:t xml:space="preserve">The difference between these timestamps is often operationally minor but hard to capture accurately. Misreporting is common, and system upgrades for precise implementation are </w:t>
      </w:r>
      <w:proofErr w:type="gramStart"/>
      <w:r w:rsidRPr="00F4091E">
        <w:t>resource-intensive</w:t>
      </w:r>
      <w:proofErr w:type="gramEnd"/>
      <w:r w:rsidRPr="00F4091E">
        <w:t>. Regulatory focus should shift to more material fields.</w:t>
      </w:r>
    </w:p>
    <w:p w14:paraId="0470855B" w14:textId="77777777" w:rsidR="00053DB6" w:rsidRPr="00F4091E" w:rsidRDefault="00053DB6" w:rsidP="00053DB6">
      <w:pPr>
        <w:numPr>
          <w:ilvl w:val="0"/>
          <w:numId w:val="12"/>
        </w:numPr>
        <w:spacing w:after="160" w:line="278" w:lineRule="auto"/>
      </w:pPr>
      <w:r w:rsidRPr="00F4091E">
        <w:rPr>
          <w:b/>
          <w:bCs/>
        </w:rPr>
        <w:t>Beneficiary ID</w:t>
      </w:r>
      <w:r w:rsidRPr="00F4091E">
        <w:br/>
        <w:t>Frequently duplicates the reporting counterparty in bilateral transactions and offers limited added value. Consider removing or restricting its use to specific scenarios where it is meaningful.</w:t>
      </w:r>
    </w:p>
    <w:p w14:paraId="6BB8B026" w14:textId="77777777" w:rsidR="00053DB6" w:rsidRDefault="00053DB6" w:rsidP="00053DB6">
      <w:pPr>
        <w:numPr>
          <w:ilvl w:val="0"/>
          <w:numId w:val="12"/>
        </w:numPr>
        <w:spacing w:after="160" w:line="278" w:lineRule="auto"/>
      </w:pPr>
      <w:r w:rsidRPr="00F4091E">
        <w:rPr>
          <w:b/>
          <w:bCs/>
        </w:rPr>
        <w:t>Basket Code Field</w:t>
      </w:r>
      <w:r w:rsidRPr="00F4091E">
        <w:br/>
        <w:t>Lacks a public standard or agreed syntax, making reporting inconsistent. There’s also no requirement to submit the actual basket composition in a machine-readable format. Instead, consider replacing it with a structured “underlying portfolio” field that captures component count, exposure distribution, and sector/country mix for more meaningful regulatory insight.</w:t>
      </w:r>
    </w:p>
    <w:p w14:paraId="274A9592" w14:textId="77777777" w:rsidR="00053DB6" w:rsidRDefault="00053DB6" w:rsidP="00053DB6"/>
    <w:p w14:paraId="7358CDF0" w14:textId="77777777" w:rsidR="00053DB6" w:rsidRPr="00715860" w:rsidRDefault="00053DB6" w:rsidP="00053DB6">
      <w:pPr>
        <w:rPr>
          <w:b/>
          <w:bCs/>
        </w:rPr>
      </w:pPr>
      <w:r w:rsidRPr="00715860">
        <w:rPr>
          <w:b/>
          <w:bCs/>
        </w:rPr>
        <w:t>Field-Level Recommendations – MiFIR</w:t>
      </w:r>
    </w:p>
    <w:p w14:paraId="30E17077" w14:textId="77777777" w:rsidR="00053DB6" w:rsidRPr="00715860" w:rsidRDefault="00053DB6" w:rsidP="00053DB6">
      <w:pPr>
        <w:numPr>
          <w:ilvl w:val="0"/>
          <w:numId w:val="13"/>
        </w:numPr>
        <w:spacing w:after="160" w:line="278" w:lineRule="auto"/>
      </w:pPr>
      <w:r w:rsidRPr="00715860">
        <w:rPr>
          <w:b/>
          <w:bCs/>
        </w:rPr>
        <w:t>Trading Capacity</w:t>
      </w:r>
      <w:r w:rsidRPr="00715860">
        <w:br/>
        <w:t>This field adds limited supervisory value and should be pre-filled or automated based on the trading setup. Manual entry increases the risk of inconsistency without clear benefit.</w:t>
      </w:r>
    </w:p>
    <w:p w14:paraId="118F100F" w14:textId="443D1DDC" w:rsidR="00926BDA" w:rsidRDefault="00053DB6" w:rsidP="00053DB6">
      <w:pPr>
        <w:numPr>
          <w:ilvl w:val="0"/>
          <w:numId w:val="13"/>
        </w:numPr>
        <w:spacing w:after="160" w:line="278" w:lineRule="auto"/>
      </w:pPr>
      <w:r w:rsidRPr="00715860">
        <w:rPr>
          <w:b/>
          <w:bCs/>
        </w:rPr>
        <w:t>Country of Branch for Client</w:t>
      </w:r>
      <w:r w:rsidRPr="00715860">
        <w:br/>
        <w:t>Often irrelevant unless there is a specific jurisdictional implication. This field should be made optional in standard reporting flows, to reduce unnecessary complexity and operational burden.</w:t>
      </w:r>
    </w:p>
    <w:permEnd w:id="785210304"/>
    <w:p w14:paraId="3867BD88" w14:textId="77777777" w:rsidR="00926BDA" w:rsidRDefault="00926BDA" w:rsidP="00926BDA">
      <w:r>
        <w:t>&lt;ESMA_QUESTION_CASR_1&gt;</w:t>
      </w:r>
    </w:p>
    <w:p w14:paraId="7EDED914" w14:textId="77777777" w:rsidR="00926BDA" w:rsidRDefault="00926BDA" w:rsidP="00926BDA"/>
    <w:p w14:paraId="463AC9D4" w14:textId="77777777" w:rsidR="00926BDA" w:rsidRDefault="00926BDA" w:rsidP="00926BDA">
      <w:pPr>
        <w:pStyle w:val="Questionstyle"/>
        <w:spacing w:before="120" w:after="120"/>
        <w:ind w:left="851" w:hanging="709"/>
      </w:pPr>
      <w:r w:rsidRPr="002E01A5">
        <w:t>Do stakeholders agree with the proposed principles and related description? Is there any other aspect/principle that should be considered?</w:t>
      </w:r>
    </w:p>
    <w:p w14:paraId="585DA3B4" w14:textId="77777777" w:rsidR="00926BDA" w:rsidRDefault="00926BDA" w:rsidP="00926BDA">
      <w:r>
        <w:lastRenderedPageBreak/>
        <w:t>&lt;ESMA_QUESTION_CASR_2&gt;</w:t>
      </w:r>
    </w:p>
    <w:p w14:paraId="4E962F5D" w14:textId="77777777" w:rsidR="00053DB6" w:rsidRDefault="00053DB6" w:rsidP="00053DB6">
      <w:pPr>
        <w:jc w:val="both"/>
      </w:pPr>
      <w:permStart w:id="545925079" w:edGrp="everyone"/>
      <w:r w:rsidRPr="005B4CAB">
        <w:t xml:space="preserve">Yes, BNP Paribas Asset Management agrees with the proposed principles of maintaining the information scope, reducing overlaps, ensuring global alignment, and balancing cost and benefit. </w:t>
      </w:r>
    </w:p>
    <w:p w14:paraId="72A3D19B" w14:textId="77777777" w:rsidR="00053DB6" w:rsidRPr="003333B4" w:rsidRDefault="00053DB6" w:rsidP="00053DB6">
      <w:pPr>
        <w:jc w:val="both"/>
      </w:pPr>
      <w:proofErr w:type="gramStart"/>
      <w:r w:rsidRPr="003333B4">
        <w:t>In particular, we</w:t>
      </w:r>
      <w:proofErr w:type="gramEnd"/>
      <w:r w:rsidRPr="003333B4">
        <w:t xml:space="preserve"> welcome the emphasis on cost-benefit balance. In line with our comments above, </w:t>
      </w:r>
      <w:r w:rsidRPr="003333B4">
        <w:rPr>
          <w:b/>
          <w:bCs/>
        </w:rPr>
        <w:t>we believe that data accuracy and system feasibility should be considered an additional guiding principle</w:t>
      </w:r>
      <w:r w:rsidRPr="003333B4">
        <w:t xml:space="preserve">. A streamlined framework must ensure that required data is both </w:t>
      </w:r>
      <w:r w:rsidRPr="003333B4">
        <w:rPr>
          <w:b/>
          <w:bCs/>
        </w:rPr>
        <w:t>operationally achievable</w:t>
      </w:r>
      <w:r w:rsidRPr="003333B4">
        <w:t xml:space="preserve"> and </w:t>
      </w:r>
      <w:r w:rsidRPr="003333B4">
        <w:rPr>
          <w:b/>
          <w:bCs/>
        </w:rPr>
        <w:t>meaningful</w:t>
      </w:r>
      <w:r w:rsidRPr="003333B4">
        <w:t xml:space="preserve"> for regulators.</w:t>
      </w:r>
    </w:p>
    <w:p w14:paraId="11AD2AD0" w14:textId="77777777" w:rsidR="00053DB6" w:rsidRPr="00625DCD" w:rsidRDefault="00053DB6" w:rsidP="00053DB6">
      <w:pPr>
        <w:jc w:val="both"/>
      </w:pPr>
      <w:r>
        <w:t>B</w:t>
      </w:r>
      <w:r w:rsidRPr="00625DCD">
        <w:t xml:space="preserve">ased on our operational experience, we believe that an </w:t>
      </w:r>
      <w:r w:rsidRPr="00625DCD">
        <w:rPr>
          <w:b/>
          <w:bCs/>
        </w:rPr>
        <w:t>additional guiding principle</w:t>
      </w:r>
      <w:r w:rsidRPr="00625DCD">
        <w:t xml:space="preserve"> should be explicitly added:</w:t>
      </w:r>
      <w:r>
        <w:t xml:space="preserve"> </w:t>
      </w:r>
      <w:r w:rsidRPr="00625DCD">
        <w:rPr>
          <w:b/>
          <w:bCs/>
        </w:rPr>
        <w:t>“Eliminate data fields that do not provide clear supervisory value.”</w:t>
      </w:r>
    </w:p>
    <w:p w14:paraId="3B5018A6" w14:textId="77777777" w:rsidR="00053DB6" w:rsidRPr="00625DCD" w:rsidRDefault="00053DB6" w:rsidP="00053DB6">
      <w:pPr>
        <w:jc w:val="both"/>
      </w:pPr>
      <w:r w:rsidRPr="00625DCD">
        <w:t>This is particularly important for EMIR and SFTR, where data complexity has grown significantly with limited benefit</w:t>
      </w:r>
      <w:r>
        <w:t>s</w:t>
      </w:r>
      <w:r w:rsidRPr="00625DCD">
        <w:t xml:space="preserve">. The focus should shift from theoretical completeness to </w:t>
      </w:r>
      <w:r w:rsidRPr="00625DCD">
        <w:rPr>
          <w:b/>
          <w:bCs/>
        </w:rPr>
        <w:t>practical relevance and quality</w:t>
      </w:r>
      <w:r w:rsidRPr="00625DCD">
        <w:t>. By reducing unnecessary data fields, ESMA can support more accurate, efficient, and meaningful reporting across the industry.</w:t>
      </w:r>
    </w:p>
    <w:p w14:paraId="0ACE5CCB" w14:textId="77777777" w:rsidR="00053DB6" w:rsidRDefault="00053DB6" w:rsidP="00053DB6">
      <w:pPr>
        <w:jc w:val="both"/>
      </w:pPr>
      <w:r>
        <w:t>Please find below other relevant aspects to be considered.</w:t>
      </w:r>
    </w:p>
    <w:p w14:paraId="29CA8BF9" w14:textId="77777777" w:rsidR="00053DB6" w:rsidRPr="006E2DAF" w:rsidRDefault="00053DB6" w:rsidP="00053DB6">
      <w:pPr>
        <w:jc w:val="both"/>
        <w:rPr>
          <w:b/>
          <w:bCs/>
        </w:rPr>
      </w:pPr>
      <w:r w:rsidRPr="006E2DAF">
        <w:rPr>
          <w:b/>
          <w:bCs/>
        </w:rPr>
        <w:t>General Recommendations</w:t>
      </w:r>
      <w:r>
        <w:rPr>
          <w:b/>
          <w:bCs/>
        </w:rPr>
        <w:t xml:space="preserve"> for EMIR </w:t>
      </w:r>
    </w:p>
    <w:p w14:paraId="5A689A16" w14:textId="77777777" w:rsidR="00053DB6" w:rsidRPr="006E2DAF" w:rsidRDefault="00053DB6" w:rsidP="00053DB6">
      <w:pPr>
        <w:jc w:val="both"/>
      </w:pPr>
      <w:r w:rsidRPr="006E2DAF">
        <w:rPr>
          <w:b/>
          <w:bCs/>
        </w:rPr>
        <w:t>1. Enhance Data Quality &amp; Usability</w:t>
      </w:r>
    </w:p>
    <w:p w14:paraId="79EC1488" w14:textId="77777777" w:rsidR="00053DB6" w:rsidRPr="006E2DAF" w:rsidRDefault="00053DB6" w:rsidP="00053DB6">
      <w:pPr>
        <w:numPr>
          <w:ilvl w:val="0"/>
          <w:numId w:val="14"/>
        </w:numPr>
        <w:spacing w:after="160" w:line="278" w:lineRule="auto"/>
        <w:jc w:val="both"/>
      </w:pPr>
      <w:r w:rsidRPr="006E2DAF">
        <w:rPr>
          <w:b/>
          <w:bCs/>
        </w:rPr>
        <w:t>Centralized Validation Tool</w:t>
      </w:r>
      <w:r w:rsidRPr="006E2DAF">
        <w:t>: Create a unified EU-wide platform to perform pre- and post-validation of reported data, reducing inconsistencies and missing fields before reaching Trade Repositories (TRs).</w:t>
      </w:r>
    </w:p>
    <w:p w14:paraId="70DC9DBD" w14:textId="77777777" w:rsidR="00053DB6" w:rsidRPr="006E2DAF" w:rsidRDefault="00053DB6" w:rsidP="00053DB6">
      <w:pPr>
        <w:numPr>
          <w:ilvl w:val="0"/>
          <w:numId w:val="14"/>
        </w:numPr>
        <w:spacing w:after="160" w:line="278" w:lineRule="auto"/>
        <w:jc w:val="both"/>
      </w:pPr>
      <w:r w:rsidRPr="006E2DAF">
        <w:rPr>
          <w:b/>
          <w:bCs/>
        </w:rPr>
        <w:t>AI/ML for Reconciliation</w:t>
      </w:r>
      <w:r w:rsidRPr="006E2DAF">
        <w:t>: Employ machine learning to detect reporting mismatches between counterparties, especially on critical fields like UTI and valuation.</w:t>
      </w:r>
    </w:p>
    <w:p w14:paraId="5A9C5112" w14:textId="77777777" w:rsidR="00053DB6" w:rsidRPr="006E2DAF" w:rsidRDefault="00053DB6" w:rsidP="00053DB6">
      <w:pPr>
        <w:jc w:val="both"/>
      </w:pPr>
      <w:r w:rsidRPr="006E2DAF">
        <w:rPr>
          <w:b/>
          <w:bCs/>
        </w:rPr>
        <w:t>2. Supervisory Technology (SupTech) Tools</w:t>
      </w:r>
    </w:p>
    <w:p w14:paraId="39DF11A8" w14:textId="77777777" w:rsidR="00053DB6" w:rsidRPr="006E2DAF" w:rsidRDefault="00053DB6" w:rsidP="00053DB6">
      <w:pPr>
        <w:numPr>
          <w:ilvl w:val="0"/>
          <w:numId w:val="15"/>
        </w:numPr>
        <w:spacing w:after="160" w:line="278" w:lineRule="auto"/>
        <w:jc w:val="both"/>
      </w:pPr>
      <w:r w:rsidRPr="006E2DAF">
        <w:rPr>
          <w:b/>
          <w:bCs/>
        </w:rPr>
        <w:t>Real-Time Monitoring Dashboards</w:t>
      </w:r>
      <w:r w:rsidRPr="006E2DAF">
        <w:t>: Regulators should develop dashboards to track error rates and data completeness across TRs and firms.</w:t>
      </w:r>
    </w:p>
    <w:p w14:paraId="3DB52602" w14:textId="77777777" w:rsidR="00053DB6" w:rsidRPr="006E2DAF" w:rsidRDefault="00053DB6" w:rsidP="00053DB6">
      <w:pPr>
        <w:numPr>
          <w:ilvl w:val="0"/>
          <w:numId w:val="15"/>
        </w:numPr>
        <w:spacing w:after="160" w:line="278" w:lineRule="auto"/>
        <w:jc w:val="both"/>
      </w:pPr>
      <w:r w:rsidRPr="006E2DAF">
        <w:rPr>
          <w:b/>
          <w:bCs/>
        </w:rPr>
        <w:t>Automated Breach Detection</w:t>
      </w:r>
      <w:r w:rsidRPr="006E2DAF">
        <w:t>: Codify control rules to automatically flag anomalies or breaches in reporting logic.</w:t>
      </w:r>
    </w:p>
    <w:p w14:paraId="697FFB9B" w14:textId="77777777" w:rsidR="00053DB6" w:rsidRPr="006E2DAF" w:rsidRDefault="00053DB6" w:rsidP="00053DB6">
      <w:pPr>
        <w:jc w:val="both"/>
      </w:pPr>
      <w:r w:rsidRPr="006E2DAF">
        <w:rPr>
          <w:b/>
          <w:bCs/>
        </w:rPr>
        <w:t>3. Improve Regulatory Communication</w:t>
      </w:r>
    </w:p>
    <w:p w14:paraId="6DE46430" w14:textId="77777777" w:rsidR="00053DB6" w:rsidRPr="006E2DAF" w:rsidRDefault="00053DB6" w:rsidP="00053DB6">
      <w:pPr>
        <w:numPr>
          <w:ilvl w:val="0"/>
          <w:numId w:val="16"/>
        </w:numPr>
        <w:spacing w:after="160" w:line="278" w:lineRule="auto"/>
        <w:jc w:val="both"/>
      </w:pPr>
      <w:r w:rsidRPr="006E2DAF">
        <w:rPr>
          <w:b/>
          <w:bCs/>
        </w:rPr>
        <w:t>Regular Updates</w:t>
      </w:r>
      <w:r w:rsidRPr="006E2DAF">
        <w:t>: ESMA and NCAs should publish anonymized error trends, frequent reporting mistakes, and practical tips.</w:t>
      </w:r>
    </w:p>
    <w:p w14:paraId="6DE48171" w14:textId="77777777" w:rsidR="00053DB6" w:rsidRPr="006E2DAF" w:rsidRDefault="00053DB6" w:rsidP="00053DB6">
      <w:pPr>
        <w:numPr>
          <w:ilvl w:val="0"/>
          <w:numId w:val="16"/>
        </w:numPr>
        <w:spacing w:after="160" w:line="278" w:lineRule="auto"/>
        <w:jc w:val="both"/>
      </w:pPr>
      <w:r w:rsidRPr="006E2DAF">
        <w:rPr>
          <w:b/>
          <w:bCs/>
        </w:rPr>
        <w:t>Collaborative Forums</w:t>
      </w:r>
      <w:r w:rsidRPr="006E2DAF">
        <w:t>: Organize workshops involving firms, regulators, and TRs to share challenges and harmonize interpretations.</w:t>
      </w:r>
    </w:p>
    <w:p w14:paraId="7246BD90" w14:textId="77777777" w:rsidR="00053DB6" w:rsidRPr="006E2DAF" w:rsidRDefault="00053DB6" w:rsidP="00053DB6">
      <w:pPr>
        <w:jc w:val="both"/>
      </w:pPr>
      <w:r w:rsidRPr="006E2DAF">
        <w:rPr>
          <w:b/>
          <w:bCs/>
        </w:rPr>
        <w:t>4. Coordination with Global Peers</w:t>
      </w:r>
    </w:p>
    <w:p w14:paraId="1EE344B6" w14:textId="77777777" w:rsidR="00053DB6" w:rsidRPr="006E2DAF" w:rsidRDefault="00053DB6" w:rsidP="00053DB6">
      <w:pPr>
        <w:numPr>
          <w:ilvl w:val="0"/>
          <w:numId w:val="17"/>
        </w:numPr>
        <w:spacing w:after="160" w:line="278" w:lineRule="auto"/>
        <w:jc w:val="both"/>
      </w:pPr>
      <w:r w:rsidRPr="006E2DAF">
        <w:t xml:space="preserve">Work closely with international regulators (e.g. ASIC, CFTC) to ensure global consistency, especially for shared identifiers like </w:t>
      </w:r>
      <w:r w:rsidRPr="006E2DAF">
        <w:rPr>
          <w:b/>
          <w:bCs/>
        </w:rPr>
        <w:t>UTI (Unique Trade Identifier)</w:t>
      </w:r>
      <w:r w:rsidRPr="006E2DAF">
        <w:t xml:space="preserve"> and </w:t>
      </w:r>
      <w:r w:rsidRPr="006E2DAF">
        <w:rPr>
          <w:b/>
          <w:bCs/>
        </w:rPr>
        <w:t>UPI (Unique Product Identifier)</w:t>
      </w:r>
      <w:r w:rsidRPr="006E2DAF">
        <w:t>.</w:t>
      </w:r>
    </w:p>
    <w:p w14:paraId="0FCFB64A" w14:textId="77777777" w:rsidR="00053DB6" w:rsidRPr="006E2DAF" w:rsidRDefault="00053DB6" w:rsidP="00053DB6">
      <w:pPr>
        <w:jc w:val="both"/>
      </w:pPr>
      <w:r w:rsidRPr="006E2DAF">
        <w:rPr>
          <w:b/>
          <w:bCs/>
        </w:rPr>
        <w:t>5. Shift Toward Outcome-Based Oversight</w:t>
      </w:r>
    </w:p>
    <w:p w14:paraId="2E90E2E4" w14:textId="77777777" w:rsidR="00053DB6" w:rsidRPr="006E2DAF" w:rsidRDefault="00053DB6" w:rsidP="00053DB6">
      <w:pPr>
        <w:numPr>
          <w:ilvl w:val="0"/>
          <w:numId w:val="18"/>
        </w:numPr>
        <w:spacing w:after="160" w:line="278" w:lineRule="auto"/>
        <w:jc w:val="both"/>
      </w:pPr>
      <w:r w:rsidRPr="006E2DAF">
        <w:t xml:space="preserve">Focus less on mandatory daily internal controls and more on </w:t>
      </w:r>
      <w:r w:rsidRPr="006E2DAF">
        <w:rPr>
          <w:b/>
          <w:bCs/>
        </w:rPr>
        <w:t>output metrics</w:t>
      </w:r>
      <w:r w:rsidRPr="006E2DAF">
        <w:t>:</w:t>
      </w:r>
    </w:p>
    <w:p w14:paraId="075D0C8A" w14:textId="77777777" w:rsidR="00053DB6" w:rsidRPr="006E2DAF" w:rsidRDefault="00053DB6" w:rsidP="00053DB6">
      <w:pPr>
        <w:numPr>
          <w:ilvl w:val="1"/>
          <w:numId w:val="18"/>
        </w:numPr>
        <w:spacing w:after="160" w:line="278" w:lineRule="auto"/>
        <w:jc w:val="both"/>
      </w:pPr>
      <w:r w:rsidRPr="006E2DAF">
        <w:t>% of unmatched trades after T+5</w:t>
      </w:r>
    </w:p>
    <w:p w14:paraId="17B6B718" w14:textId="77777777" w:rsidR="00053DB6" w:rsidRPr="006E2DAF" w:rsidRDefault="00053DB6" w:rsidP="00053DB6">
      <w:pPr>
        <w:numPr>
          <w:ilvl w:val="1"/>
          <w:numId w:val="18"/>
        </w:numPr>
        <w:spacing w:after="160" w:line="278" w:lineRule="auto"/>
        <w:jc w:val="both"/>
      </w:pPr>
      <w:r w:rsidRPr="006E2DAF">
        <w:lastRenderedPageBreak/>
        <w:t>Rejection rates at TRs</w:t>
      </w:r>
    </w:p>
    <w:p w14:paraId="579AC698" w14:textId="77777777" w:rsidR="00053DB6" w:rsidRPr="006E2DAF" w:rsidRDefault="00053DB6" w:rsidP="00053DB6">
      <w:pPr>
        <w:numPr>
          <w:ilvl w:val="1"/>
          <w:numId w:val="18"/>
        </w:numPr>
        <w:spacing w:after="160" w:line="278" w:lineRule="auto"/>
        <w:jc w:val="both"/>
      </w:pPr>
      <w:r w:rsidRPr="006E2DAF">
        <w:t>Resubmission volumes</w:t>
      </w:r>
    </w:p>
    <w:p w14:paraId="67C19BDE" w14:textId="77777777" w:rsidR="00053DB6" w:rsidRPr="006E2DAF" w:rsidRDefault="00053DB6" w:rsidP="00053DB6">
      <w:pPr>
        <w:numPr>
          <w:ilvl w:val="1"/>
          <w:numId w:val="18"/>
        </w:numPr>
        <w:spacing w:after="160" w:line="278" w:lineRule="auto"/>
        <w:jc w:val="both"/>
      </w:pPr>
      <w:r w:rsidRPr="006E2DAF">
        <w:t>Counterparty matching efficiency</w:t>
      </w:r>
    </w:p>
    <w:p w14:paraId="09858E03" w14:textId="77777777" w:rsidR="00053DB6" w:rsidRPr="006E2DAF" w:rsidRDefault="00053DB6" w:rsidP="00053DB6">
      <w:pPr>
        <w:jc w:val="both"/>
      </w:pPr>
      <w:r w:rsidRPr="006E2DAF">
        <w:t>This would enable smarter supervision with lower manual effort, especially for firms with strong track records.</w:t>
      </w:r>
    </w:p>
    <w:p w14:paraId="63A5ADF4" w14:textId="77777777" w:rsidR="00053DB6" w:rsidRPr="006E2DAF" w:rsidRDefault="00053DB6" w:rsidP="00053DB6">
      <w:pPr>
        <w:jc w:val="both"/>
      </w:pPr>
      <w:r w:rsidRPr="006E2DAF">
        <w:rPr>
          <w:b/>
          <w:bCs/>
        </w:rPr>
        <w:t>6. Apply Proportional Oversight</w:t>
      </w:r>
    </w:p>
    <w:p w14:paraId="660F5190" w14:textId="77777777" w:rsidR="00053DB6" w:rsidRPr="006E2DAF" w:rsidRDefault="00053DB6" w:rsidP="00053DB6">
      <w:pPr>
        <w:numPr>
          <w:ilvl w:val="0"/>
          <w:numId w:val="19"/>
        </w:numPr>
        <w:spacing w:after="160" w:line="278" w:lineRule="auto"/>
        <w:jc w:val="both"/>
      </w:pPr>
      <w:r w:rsidRPr="006E2DAF">
        <w:t xml:space="preserve">Introduce </w:t>
      </w:r>
      <w:r w:rsidRPr="006E2DAF">
        <w:rPr>
          <w:b/>
          <w:bCs/>
        </w:rPr>
        <w:t>lighter requirements for</w:t>
      </w:r>
      <w:r w:rsidRPr="006E2DAF">
        <w:t>:</w:t>
      </w:r>
    </w:p>
    <w:p w14:paraId="74B8FF0A" w14:textId="77777777" w:rsidR="00053DB6" w:rsidRPr="006E2DAF" w:rsidRDefault="00053DB6" w:rsidP="00053DB6">
      <w:pPr>
        <w:numPr>
          <w:ilvl w:val="1"/>
          <w:numId w:val="19"/>
        </w:numPr>
        <w:spacing w:after="160" w:line="278" w:lineRule="auto"/>
        <w:jc w:val="both"/>
      </w:pPr>
      <w:r w:rsidRPr="006E2DAF">
        <w:rPr>
          <w:b/>
          <w:bCs/>
        </w:rPr>
        <w:t>Non-Financial Counterparties (NFC-)</w:t>
      </w:r>
    </w:p>
    <w:p w14:paraId="781D1AE4" w14:textId="77777777" w:rsidR="00053DB6" w:rsidRPr="006E2DAF" w:rsidRDefault="00053DB6" w:rsidP="00053DB6">
      <w:pPr>
        <w:numPr>
          <w:ilvl w:val="1"/>
          <w:numId w:val="19"/>
        </w:numPr>
        <w:spacing w:after="160" w:line="278" w:lineRule="auto"/>
        <w:jc w:val="both"/>
      </w:pPr>
      <w:r w:rsidRPr="006E2DAF">
        <w:rPr>
          <w:b/>
          <w:bCs/>
        </w:rPr>
        <w:t>Small Financial Counterparties (FCs)</w:t>
      </w:r>
    </w:p>
    <w:p w14:paraId="0F9D8B33" w14:textId="77777777" w:rsidR="00053DB6" w:rsidRPr="006E2DAF" w:rsidRDefault="00053DB6" w:rsidP="00053DB6">
      <w:pPr>
        <w:numPr>
          <w:ilvl w:val="1"/>
          <w:numId w:val="19"/>
        </w:numPr>
        <w:spacing w:after="160" w:line="278" w:lineRule="auto"/>
        <w:jc w:val="both"/>
      </w:pPr>
      <w:r w:rsidRPr="006E2DAF">
        <w:t>Firms using structured standards (e.g. ISO 20022)</w:t>
      </w:r>
    </w:p>
    <w:p w14:paraId="29F1EC6F" w14:textId="77777777" w:rsidR="00053DB6" w:rsidRDefault="00053DB6" w:rsidP="00053DB6">
      <w:pPr>
        <w:numPr>
          <w:ilvl w:val="1"/>
          <w:numId w:val="19"/>
        </w:numPr>
        <w:spacing w:after="160" w:line="278" w:lineRule="auto"/>
        <w:jc w:val="both"/>
      </w:pPr>
      <w:r w:rsidRPr="006E2DAF">
        <w:t>Firms with low error rates and no enforcement histor</w:t>
      </w:r>
      <w:r>
        <w:t>y</w:t>
      </w:r>
    </w:p>
    <w:p w14:paraId="41082E0C" w14:textId="77777777" w:rsidR="00053DB6" w:rsidRPr="005B4CAB" w:rsidRDefault="00053DB6" w:rsidP="00053DB6">
      <w:pPr>
        <w:jc w:val="both"/>
      </w:pPr>
    </w:p>
    <w:p w14:paraId="71DB6663" w14:textId="77777777" w:rsidR="00053DB6" w:rsidRPr="003C3194" w:rsidRDefault="00053DB6" w:rsidP="00053DB6">
      <w:pPr>
        <w:rPr>
          <w:b/>
          <w:bCs/>
        </w:rPr>
      </w:pPr>
      <w:r w:rsidRPr="003C3194">
        <w:rPr>
          <w:b/>
          <w:bCs/>
        </w:rPr>
        <w:t>General Recommendations</w:t>
      </w:r>
      <w:r>
        <w:rPr>
          <w:b/>
          <w:bCs/>
        </w:rPr>
        <w:t xml:space="preserve"> for MIFIR</w:t>
      </w:r>
    </w:p>
    <w:p w14:paraId="08F3D09D" w14:textId="77777777" w:rsidR="00053DB6" w:rsidRPr="003C3194" w:rsidRDefault="00053DB6" w:rsidP="00053DB6">
      <w:r w:rsidRPr="003C3194">
        <w:rPr>
          <w:b/>
          <w:bCs/>
        </w:rPr>
        <w:t>1. Encourage Provider Reliance</w:t>
      </w:r>
    </w:p>
    <w:p w14:paraId="0C96D933" w14:textId="77777777" w:rsidR="00053DB6" w:rsidRPr="003C3194" w:rsidRDefault="00053DB6" w:rsidP="00053DB6">
      <w:pPr>
        <w:numPr>
          <w:ilvl w:val="0"/>
          <w:numId w:val="20"/>
        </w:numPr>
        <w:spacing w:after="160" w:line="278" w:lineRule="auto"/>
      </w:pPr>
      <w:r w:rsidRPr="003C3194">
        <w:rPr>
          <w:b/>
          <w:bCs/>
        </w:rPr>
        <w:t>Avoid Duplicate Checks</w:t>
      </w:r>
      <w:r w:rsidRPr="003C3194">
        <w:t xml:space="preserve">: Firms should not be required to re-validate fields already verified by </w:t>
      </w:r>
      <w:r w:rsidRPr="003C3194">
        <w:rPr>
          <w:b/>
          <w:bCs/>
        </w:rPr>
        <w:t>Approved Reporting Mechanisms (ARMs)</w:t>
      </w:r>
      <w:r w:rsidRPr="003C3194">
        <w:t>.</w:t>
      </w:r>
    </w:p>
    <w:p w14:paraId="12173BEB" w14:textId="77777777" w:rsidR="00053DB6" w:rsidRPr="003C3194" w:rsidRDefault="00053DB6" w:rsidP="00053DB6">
      <w:pPr>
        <w:numPr>
          <w:ilvl w:val="0"/>
          <w:numId w:val="20"/>
        </w:numPr>
        <w:spacing w:after="160" w:line="278" w:lineRule="auto"/>
      </w:pPr>
      <w:r w:rsidRPr="003C3194">
        <w:rPr>
          <w:b/>
          <w:bCs/>
        </w:rPr>
        <w:t>Oversight via KPIs</w:t>
      </w:r>
      <w:r w:rsidRPr="003C3194">
        <w:t xml:space="preserve">: Regulatory oversight should use performance indicators (e.g. </w:t>
      </w:r>
      <w:r w:rsidRPr="003C3194">
        <w:rPr>
          <w:b/>
          <w:bCs/>
        </w:rPr>
        <w:t>rejection rates</w:t>
      </w:r>
      <w:r w:rsidRPr="003C3194">
        <w:t>) to assess compliance, rather than imposing repetitive controls on reporting logic.</w:t>
      </w:r>
    </w:p>
    <w:p w14:paraId="2062574D" w14:textId="77777777" w:rsidR="00053DB6" w:rsidRPr="003C3194" w:rsidRDefault="00053DB6" w:rsidP="00053DB6">
      <w:r w:rsidRPr="003C3194">
        <w:rPr>
          <w:b/>
          <w:bCs/>
        </w:rPr>
        <w:t>2. Improve Field Logic &amp; Reporting Guidance</w:t>
      </w:r>
    </w:p>
    <w:p w14:paraId="77BBEFE6" w14:textId="77777777" w:rsidR="00053DB6" w:rsidRPr="003C3194" w:rsidRDefault="00053DB6" w:rsidP="00053DB6">
      <w:pPr>
        <w:numPr>
          <w:ilvl w:val="0"/>
          <w:numId w:val="21"/>
        </w:numPr>
        <w:spacing w:after="160" w:line="278" w:lineRule="auto"/>
      </w:pPr>
      <w:r w:rsidRPr="003C3194">
        <w:rPr>
          <w:b/>
          <w:bCs/>
        </w:rPr>
        <w:t>Clarify Field Hierarchies</w:t>
      </w:r>
      <w:r w:rsidRPr="003C3194">
        <w:t>: Provide clear guidance on precedence between related fields (e.g. which field overrides another in conflicting situations).</w:t>
      </w:r>
    </w:p>
    <w:p w14:paraId="7FEF3CF7" w14:textId="77777777" w:rsidR="00053DB6" w:rsidRPr="003C3194" w:rsidRDefault="00053DB6" w:rsidP="00053DB6">
      <w:pPr>
        <w:numPr>
          <w:ilvl w:val="0"/>
          <w:numId w:val="21"/>
        </w:numPr>
        <w:spacing w:after="160" w:line="278" w:lineRule="auto"/>
      </w:pPr>
      <w:r w:rsidRPr="003C3194">
        <w:rPr>
          <w:b/>
          <w:bCs/>
        </w:rPr>
        <w:t>Structured Conditional Logic</w:t>
      </w:r>
      <w:r w:rsidRPr="003C3194">
        <w:t>: Regulators should define and publish rules for conditional fields — e.g. when a field can be left blank, defaulted, or populated automatically.</w:t>
      </w:r>
    </w:p>
    <w:p w14:paraId="1802DE06" w14:textId="77777777" w:rsidR="00053DB6" w:rsidRPr="003C3194" w:rsidRDefault="00053DB6" w:rsidP="00053DB6">
      <w:pPr>
        <w:numPr>
          <w:ilvl w:val="0"/>
          <w:numId w:val="21"/>
        </w:numPr>
        <w:spacing w:after="160" w:line="278" w:lineRule="auto"/>
      </w:pPr>
      <w:r w:rsidRPr="003C3194">
        <w:rPr>
          <w:b/>
          <w:bCs/>
        </w:rPr>
        <w:t>Practical Examples</w:t>
      </w:r>
      <w:r w:rsidRPr="003C3194">
        <w:t xml:space="preserve">: ESMA should publish </w:t>
      </w:r>
      <w:r w:rsidRPr="003C3194">
        <w:rPr>
          <w:b/>
          <w:bCs/>
        </w:rPr>
        <w:t>scenario-based field population examples</w:t>
      </w:r>
      <w:r w:rsidRPr="003C3194">
        <w:t xml:space="preserve"> to guide consistent implementation across firms and vendors.</w:t>
      </w:r>
    </w:p>
    <w:p w14:paraId="410C3D42" w14:textId="77777777" w:rsidR="00053DB6" w:rsidRPr="003C3194" w:rsidRDefault="00053DB6" w:rsidP="00053DB6">
      <w:r w:rsidRPr="003C3194">
        <w:rPr>
          <w:b/>
          <w:bCs/>
        </w:rPr>
        <w:t>3. Outcome-Based Supervision</w:t>
      </w:r>
    </w:p>
    <w:p w14:paraId="0D96E5D8" w14:textId="77777777" w:rsidR="00053DB6" w:rsidRPr="003C3194" w:rsidRDefault="00053DB6" w:rsidP="00053DB6">
      <w:pPr>
        <w:numPr>
          <w:ilvl w:val="0"/>
          <w:numId w:val="22"/>
        </w:numPr>
        <w:spacing w:after="160" w:line="278" w:lineRule="auto"/>
      </w:pPr>
      <w:r w:rsidRPr="003C3194">
        <w:t xml:space="preserve">Adopt </w:t>
      </w:r>
      <w:r w:rsidRPr="003C3194">
        <w:rPr>
          <w:b/>
          <w:bCs/>
        </w:rPr>
        <w:t>proportional oversight</w:t>
      </w:r>
      <w:r w:rsidRPr="003C3194">
        <w:t xml:space="preserve"> based on firm-level risk indicators:</w:t>
      </w:r>
    </w:p>
    <w:p w14:paraId="70FC5347" w14:textId="77777777" w:rsidR="00053DB6" w:rsidRPr="003C3194" w:rsidRDefault="00053DB6" w:rsidP="00053DB6">
      <w:pPr>
        <w:numPr>
          <w:ilvl w:val="1"/>
          <w:numId w:val="22"/>
        </w:numPr>
        <w:spacing w:after="160" w:line="278" w:lineRule="auto"/>
      </w:pPr>
      <w:r w:rsidRPr="003C3194">
        <w:t>Timeliness and completeness of submissions</w:t>
      </w:r>
    </w:p>
    <w:p w14:paraId="1B13B365" w14:textId="77777777" w:rsidR="00053DB6" w:rsidRPr="003C3194" w:rsidRDefault="00053DB6" w:rsidP="00053DB6">
      <w:pPr>
        <w:numPr>
          <w:ilvl w:val="1"/>
          <w:numId w:val="22"/>
        </w:numPr>
        <w:spacing w:after="160" w:line="278" w:lineRule="auto"/>
      </w:pPr>
      <w:r w:rsidRPr="003C3194">
        <w:t>Trends in rejection rates at ARM/TR level</w:t>
      </w:r>
    </w:p>
    <w:p w14:paraId="5DD5F30B" w14:textId="77777777" w:rsidR="00053DB6" w:rsidRPr="003C3194" w:rsidRDefault="00053DB6" w:rsidP="00053DB6">
      <w:pPr>
        <w:numPr>
          <w:ilvl w:val="1"/>
          <w:numId w:val="22"/>
        </w:numPr>
        <w:spacing w:after="160" w:line="278" w:lineRule="auto"/>
      </w:pPr>
      <w:r w:rsidRPr="003C3194">
        <w:t>Evidence of governance (e.g. KPI dashboards, internal oversight logs)</w:t>
      </w:r>
    </w:p>
    <w:p w14:paraId="1B5E1A7E" w14:textId="73D9E687" w:rsidR="00926BDA" w:rsidRDefault="00053DB6" w:rsidP="00053DB6">
      <w:r w:rsidRPr="003C3194">
        <w:lastRenderedPageBreak/>
        <w:t xml:space="preserve">Firms with low-risk profiles and good compliance histories should benefit from </w:t>
      </w:r>
      <w:r w:rsidRPr="003C3194">
        <w:rPr>
          <w:b/>
          <w:bCs/>
        </w:rPr>
        <w:t>reduced monitoring intensity</w:t>
      </w:r>
      <w:r w:rsidRPr="003C3194">
        <w:t>.</w:t>
      </w:r>
    </w:p>
    <w:permEnd w:id="545925079"/>
    <w:p w14:paraId="042B0F0C" w14:textId="77777777" w:rsidR="00926BDA" w:rsidRDefault="00926BDA" w:rsidP="00926BDA">
      <w:r>
        <w:t>&lt;ESMA_QUESTION_CASR_2&gt;</w:t>
      </w:r>
    </w:p>
    <w:p w14:paraId="02ECE67A" w14:textId="77777777" w:rsidR="00926BDA" w:rsidRDefault="00926BDA" w:rsidP="00926BDA"/>
    <w:p w14:paraId="555282C0" w14:textId="77777777" w:rsidR="00926BDA" w:rsidRDefault="00926BDA" w:rsidP="00926BDA">
      <w:pPr>
        <w:pStyle w:val="Questionstyle"/>
        <w:spacing w:before="120" w:after="120"/>
        <w:ind w:left="851" w:hanging="709"/>
      </w:pPr>
      <w:r>
        <w:t>What are the key advantages of option 1a and how do these benefits address the issues in section 3?</w:t>
      </w:r>
    </w:p>
    <w:p w14:paraId="596EF4F0" w14:textId="77777777" w:rsidR="00926BDA" w:rsidRDefault="00926BDA" w:rsidP="00926BDA">
      <w:r>
        <w:t>&lt;ESMA_QUESTION_CASR_3&gt;</w:t>
      </w:r>
    </w:p>
    <w:p w14:paraId="4AE7F0C4" w14:textId="77777777" w:rsidR="00053DB6" w:rsidRPr="00637931" w:rsidRDefault="00053DB6" w:rsidP="00053DB6">
      <w:pPr>
        <w:jc w:val="both"/>
      </w:pPr>
      <w:permStart w:id="666895774" w:edGrp="everyone"/>
      <w:r w:rsidRPr="00637931">
        <w:rPr>
          <w:b/>
          <w:bCs/>
        </w:rPr>
        <w:t>Option 1A</w:t>
      </w:r>
      <w:r w:rsidRPr="00637931">
        <w:t xml:space="preserve">, which proposes a </w:t>
      </w:r>
      <w:r w:rsidRPr="00637931">
        <w:rPr>
          <w:b/>
          <w:bCs/>
        </w:rPr>
        <w:t>delineation of reporting obligations by instrument type</w:t>
      </w:r>
      <w:r w:rsidRPr="00637931">
        <w:t xml:space="preserve">—MiFIR covering </w:t>
      </w:r>
      <w:r w:rsidRPr="00637931">
        <w:rPr>
          <w:b/>
          <w:bCs/>
        </w:rPr>
        <w:t>ETD (Exchange-Traded Derivatives)</w:t>
      </w:r>
      <w:r w:rsidRPr="00637931">
        <w:t xml:space="preserve"> and EMIR covering </w:t>
      </w:r>
      <w:r w:rsidRPr="00637931">
        <w:rPr>
          <w:b/>
          <w:bCs/>
        </w:rPr>
        <w:t>OTC derivatives and post-trade events</w:t>
      </w:r>
      <w:r w:rsidRPr="00637931">
        <w:t xml:space="preserve">—offers several targeted advantages that address some of the major inefficiencies and pain points highlighted in </w:t>
      </w:r>
      <w:r w:rsidRPr="00637931">
        <w:rPr>
          <w:b/>
          <w:bCs/>
        </w:rPr>
        <w:t>Section 3</w:t>
      </w:r>
      <w:r w:rsidRPr="00637931">
        <w:t xml:space="preserve"> of the consultation.</w:t>
      </w:r>
    </w:p>
    <w:p w14:paraId="3F0C7AE0" w14:textId="77777777" w:rsidR="00053DB6" w:rsidRPr="00017E52" w:rsidRDefault="00053DB6" w:rsidP="00053DB6">
      <w:pPr>
        <w:jc w:val="both"/>
        <w:rPr>
          <w:b/>
          <w:bCs/>
        </w:rPr>
      </w:pPr>
      <w:r w:rsidRPr="00637931">
        <w:rPr>
          <w:b/>
          <w:bCs/>
        </w:rPr>
        <w:t>1. Reduces duplicative reporting across regimes (Section 3 – Point 2)</w:t>
      </w:r>
    </w:p>
    <w:p w14:paraId="5CD2BDE3" w14:textId="77777777" w:rsidR="00053DB6" w:rsidRPr="00637931" w:rsidRDefault="00053DB6" w:rsidP="00053DB6">
      <w:pPr>
        <w:jc w:val="both"/>
      </w:pPr>
      <w:r w:rsidRPr="00637931">
        <w:t xml:space="preserve">A key advantage of Option 1A is that it </w:t>
      </w:r>
      <w:r w:rsidRPr="00637931">
        <w:rPr>
          <w:b/>
          <w:bCs/>
        </w:rPr>
        <w:t>clearly assigns ETD reporting to MiFIR</w:t>
      </w:r>
      <w:r w:rsidRPr="00637931">
        <w:t xml:space="preserve"> and </w:t>
      </w:r>
      <w:r w:rsidRPr="00637931">
        <w:rPr>
          <w:b/>
          <w:bCs/>
        </w:rPr>
        <w:t>OTC derivatives to EMIR</w:t>
      </w:r>
      <w:r w:rsidRPr="00637931">
        <w:t xml:space="preserve">, removing the current </w:t>
      </w:r>
      <w:r w:rsidRPr="00637931">
        <w:rPr>
          <w:b/>
          <w:bCs/>
        </w:rPr>
        <w:t>overlap</w:t>
      </w:r>
      <w:r w:rsidRPr="00637931">
        <w:t xml:space="preserve"> where the </w:t>
      </w:r>
      <w:r w:rsidRPr="00637931">
        <w:rPr>
          <w:b/>
          <w:bCs/>
        </w:rPr>
        <w:t>same derivative transactions (e.g., ETDs)</w:t>
      </w:r>
      <w:r w:rsidRPr="00637931">
        <w:t xml:space="preserve"> are reported under </w:t>
      </w:r>
      <w:r w:rsidRPr="00637931">
        <w:rPr>
          <w:b/>
          <w:bCs/>
        </w:rPr>
        <w:t>both MiFIR and EMIR</w:t>
      </w:r>
      <w:r w:rsidRPr="00637931">
        <w:t>.</w:t>
      </w:r>
    </w:p>
    <w:p w14:paraId="1BCB977E" w14:textId="77777777" w:rsidR="00053DB6" w:rsidRPr="00637931" w:rsidRDefault="00053DB6" w:rsidP="00053DB6">
      <w:pPr>
        <w:jc w:val="both"/>
      </w:pPr>
      <w:r>
        <w:t>Th</w:t>
      </w:r>
      <w:r w:rsidRPr="00637931">
        <w:t xml:space="preserve">is significantly reduces the </w:t>
      </w:r>
      <w:r w:rsidRPr="00637931">
        <w:rPr>
          <w:b/>
          <w:bCs/>
        </w:rPr>
        <w:t>burden of duplicate reporting</w:t>
      </w:r>
      <w:r w:rsidRPr="00637931">
        <w:t>, improves consistency, and lowers operational costs, especially for firms active in both OTC and listed derivatives markets.</w:t>
      </w:r>
    </w:p>
    <w:p w14:paraId="6C7F7112" w14:textId="77777777" w:rsidR="00053DB6" w:rsidRPr="00637931" w:rsidRDefault="00053DB6" w:rsidP="00053DB6">
      <w:pPr>
        <w:jc w:val="both"/>
        <w:rPr>
          <w:b/>
          <w:bCs/>
        </w:rPr>
      </w:pPr>
      <w:r w:rsidRPr="00637931">
        <w:rPr>
          <w:b/>
          <w:bCs/>
        </w:rPr>
        <w:t xml:space="preserve"> 2. Enables clearer delineation of scope and reporting logic (Section 3 – Points 3 and 4)</w:t>
      </w:r>
    </w:p>
    <w:p w14:paraId="7021B77F" w14:textId="77777777" w:rsidR="00053DB6" w:rsidRPr="00637931" w:rsidRDefault="00053DB6" w:rsidP="00053DB6">
      <w:pPr>
        <w:jc w:val="both"/>
      </w:pPr>
      <w:r w:rsidRPr="00637931">
        <w:t xml:space="preserve">By defining reporting responsibilities by </w:t>
      </w:r>
      <w:r w:rsidRPr="00637931">
        <w:rPr>
          <w:b/>
          <w:bCs/>
        </w:rPr>
        <w:t>instrument type</w:t>
      </w:r>
      <w:r w:rsidRPr="00637931">
        <w:t xml:space="preserve">, Option 1A simplifies internal workflows and system design. Firms can streamline their </w:t>
      </w:r>
      <w:r w:rsidRPr="00637931">
        <w:rPr>
          <w:b/>
          <w:bCs/>
        </w:rPr>
        <w:t>data sourcing and classification logic</w:t>
      </w:r>
      <w:r w:rsidRPr="00637931">
        <w:t>—ETDs go through one pipeline (MiFIR), OTCs through another (EMIR).</w:t>
      </w:r>
    </w:p>
    <w:p w14:paraId="58897BFF" w14:textId="77777777" w:rsidR="00053DB6" w:rsidRPr="00637931" w:rsidRDefault="00053DB6" w:rsidP="00053DB6">
      <w:pPr>
        <w:jc w:val="both"/>
      </w:pPr>
      <w:r w:rsidRPr="00637931">
        <w:t xml:space="preserve">This helps address the issue of </w:t>
      </w:r>
      <w:r w:rsidRPr="00637931">
        <w:rPr>
          <w:b/>
          <w:bCs/>
        </w:rPr>
        <w:t>different definitions and inconsistent terminology</w:t>
      </w:r>
      <w:r w:rsidRPr="00637931">
        <w:t xml:space="preserve"> across regimes (Point 3</w:t>
      </w:r>
      <w:proofErr w:type="gramStart"/>
      <w:r w:rsidRPr="00637931">
        <w:t>),</w:t>
      </w:r>
      <w:r>
        <w:t xml:space="preserve"> </w:t>
      </w:r>
      <w:r w:rsidRPr="00637931">
        <w:t>and</w:t>
      </w:r>
      <w:proofErr w:type="gramEnd"/>
      <w:r w:rsidRPr="00637931">
        <w:t xml:space="preserve"> clarifies the separation between </w:t>
      </w:r>
      <w:r w:rsidRPr="00637931">
        <w:rPr>
          <w:b/>
          <w:bCs/>
        </w:rPr>
        <w:t>transaction-level and position-level reporting</w:t>
      </w:r>
      <w:r w:rsidRPr="00637931">
        <w:t xml:space="preserve"> (Point 4), as these requirements can be tailored to each regulation’s specific purpose.</w:t>
      </w:r>
    </w:p>
    <w:p w14:paraId="2D66BF07" w14:textId="77777777" w:rsidR="00053DB6" w:rsidRPr="00637931" w:rsidRDefault="00053DB6" w:rsidP="00053DB6">
      <w:pPr>
        <w:jc w:val="both"/>
        <w:rPr>
          <w:b/>
          <w:bCs/>
        </w:rPr>
      </w:pPr>
      <w:r w:rsidRPr="00637931">
        <w:rPr>
          <w:b/>
          <w:bCs/>
        </w:rPr>
        <w:t xml:space="preserve"> 3. Sets the stage for revising dual-sided reporting (Section 3 – Point 5)</w:t>
      </w:r>
    </w:p>
    <w:p w14:paraId="59BB3DC4" w14:textId="77777777" w:rsidR="00053DB6" w:rsidRPr="00637931" w:rsidRDefault="00053DB6" w:rsidP="00053DB6">
      <w:pPr>
        <w:jc w:val="both"/>
      </w:pPr>
      <w:r w:rsidRPr="00637931">
        <w:t xml:space="preserve">Although Option 1A does not fully abolish dual-sided reporting under EMIR, it </w:t>
      </w:r>
      <w:r w:rsidRPr="00637931">
        <w:rPr>
          <w:b/>
          <w:bCs/>
        </w:rPr>
        <w:t>calls for its revision</w:t>
      </w:r>
      <w:r w:rsidRPr="00637931">
        <w:t xml:space="preserve">, which is a step in the right direction. This opens the door for introducing </w:t>
      </w:r>
      <w:r w:rsidRPr="00637931">
        <w:rPr>
          <w:b/>
          <w:bCs/>
        </w:rPr>
        <w:t>simplified, possibly single-sided reporting for OTC derivatives</w:t>
      </w:r>
      <w:r>
        <w:t>.</w:t>
      </w:r>
    </w:p>
    <w:p w14:paraId="7F3D7A51" w14:textId="77777777" w:rsidR="00053DB6" w:rsidRPr="00637931" w:rsidRDefault="00053DB6" w:rsidP="00053DB6">
      <w:pPr>
        <w:jc w:val="both"/>
        <w:rPr>
          <w:b/>
          <w:bCs/>
        </w:rPr>
      </w:pPr>
      <w:r w:rsidRPr="00637931">
        <w:rPr>
          <w:b/>
          <w:bCs/>
        </w:rPr>
        <w:t xml:space="preserve"> 4. Facilitates coordination of reporting changes (Section 3 – Point 1)</w:t>
      </w:r>
    </w:p>
    <w:p w14:paraId="748A67C3" w14:textId="77777777" w:rsidR="00053DB6" w:rsidRPr="00FD4F1D" w:rsidRDefault="00053DB6" w:rsidP="00053DB6">
      <w:pPr>
        <w:jc w:val="both"/>
      </w:pPr>
      <w:r w:rsidRPr="00637931">
        <w:t xml:space="preserve">Option 1A allows for a </w:t>
      </w:r>
      <w:r w:rsidRPr="00637931">
        <w:rPr>
          <w:b/>
          <w:bCs/>
        </w:rPr>
        <w:t>modular reform approach</w:t>
      </w:r>
      <w:r>
        <w:rPr>
          <w:b/>
          <w:bCs/>
        </w:rPr>
        <w:t>,</w:t>
      </w:r>
      <w:r w:rsidRPr="00637931">
        <w:t xml:space="preserve"> where changes to MiFIR and EMIR can be </w:t>
      </w:r>
      <w:r w:rsidRPr="00637931">
        <w:rPr>
          <w:b/>
          <w:bCs/>
        </w:rPr>
        <w:t>phased and sequenced</w:t>
      </w:r>
      <w:r w:rsidRPr="00637931">
        <w:t xml:space="preserve"> independently, rather than coordinating all regimes at once, making implementation of regulatory updates more manageable for both firms and supervisors.</w:t>
      </w:r>
    </w:p>
    <w:p w14:paraId="7CBBAB3B" w14:textId="77777777" w:rsidR="00053DB6" w:rsidRPr="00950490" w:rsidRDefault="00053DB6" w:rsidP="00053DB6">
      <w:pPr>
        <w:jc w:val="both"/>
      </w:pPr>
      <w:r w:rsidRPr="00CB2AD5">
        <w:rPr>
          <w:b/>
          <w:bCs/>
        </w:rPr>
        <w:t>NB</w:t>
      </w:r>
      <w:r>
        <w:t xml:space="preserve">: </w:t>
      </w:r>
      <w:r w:rsidRPr="00950490">
        <w:t>The key strength of Option 1A is that it allocates reporting responsibilities in line with the areas where each framework is already more effective: EMIR for OTC derivatives and MiFIR for ETDs. EMIR has been specifically designed to capture the complexity of OTC contracts and related post-trade lifecycle events, making it better suited to monitor systemic risk in bespoke, non-standardised markets. MiFIR, by contrast, is structured around transparency and transaction-level reporting, which naturally fits the standardized and exchange-traded nature of ETDs.</w:t>
      </w:r>
    </w:p>
    <w:p w14:paraId="10B78F54" w14:textId="42A77498" w:rsidR="00926BDA" w:rsidRDefault="00053DB6" w:rsidP="00053DB6">
      <w:pPr>
        <w:jc w:val="both"/>
      </w:pPr>
      <w:r w:rsidRPr="00950490">
        <w:t xml:space="preserve">By aligning the regimes with their respective strengths, Option 1A eliminates the current </w:t>
      </w:r>
      <w:r w:rsidRPr="00950490">
        <w:rPr>
          <w:b/>
          <w:bCs/>
        </w:rPr>
        <w:t>duplications</w:t>
      </w:r>
      <w:r w:rsidRPr="00950490">
        <w:t xml:space="preserve"> where ETDs fall under both </w:t>
      </w:r>
      <w:proofErr w:type="gramStart"/>
      <w:r w:rsidRPr="00950490">
        <w:t>frameworks, and</w:t>
      </w:r>
      <w:proofErr w:type="gramEnd"/>
      <w:r w:rsidRPr="00950490">
        <w:t xml:space="preserve"> ensures that reporting efforts are concentrated where each regime delivers the most value. This not only reduces inefficiency but also enhances the quality and relevance of the data submitted to regulators.</w:t>
      </w:r>
    </w:p>
    <w:permEnd w:id="666895774"/>
    <w:p w14:paraId="6D0251D2" w14:textId="77777777" w:rsidR="00926BDA" w:rsidRDefault="00926BDA" w:rsidP="00926BDA">
      <w:r>
        <w:t>&lt;ESMA_QUESTION_CASR_3&gt;</w:t>
      </w:r>
    </w:p>
    <w:p w14:paraId="0D09C9FF" w14:textId="77777777" w:rsidR="00926BDA" w:rsidRDefault="00926BDA" w:rsidP="00926BDA"/>
    <w:p w14:paraId="4B96F3E8" w14:textId="77777777" w:rsidR="00926BDA" w:rsidRDefault="00926BDA" w:rsidP="00926BDA">
      <w:pPr>
        <w:pStyle w:val="Questionstyle"/>
        <w:spacing w:before="120" w:after="120"/>
        <w:ind w:left="851" w:hanging="709"/>
      </w:pPr>
      <w:r>
        <w:lastRenderedPageBreak/>
        <w:t>What are the key limitations and potential risks of option 1a? For example, do you consider the adaptation of the emir template to cover the data points used for market abuse surveillance as meeting the general objective of reducing the reporting burden, and why?</w:t>
      </w:r>
    </w:p>
    <w:p w14:paraId="7917F4ED" w14:textId="77777777" w:rsidR="00926BDA" w:rsidRDefault="00926BDA" w:rsidP="00926BDA">
      <w:r>
        <w:t>&lt;ESMA_QUESTION_CASR_4&gt;</w:t>
      </w:r>
    </w:p>
    <w:p w14:paraId="26209C38" w14:textId="77777777" w:rsidR="00053DB6" w:rsidRDefault="00053DB6" w:rsidP="00053DB6">
      <w:pPr>
        <w:jc w:val="both"/>
      </w:pPr>
      <w:permStart w:id="1901729855" w:edGrp="everyone"/>
      <w:r w:rsidRPr="00260C3D">
        <w:t>From a buy-side standpoint, a central risk under Option 1A arises from the proposal to make MiFIR the sole framework governing the reporting of exchange-traded derivatives (ETDs). The key concern is the need to safeguard the current exemption under Article 26 of MiFIR, which excludes UCITS management companies and AIFMs from transaction reporting obligations.</w:t>
      </w:r>
    </w:p>
    <w:p w14:paraId="271C2CA6" w14:textId="4C15DBDF" w:rsidR="00926BDA" w:rsidRDefault="00053DB6" w:rsidP="00053DB6">
      <w:r w:rsidRPr="00733EE4">
        <w:t>While the logic of assigning OTC derivatives reporting to EMIR and ETD reporting to MiFIR is understandable and can deliver efficiency gains, these benefits would only materialise if the exemption for UCITS managers and AIFMs is explicitly maintained. Without such a safeguard, these firms—currently outside the scope of MiFIR transaction reporting—would suddenly become subject to new and extensive obligations</w:t>
      </w:r>
    </w:p>
    <w:permEnd w:id="1901729855"/>
    <w:p w14:paraId="7EE99C37" w14:textId="77777777" w:rsidR="00926BDA" w:rsidRDefault="00926BDA" w:rsidP="00926BDA">
      <w:r>
        <w:t>&lt;ESMA_QUESTION_CASR_4&gt;</w:t>
      </w:r>
    </w:p>
    <w:p w14:paraId="631AE7DC" w14:textId="77777777" w:rsidR="00926BDA" w:rsidRDefault="00926BDA" w:rsidP="00926BDA"/>
    <w:p w14:paraId="1A3DC2C2" w14:textId="77777777" w:rsidR="00926BDA" w:rsidRDefault="00926BDA" w:rsidP="00926BDA">
      <w:pPr>
        <w:pStyle w:val="Questionstyle"/>
        <w:spacing w:before="120" w:after="120"/>
        <w:ind w:left="851" w:hanging="709"/>
      </w:pPr>
      <w:r>
        <w:t>What components are missing or not adequately addressed in option 1a? Why are these elements important, and how might their inclusion change the evaluation or implementation of option 1a?</w:t>
      </w:r>
    </w:p>
    <w:p w14:paraId="4E654C2A" w14:textId="77777777" w:rsidR="00926BDA" w:rsidRDefault="00926BDA" w:rsidP="00926BDA">
      <w:r>
        <w:t>&lt;ESMA_QUESTION_CASR_5&gt;</w:t>
      </w:r>
    </w:p>
    <w:p w14:paraId="4D3B2BBA" w14:textId="77777777" w:rsidR="00053DB6" w:rsidRPr="00DD764F" w:rsidRDefault="00053DB6" w:rsidP="00053DB6">
      <w:pPr>
        <w:jc w:val="both"/>
      </w:pPr>
      <w:permStart w:id="1034637762" w:edGrp="everyone"/>
      <w:r w:rsidRPr="00DD764F">
        <w:t xml:space="preserve">A notable gap in Option 1A is the absence of a clear treatment of </w:t>
      </w:r>
      <w:r w:rsidRPr="00DD764F">
        <w:rPr>
          <w:b/>
          <w:bCs/>
        </w:rPr>
        <w:t>Securities Financing Transactions (SFTs)</w:t>
      </w:r>
      <w:r w:rsidRPr="00DD764F">
        <w:t>. While the proposal delineates ETD reporting under MiFIR and OTC derivatives under EMIR, it does not address where and how SFT reporting should fit within this revised structure.</w:t>
      </w:r>
    </w:p>
    <w:p w14:paraId="720958EE" w14:textId="77777777" w:rsidR="00053DB6" w:rsidRPr="00DD764F" w:rsidRDefault="00053DB6" w:rsidP="00053DB6">
      <w:pPr>
        <w:jc w:val="both"/>
      </w:pPr>
      <w:r w:rsidRPr="00DD764F">
        <w:t>This omission is important because SFTs share several common elements with</w:t>
      </w:r>
      <w:r>
        <w:t xml:space="preserve"> </w:t>
      </w:r>
      <w:r w:rsidRPr="00DD764F">
        <w:t>reporting templates under MiFIR. Both involve transaction-level data with standardised fields (e.g. counterparties, collateral, maturity terms) and serve a market transparency function. Aligning SFT reporting under the MiFIR framework would therefore create greater synergies in terms of data collection, standardisation, and supervisory oversight.</w:t>
      </w:r>
    </w:p>
    <w:p w14:paraId="6BA5A4E9" w14:textId="77777777" w:rsidR="00053DB6" w:rsidRPr="00DD764F" w:rsidRDefault="00053DB6" w:rsidP="00053DB6">
      <w:pPr>
        <w:jc w:val="both"/>
      </w:pPr>
      <w:r w:rsidRPr="00DD764F">
        <w:t>Inclusion of SFTs under MiFIR, alongside ETDs, would strengthen Option 1A by:</w:t>
      </w:r>
    </w:p>
    <w:p w14:paraId="4CB461A0" w14:textId="77777777" w:rsidR="00053DB6" w:rsidRPr="00DD764F" w:rsidRDefault="00053DB6" w:rsidP="00053DB6">
      <w:pPr>
        <w:numPr>
          <w:ilvl w:val="0"/>
          <w:numId w:val="23"/>
        </w:numPr>
        <w:spacing w:after="160" w:line="278" w:lineRule="auto"/>
        <w:jc w:val="both"/>
      </w:pPr>
      <w:r w:rsidRPr="00DD764F">
        <w:t>Enhancing consistency across transaction-level reporting obligations,</w:t>
      </w:r>
    </w:p>
    <w:p w14:paraId="3F120F04" w14:textId="77777777" w:rsidR="00053DB6" w:rsidRPr="00DD764F" w:rsidRDefault="00053DB6" w:rsidP="00053DB6">
      <w:pPr>
        <w:numPr>
          <w:ilvl w:val="0"/>
          <w:numId w:val="23"/>
        </w:numPr>
        <w:spacing w:after="160" w:line="278" w:lineRule="auto"/>
        <w:jc w:val="both"/>
      </w:pPr>
      <w:r w:rsidRPr="00DD764F">
        <w:t>Reducing duplications between overlapping templates,</w:t>
      </w:r>
    </w:p>
    <w:p w14:paraId="1F27D03C" w14:textId="3DF1B99C" w:rsidR="00926BDA" w:rsidRDefault="00053DB6" w:rsidP="00053DB6">
      <w:pPr>
        <w:numPr>
          <w:ilvl w:val="0"/>
          <w:numId w:val="23"/>
        </w:numPr>
        <w:spacing w:after="160" w:line="278" w:lineRule="auto"/>
        <w:jc w:val="both"/>
      </w:pPr>
      <w:r w:rsidRPr="00DD764F">
        <w:t>Facilitating more coherent regulatory oversight across related markets.</w:t>
      </w:r>
    </w:p>
    <w:permEnd w:id="1034637762"/>
    <w:p w14:paraId="556C53A1" w14:textId="77777777" w:rsidR="00926BDA" w:rsidRDefault="00926BDA" w:rsidP="00926BDA">
      <w:r>
        <w:t>&lt;ESMA_QUESTION_CASR_5&gt;</w:t>
      </w:r>
    </w:p>
    <w:p w14:paraId="37D12C6B" w14:textId="77777777" w:rsidR="00926BDA" w:rsidRDefault="00926BDA" w:rsidP="00926BDA"/>
    <w:p w14:paraId="6EA1D20B" w14:textId="77777777" w:rsidR="00926BDA" w:rsidRDefault="00926BDA" w:rsidP="00926BDA">
      <w:pPr>
        <w:pStyle w:val="Questionstyle"/>
        <w:spacing w:before="120" w:after="120"/>
        <w:ind w:left="851" w:hanging="709"/>
      </w:pPr>
      <w:r>
        <w:t>What are the key advantages of option 1b and how do these benefits address the issues in section 3?</w:t>
      </w:r>
    </w:p>
    <w:p w14:paraId="5103F3A5" w14:textId="77777777" w:rsidR="00926BDA" w:rsidRDefault="00926BDA" w:rsidP="00926BDA">
      <w:r>
        <w:t>&lt;ESMA_QUESTION_CASR_6&gt;</w:t>
      </w:r>
    </w:p>
    <w:p w14:paraId="1363C71A" w14:textId="77777777" w:rsidR="00053DB6" w:rsidRPr="00507DB7" w:rsidRDefault="00053DB6" w:rsidP="00053DB6">
      <w:pPr>
        <w:jc w:val="both"/>
      </w:pPr>
      <w:permStart w:id="276758894" w:edGrp="everyone"/>
      <w:r>
        <w:t>O</w:t>
      </w:r>
      <w:r w:rsidRPr="00507DB7">
        <w:t xml:space="preserve">ption 1B aims to tackle one of the main issues identified in Section 3—namely, the duplication of reporting obligations across EMIR and MiFIR—by introducing a more integrated framework that redistributes responsibilities between the two regimes. In theory, this could lead to a </w:t>
      </w:r>
      <w:r w:rsidRPr="00507DB7">
        <w:lastRenderedPageBreak/>
        <w:t>cleaner, more unified reporting landscape and reduce some of the inefficiencies that currently exist.</w:t>
      </w:r>
    </w:p>
    <w:p w14:paraId="75D9F48D" w14:textId="77777777" w:rsidR="00053DB6" w:rsidRPr="00507DB7" w:rsidRDefault="00053DB6" w:rsidP="00053DB6">
      <w:pPr>
        <w:jc w:val="both"/>
      </w:pPr>
      <w:r w:rsidRPr="00507DB7">
        <w:rPr>
          <w:b/>
          <w:bCs/>
        </w:rPr>
        <w:t>However, from a buy-side perspective, the complexity of Option 1B outweighs its benefits.</w:t>
      </w:r>
      <w:r w:rsidRPr="00507DB7">
        <w:t xml:space="preserve"> While its stated advantage is the elimination of duplicative reporting, this same objective can be achieved under Option 1A in a way that is both more straightforward and less disruptive for firms. Option 1A leverages the natural strengths of each regime—EMIR for OTC derivatives and MiFIR for ETDs—without requiring the deep structural changes and system overhauls that Option 1B would entail.</w:t>
      </w:r>
    </w:p>
    <w:p w14:paraId="1FA6E054" w14:textId="35F2E3F6" w:rsidR="00926BDA" w:rsidRPr="00053DB6" w:rsidRDefault="00053DB6" w:rsidP="00053DB6">
      <w:pPr>
        <w:jc w:val="both"/>
      </w:pPr>
      <w:r w:rsidRPr="00507DB7">
        <w:t>In practice, Option 1B risks introducing additional layers of uncertainty, particularly around how reporting responsibilities would be divided and coordinated across regimes. This could create transitional challenges, increase implementation costs, and ultimately undermine the efficiency gains it seeks to deliver. By contrast, Option 1A provides a more pragmatic solution: it reduces duplication while preserving continuity with existing reporting infrastructures and supervisory expertise.</w:t>
      </w:r>
    </w:p>
    <w:permEnd w:id="276758894"/>
    <w:p w14:paraId="5FF8B2C2" w14:textId="77777777" w:rsidR="00926BDA" w:rsidRDefault="00926BDA" w:rsidP="00926BDA">
      <w:r>
        <w:t>&lt;ESMA_QUESTION_CASR_6&gt;</w:t>
      </w:r>
    </w:p>
    <w:p w14:paraId="62EE97D0" w14:textId="77777777" w:rsidR="00926BDA" w:rsidRDefault="00926BDA" w:rsidP="00926BDA"/>
    <w:p w14:paraId="7642F082" w14:textId="77777777" w:rsidR="00926BDA" w:rsidRDefault="00926BDA" w:rsidP="00926BDA">
      <w:pPr>
        <w:pStyle w:val="Questionstyle"/>
        <w:spacing w:before="120" w:after="120"/>
        <w:ind w:left="851" w:hanging="709"/>
      </w:pPr>
      <w:r>
        <w:t>What are the key limitations and potential risks of option 1b?</w:t>
      </w:r>
    </w:p>
    <w:p w14:paraId="0111A54A" w14:textId="77777777" w:rsidR="00926BDA" w:rsidRDefault="00926BDA" w:rsidP="00926BDA">
      <w:r>
        <w:t>&lt;ESMA_QUESTION_CASR_7&gt;</w:t>
      </w:r>
    </w:p>
    <w:p w14:paraId="4BA0FE22" w14:textId="77777777" w:rsidR="00053DB6" w:rsidRPr="00147CFC" w:rsidRDefault="00053DB6" w:rsidP="00053DB6">
      <w:pPr>
        <w:jc w:val="both"/>
      </w:pPr>
      <w:permStart w:id="1327239170" w:edGrp="everyone"/>
      <w:r w:rsidRPr="00147CFC">
        <w:t xml:space="preserve">The main limitation of </w:t>
      </w:r>
      <w:r w:rsidRPr="00147CFC">
        <w:rPr>
          <w:b/>
          <w:bCs/>
        </w:rPr>
        <w:t>Option 1B</w:t>
      </w:r>
      <w:r w:rsidRPr="00147CFC">
        <w:t xml:space="preserve"> lies in the </w:t>
      </w:r>
      <w:r w:rsidRPr="00147CFC">
        <w:rPr>
          <w:b/>
          <w:bCs/>
        </w:rPr>
        <w:t>significant structural and operational changes</w:t>
      </w:r>
      <w:r w:rsidRPr="00147CFC">
        <w:t xml:space="preserve"> it would require. Moving all transaction reporting—both ETD and OTC—under </w:t>
      </w:r>
      <w:r w:rsidRPr="00147CFC">
        <w:rPr>
          <w:b/>
          <w:bCs/>
        </w:rPr>
        <w:t>MiFIR</w:t>
      </w:r>
      <w:r w:rsidRPr="00147CFC">
        <w:t xml:space="preserve"> would involve reworking reporting systems, adapting to a framework that was not originally designed for derivatives, and ensuring seamless coordination between </w:t>
      </w:r>
      <w:r w:rsidRPr="00147CFC">
        <w:rPr>
          <w:b/>
          <w:bCs/>
        </w:rPr>
        <w:t>MiFIR and EMIR</w:t>
      </w:r>
      <w:r w:rsidRPr="00147CFC">
        <w:t xml:space="preserve"> for trade lifecycle continuity.</w:t>
      </w:r>
    </w:p>
    <w:p w14:paraId="1CFEB751" w14:textId="706ADEA4" w:rsidR="00926BDA" w:rsidRDefault="00053DB6" w:rsidP="00053DB6">
      <w:pPr>
        <w:jc w:val="both"/>
      </w:pPr>
      <w:r w:rsidRPr="00147CFC">
        <w:t xml:space="preserve">While the event-based split brings greater clarity, firms would need to invest in </w:t>
      </w:r>
      <w:r w:rsidRPr="00147CFC">
        <w:rPr>
          <w:b/>
          <w:bCs/>
        </w:rPr>
        <w:t>system upgrades and data alignment processes</w:t>
      </w:r>
      <w:r w:rsidRPr="00147CFC">
        <w:t xml:space="preserve"> to maintain consistency between transaction-level and post-trade data. </w:t>
      </w:r>
    </w:p>
    <w:permEnd w:id="1327239170"/>
    <w:p w14:paraId="72CB5113" w14:textId="77777777" w:rsidR="00926BDA" w:rsidRDefault="00926BDA" w:rsidP="00926BDA">
      <w:r>
        <w:t>&lt;ESMA_QUESTION_CASR_7&gt;</w:t>
      </w:r>
    </w:p>
    <w:p w14:paraId="7CF24983" w14:textId="77777777" w:rsidR="00926BDA" w:rsidRDefault="00926BDA" w:rsidP="00926BDA"/>
    <w:p w14:paraId="75FB15B5" w14:textId="77777777" w:rsidR="00926BDA" w:rsidRDefault="00926BDA" w:rsidP="00926BDA">
      <w:pPr>
        <w:pStyle w:val="Questionstyle"/>
        <w:spacing w:before="120" w:after="120"/>
        <w:ind w:left="851" w:hanging="709"/>
      </w:pPr>
      <w:r>
        <w:t>What components are missing or not adequately addressed in option 1b? Why are these elements important, and how might their inclusion change the evaluation or implementation of option 1b?</w:t>
      </w:r>
    </w:p>
    <w:p w14:paraId="3C7CA8FB" w14:textId="77777777" w:rsidR="00926BDA" w:rsidRDefault="00926BDA" w:rsidP="00926BDA">
      <w:r>
        <w:t>&lt;ESMA_QUESTION_CASR_8&gt;</w:t>
      </w:r>
    </w:p>
    <w:p w14:paraId="156B7223" w14:textId="77777777" w:rsidR="00926BDA" w:rsidRDefault="00926BDA" w:rsidP="00926BDA">
      <w:permStart w:id="275065348" w:edGrp="everyone"/>
      <w:r>
        <w:t>TYPE YOUR TEXT HERE</w:t>
      </w:r>
    </w:p>
    <w:permEnd w:id="275065348"/>
    <w:p w14:paraId="56067118" w14:textId="77777777" w:rsidR="00926BDA" w:rsidRDefault="00926BDA" w:rsidP="00926BDA">
      <w:r>
        <w:t>&lt;ESMA_QUESTION_CASR_8&gt;</w:t>
      </w:r>
    </w:p>
    <w:p w14:paraId="502D9164" w14:textId="77777777" w:rsidR="00926BDA" w:rsidRDefault="00926BDA" w:rsidP="00926BDA"/>
    <w:p w14:paraId="7F2F83D7" w14:textId="77777777" w:rsidR="00926BDA" w:rsidRDefault="00926BDA" w:rsidP="00926BDA">
      <w:pPr>
        <w:pStyle w:val="Questionstyle"/>
        <w:spacing w:before="120" w:after="120"/>
        <w:ind w:left="851" w:hanging="709"/>
      </w:pPr>
      <w:r>
        <w:t>What are the key advantages of option 2a and how do these benefits address the issues in section 3?</w:t>
      </w:r>
    </w:p>
    <w:p w14:paraId="5CE1B921" w14:textId="77777777" w:rsidR="00926BDA" w:rsidRDefault="00926BDA" w:rsidP="00926BDA">
      <w:r>
        <w:t>&lt;ESMA_QUESTION_CASR_9&gt;</w:t>
      </w:r>
    </w:p>
    <w:p w14:paraId="29FA0E1B" w14:textId="77777777" w:rsidR="00053DB6" w:rsidRPr="001747B7" w:rsidRDefault="00053DB6" w:rsidP="00053DB6">
      <w:pPr>
        <w:jc w:val="both"/>
      </w:pPr>
      <w:permStart w:id="1249454344" w:edGrp="everyone"/>
      <w:r w:rsidRPr="001747B7">
        <w:rPr>
          <w:b/>
          <w:bCs/>
        </w:rPr>
        <w:t>Option 2A</w:t>
      </w:r>
      <w:r w:rsidRPr="001747B7">
        <w:t xml:space="preserve"> offers a bold and transformative approach by introducing a fully integrated </w:t>
      </w:r>
      <w:r w:rsidRPr="001747B7">
        <w:rPr>
          <w:b/>
          <w:bCs/>
        </w:rPr>
        <w:t>‘report once’</w:t>
      </w:r>
      <w:r w:rsidRPr="001747B7">
        <w:t xml:space="preserve"> system across MiFIR, EMIR, and SFTR. Under this model, all transaction and post-trade data are reported via a </w:t>
      </w:r>
      <w:r w:rsidRPr="001747B7">
        <w:rPr>
          <w:b/>
          <w:bCs/>
        </w:rPr>
        <w:t>single harmonised template</w:t>
      </w:r>
      <w:r w:rsidRPr="001747B7">
        <w:t xml:space="preserve">, with </w:t>
      </w:r>
      <w:r w:rsidRPr="001747B7">
        <w:rPr>
          <w:b/>
          <w:bCs/>
        </w:rPr>
        <w:t>MiFIR becoming the central reporting channel</w:t>
      </w:r>
      <w:r w:rsidRPr="001747B7">
        <w:t>.</w:t>
      </w:r>
    </w:p>
    <w:p w14:paraId="78FBE8C3" w14:textId="77777777" w:rsidR="00053DB6" w:rsidRPr="001747B7" w:rsidRDefault="00053DB6" w:rsidP="00053DB6">
      <w:pPr>
        <w:jc w:val="both"/>
      </w:pPr>
      <w:r w:rsidRPr="001747B7">
        <w:t xml:space="preserve">This unified framework brings several </w:t>
      </w:r>
      <w:r w:rsidRPr="001747B7">
        <w:rPr>
          <w:b/>
          <w:bCs/>
        </w:rPr>
        <w:t>key advantages</w:t>
      </w:r>
      <w:r w:rsidRPr="001747B7">
        <w:t>:</w:t>
      </w:r>
    </w:p>
    <w:p w14:paraId="731D8190" w14:textId="77777777" w:rsidR="00053DB6" w:rsidRPr="001747B7" w:rsidRDefault="00053DB6" w:rsidP="00053DB6">
      <w:pPr>
        <w:jc w:val="both"/>
        <w:rPr>
          <w:b/>
          <w:bCs/>
        </w:rPr>
      </w:pPr>
      <w:r w:rsidRPr="001747B7">
        <w:rPr>
          <w:b/>
          <w:bCs/>
        </w:rPr>
        <w:lastRenderedPageBreak/>
        <w:t>1. Eliminates duplicative reporting (Issue 2)</w:t>
      </w:r>
    </w:p>
    <w:p w14:paraId="4E0073E9" w14:textId="77777777" w:rsidR="00053DB6" w:rsidRPr="001747B7" w:rsidRDefault="00053DB6" w:rsidP="00053DB6">
      <w:pPr>
        <w:jc w:val="both"/>
      </w:pPr>
      <w:r w:rsidRPr="001747B7">
        <w:t xml:space="preserve">By replacing multiple overlapping templates across regimes, Option 2A </w:t>
      </w:r>
      <w:r w:rsidRPr="001747B7">
        <w:rPr>
          <w:b/>
          <w:bCs/>
        </w:rPr>
        <w:t>resolves redundancy</w:t>
      </w:r>
      <w:r w:rsidRPr="001747B7">
        <w:t xml:space="preserve">—a key concern under EMIR, MiFIR, and SFTR. One submission covers all regulatory needs, significantly </w:t>
      </w:r>
      <w:r w:rsidRPr="001747B7">
        <w:rPr>
          <w:b/>
          <w:bCs/>
        </w:rPr>
        <w:t>reducing operational burden</w:t>
      </w:r>
      <w:r w:rsidRPr="001747B7">
        <w:t xml:space="preserve"> and simplifying compliance.</w:t>
      </w:r>
    </w:p>
    <w:p w14:paraId="026BA291" w14:textId="77777777" w:rsidR="00053DB6" w:rsidRPr="001747B7" w:rsidRDefault="00053DB6" w:rsidP="00053DB6">
      <w:pPr>
        <w:jc w:val="both"/>
        <w:rPr>
          <w:b/>
          <w:bCs/>
        </w:rPr>
      </w:pPr>
      <w:r w:rsidRPr="001747B7">
        <w:rPr>
          <w:b/>
          <w:bCs/>
        </w:rPr>
        <w:t>2. Standardises terminology and definitions (Issue 3)</w:t>
      </w:r>
    </w:p>
    <w:p w14:paraId="76483DE2" w14:textId="77777777" w:rsidR="00053DB6" w:rsidRPr="001747B7" w:rsidRDefault="00053DB6" w:rsidP="00053DB6">
      <w:pPr>
        <w:jc w:val="both"/>
      </w:pPr>
      <w:r w:rsidRPr="001747B7">
        <w:t xml:space="preserve">A single template with harmonised fields and logic ensures consistent data </w:t>
      </w:r>
      <w:r w:rsidRPr="001747B7">
        <w:rPr>
          <w:b/>
          <w:bCs/>
        </w:rPr>
        <w:t>language and interpretation</w:t>
      </w:r>
      <w:r w:rsidRPr="001747B7">
        <w:t>, which helps both reporting entities and supervisors. It directly addresses fragmentation caused by conflicting definitions across the regimes.</w:t>
      </w:r>
    </w:p>
    <w:p w14:paraId="4C7B038F" w14:textId="77777777" w:rsidR="00053DB6" w:rsidRPr="001747B7" w:rsidRDefault="00053DB6" w:rsidP="00053DB6">
      <w:pPr>
        <w:jc w:val="both"/>
        <w:rPr>
          <w:b/>
          <w:bCs/>
        </w:rPr>
      </w:pPr>
      <w:r w:rsidRPr="001747B7">
        <w:rPr>
          <w:b/>
          <w:bCs/>
        </w:rPr>
        <w:t>3. Enables integrated, scalable supervision (Issue 1 &amp; 8)</w:t>
      </w:r>
    </w:p>
    <w:p w14:paraId="26446A7B" w14:textId="77777777" w:rsidR="00053DB6" w:rsidRPr="001747B7" w:rsidRDefault="00053DB6" w:rsidP="00053DB6">
      <w:pPr>
        <w:jc w:val="both"/>
      </w:pPr>
      <w:r w:rsidRPr="001747B7">
        <w:t xml:space="preserve">With a single reporting channel and data structure, supervisors can access and analyse data in a </w:t>
      </w:r>
      <w:r w:rsidRPr="001747B7">
        <w:rPr>
          <w:b/>
          <w:bCs/>
        </w:rPr>
        <w:t>coordinated and phased</w:t>
      </w:r>
      <w:r w:rsidRPr="001747B7">
        <w:t xml:space="preserve"> manner, easing future regulatory updates and improving cross-regime monitoring. This reduces the need for fragmented reporting channels (Issue 8).</w:t>
      </w:r>
    </w:p>
    <w:p w14:paraId="29B5A8E2" w14:textId="77777777" w:rsidR="00053DB6" w:rsidRPr="001747B7" w:rsidRDefault="00053DB6" w:rsidP="00053DB6">
      <w:pPr>
        <w:jc w:val="both"/>
        <w:rPr>
          <w:b/>
          <w:bCs/>
        </w:rPr>
      </w:pPr>
      <w:r w:rsidRPr="001747B7">
        <w:rPr>
          <w:b/>
          <w:bCs/>
        </w:rPr>
        <w:t>4. Simplifies trade lifecycle oversight (Issue 4 &amp; 5)</w:t>
      </w:r>
    </w:p>
    <w:p w14:paraId="391CA26B" w14:textId="77777777" w:rsidR="00053DB6" w:rsidRPr="00F90A3D" w:rsidRDefault="00053DB6" w:rsidP="00053DB6">
      <w:pPr>
        <w:jc w:val="both"/>
      </w:pPr>
      <w:r w:rsidRPr="001747B7">
        <w:t xml:space="preserve">With both transaction-level and post-trade details in the same dataset, the </w:t>
      </w:r>
      <w:r w:rsidRPr="001747B7">
        <w:rPr>
          <w:b/>
          <w:bCs/>
        </w:rPr>
        <w:t>full trade lifecycle</w:t>
      </w:r>
      <w:r w:rsidRPr="001747B7">
        <w:t xml:space="preserve"> can be monitored more easily, improving data quality and enabling better risk and market abuse oversight—even with the shift to </w:t>
      </w:r>
      <w:r w:rsidRPr="001747B7">
        <w:rPr>
          <w:b/>
          <w:bCs/>
        </w:rPr>
        <w:t>one-sided reporting</w:t>
      </w:r>
      <w:r w:rsidRPr="001747B7">
        <w:t>.</w:t>
      </w:r>
    </w:p>
    <w:p w14:paraId="1A8FC52E" w14:textId="77777777" w:rsidR="00053DB6" w:rsidRPr="001747B7" w:rsidRDefault="00053DB6" w:rsidP="00053DB6">
      <w:pPr>
        <w:jc w:val="both"/>
        <w:rPr>
          <w:b/>
          <w:bCs/>
        </w:rPr>
      </w:pPr>
      <w:r>
        <w:rPr>
          <w:b/>
          <w:bCs/>
        </w:rPr>
        <w:t>5</w:t>
      </w:r>
      <w:r w:rsidRPr="001747B7">
        <w:rPr>
          <w:b/>
          <w:bCs/>
        </w:rPr>
        <w:t>. Eliminates need for dual-side matching (Issue 5)</w:t>
      </w:r>
    </w:p>
    <w:p w14:paraId="5A8801BA" w14:textId="01A054CD" w:rsidR="00926BDA" w:rsidRDefault="00053DB6" w:rsidP="00053DB6">
      <w:pPr>
        <w:jc w:val="both"/>
      </w:pPr>
      <w:r w:rsidRPr="001747B7">
        <w:t>One-sided reporting removes the operational complexity of reconciling submissions from both counterparties, addressing a key pain point under EMIR and SFTR.</w:t>
      </w:r>
    </w:p>
    <w:permEnd w:id="1249454344"/>
    <w:p w14:paraId="2EB71523" w14:textId="77777777" w:rsidR="00926BDA" w:rsidRDefault="00926BDA" w:rsidP="00926BDA">
      <w:r>
        <w:t>&lt;ESMA_QUESTION_CASR_9&gt;</w:t>
      </w:r>
    </w:p>
    <w:p w14:paraId="40B2AE04" w14:textId="77777777" w:rsidR="00926BDA" w:rsidRDefault="00926BDA" w:rsidP="00926BDA"/>
    <w:p w14:paraId="21CAA22D" w14:textId="77777777" w:rsidR="00926BDA" w:rsidRDefault="00926BDA" w:rsidP="00926BDA">
      <w:pPr>
        <w:pStyle w:val="Questionstyle"/>
        <w:spacing w:before="120" w:after="120"/>
        <w:ind w:left="851" w:hanging="709"/>
      </w:pPr>
      <w:r>
        <w:t>What are the key limitations and potential risks of option 2a?</w:t>
      </w:r>
    </w:p>
    <w:p w14:paraId="75BC6033" w14:textId="77777777" w:rsidR="00926BDA" w:rsidRDefault="00926BDA" w:rsidP="00926BDA">
      <w:r>
        <w:t>&lt;ESMA_QUESTION_CASR_10&gt;</w:t>
      </w:r>
    </w:p>
    <w:p w14:paraId="06C07404" w14:textId="77777777" w:rsidR="00053DB6" w:rsidRPr="009C23A4" w:rsidRDefault="00053DB6" w:rsidP="00053DB6">
      <w:pPr>
        <w:jc w:val="both"/>
      </w:pPr>
      <w:permStart w:id="199837036" w:edGrp="everyone"/>
      <w:r w:rsidRPr="009C23A4">
        <w:t xml:space="preserve">While </w:t>
      </w:r>
      <w:r w:rsidRPr="009C23A4">
        <w:rPr>
          <w:b/>
          <w:bCs/>
        </w:rPr>
        <w:t>Option 2A</w:t>
      </w:r>
      <w:r w:rsidRPr="009C23A4">
        <w:t xml:space="preserve"> offers a highly streamlined and harmonised reporting framework, it also presents several </w:t>
      </w:r>
      <w:r w:rsidRPr="009C23A4">
        <w:rPr>
          <w:b/>
          <w:bCs/>
        </w:rPr>
        <w:t>challenges and limitations</w:t>
      </w:r>
      <w:r w:rsidRPr="009C23A4">
        <w:t>.</w:t>
      </w:r>
    </w:p>
    <w:p w14:paraId="56C38C26" w14:textId="35DA3201" w:rsidR="00926BDA" w:rsidRDefault="00053DB6" w:rsidP="00053DB6">
      <w:pPr>
        <w:jc w:val="both"/>
      </w:pPr>
      <w:r>
        <w:t>T</w:t>
      </w:r>
      <w:r w:rsidRPr="009C23A4">
        <w:t xml:space="preserve">his model would be </w:t>
      </w:r>
      <w:r w:rsidRPr="009C23A4">
        <w:rPr>
          <w:b/>
          <w:bCs/>
        </w:rPr>
        <w:t>operationally complex and costly to implement</w:t>
      </w:r>
      <w:r w:rsidRPr="009C23A4">
        <w:t xml:space="preserve">, particularly for asset managers like BNP AM. It would require a </w:t>
      </w:r>
      <w:r w:rsidRPr="009C23A4">
        <w:rPr>
          <w:b/>
          <w:bCs/>
        </w:rPr>
        <w:t>full redesign of reporting systems</w:t>
      </w:r>
      <w:r w:rsidRPr="009C23A4">
        <w:t xml:space="preserve">, including the integration of transaction and post-trade data into a single template. The fact that it would demand </w:t>
      </w:r>
      <w:r w:rsidRPr="009C23A4">
        <w:rPr>
          <w:b/>
          <w:bCs/>
        </w:rPr>
        <w:t>significant Level 1 legislative changes</w:t>
      </w:r>
      <w:r w:rsidRPr="009C23A4">
        <w:t xml:space="preserve"> further adds to its complexity and slows down its potential adoption timeline.</w:t>
      </w:r>
    </w:p>
    <w:permEnd w:id="199837036"/>
    <w:p w14:paraId="26E45EF4" w14:textId="77777777" w:rsidR="00926BDA" w:rsidRDefault="00926BDA" w:rsidP="00926BDA">
      <w:r>
        <w:t>&lt;ESMA_QUESTION_CASR_10&gt;</w:t>
      </w:r>
    </w:p>
    <w:p w14:paraId="221B859E" w14:textId="77777777" w:rsidR="00926BDA" w:rsidRDefault="00926BDA" w:rsidP="00926BDA"/>
    <w:p w14:paraId="14E1C31C" w14:textId="77777777" w:rsidR="00926BDA" w:rsidRDefault="00926BDA" w:rsidP="00926BDA">
      <w:pPr>
        <w:pStyle w:val="Questionstyle"/>
        <w:spacing w:before="120" w:after="120"/>
        <w:ind w:left="851" w:hanging="709"/>
      </w:pPr>
      <w:r w:rsidRPr="00CF1984">
        <w:t xml:space="preserve">What components are missing or not adequately addressed in option 2a? Why are these elements important, and how might their inclusion change the evaluation or implementation of option 2a? </w:t>
      </w:r>
    </w:p>
    <w:p w14:paraId="3406D24E" w14:textId="77777777" w:rsidR="00926BDA" w:rsidRDefault="00926BDA" w:rsidP="00926BDA">
      <w:r>
        <w:t>&lt;ESMA_QUESTION_CASR_11&gt;</w:t>
      </w:r>
    </w:p>
    <w:p w14:paraId="04BEB89B" w14:textId="77777777" w:rsidR="00926BDA" w:rsidRDefault="00926BDA" w:rsidP="00926BDA">
      <w:permStart w:id="2123508368" w:edGrp="everyone"/>
      <w:r>
        <w:t>TYPE YOUR TEXT HERE</w:t>
      </w:r>
    </w:p>
    <w:permEnd w:id="2123508368"/>
    <w:p w14:paraId="23BCC39D" w14:textId="77777777" w:rsidR="00926BDA" w:rsidRDefault="00926BDA" w:rsidP="00926BDA">
      <w:r>
        <w:t>&lt;ESMA_QUESTION_CASR_11&gt;</w:t>
      </w:r>
    </w:p>
    <w:p w14:paraId="1BA92572" w14:textId="77777777" w:rsidR="00926BDA" w:rsidRDefault="00926BDA" w:rsidP="00926BDA"/>
    <w:p w14:paraId="430E3DDC" w14:textId="77777777" w:rsidR="00926BDA" w:rsidRDefault="00926BDA" w:rsidP="00926BDA">
      <w:pPr>
        <w:pStyle w:val="Questionstyle"/>
        <w:spacing w:before="120" w:after="120"/>
        <w:ind w:left="851" w:hanging="709"/>
      </w:pPr>
      <w:r>
        <w:t>What are the key advantages of option 2b and how do these benefits address the issues in section 3? What regimes should be included in such an option beyond EMIR, MiFIR and SFTR?</w:t>
      </w:r>
    </w:p>
    <w:p w14:paraId="14680AA6" w14:textId="77777777" w:rsidR="00926BDA" w:rsidRDefault="00926BDA" w:rsidP="00926BDA">
      <w:r>
        <w:t>&lt;ESMA_QUESTION_CASR_12&gt;</w:t>
      </w:r>
    </w:p>
    <w:p w14:paraId="635CF324" w14:textId="77777777" w:rsidR="00053DB6" w:rsidRPr="004F2833" w:rsidRDefault="00053DB6" w:rsidP="00053DB6">
      <w:pPr>
        <w:jc w:val="both"/>
      </w:pPr>
      <w:permStart w:id="16780711" w:edGrp="everyone"/>
      <w:r w:rsidRPr="004F2833">
        <w:rPr>
          <w:b/>
          <w:bCs/>
        </w:rPr>
        <w:lastRenderedPageBreak/>
        <w:t>Option 2B</w:t>
      </w:r>
      <w:r w:rsidRPr="004F2833">
        <w:t xml:space="preserve"> expands on the </w:t>
      </w:r>
      <w:r w:rsidRPr="004F2833">
        <w:rPr>
          <w:b/>
          <w:bCs/>
        </w:rPr>
        <w:t>"report once"</w:t>
      </w:r>
      <w:r w:rsidRPr="004F2833">
        <w:t xml:space="preserve"> logic of Option 2A by aiming to </w:t>
      </w:r>
      <w:r w:rsidRPr="004F2833">
        <w:rPr>
          <w:b/>
          <w:bCs/>
        </w:rPr>
        <w:t>integrate reporting obligations across additional regulatory regimes</w:t>
      </w:r>
      <w:r w:rsidRPr="004F2833">
        <w:t xml:space="preserve">, such as </w:t>
      </w:r>
      <w:r w:rsidRPr="004F2833">
        <w:rPr>
          <w:b/>
          <w:bCs/>
        </w:rPr>
        <w:t>REMIT</w:t>
      </w:r>
      <w:r w:rsidRPr="004F2833">
        <w:t xml:space="preserve"> and </w:t>
      </w:r>
      <w:r w:rsidRPr="004F2833">
        <w:rPr>
          <w:b/>
          <w:bCs/>
        </w:rPr>
        <w:t>Solvency II</w:t>
      </w:r>
      <w:r w:rsidRPr="004F2833">
        <w:t xml:space="preserve">, into a </w:t>
      </w:r>
      <w:r w:rsidRPr="004F2833">
        <w:rPr>
          <w:b/>
          <w:bCs/>
        </w:rPr>
        <w:t>single cross-sector framework</w:t>
      </w:r>
      <w:r w:rsidRPr="004F2833">
        <w:t>. This approach seeks broader harmonisation across the financial and energy sectors via a unified reporting template.</w:t>
      </w:r>
    </w:p>
    <w:p w14:paraId="7FE88B02" w14:textId="77777777" w:rsidR="00053DB6" w:rsidRPr="004F2833" w:rsidRDefault="00053DB6" w:rsidP="00053DB6">
      <w:pPr>
        <w:jc w:val="both"/>
      </w:pPr>
      <w:r w:rsidRPr="004F2833">
        <w:t xml:space="preserve">Several advantages mirror those of </w:t>
      </w:r>
      <w:r w:rsidRPr="004F2833">
        <w:rPr>
          <w:b/>
          <w:bCs/>
        </w:rPr>
        <w:t>Option 2A</w:t>
      </w:r>
      <w:r w:rsidRPr="004F2833">
        <w:t>, including:</w:t>
      </w:r>
    </w:p>
    <w:p w14:paraId="1729D140" w14:textId="77777777" w:rsidR="00053DB6" w:rsidRPr="004F2833" w:rsidRDefault="00053DB6" w:rsidP="00053DB6">
      <w:pPr>
        <w:numPr>
          <w:ilvl w:val="0"/>
          <w:numId w:val="24"/>
        </w:numPr>
        <w:spacing w:after="160" w:line="278" w:lineRule="auto"/>
        <w:jc w:val="both"/>
      </w:pPr>
      <w:r w:rsidRPr="004F2833">
        <w:rPr>
          <w:b/>
          <w:bCs/>
        </w:rPr>
        <w:t>Reduction of duplicative reporting obligations</w:t>
      </w:r>
      <w:r w:rsidRPr="004F2833">
        <w:t xml:space="preserve"> (Section 3, Issues 2 and 8),</w:t>
      </w:r>
    </w:p>
    <w:p w14:paraId="3A4D521A" w14:textId="77777777" w:rsidR="00053DB6" w:rsidRPr="004F2833" w:rsidRDefault="00053DB6" w:rsidP="00053DB6">
      <w:pPr>
        <w:numPr>
          <w:ilvl w:val="0"/>
          <w:numId w:val="24"/>
        </w:numPr>
        <w:spacing w:after="160" w:line="278" w:lineRule="auto"/>
        <w:jc w:val="both"/>
      </w:pPr>
      <w:r w:rsidRPr="004F2833">
        <w:rPr>
          <w:b/>
          <w:bCs/>
        </w:rPr>
        <w:t>Greater consistency in definitions and reporting structures</w:t>
      </w:r>
      <w:r w:rsidRPr="004F2833">
        <w:t xml:space="preserve"> across regimes (Issue 3),</w:t>
      </w:r>
    </w:p>
    <w:p w14:paraId="43537EB8" w14:textId="77777777" w:rsidR="00053DB6" w:rsidRPr="004F2833" w:rsidRDefault="00053DB6" w:rsidP="00053DB6">
      <w:pPr>
        <w:numPr>
          <w:ilvl w:val="0"/>
          <w:numId w:val="24"/>
        </w:numPr>
        <w:spacing w:after="160" w:line="278" w:lineRule="auto"/>
        <w:jc w:val="both"/>
      </w:pPr>
      <w:r w:rsidRPr="004F2833">
        <w:t xml:space="preserve">And </w:t>
      </w:r>
      <w:r w:rsidRPr="004F2833">
        <w:rPr>
          <w:b/>
          <w:bCs/>
        </w:rPr>
        <w:t>a single point of submission</w:t>
      </w:r>
      <w:r w:rsidRPr="004F2833">
        <w:t>, which would facilitate supervisory access and potentially improve data quality (Issue 1).</w:t>
      </w:r>
    </w:p>
    <w:p w14:paraId="7531396C" w14:textId="77777777" w:rsidR="00053DB6" w:rsidRPr="004F2833" w:rsidRDefault="00053DB6" w:rsidP="00053DB6">
      <w:pPr>
        <w:jc w:val="both"/>
      </w:pPr>
      <w:r w:rsidRPr="004F2833">
        <w:t xml:space="preserve">However, from the perspective of </w:t>
      </w:r>
      <w:r w:rsidRPr="004F2833">
        <w:rPr>
          <w:b/>
          <w:bCs/>
        </w:rPr>
        <w:t>BNP Paribas Asset Management</w:t>
      </w:r>
      <w:r w:rsidRPr="004F2833">
        <w:t xml:space="preserve">, the </w:t>
      </w:r>
      <w:r w:rsidRPr="004F2833">
        <w:rPr>
          <w:b/>
          <w:bCs/>
        </w:rPr>
        <w:t>additional scope proposed under Option 2B raises questions about relevance and proportionality</w:t>
      </w:r>
      <w:r w:rsidRPr="004F2833">
        <w:t>.</w:t>
      </w:r>
    </w:p>
    <w:p w14:paraId="7C74E99A" w14:textId="77777777" w:rsidR="00053DB6" w:rsidRPr="004F2833" w:rsidRDefault="00053DB6" w:rsidP="00053DB6">
      <w:pPr>
        <w:numPr>
          <w:ilvl w:val="0"/>
          <w:numId w:val="25"/>
        </w:numPr>
        <w:spacing w:after="160" w:line="278" w:lineRule="auto"/>
        <w:jc w:val="both"/>
      </w:pPr>
      <w:r w:rsidRPr="004F2833">
        <w:rPr>
          <w:b/>
          <w:bCs/>
        </w:rPr>
        <w:t>Solvency II</w:t>
      </w:r>
      <w:r w:rsidRPr="004F2833">
        <w:t xml:space="preserve"> reporting, for instance, is primarily used for </w:t>
      </w:r>
      <w:r w:rsidRPr="004F2833">
        <w:rPr>
          <w:b/>
          <w:bCs/>
        </w:rPr>
        <w:t>client reporting purposes</w:t>
      </w:r>
      <w:r w:rsidRPr="004F2833">
        <w:t xml:space="preserve"> — particularly for insurance clients — and not for regulatory reporting by asset managers themselves. Including Solvency II in this cross-sector framework risks blurring the line between </w:t>
      </w:r>
      <w:r w:rsidRPr="004F2833">
        <w:rPr>
          <w:b/>
          <w:bCs/>
        </w:rPr>
        <w:t>regulatory obligations and service-based reporting</w:t>
      </w:r>
      <w:r w:rsidRPr="004F2833">
        <w:t xml:space="preserve">, creating unnecessary complexity for asset managers who act as data providers but are </w:t>
      </w:r>
      <w:r w:rsidRPr="004F2833">
        <w:rPr>
          <w:b/>
          <w:bCs/>
        </w:rPr>
        <w:t>not the regulated entities</w:t>
      </w:r>
      <w:r w:rsidRPr="004F2833">
        <w:t xml:space="preserve"> under that regime.</w:t>
      </w:r>
    </w:p>
    <w:p w14:paraId="766D4117" w14:textId="555F8908" w:rsidR="00926BDA" w:rsidRDefault="00053DB6" w:rsidP="00053DB6">
      <w:pPr>
        <w:numPr>
          <w:ilvl w:val="0"/>
          <w:numId w:val="25"/>
        </w:numPr>
        <w:spacing w:after="160" w:line="278" w:lineRule="auto"/>
        <w:jc w:val="both"/>
      </w:pPr>
      <w:r w:rsidRPr="00D9443C">
        <w:t xml:space="preserve">Similarly, </w:t>
      </w:r>
      <w:r w:rsidRPr="00D9443C">
        <w:rPr>
          <w:b/>
          <w:bCs/>
        </w:rPr>
        <w:t>REMIT</w:t>
      </w:r>
      <w:r w:rsidRPr="00D9443C">
        <w:t xml:space="preserve"> relates to wholesale energy market transparency and is </w:t>
      </w:r>
      <w:r w:rsidRPr="00D9443C">
        <w:rPr>
          <w:b/>
          <w:bCs/>
        </w:rPr>
        <w:t>not directly applicable</w:t>
      </w:r>
      <w:r w:rsidRPr="00D9443C">
        <w:t xml:space="preserve"> to BNP AM’s core activities. Including REMIT could introduce a reporting burden for regimes that are </w:t>
      </w:r>
      <w:r w:rsidRPr="00D9443C">
        <w:rPr>
          <w:b/>
          <w:bCs/>
        </w:rPr>
        <w:t>outside the operational scope</w:t>
      </w:r>
      <w:r w:rsidRPr="00D9443C">
        <w:t xml:space="preserve"> of most asset managers.</w:t>
      </w:r>
    </w:p>
    <w:permEnd w:id="16780711"/>
    <w:p w14:paraId="586717CC" w14:textId="77777777" w:rsidR="00926BDA" w:rsidRDefault="00926BDA" w:rsidP="00926BDA">
      <w:r>
        <w:t>&lt;ESMA_QUESTION_CASR_12&gt;</w:t>
      </w:r>
    </w:p>
    <w:p w14:paraId="0608E479" w14:textId="77777777" w:rsidR="00926BDA" w:rsidRDefault="00926BDA" w:rsidP="00926BDA"/>
    <w:p w14:paraId="1E31B6FF" w14:textId="77777777" w:rsidR="00926BDA" w:rsidRDefault="00926BDA" w:rsidP="00926BDA">
      <w:pPr>
        <w:pStyle w:val="Questionstyle"/>
        <w:spacing w:before="120" w:after="120"/>
        <w:ind w:left="851" w:hanging="709"/>
      </w:pPr>
      <w:r>
        <w:t>What are the key limitations and potential risks of option 2b?</w:t>
      </w:r>
    </w:p>
    <w:p w14:paraId="74462196" w14:textId="77777777" w:rsidR="00926BDA" w:rsidRDefault="00926BDA" w:rsidP="00926BDA">
      <w:r>
        <w:t>&lt;ESMA_QUESTION_CASR_13&gt;</w:t>
      </w:r>
    </w:p>
    <w:p w14:paraId="58ADA7EC" w14:textId="77777777" w:rsidR="00053DB6" w:rsidRPr="00B02A04" w:rsidRDefault="00053DB6" w:rsidP="00053DB6">
      <w:pPr>
        <w:jc w:val="both"/>
      </w:pPr>
      <w:permStart w:id="1489376342" w:edGrp="everyone"/>
      <w:r w:rsidRPr="00B02A04">
        <w:rPr>
          <w:b/>
          <w:bCs/>
        </w:rPr>
        <w:t>Option 2B</w:t>
      </w:r>
      <w:r w:rsidRPr="00B02A04">
        <w:t xml:space="preserve"> presents several important limitations and risks, especially from the perspective of asset managers like </w:t>
      </w:r>
      <w:r w:rsidRPr="00B02A04">
        <w:rPr>
          <w:b/>
          <w:bCs/>
        </w:rPr>
        <w:t>BNP Paribas Asset Management</w:t>
      </w:r>
      <w:r>
        <w:t>, as mentioned previously in our response to Q.12.</w:t>
      </w:r>
    </w:p>
    <w:p w14:paraId="190FFE4D" w14:textId="77777777" w:rsidR="00053DB6" w:rsidRPr="00B02A04" w:rsidRDefault="00053DB6" w:rsidP="00053DB6">
      <w:pPr>
        <w:jc w:val="both"/>
      </w:pPr>
      <w:r w:rsidRPr="00B02A04">
        <w:t xml:space="preserve">The most significant challenge lies in its </w:t>
      </w:r>
      <w:r w:rsidRPr="00B02A04">
        <w:rPr>
          <w:b/>
          <w:bCs/>
        </w:rPr>
        <w:t>overly broad scope</w:t>
      </w:r>
      <w:r w:rsidRPr="00B02A04">
        <w:t xml:space="preserve">. By extending the unified reporting framework to regimes such as </w:t>
      </w:r>
      <w:r w:rsidRPr="00B02A04">
        <w:rPr>
          <w:b/>
          <w:bCs/>
        </w:rPr>
        <w:t>Solvency II</w:t>
      </w:r>
      <w:r w:rsidRPr="00B02A04">
        <w:t xml:space="preserve"> and </w:t>
      </w:r>
      <w:r w:rsidRPr="00B02A04">
        <w:rPr>
          <w:b/>
          <w:bCs/>
        </w:rPr>
        <w:t>REMIT</w:t>
      </w:r>
      <w:r w:rsidRPr="00B02A04">
        <w:t xml:space="preserve">, the proposal risks introducing </w:t>
      </w:r>
      <w:r w:rsidRPr="00B02A04">
        <w:rPr>
          <w:b/>
          <w:bCs/>
        </w:rPr>
        <w:t>unnecessary complexity</w:t>
      </w:r>
      <w:r w:rsidRPr="00B02A04">
        <w:t xml:space="preserve">. These regimes serve </w:t>
      </w:r>
      <w:r w:rsidRPr="00B02A04">
        <w:rPr>
          <w:b/>
          <w:bCs/>
        </w:rPr>
        <w:t>very different purposes</w:t>
      </w:r>
      <w:r w:rsidRPr="00B02A04">
        <w:t xml:space="preserve"> and apply to </w:t>
      </w:r>
      <w:r w:rsidRPr="00B02A04">
        <w:rPr>
          <w:b/>
          <w:bCs/>
        </w:rPr>
        <w:t>different sets of regulated entities</w:t>
      </w:r>
      <w:r w:rsidRPr="00B02A04">
        <w:t xml:space="preserve">. For example, </w:t>
      </w:r>
      <w:r w:rsidRPr="00B02A04">
        <w:rPr>
          <w:b/>
          <w:bCs/>
        </w:rPr>
        <w:t>Solvency II</w:t>
      </w:r>
      <w:r w:rsidRPr="00B02A04">
        <w:t xml:space="preserve"> is primarily a </w:t>
      </w:r>
      <w:r w:rsidRPr="00B02A04">
        <w:rPr>
          <w:b/>
          <w:bCs/>
        </w:rPr>
        <w:t>client-facing reporting obligation</w:t>
      </w:r>
      <w:r w:rsidRPr="00B02A04">
        <w:t xml:space="preserve"> for asset managers, relevant for insurers but not a regulatory requirement for the asset manager itself. Including it in a cross-sector template would </w:t>
      </w:r>
      <w:r w:rsidRPr="00B02A04">
        <w:rPr>
          <w:b/>
          <w:bCs/>
        </w:rPr>
        <w:t>blur the lines between regulatory and client reporting</w:t>
      </w:r>
      <w:r w:rsidRPr="00B02A04">
        <w:t>, adding administrative burden without clear benefits.</w:t>
      </w:r>
    </w:p>
    <w:p w14:paraId="159B833A" w14:textId="77777777" w:rsidR="00053DB6" w:rsidRPr="00B02A04" w:rsidRDefault="00053DB6" w:rsidP="00053DB6">
      <w:pPr>
        <w:jc w:val="both"/>
      </w:pPr>
      <w:r w:rsidRPr="00B02A04">
        <w:t xml:space="preserve">Similarly, </w:t>
      </w:r>
      <w:r w:rsidRPr="00B02A04">
        <w:rPr>
          <w:b/>
          <w:bCs/>
        </w:rPr>
        <w:t>REMIT</w:t>
      </w:r>
      <w:r w:rsidRPr="00B02A04">
        <w:t xml:space="preserve"> concerns the energy sector and has </w:t>
      </w:r>
      <w:r w:rsidRPr="00B02A04">
        <w:rPr>
          <w:b/>
          <w:bCs/>
        </w:rPr>
        <w:t>limited or no relevance</w:t>
      </w:r>
      <w:r w:rsidRPr="00B02A04">
        <w:t xml:space="preserve"> to typical asset management activities. Its inclusion could lead to </w:t>
      </w:r>
      <w:r w:rsidRPr="00B02A04">
        <w:rPr>
          <w:b/>
          <w:bCs/>
        </w:rPr>
        <w:t>operational inefficiencies</w:t>
      </w:r>
      <w:r w:rsidRPr="00B02A04">
        <w:t xml:space="preserve"> by forcing asset managers to navigate requirements unrelated to their core business.</w:t>
      </w:r>
    </w:p>
    <w:p w14:paraId="0A0604D7" w14:textId="77777777" w:rsidR="00053DB6" w:rsidRPr="00B02A04" w:rsidRDefault="00053DB6" w:rsidP="00053DB6">
      <w:pPr>
        <w:jc w:val="both"/>
      </w:pPr>
      <w:r w:rsidRPr="00B02A04">
        <w:t xml:space="preserve">In addition to scope issues, Option 2B would also inherit the </w:t>
      </w:r>
      <w:r w:rsidRPr="00B02A04">
        <w:rPr>
          <w:b/>
          <w:bCs/>
        </w:rPr>
        <w:t>operational and legislative challenges</w:t>
      </w:r>
      <w:r w:rsidRPr="00B02A04">
        <w:t xml:space="preserve"> of Option 2A — such as </w:t>
      </w:r>
      <w:r w:rsidRPr="00B02A04">
        <w:rPr>
          <w:b/>
          <w:bCs/>
        </w:rPr>
        <w:t>high implementation costs</w:t>
      </w:r>
      <w:r w:rsidRPr="00B02A04">
        <w:t xml:space="preserve">, the need for </w:t>
      </w:r>
      <w:r w:rsidRPr="00B02A04">
        <w:rPr>
          <w:b/>
          <w:bCs/>
        </w:rPr>
        <w:t>Level 1 changes</w:t>
      </w:r>
      <w:r w:rsidRPr="00B02A04">
        <w:t xml:space="preserve">, and the potential for </w:t>
      </w:r>
      <w:r w:rsidRPr="00B02A04">
        <w:rPr>
          <w:b/>
          <w:bCs/>
        </w:rPr>
        <w:t>data gaps</w:t>
      </w:r>
      <w:r w:rsidRPr="00B02A04">
        <w:t xml:space="preserve"> if certain counterparty types are not covered.</w:t>
      </w:r>
    </w:p>
    <w:p w14:paraId="4183663D" w14:textId="23D60E86" w:rsidR="00926BDA" w:rsidRDefault="00053DB6" w:rsidP="00053DB6">
      <w:pPr>
        <w:jc w:val="both"/>
      </w:pPr>
      <w:r w:rsidRPr="00B02A04">
        <w:lastRenderedPageBreak/>
        <w:t xml:space="preserve">Overall, Option 2B risks being </w:t>
      </w:r>
      <w:r w:rsidRPr="00B02A04">
        <w:rPr>
          <w:b/>
          <w:bCs/>
        </w:rPr>
        <w:t>too ambitious and misaligned</w:t>
      </w:r>
      <w:r w:rsidRPr="00B02A04">
        <w:t xml:space="preserve"> with the practical realities of asset managers, undermining the intended simplification. A more focused integration limited to </w:t>
      </w:r>
      <w:r w:rsidRPr="00B02A04">
        <w:rPr>
          <w:b/>
          <w:bCs/>
        </w:rPr>
        <w:t>EMIR, MiFIR, and SFTR</w:t>
      </w:r>
      <w:r w:rsidRPr="00B02A04">
        <w:t xml:space="preserve"> would likely deliver better results with fewer unintended consequences.</w:t>
      </w:r>
    </w:p>
    <w:permEnd w:id="1489376342"/>
    <w:p w14:paraId="68F5F79E" w14:textId="77777777" w:rsidR="00926BDA" w:rsidRDefault="00926BDA" w:rsidP="00926BDA">
      <w:r>
        <w:t>&lt;ESMA_QUESTION_CASR_13&gt;</w:t>
      </w:r>
    </w:p>
    <w:p w14:paraId="3F2950D9" w14:textId="77777777" w:rsidR="00926BDA" w:rsidRDefault="00926BDA" w:rsidP="00926BDA"/>
    <w:p w14:paraId="2F0F769D" w14:textId="77777777" w:rsidR="00926BDA" w:rsidRDefault="00926BDA" w:rsidP="00926BDA">
      <w:pPr>
        <w:pStyle w:val="Questionstyle"/>
        <w:spacing w:before="120" w:after="120"/>
        <w:ind w:left="851" w:hanging="709"/>
      </w:pPr>
      <w:r>
        <w:t>What components are missing or not adequately addressed in option 2b? Why are these elements important, and how might their inclusion change the evaluation or implementation of option 2b?</w:t>
      </w:r>
    </w:p>
    <w:p w14:paraId="7F464072" w14:textId="77777777" w:rsidR="00926BDA" w:rsidRDefault="00926BDA" w:rsidP="00926BDA">
      <w:r>
        <w:t>&lt;ESMA_QUESTION_CASR_14&gt;</w:t>
      </w:r>
    </w:p>
    <w:p w14:paraId="45234655" w14:textId="77777777" w:rsidR="00926BDA" w:rsidRDefault="00926BDA" w:rsidP="00926BDA">
      <w:permStart w:id="1849847968" w:edGrp="everyone"/>
      <w:r>
        <w:t>TYPE YOUR TEXT HERE</w:t>
      </w:r>
    </w:p>
    <w:permEnd w:id="1849847968"/>
    <w:p w14:paraId="754DFA86" w14:textId="77777777" w:rsidR="00926BDA" w:rsidRDefault="00926BDA" w:rsidP="00926BDA">
      <w:r>
        <w:t>&lt;ESMA_QUESTION_CASR_14&gt;</w:t>
      </w:r>
    </w:p>
    <w:p w14:paraId="4B90EA1B" w14:textId="77777777" w:rsidR="00926BDA" w:rsidRDefault="00926BDA" w:rsidP="00926BDA"/>
    <w:p w14:paraId="1171D85E" w14:textId="77777777" w:rsidR="00926BDA" w:rsidRDefault="00926BDA" w:rsidP="00926BDA">
      <w:pPr>
        <w:pStyle w:val="Questionstyle"/>
        <w:spacing w:before="120" w:after="120"/>
        <w:ind w:left="851" w:hanging="709"/>
      </w:pPr>
      <w:r>
        <w:t>Which of the two main options (1. “removal of duplication in current frameworks” or 2. "report once") and related sub-options identified  do you believe should be prioritised, and why?</w:t>
      </w:r>
    </w:p>
    <w:p w14:paraId="5786375C" w14:textId="77777777" w:rsidR="00926BDA" w:rsidRDefault="00926BDA" w:rsidP="00926BDA">
      <w:r>
        <w:t>&lt;ESMA_QUESTION_CASR_15&gt;</w:t>
      </w:r>
    </w:p>
    <w:p w14:paraId="3ADC05B5" w14:textId="77777777" w:rsidR="00053DB6" w:rsidRPr="004B670D" w:rsidRDefault="00053DB6" w:rsidP="00053DB6">
      <w:pPr>
        <w:jc w:val="both"/>
      </w:pPr>
      <w:permStart w:id="695482675" w:edGrp="everyone"/>
      <w:r w:rsidRPr="004B670D">
        <w:rPr>
          <w:b/>
          <w:bCs/>
        </w:rPr>
        <w:t xml:space="preserve">While we recognise that ESMA’s proposed options—are steps in the right direction, they will only deliver meaningful benefits if the underlying issue of data </w:t>
      </w:r>
      <w:r>
        <w:rPr>
          <w:b/>
          <w:bCs/>
        </w:rPr>
        <w:t>accuracy is</w:t>
      </w:r>
      <w:r w:rsidRPr="004B670D">
        <w:rPr>
          <w:b/>
          <w:bCs/>
        </w:rPr>
        <w:t xml:space="preserve"> properly addressed.</w:t>
      </w:r>
    </w:p>
    <w:p w14:paraId="25D3D47C" w14:textId="77777777" w:rsidR="00053DB6" w:rsidRPr="004B670D" w:rsidRDefault="00053DB6" w:rsidP="00053DB6">
      <w:pPr>
        <w:jc w:val="both"/>
      </w:pPr>
      <w:r w:rsidRPr="004B670D">
        <w:t xml:space="preserve">The main challenge lies in the growing number of reporting fields, many of which are difficult to populate accurately due to system and operational limitations across the industry. </w:t>
      </w:r>
    </w:p>
    <w:p w14:paraId="4A8B69D2" w14:textId="77777777" w:rsidR="00053DB6" w:rsidRPr="004B670D" w:rsidRDefault="00053DB6" w:rsidP="00053DB6">
      <w:pPr>
        <w:jc w:val="both"/>
      </w:pPr>
      <w:r w:rsidRPr="004B670D">
        <w:t>The increasing complexity of reporting requirements—without adequate alignment with what firms can realistically provide—has become a key cost and risk driver</w:t>
      </w:r>
      <w:r>
        <w:t xml:space="preserve">, </w:t>
      </w:r>
      <w:r w:rsidRPr="003B0810">
        <w:rPr>
          <w:b/>
          <w:bCs/>
        </w:rPr>
        <w:t>especially in relation to EMIR and SFTR reporting</w:t>
      </w:r>
      <w:r w:rsidRPr="004B670D">
        <w:t>.</w:t>
      </w:r>
    </w:p>
    <w:p w14:paraId="61676FC9" w14:textId="77777777" w:rsidR="00053DB6" w:rsidRPr="00AC245B" w:rsidRDefault="00053DB6" w:rsidP="00053DB6">
      <w:pPr>
        <w:jc w:val="both"/>
        <w:rPr>
          <w:b/>
          <w:bCs/>
        </w:rPr>
      </w:pPr>
      <w:r w:rsidRPr="00AC245B">
        <w:rPr>
          <w:b/>
          <w:bCs/>
        </w:rPr>
        <w:t xml:space="preserve"> For this reason, we believe that any reform to financial transaction reporting frameworks (under EMIR, SFTR, or MiFIR) must prioritise simplification and ensure that only relevant, available, and high-quality data is required.</w:t>
      </w:r>
    </w:p>
    <w:p w14:paraId="58384B55" w14:textId="77777777" w:rsidR="00053DB6" w:rsidRPr="00902366" w:rsidRDefault="00053DB6" w:rsidP="00053DB6">
      <w:pPr>
        <w:jc w:val="both"/>
        <w:rPr>
          <w:color w:val="5B9BD5" w:themeColor="accent1"/>
        </w:rPr>
      </w:pPr>
      <w:r w:rsidRPr="004B670D">
        <w:t>Until this structural concern is addressed, even well-designed reforms will have limited impact.</w:t>
      </w:r>
    </w:p>
    <w:p w14:paraId="02AEE981" w14:textId="77777777" w:rsidR="00053DB6" w:rsidRPr="0025073E" w:rsidRDefault="00053DB6" w:rsidP="00053DB6">
      <w:pPr>
        <w:jc w:val="both"/>
      </w:pPr>
      <w:r>
        <w:t>Regarding the proposed options, f</w:t>
      </w:r>
      <w:r w:rsidRPr="000E5118">
        <w:t>rom the perspective of an asset manager,</w:t>
      </w:r>
      <w:r w:rsidRPr="0025073E">
        <w:t xml:space="preserve"> </w:t>
      </w:r>
      <w:r w:rsidRPr="004B0893">
        <w:rPr>
          <w:b/>
          <w:bCs/>
        </w:rPr>
        <w:t>Option 1A</w:t>
      </w:r>
      <w:r w:rsidRPr="0025073E">
        <w:t xml:space="preserve">—by separating reporting obligations according to instrument type (ETDs under MiFIR, OTC derivatives under EMIR)—offers the most practical and proportionate way forward. It builds on the comparative strengths of each regime: </w:t>
      </w:r>
      <w:r w:rsidRPr="004B0893">
        <w:rPr>
          <w:b/>
          <w:bCs/>
        </w:rPr>
        <w:t xml:space="preserve">MiFIR </w:t>
      </w:r>
      <w:r w:rsidRPr="0025073E">
        <w:t xml:space="preserve">is already better suited to capturing </w:t>
      </w:r>
      <w:r w:rsidRPr="004B0893">
        <w:rPr>
          <w:b/>
          <w:bCs/>
        </w:rPr>
        <w:t>exchange-traded transactions</w:t>
      </w:r>
      <w:r w:rsidRPr="0025073E">
        <w:t xml:space="preserve">, while </w:t>
      </w:r>
      <w:r w:rsidRPr="004B0893">
        <w:rPr>
          <w:b/>
          <w:bCs/>
        </w:rPr>
        <w:t xml:space="preserve">EMIR </w:t>
      </w:r>
      <w:r w:rsidRPr="0025073E">
        <w:t xml:space="preserve">is more effective for monitoring </w:t>
      </w:r>
      <w:r w:rsidRPr="004B0893">
        <w:rPr>
          <w:b/>
          <w:bCs/>
        </w:rPr>
        <w:t xml:space="preserve">OTC </w:t>
      </w:r>
      <w:r w:rsidRPr="0025073E">
        <w:t>derivatives and their post-trade lifecycle events. This allocation removes the current duplication of reporting for ETDs under both frameworks and allows each regime to focus on what it does best.</w:t>
      </w:r>
    </w:p>
    <w:p w14:paraId="0B40A361" w14:textId="77777777" w:rsidR="00053DB6" w:rsidRDefault="00053DB6" w:rsidP="00053DB6">
      <w:pPr>
        <w:jc w:val="both"/>
      </w:pPr>
      <w:r w:rsidRPr="0025073E">
        <w:t xml:space="preserve">From an operational standpoint, Option 1A is also the </w:t>
      </w:r>
      <w:r w:rsidRPr="0025073E">
        <w:rPr>
          <w:b/>
          <w:bCs/>
        </w:rPr>
        <w:t>least disruptive</w:t>
      </w:r>
      <w:r w:rsidRPr="0025073E">
        <w:t>. It avoids unnecessary system overhauls, leverages existing infrastructures, and delivers simplification with lower implementation costs. While the changes are incremental rather than transformative, the option is pragmatic, cost-efficient, and achievable within a shorter timeframe. Importantly, it reduces complexity without introducing the uncertainties that deeper restructuring would create.</w:t>
      </w:r>
    </w:p>
    <w:p w14:paraId="49C8657B" w14:textId="77777777" w:rsidR="00053DB6" w:rsidRPr="0025073E" w:rsidRDefault="00053DB6" w:rsidP="00053DB6">
      <w:pPr>
        <w:jc w:val="both"/>
      </w:pPr>
      <w:r w:rsidRPr="0025073E">
        <w:rPr>
          <w:b/>
          <w:bCs/>
        </w:rPr>
        <w:t>By contrast, Option 1B is not the preferred approach.</w:t>
      </w:r>
      <w:r>
        <w:t xml:space="preserve"> </w:t>
      </w:r>
      <w:r w:rsidRPr="0025073E">
        <w:t xml:space="preserve">Although its stated aim—eliminating duplicative reporting through a split by event type—is valid in principle, in practice Option 1B </w:t>
      </w:r>
      <w:r w:rsidRPr="0025073E">
        <w:lastRenderedPageBreak/>
        <w:t>risks introducing unnecessary complexity. Redistributing responsibilities so that MiFIR covers all transactions while EMIR is limited to post-trade data would require more significant system changes and create transitional challenges for firms. The benefits it seeks can already be achieved more effectively under Option 1A, but with far less disruption.</w:t>
      </w:r>
    </w:p>
    <w:p w14:paraId="27E9F4B8" w14:textId="77777777" w:rsidR="00053DB6" w:rsidRPr="000E5118" w:rsidRDefault="00053DB6" w:rsidP="00053DB6">
      <w:pPr>
        <w:jc w:val="both"/>
      </w:pPr>
    </w:p>
    <w:p w14:paraId="555E079E" w14:textId="77777777" w:rsidR="00053DB6" w:rsidRPr="000E5118" w:rsidRDefault="00053DB6" w:rsidP="00053DB6">
      <w:pPr>
        <w:jc w:val="both"/>
      </w:pPr>
      <w:r w:rsidRPr="000E5118">
        <w:t>.</w:t>
      </w:r>
    </w:p>
    <w:p w14:paraId="13570AE6" w14:textId="77777777" w:rsidR="00053DB6" w:rsidRPr="000E5118" w:rsidRDefault="00053DB6" w:rsidP="00053DB6">
      <w:pPr>
        <w:jc w:val="both"/>
      </w:pPr>
      <w:r w:rsidRPr="000E5118">
        <w:t xml:space="preserve">At the same time, it's important to recognise that </w:t>
      </w:r>
      <w:r w:rsidRPr="000E5118">
        <w:rPr>
          <w:b/>
          <w:bCs/>
        </w:rPr>
        <w:t>Option 2A</w:t>
      </w:r>
      <w:r w:rsidRPr="000E5118">
        <w:t xml:space="preserve">—the full “report once” model across MiFIR, EMIR, and SFTR—is also </w:t>
      </w:r>
      <w:r w:rsidRPr="000E5118">
        <w:rPr>
          <w:b/>
          <w:bCs/>
        </w:rPr>
        <w:t>appealing</w:t>
      </w:r>
      <w:r w:rsidRPr="000E5118">
        <w:t xml:space="preserve">, especially in the long term. It offers the potential for </w:t>
      </w:r>
      <w:r w:rsidRPr="000E5118">
        <w:rPr>
          <w:b/>
          <w:bCs/>
        </w:rPr>
        <w:t>significant harmonisation</w:t>
      </w:r>
      <w:r w:rsidRPr="000E5118">
        <w:t xml:space="preserve">, </w:t>
      </w:r>
      <w:r w:rsidRPr="000E5118">
        <w:rPr>
          <w:b/>
          <w:bCs/>
        </w:rPr>
        <w:t>reduced duplication</w:t>
      </w:r>
      <w:r w:rsidRPr="000E5118">
        <w:t xml:space="preserve">, and a </w:t>
      </w:r>
      <w:r w:rsidRPr="000E5118">
        <w:rPr>
          <w:b/>
          <w:bCs/>
        </w:rPr>
        <w:t>single reporting channel</w:t>
      </w:r>
      <w:r w:rsidRPr="000E5118">
        <w:t xml:space="preserve">, which could ultimately improve data quality and reduce supervisory fragmentation. However, the </w:t>
      </w:r>
      <w:r w:rsidRPr="000E5118">
        <w:rPr>
          <w:b/>
          <w:bCs/>
        </w:rPr>
        <w:t>implementation burden is much higher</w:t>
      </w:r>
      <w:r w:rsidRPr="000E5118">
        <w:t xml:space="preserve">, requiring </w:t>
      </w:r>
      <w:r w:rsidRPr="000E5118">
        <w:rPr>
          <w:b/>
          <w:bCs/>
        </w:rPr>
        <w:t>substantial system overhauls</w:t>
      </w:r>
      <w:r w:rsidRPr="000E5118">
        <w:t xml:space="preserve">, </w:t>
      </w:r>
      <w:r w:rsidRPr="000E5118">
        <w:rPr>
          <w:b/>
          <w:bCs/>
        </w:rPr>
        <w:t>governance redesign</w:t>
      </w:r>
      <w:r w:rsidRPr="000E5118">
        <w:t>, and changes to supervisory access rights. While promising, Option 2A would require a longer lead time and higher initial investment, making it less immediately viable than Option 1B.</w:t>
      </w:r>
    </w:p>
    <w:p w14:paraId="53069A83" w14:textId="1FD6B876" w:rsidR="00926BDA" w:rsidRDefault="00053DB6" w:rsidP="00053DB6">
      <w:pPr>
        <w:jc w:val="both"/>
      </w:pPr>
      <w:r w:rsidRPr="000E5118">
        <w:t xml:space="preserve">Lastly, </w:t>
      </w:r>
      <w:r w:rsidRPr="000E5118">
        <w:rPr>
          <w:b/>
          <w:bCs/>
        </w:rPr>
        <w:t>Option 2B</w:t>
      </w:r>
      <w:r w:rsidRPr="000E5118">
        <w:t xml:space="preserve">, which expands the “report once” approach to include additional regimes like </w:t>
      </w:r>
      <w:r w:rsidRPr="000E5118">
        <w:rPr>
          <w:b/>
          <w:bCs/>
        </w:rPr>
        <w:t>REMIT</w:t>
      </w:r>
      <w:r w:rsidRPr="000E5118">
        <w:t xml:space="preserve"> and </w:t>
      </w:r>
      <w:r w:rsidRPr="000E5118">
        <w:rPr>
          <w:b/>
          <w:bCs/>
        </w:rPr>
        <w:t>Solvency II</w:t>
      </w:r>
      <w:r w:rsidRPr="000E5118">
        <w:t xml:space="preserve">, is </w:t>
      </w:r>
      <w:r w:rsidRPr="000E5118">
        <w:rPr>
          <w:b/>
          <w:bCs/>
        </w:rPr>
        <w:t>the least appealing</w:t>
      </w:r>
      <w:r w:rsidRPr="000E5118">
        <w:t xml:space="preserve"> from an asset manager’s perspective. These regimes are either </w:t>
      </w:r>
      <w:r w:rsidRPr="000E5118">
        <w:rPr>
          <w:b/>
          <w:bCs/>
        </w:rPr>
        <w:t>not directly applicable</w:t>
      </w:r>
      <w:r w:rsidRPr="000E5118">
        <w:t xml:space="preserve"> (REMIT) or are </w:t>
      </w:r>
      <w:r w:rsidRPr="000E5118">
        <w:rPr>
          <w:b/>
          <w:bCs/>
        </w:rPr>
        <w:t>client-based obligations</w:t>
      </w:r>
      <w:r w:rsidRPr="000E5118">
        <w:t xml:space="preserve"> (Solvency II) rather than regulatory requirements for asset managers. Including them could dilute the effectiveness of the framework and </w:t>
      </w:r>
      <w:r w:rsidRPr="000E5118">
        <w:rPr>
          <w:b/>
          <w:bCs/>
        </w:rPr>
        <w:t>add unnecessary complexity</w:t>
      </w:r>
      <w:r w:rsidRPr="000E5118">
        <w:t>.</w:t>
      </w:r>
    </w:p>
    <w:permEnd w:id="695482675"/>
    <w:p w14:paraId="3F62887A" w14:textId="77777777" w:rsidR="00926BDA" w:rsidRDefault="00926BDA" w:rsidP="00926BDA">
      <w:r>
        <w:t>&lt;ESMA_QUESTION_CASR_15&gt;</w:t>
      </w:r>
    </w:p>
    <w:p w14:paraId="421A97F2" w14:textId="77777777" w:rsidR="00926BDA" w:rsidRDefault="00926BDA" w:rsidP="00926BDA"/>
    <w:p w14:paraId="114400C6" w14:textId="77777777" w:rsidR="00926BDA" w:rsidRDefault="00926BDA" w:rsidP="00926BDA">
      <w:pPr>
        <w:pStyle w:val="Questionstyle"/>
        <w:spacing w:before="120" w:after="120"/>
        <w:ind w:left="851" w:hanging="709"/>
      </w:pPr>
      <w:r>
        <w:t>Are there any additional options that should be considered on top of option 1 and 2? For example, do you identify other potential intermediate solutions, combinations of elements from the identified options, or phased approaches? If so, what are their main characteristics, the reasons for considering them, and the key advantages they would bring?</w:t>
      </w:r>
    </w:p>
    <w:p w14:paraId="78DE67F2" w14:textId="77777777" w:rsidR="00926BDA" w:rsidRDefault="00926BDA" w:rsidP="00926BDA">
      <w:r>
        <w:t>&lt;ESMA_QUESTION_CASR_16&gt;</w:t>
      </w:r>
    </w:p>
    <w:p w14:paraId="07469BB7" w14:textId="77777777" w:rsidR="00926BDA" w:rsidRDefault="00926BDA" w:rsidP="00926BDA">
      <w:permStart w:id="1784418006" w:edGrp="everyone"/>
      <w:r>
        <w:t>TYPE YOUR TEXT HERE</w:t>
      </w:r>
    </w:p>
    <w:permEnd w:id="1784418006"/>
    <w:p w14:paraId="3AD06511" w14:textId="77777777" w:rsidR="00926BDA" w:rsidRDefault="00926BDA" w:rsidP="00926BDA">
      <w:r>
        <w:t>&lt;ESMA_QUESTION_CASR_16&gt;</w:t>
      </w:r>
    </w:p>
    <w:p w14:paraId="67C20FBF" w14:textId="77777777" w:rsidR="00926BDA" w:rsidRDefault="00926BDA" w:rsidP="00926BDA"/>
    <w:p w14:paraId="1AE2F2AC" w14:textId="77777777" w:rsidR="00926BDA" w:rsidRDefault="00926BDA" w:rsidP="00926BDA">
      <w:pPr>
        <w:pStyle w:val="Questionstyle"/>
        <w:spacing w:before="120" w:after="120"/>
        <w:ind w:left="851" w:hanging="709"/>
      </w:pPr>
      <w:r>
        <w:t>Should the reporting channels, and flows be modified to ensure consistent reporting, and if so, how? Under which option/s do you consider these changes should be implemented?</w:t>
      </w:r>
    </w:p>
    <w:p w14:paraId="0F8473A0" w14:textId="77777777" w:rsidR="00926BDA" w:rsidRDefault="00926BDA" w:rsidP="00926BDA">
      <w:r>
        <w:t>&lt;ESMA_QUESTION_CASR_17&gt;</w:t>
      </w:r>
    </w:p>
    <w:p w14:paraId="641ECEF6" w14:textId="77777777" w:rsidR="00053DB6" w:rsidRPr="00652E1E" w:rsidRDefault="00053DB6" w:rsidP="00053DB6">
      <w:pPr>
        <w:jc w:val="both"/>
      </w:pPr>
      <w:permStart w:id="1438851636" w:edGrp="everyone"/>
      <w:r w:rsidRPr="00652E1E">
        <w:t xml:space="preserve">Yes, </w:t>
      </w:r>
      <w:r w:rsidRPr="00652E1E">
        <w:rPr>
          <w:b/>
          <w:bCs/>
        </w:rPr>
        <w:t>modifying reporting channels and flows would be beneficial</w:t>
      </w:r>
      <w:r w:rsidRPr="00652E1E">
        <w:t xml:space="preserve"> to ensure </w:t>
      </w:r>
      <w:r w:rsidRPr="00652E1E">
        <w:rPr>
          <w:b/>
          <w:bCs/>
        </w:rPr>
        <w:t>greater consistency and efficiency</w:t>
      </w:r>
      <w:r w:rsidRPr="00652E1E">
        <w:t xml:space="preserve"> across regimes. Today’s landscape is fragmented, with multiple reporting channels for different regulations (EMIR, MiFIR, SFTR, etc.), which leads to </w:t>
      </w:r>
      <w:r w:rsidRPr="00652E1E">
        <w:rPr>
          <w:b/>
          <w:bCs/>
        </w:rPr>
        <w:t>duplicative submissions</w:t>
      </w:r>
      <w:r w:rsidRPr="00652E1E">
        <w:t xml:space="preserve">, </w:t>
      </w:r>
      <w:r w:rsidRPr="00652E1E">
        <w:rPr>
          <w:b/>
          <w:bCs/>
        </w:rPr>
        <w:t>inconsistent formats</w:t>
      </w:r>
      <w:r w:rsidRPr="00652E1E">
        <w:t xml:space="preserve">, and </w:t>
      </w:r>
      <w:r w:rsidRPr="00652E1E">
        <w:rPr>
          <w:b/>
          <w:bCs/>
        </w:rPr>
        <w:t>higher operational risk</w:t>
      </w:r>
      <w:r w:rsidRPr="00652E1E">
        <w:t>.</w:t>
      </w:r>
    </w:p>
    <w:p w14:paraId="0CF6A377" w14:textId="77777777" w:rsidR="00053DB6" w:rsidRPr="00652E1E" w:rsidRDefault="00053DB6" w:rsidP="00053DB6">
      <w:pPr>
        <w:jc w:val="both"/>
      </w:pPr>
      <w:r w:rsidRPr="00652E1E">
        <w:t xml:space="preserve">A move toward </w:t>
      </w:r>
      <w:r w:rsidRPr="00652E1E">
        <w:rPr>
          <w:b/>
          <w:bCs/>
        </w:rPr>
        <w:t>a more centralised and harmonised reporting architecture</w:t>
      </w:r>
      <w:r w:rsidRPr="00652E1E">
        <w:t xml:space="preserve"> would improve data quality, reduce reconciliation errors, and simplify regulatory compliance for reporting entities such as asset managers. This could involve:</w:t>
      </w:r>
    </w:p>
    <w:p w14:paraId="6CE9B583" w14:textId="77777777" w:rsidR="00053DB6" w:rsidRPr="00652E1E" w:rsidRDefault="00053DB6" w:rsidP="00053DB6">
      <w:pPr>
        <w:numPr>
          <w:ilvl w:val="0"/>
          <w:numId w:val="26"/>
        </w:numPr>
        <w:spacing w:after="160" w:line="278" w:lineRule="auto"/>
        <w:jc w:val="both"/>
      </w:pPr>
      <w:r w:rsidRPr="00652E1E">
        <w:t xml:space="preserve">A </w:t>
      </w:r>
      <w:r w:rsidRPr="00652E1E">
        <w:rPr>
          <w:b/>
          <w:bCs/>
        </w:rPr>
        <w:t>single access point or central hub</w:t>
      </w:r>
      <w:r w:rsidRPr="00652E1E">
        <w:t xml:space="preserve"> for regulatory submissions.</w:t>
      </w:r>
    </w:p>
    <w:p w14:paraId="5CE56603" w14:textId="77777777" w:rsidR="00053DB6" w:rsidRPr="00652E1E" w:rsidRDefault="00053DB6" w:rsidP="00053DB6">
      <w:pPr>
        <w:numPr>
          <w:ilvl w:val="0"/>
          <w:numId w:val="26"/>
        </w:numPr>
        <w:spacing w:after="160" w:line="278" w:lineRule="auto"/>
        <w:jc w:val="both"/>
      </w:pPr>
      <w:r w:rsidRPr="00652E1E">
        <w:t xml:space="preserve">Aligned </w:t>
      </w:r>
      <w:r w:rsidRPr="00652E1E">
        <w:rPr>
          <w:b/>
          <w:bCs/>
        </w:rPr>
        <w:t>data standards and formats</w:t>
      </w:r>
      <w:r w:rsidRPr="00652E1E">
        <w:t xml:space="preserve"> across regimes.</w:t>
      </w:r>
    </w:p>
    <w:p w14:paraId="67877201" w14:textId="77777777" w:rsidR="00053DB6" w:rsidRPr="00652E1E" w:rsidRDefault="00053DB6" w:rsidP="00053DB6">
      <w:pPr>
        <w:numPr>
          <w:ilvl w:val="0"/>
          <w:numId w:val="26"/>
        </w:numPr>
        <w:spacing w:after="160" w:line="278" w:lineRule="auto"/>
        <w:jc w:val="both"/>
      </w:pPr>
      <w:r w:rsidRPr="00652E1E">
        <w:lastRenderedPageBreak/>
        <w:t xml:space="preserve">Clearly defined responsibilities for </w:t>
      </w:r>
      <w:r w:rsidRPr="00652E1E">
        <w:rPr>
          <w:b/>
          <w:bCs/>
        </w:rPr>
        <w:t>who reports what</w:t>
      </w:r>
      <w:r w:rsidRPr="00652E1E">
        <w:t xml:space="preserve"> (e.g., financial vs. non-financial counterparties).</w:t>
      </w:r>
    </w:p>
    <w:p w14:paraId="522D864D" w14:textId="77777777" w:rsidR="00053DB6" w:rsidRPr="00652E1E" w:rsidRDefault="00053DB6" w:rsidP="00053DB6">
      <w:pPr>
        <w:jc w:val="both"/>
      </w:pPr>
      <w:r w:rsidRPr="00652E1E">
        <w:t xml:space="preserve">In terms of implementation, these changes could be most effectively introduced under </w:t>
      </w:r>
      <w:r w:rsidRPr="00652E1E">
        <w:rPr>
          <w:b/>
          <w:bCs/>
        </w:rPr>
        <w:t>Option 2A</w:t>
      </w:r>
      <w:r w:rsidRPr="00652E1E">
        <w:t xml:space="preserve">, which already proposes a unified reporting framework with </w:t>
      </w:r>
      <w:r w:rsidRPr="00652E1E">
        <w:rPr>
          <w:b/>
          <w:bCs/>
        </w:rPr>
        <w:t>MiFIR as the central reporting channel</w:t>
      </w:r>
      <w:r w:rsidRPr="00652E1E">
        <w:t xml:space="preserve"> and a </w:t>
      </w:r>
      <w:r w:rsidRPr="00652E1E">
        <w:rPr>
          <w:b/>
          <w:bCs/>
        </w:rPr>
        <w:t>single template</w:t>
      </w:r>
      <w:r w:rsidRPr="00652E1E">
        <w:t xml:space="preserve"> covering instruments under MiFIR, EMIR, and SFTR. This option naturally requires </w:t>
      </w:r>
      <w:r w:rsidRPr="00652E1E">
        <w:rPr>
          <w:b/>
          <w:bCs/>
        </w:rPr>
        <w:t>redesigning data flows</w:t>
      </w:r>
      <w:r w:rsidRPr="00652E1E">
        <w:t>, making it the most suitable for a structural overhaul.</w:t>
      </w:r>
    </w:p>
    <w:p w14:paraId="67546B02" w14:textId="78CF32AE" w:rsidR="00926BDA" w:rsidRDefault="00053DB6" w:rsidP="00053DB6">
      <w:pPr>
        <w:jc w:val="both"/>
      </w:pPr>
      <w:r w:rsidRPr="00D47FAB">
        <w:t xml:space="preserve">However, even under </w:t>
      </w:r>
      <w:r w:rsidRPr="00D47FAB">
        <w:rPr>
          <w:b/>
          <w:bCs/>
        </w:rPr>
        <w:t>Option 1A</w:t>
      </w:r>
      <w:r w:rsidRPr="00D47FAB">
        <w:t>, some streamlining of reporting flows could be achieved. By clearly assigning ETDs to MiFIR and OTC derivatives to EMIR, firms would already benefit from a cleaner allocation of responsibilities and reduced duplication. To maximise these gains, it would be important to ensure consistency in data standards and templates across both regimes, so that reporting processes can be aligned as much as possible. While Option 1A does not create a single central channel, it offers a pragmatic path toward greater coherence and efficiency without the disruption of a full structural overhaul.</w:t>
      </w:r>
    </w:p>
    <w:permEnd w:id="1438851636"/>
    <w:p w14:paraId="2C9A1A2C" w14:textId="77777777" w:rsidR="00926BDA" w:rsidRDefault="00926BDA" w:rsidP="00926BDA">
      <w:r>
        <w:t>&lt;ESMA_QUESTION_CASR_17&gt;</w:t>
      </w:r>
    </w:p>
    <w:p w14:paraId="2EEAD9C9" w14:textId="77777777" w:rsidR="00926BDA" w:rsidRDefault="00926BDA" w:rsidP="00926BDA"/>
    <w:p w14:paraId="02B1B8A8" w14:textId="77777777" w:rsidR="00926BDA" w:rsidRDefault="00926BDA" w:rsidP="00926BDA">
      <w:pPr>
        <w:pStyle w:val="Questionstyle"/>
        <w:spacing w:before="120" w:after="120"/>
        <w:ind w:left="851" w:hanging="709"/>
      </w:pPr>
      <w:r>
        <w:t>In this regard, and based on the current order book requirements for trading venues and the availability of information, what are the advantages and disadvantages of transferring the reporting of on-venue transactions under MiFIR and EMIR to trading venues?</w:t>
      </w:r>
    </w:p>
    <w:p w14:paraId="7705C731" w14:textId="77777777" w:rsidR="00926BDA" w:rsidRDefault="00926BDA" w:rsidP="00926BDA">
      <w:r>
        <w:t>&lt;ESMA_QUESTION_CASR_18&gt;</w:t>
      </w:r>
    </w:p>
    <w:p w14:paraId="67F76B02" w14:textId="77777777" w:rsidR="00053DB6" w:rsidRPr="00BC4D30" w:rsidRDefault="00053DB6" w:rsidP="00053DB6">
      <w:pPr>
        <w:jc w:val="both"/>
      </w:pPr>
      <w:permStart w:id="1962436404" w:edGrp="everyone"/>
      <w:r w:rsidRPr="00BC4D30">
        <w:t xml:space="preserve">Transferring the reporting of </w:t>
      </w:r>
      <w:r w:rsidRPr="00BC4D30">
        <w:rPr>
          <w:b/>
          <w:bCs/>
        </w:rPr>
        <w:t>on-venue transactions</w:t>
      </w:r>
      <w:r w:rsidRPr="00BC4D30">
        <w:t xml:space="preserve"> under MiFIR and EMIR directly to </w:t>
      </w:r>
      <w:r w:rsidRPr="00BC4D30">
        <w:rPr>
          <w:b/>
          <w:bCs/>
        </w:rPr>
        <w:t>trading venues</w:t>
      </w:r>
      <w:r w:rsidRPr="00BC4D30">
        <w:t xml:space="preserve"> offers some clear advantages but also poses notable challenges.</w:t>
      </w:r>
    </w:p>
    <w:p w14:paraId="19D12856" w14:textId="77777777" w:rsidR="00053DB6" w:rsidRPr="00BC4D30" w:rsidRDefault="00053DB6" w:rsidP="00053DB6">
      <w:pPr>
        <w:jc w:val="both"/>
      </w:pPr>
      <w:r w:rsidRPr="00BC4D30">
        <w:rPr>
          <w:b/>
          <w:bCs/>
        </w:rPr>
        <w:t>Advantages:</w:t>
      </w:r>
    </w:p>
    <w:p w14:paraId="08052158" w14:textId="77777777" w:rsidR="00053DB6" w:rsidRPr="00BC4D30" w:rsidRDefault="00053DB6" w:rsidP="00053DB6">
      <w:pPr>
        <w:numPr>
          <w:ilvl w:val="0"/>
          <w:numId w:val="27"/>
        </w:numPr>
        <w:spacing w:after="160" w:line="278" w:lineRule="auto"/>
        <w:jc w:val="both"/>
      </w:pPr>
      <w:r w:rsidRPr="00BC4D30">
        <w:rPr>
          <w:b/>
          <w:bCs/>
        </w:rPr>
        <w:t>Improved data accuracy and timeliness:</w:t>
      </w:r>
      <w:r w:rsidRPr="00BC4D30">
        <w:t xml:space="preserve"> Trading venues naturally capture transaction data as part of their core operations, so they can provide more immediate and accurate reports, reducing the risk of errors or delays from intermediaries.</w:t>
      </w:r>
    </w:p>
    <w:p w14:paraId="47DCE5FD" w14:textId="77777777" w:rsidR="00053DB6" w:rsidRPr="00BC4D30" w:rsidRDefault="00053DB6" w:rsidP="00053DB6">
      <w:pPr>
        <w:numPr>
          <w:ilvl w:val="0"/>
          <w:numId w:val="27"/>
        </w:numPr>
        <w:spacing w:after="160" w:line="278" w:lineRule="auto"/>
        <w:jc w:val="both"/>
      </w:pPr>
      <w:r w:rsidRPr="00BC4D30">
        <w:rPr>
          <w:b/>
          <w:bCs/>
        </w:rPr>
        <w:t>Reduced reporting burden on asset managers:</w:t>
      </w:r>
      <w:r w:rsidRPr="00BC4D30">
        <w:t xml:space="preserve"> If venues report directly, asset managers like BNP Paribas Asset Management could avoid duplicative submissions for on-venue trades, simplifying their processes and lowering operational costs.</w:t>
      </w:r>
    </w:p>
    <w:p w14:paraId="006FFD85" w14:textId="77777777" w:rsidR="00053DB6" w:rsidRPr="00BC4D30" w:rsidRDefault="00053DB6" w:rsidP="00053DB6">
      <w:pPr>
        <w:numPr>
          <w:ilvl w:val="0"/>
          <w:numId w:val="27"/>
        </w:numPr>
        <w:spacing w:after="160" w:line="278" w:lineRule="auto"/>
        <w:jc w:val="both"/>
      </w:pPr>
      <w:r w:rsidRPr="00BC4D30">
        <w:rPr>
          <w:b/>
          <w:bCs/>
        </w:rPr>
        <w:t>Streamlined regulatory oversight:</w:t>
      </w:r>
      <w:r w:rsidRPr="00BC4D30">
        <w:t xml:space="preserve"> Regulators would receive data directly from the primary source, which could enhance the integrity and completeness of reported information.</w:t>
      </w:r>
    </w:p>
    <w:p w14:paraId="635D8C4A" w14:textId="77777777" w:rsidR="00053DB6" w:rsidRPr="00BC4D30" w:rsidRDefault="00053DB6" w:rsidP="00053DB6">
      <w:pPr>
        <w:jc w:val="both"/>
        <w:rPr>
          <w:b/>
          <w:bCs/>
        </w:rPr>
      </w:pPr>
      <w:r w:rsidRPr="00BC4D30">
        <w:rPr>
          <w:b/>
          <w:bCs/>
        </w:rPr>
        <w:t>Disadvantages:</w:t>
      </w:r>
    </w:p>
    <w:p w14:paraId="16DBDCD6" w14:textId="77777777" w:rsidR="00053DB6" w:rsidRPr="00BC4D30" w:rsidRDefault="00053DB6" w:rsidP="00053DB6">
      <w:pPr>
        <w:pStyle w:val="ListParagraph"/>
        <w:numPr>
          <w:ilvl w:val="0"/>
          <w:numId w:val="28"/>
        </w:numPr>
        <w:tabs>
          <w:tab w:val="clear" w:pos="0"/>
          <w:tab w:val="clear" w:pos="142"/>
          <w:tab w:val="clear" w:pos="284"/>
          <w:tab w:val="clear" w:pos="567"/>
        </w:tabs>
        <w:autoSpaceDE/>
        <w:autoSpaceDN/>
        <w:adjustRightInd/>
        <w:spacing w:after="160" w:line="278" w:lineRule="auto"/>
        <w:contextualSpacing/>
        <w:rPr>
          <w:b/>
          <w:bCs/>
        </w:rPr>
      </w:pPr>
      <w:r w:rsidRPr="00BC4D30">
        <w:rPr>
          <w:rStyle w:val="Strong"/>
        </w:rPr>
        <w:t>Complex post-trade reporting requirements</w:t>
      </w:r>
      <w:r w:rsidRPr="00BC4D30">
        <w:t xml:space="preserve">: Trading venues do not have access to crucial </w:t>
      </w:r>
      <w:r w:rsidRPr="00BC4D30">
        <w:rPr>
          <w:rStyle w:val="Strong"/>
        </w:rPr>
        <w:t>post-trade data</w:t>
      </w:r>
      <w:r w:rsidRPr="00BC4D30">
        <w:t xml:space="preserve">, such as </w:t>
      </w:r>
      <w:r w:rsidRPr="00BC4D30">
        <w:rPr>
          <w:rStyle w:val="Strong"/>
        </w:rPr>
        <w:t>collateral movements, margin calls, or valuation updates</w:t>
      </w:r>
      <w:r w:rsidRPr="00BC4D30">
        <w:t>, which are central to EMIR’s risk-monitoring objectives. These still require reporting by counterparties or service providers and cannot be fully delegated to venues.</w:t>
      </w:r>
    </w:p>
    <w:p w14:paraId="0BB3B68B" w14:textId="77777777" w:rsidR="00053DB6" w:rsidRPr="00BC4D30" w:rsidRDefault="00053DB6" w:rsidP="00053DB6">
      <w:pPr>
        <w:pStyle w:val="ListParagraph"/>
        <w:numPr>
          <w:ilvl w:val="0"/>
          <w:numId w:val="28"/>
        </w:numPr>
        <w:tabs>
          <w:tab w:val="clear" w:pos="0"/>
          <w:tab w:val="clear" w:pos="142"/>
          <w:tab w:val="clear" w:pos="284"/>
          <w:tab w:val="clear" w:pos="567"/>
        </w:tabs>
        <w:autoSpaceDE/>
        <w:autoSpaceDN/>
        <w:adjustRightInd/>
        <w:spacing w:after="160" w:line="278" w:lineRule="auto"/>
        <w:contextualSpacing/>
        <w:rPr>
          <w:b/>
          <w:bCs/>
        </w:rPr>
      </w:pPr>
      <w:r>
        <w:rPr>
          <w:rStyle w:val="Strong"/>
        </w:rPr>
        <w:lastRenderedPageBreak/>
        <w:t>Limitation of scope</w:t>
      </w:r>
      <w:r w:rsidRPr="00BC4D30">
        <w:t xml:space="preserve">: While this model could partially streamline </w:t>
      </w:r>
      <w:r w:rsidRPr="00BC4D30">
        <w:rPr>
          <w:rStyle w:val="Strong"/>
        </w:rPr>
        <w:t>MiFIR</w:t>
      </w:r>
      <w:r w:rsidRPr="00BC4D30">
        <w:t xml:space="preserve"> reporting, it </w:t>
      </w:r>
      <w:r w:rsidRPr="00BC4D30">
        <w:rPr>
          <w:rStyle w:val="Strong"/>
        </w:rPr>
        <w:t>does not resolve the reporting burden under EMIR, SFTR, or other regimes</w:t>
      </w:r>
      <w:r w:rsidRPr="00BC4D30">
        <w:t>—for instruments or activities that are not traded on a venue (e.g., repo transactions under SFTR). This introduces a risk of inconsistent coverage and operational fragmentation.</w:t>
      </w:r>
    </w:p>
    <w:p w14:paraId="086E99D6" w14:textId="77777777" w:rsidR="00053DB6" w:rsidRPr="00BC4D30" w:rsidRDefault="00053DB6" w:rsidP="00053DB6">
      <w:pPr>
        <w:pStyle w:val="ListParagraph"/>
        <w:numPr>
          <w:ilvl w:val="0"/>
          <w:numId w:val="28"/>
        </w:numPr>
        <w:tabs>
          <w:tab w:val="clear" w:pos="0"/>
          <w:tab w:val="clear" w:pos="142"/>
          <w:tab w:val="clear" w:pos="284"/>
          <w:tab w:val="clear" w:pos="567"/>
        </w:tabs>
        <w:autoSpaceDE/>
        <w:autoSpaceDN/>
        <w:adjustRightInd/>
        <w:spacing w:after="160" w:line="278" w:lineRule="auto"/>
        <w:contextualSpacing/>
        <w:rPr>
          <w:b/>
          <w:bCs/>
        </w:rPr>
      </w:pPr>
      <w:r w:rsidRPr="00BC4D30">
        <w:t xml:space="preserve"> </w:t>
      </w:r>
      <w:r w:rsidRPr="00BC4D30">
        <w:rPr>
          <w:rStyle w:val="Strong"/>
        </w:rPr>
        <w:t>Legal and oversight complexity</w:t>
      </w:r>
      <w:r w:rsidRPr="00BC4D30">
        <w:t xml:space="preserve">: Reassigning reporting responsibility to trading venues would require </w:t>
      </w:r>
      <w:r w:rsidRPr="00BC4D30">
        <w:rPr>
          <w:rStyle w:val="Strong"/>
        </w:rPr>
        <w:t>significant legal and regulatory changes</w:t>
      </w:r>
      <w:r w:rsidRPr="00BC4D30">
        <w:t>, particularly to ensure proper oversight of CCPs, clearing brokers, and venue-specific workflows. Ensuring consistency across all trade types would be operationally complex and potentially disruptive.</w:t>
      </w:r>
    </w:p>
    <w:p w14:paraId="33B78B8E" w14:textId="4EA9B983" w:rsidR="00926BDA" w:rsidRDefault="00053DB6" w:rsidP="00053DB6">
      <w:pPr>
        <w:jc w:val="both"/>
      </w:pPr>
      <w:r w:rsidRPr="00BC4D30">
        <w:t xml:space="preserve">In summary, while transferring on-venue reporting to trading venues could </w:t>
      </w:r>
      <w:r w:rsidRPr="00BC4D30">
        <w:rPr>
          <w:b/>
          <w:bCs/>
        </w:rPr>
        <w:t>reduce duplication and improve data quality</w:t>
      </w:r>
      <w:r w:rsidRPr="00BC4D30">
        <w:t xml:space="preserve"> for those transactions, it is not a complete solution. It should be combined with continued reporting by counterparties for off-venue trades and post-trade data to maintain a comprehensive regulatory view</w:t>
      </w:r>
      <w:r>
        <w:t>.</w:t>
      </w:r>
    </w:p>
    <w:permEnd w:id="1962436404"/>
    <w:p w14:paraId="23718E98" w14:textId="77777777" w:rsidR="00926BDA" w:rsidRDefault="00926BDA" w:rsidP="00926BDA">
      <w:r>
        <w:t>&lt;ESMA_QUESTION_CASR_18&gt;</w:t>
      </w:r>
    </w:p>
    <w:p w14:paraId="5678260C" w14:textId="77777777" w:rsidR="00926BDA" w:rsidRDefault="00926BDA" w:rsidP="00926BDA"/>
    <w:p w14:paraId="5A58897A" w14:textId="77777777" w:rsidR="00926BDA" w:rsidRDefault="00926BDA" w:rsidP="00926BDA">
      <w:pPr>
        <w:pStyle w:val="Questionstyle"/>
        <w:spacing w:before="120" w:after="120"/>
        <w:ind w:left="851" w:hanging="709"/>
      </w:pPr>
      <w:r>
        <w:t xml:space="preserve">Additionally, what are your views on enhancing ESMA role as data hub by developing a framework where entities would report consistent and harmonised data directly to ESMA? Should this option consider direct reporting to ESMA coupled with EU and national authorities’ access to the centrally held data, eliminating multiple submissions? </w:t>
      </w:r>
    </w:p>
    <w:p w14:paraId="119EF579" w14:textId="77777777" w:rsidR="00926BDA" w:rsidRDefault="00926BDA" w:rsidP="00926BDA">
      <w:r>
        <w:t>&lt;ESMA_QUESTION_CASR_19&gt;</w:t>
      </w:r>
    </w:p>
    <w:p w14:paraId="680414BE" w14:textId="77777777" w:rsidR="00053DB6" w:rsidRPr="008C45A3" w:rsidRDefault="00053DB6" w:rsidP="00053DB6">
      <w:pPr>
        <w:jc w:val="both"/>
      </w:pPr>
      <w:permStart w:id="105197077" w:edGrp="everyone"/>
      <w:r w:rsidRPr="008C45A3">
        <w:t xml:space="preserve">Enhancing ESMA’s role as a central </w:t>
      </w:r>
      <w:r w:rsidRPr="008C45A3">
        <w:rPr>
          <w:b/>
          <w:bCs/>
        </w:rPr>
        <w:t>data hub</w:t>
      </w:r>
      <w:r w:rsidRPr="008C45A3">
        <w:t xml:space="preserve"> with a framework for direct, consistent, and harmonised reporting would represent a significant step forward in improving the efficiency and quality of regulatory reporting.</w:t>
      </w:r>
    </w:p>
    <w:p w14:paraId="7F9CA53F" w14:textId="77777777" w:rsidR="00053DB6" w:rsidRPr="008C45A3" w:rsidRDefault="00053DB6" w:rsidP="00053DB6">
      <w:pPr>
        <w:jc w:val="both"/>
      </w:pPr>
      <w:r w:rsidRPr="008C45A3">
        <w:t xml:space="preserve">By allowing entities such as asset managers to </w:t>
      </w:r>
      <w:r w:rsidRPr="008C45A3">
        <w:rPr>
          <w:b/>
          <w:bCs/>
        </w:rPr>
        <w:t>report directly to ESMA</w:t>
      </w:r>
      <w:r w:rsidRPr="008C45A3">
        <w:t>, it could:</w:t>
      </w:r>
    </w:p>
    <w:p w14:paraId="377C5521" w14:textId="77777777" w:rsidR="00053DB6" w:rsidRPr="008C45A3" w:rsidRDefault="00053DB6" w:rsidP="00053DB6">
      <w:pPr>
        <w:numPr>
          <w:ilvl w:val="0"/>
          <w:numId w:val="29"/>
        </w:numPr>
        <w:spacing w:after="160" w:line="278" w:lineRule="auto"/>
        <w:jc w:val="both"/>
      </w:pPr>
      <w:r w:rsidRPr="008C45A3">
        <w:rPr>
          <w:b/>
          <w:bCs/>
        </w:rPr>
        <w:t>Eliminate multiple submissions</w:t>
      </w:r>
      <w:r w:rsidRPr="008C45A3">
        <w:t xml:space="preserve"> to different national authorities, reducing the operational burden and risk of errors or inconsistencies.</w:t>
      </w:r>
    </w:p>
    <w:p w14:paraId="37DA948D" w14:textId="77777777" w:rsidR="00053DB6" w:rsidRPr="008C45A3" w:rsidRDefault="00053DB6" w:rsidP="00053DB6">
      <w:pPr>
        <w:numPr>
          <w:ilvl w:val="0"/>
          <w:numId w:val="29"/>
        </w:numPr>
        <w:spacing w:after="160" w:line="278" w:lineRule="auto"/>
        <w:jc w:val="both"/>
      </w:pPr>
      <w:r w:rsidRPr="008C45A3">
        <w:t xml:space="preserve">Ensure </w:t>
      </w:r>
      <w:r w:rsidRPr="008C45A3">
        <w:rPr>
          <w:b/>
          <w:bCs/>
        </w:rPr>
        <w:t>uniform data standards and formats</w:t>
      </w:r>
      <w:r w:rsidRPr="008C45A3">
        <w:t>, improving the comparability and usability of reported information across jurisdictions.</w:t>
      </w:r>
    </w:p>
    <w:p w14:paraId="5781BC97" w14:textId="77777777" w:rsidR="00053DB6" w:rsidRPr="008C45A3" w:rsidRDefault="00053DB6" w:rsidP="00053DB6">
      <w:pPr>
        <w:numPr>
          <w:ilvl w:val="0"/>
          <w:numId w:val="29"/>
        </w:numPr>
        <w:spacing w:after="160" w:line="278" w:lineRule="auto"/>
        <w:jc w:val="both"/>
      </w:pPr>
      <w:r w:rsidRPr="008C45A3">
        <w:t xml:space="preserve">Facilitate </w:t>
      </w:r>
      <w:r w:rsidRPr="008C45A3">
        <w:rPr>
          <w:b/>
          <w:bCs/>
        </w:rPr>
        <w:t>streamlined access for EU and national regulators</w:t>
      </w:r>
      <w:r w:rsidRPr="008C45A3">
        <w:t xml:space="preserve"> to a single, consolidated data source, enhancing supervisory effectiveness and reducing duplication of efforts.</w:t>
      </w:r>
    </w:p>
    <w:p w14:paraId="1A3BE8DE" w14:textId="376D35D9" w:rsidR="00926BDA" w:rsidRDefault="00053DB6" w:rsidP="00053DB6">
      <w:pPr>
        <w:numPr>
          <w:ilvl w:val="0"/>
          <w:numId w:val="29"/>
        </w:numPr>
        <w:spacing w:after="160" w:line="278" w:lineRule="auto"/>
        <w:jc w:val="both"/>
      </w:pPr>
      <w:r w:rsidRPr="008C45A3">
        <w:t xml:space="preserve">Support the development of </w:t>
      </w:r>
      <w:r w:rsidRPr="008C45A3">
        <w:rPr>
          <w:b/>
          <w:bCs/>
        </w:rPr>
        <w:t>advanced analytics and risk monitoring tools</w:t>
      </w:r>
      <w:r w:rsidRPr="008C45A3">
        <w:t xml:space="preserve"> at the EU level, promoting a more comprehensive view of market risks.</w:t>
      </w:r>
    </w:p>
    <w:permEnd w:id="105197077"/>
    <w:p w14:paraId="07615230" w14:textId="77777777" w:rsidR="00926BDA" w:rsidRDefault="00926BDA" w:rsidP="00926BDA">
      <w:r>
        <w:t>&lt;ESMA_QUESTION_CASR_19&gt;</w:t>
      </w:r>
    </w:p>
    <w:p w14:paraId="3B9A9E21" w14:textId="77777777" w:rsidR="00926BDA" w:rsidRDefault="00926BDA" w:rsidP="00926BDA"/>
    <w:p w14:paraId="35B135A6" w14:textId="77777777" w:rsidR="00926BDA" w:rsidRDefault="00926BDA" w:rsidP="00926BDA">
      <w:pPr>
        <w:pStyle w:val="Questionstyle"/>
        <w:spacing w:before="120" w:after="120"/>
        <w:ind w:left="851" w:hanging="709"/>
      </w:pPr>
      <w:r>
        <w:t>In the case of centralisation of reporting, please expand on the advantages and disadvantages as well as the implementation challenges and opportunities? Under this scenario, what additional elements should be considered (i.e. Operational aspects, technical implementation, etc.)</w:t>
      </w:r>
    </w:p>
    <w:p w14:paraId="6A63FD17" w14:textId="77777777" w:rsidR="00926BDA" w:rsidRDefault="00926BDA" w:rsidP="00926BDA">
      <w:r>
        <w:lastRenderedPageBreak/>
        <w:t>&lt;ESMA_QUESTION_CASR_20&gt;</w:t>
      </w:r>
    </w:p>
    <w:p w14:paraId="18F148C1" w14:textId="27BA3213" w:rsidR="00926BDA" w:rsidRPr="00053DB6" w:rsidRDefault="00053DB6" w:rsidP="00053DB6">
      <w:pPr>
        <w:jc w:val="both"/>
        <w:rPr>
          <w:color w:val="000000" w:themeColor="text1"/>
        </w:rPr>
      </w:pPr>
      <w:permStart w:id="817709938" w:edGrp="everyone"/>
      <w:r>
        <w:rPr>
          <w:color w:val="000000" w:themeColor="text1"/>
        </w:rPr>
        <w:t>Please see our answer to Q19.</w:t>
      </w:r>
    </w:p>
    <w:permEnd w:id="817709938"/>
    <w:p w14:paraId="7B80CF14" w14:textId="77777777" w:rsidR="00926BDA" w:rsidRDefault="00926BDA" w:rsidP="00926BDA">
      <w:r>
        <w:t>&lt;ESMA_QUESTION_CASR_20&gt;</w:t>
      </w:r>
    </w:p>
    <w:p w14:paraId="17953099" w14:textId="77777777" w:rsidR="00926BDA" w:rsidRDefault="00926BDA" w:rsidP="00926BDA"/>
    <w:p w14:paraId="51761AA6" w14:textId="77777777" w:rsidR="00926BDA" w:rsidRDefault="00926BDA" w:rsidP="00926BDA">
      <w:pPr>
        <w:pStyle w:val="Questionstyle"/>
        <w:spacing w:before="120" w:after="120"/>
        <w:ind w:left="851" w:hanging="709"/>
      </w:pPr>
      <w:r>
        <w:t>Do you consider that other technologies (e.g. DLT and Smart Contracts) should be considered as a way to simplify the reporting process?</w:t>
      </w:r>
    </w:p>
    <w:p w14:paraId="3AE92D91" w14:textId="77777777" w:rsidR="00926BDA" w:rsidRDefault="00926BDA" w:rsidP="00926BDA">
      <w:r>
        <w:t>&lt;ESMA_QUESTION_CASR_21&gt;</w:t>
      </w:r>
    </w:p>
    <w:p w14:paraId="1E85F6A9" w14:textId="77777777" w:rsidR="00926BDA" w:rsidRDefault="00926BDA" w:rsidP="00926BDA">
      <w:permStart w:id="993723206" w:edGrp="everyone"/>
      <w:r>
        <w:t>TYPE YOUR TEXT HERE</w:t>
      </w:r>
    </w:p>
    <w:permEnd w:id="993723206"/>
    <w:p w14:paraId="145462DA" w14:textId="77777777" w:rsidR="00926BDA" w:rsidRDefault="00926BDA" w:rsidP="00926BDA">
      <w:r>
        <w:t>&lt;ESMA_QUESTION_CASR_21&gt;</w:t>
      </w:r>
    </w:p>
    <w:p w14:paraId="0460F42E" w14:textId="77777777" w:rsidR="00926BDA" w:rsidRDefault="00926BDA" w:rsidP="00926BDA"/>
    <w:p w14:paraId="168437EB" w14:textId="77777777" w:rsidR="00926BDA" w:rsidRDefault="00926BDA" w:rsidP="00926BDA">
      <w:pPr>
        <w:pStyle w:val="Questionstyle"/>
        <w:spacing w:before="120" w:after="120"/>
        <w:ind w:left="851" w:hanging="709"/>
      </w:pPr>
      <w:r>
        <w:t>Where do you think the cost associated with dual sided reporting is generated? What would be the cost impact of removing dual-sided reporting (e.g. Substituting reconciliation requirements with other measures such as audits against internal record systems as required in the U.S. or increase interaction among counterparties and NCAs)? Do you consider that dual sided reporting may reduce the ability of reporting entities to fully control the data submitted to authorities? Do you consider that the reporting should be strictly from one side?</w:t>
      </w:r>
    </w:p>
    <w:p w14:paraId="6961F67B" w14:textId="77777777" w:rsidR="00926BDA" w:rsidRDefault="00926BDA" w:rsidP="00926BDA">
      <w:r>
        <w:t>&lt;ESMA_QUESTION_CASR_22&gt;</w:t>
      </w:r>
    </w:p>
    <w:p w14:paraId="249CD863" w14:textId="77777777" w:rsidR="00053DB6" w:rsidRPr="00AF4F08" w:rsidRDefault="00053DB6" w:rsidP="00053DB6">
      <w:pPr>
        <w:jc w:val="both"/>
      </w:pPr>
      <w:permStart w:id="1652326327" w:edGrp="everyone"/>
      <w:r>
        <w:rPr>
          <w:b/>
          <w:bCs/>
        </w:rPr>
        <w:t>W</w:t>
      </w:r>
      <w:r w:rsidRPr="00AF4F08">
        <w:rPr>
          <w:b/>
          <w:bCs/>
        </w:rPr>
        <w:t>e support a move toward single-sided reporting</w:t>
      </w:r>
      <w:r w:rsidRPr="00AF4F08">
        <w:t xml:space="preserve">, as it would help </w:t>
      </w:r>
      <w:r w:rsidRPr="00AF4F08">
        <w:rPr>
          <w:b/>
          <w:bCs/>
        </w:rPr>
        <w:t>avoid unnecessary oversight and reconciliation on reports submitted by counterparties</w:t>
      </w:r>
      <w:r w:rsidRPr="00AF4F08">
        <w:t>. For example, if two funds were to trade with each other, both would be required to oversee the accuracy of what the other reported—an inefficient and duplicative setup.</w:t>
      </w:r>
    </w:p>
    <w:p w14:paraId="6E39AACB" w14:textId="588A0CC1" w:rsidR="00926BDA" w:rsidRDefault="00053DB6" w:rsidP="00053DB6">
      <w:pPr>
        <w:jc w:val="both"/>
      </w:pPr>
      <w:r w:rsidRPr="00AF4F08">
        <w:t xml:space="preserve">In our current setup with brokers, </w:t>
      </w:r>
      <w:r w:rsidRPr="00AF4F08">
        <w:rPr>
          <w:b/>
          <w:bCs/>
        </w:rPr>
        <w:t>we are responsible for submitting our side of the trade</w:t>
      </w:r>
      <w:r w:rsidRPr="00AF4F08">
        <w:t xml:space="preserve">, while brokers submit theirs. However, this leads to a </w:t>
      </w:r>
      <w:r w:rsidRPr="00AF4F08">
        <w:rPr>
          <w:b/>
          <w:bCs/>
        </w:rPr>
        <w:t>separate challenge: pairing and matching</w:t>
      </w:r>
      <w:r>
        <w:t>, that is a completely different topic.</w:t>
      </w:r>
    </w:p>
    <w:permEnd w:id="1652326327"/>
    <w:p w14:paraId="355A0CFB" w14:textId="77777777" w:rsidR="00926BDA" w:rsidRDefault="00926BDA" w:rsidP="00926BDA">
      <w:r>
        <w:t>&lt;ESMA_QUESTION_CASR_22&gt;</w:t>
      </w:r>
    </w:p>
    <w:p w14:paraId="5AB0CDED" w14:textId="77777777" w:rsidR="00926BDA" w:rsidRDefault="00926BDA" w:rsidP="00926BDA"/>
    <w:p w14:paraId="4BD8E7A5" w14:textId="77777777" w:rsidR="00926BDA" w:rsidRDefault="00926BDA" w:rsidP="00926BDA">
      <w:pPr>
        <w:pStyle w:val="Questionstyle"/>
        <w:spacing w:before="120" w:after="120"/>
        <w:ind w:left="851" w:hanging="709"/>
      </w:pPr>
      <w:r>
        <w:t>Would you consider the modification of reporting frequency useful under the general objective of reducing the reporting burden, and why? What would be the specific proposals in this regard?</w:t>
      </w:r>
    </w:p>
    <w:p w14:paraId="5B3B8A05" w14:textId="77777777" w:rsidR="00926BDA" w:rsidRDefault="00926BDA" w:rsidP="00926BDA">
      <w:r>
        <w:t>&lt;ESMA_QUESTION_CASR_23&gt;</w:t>
      </w:r>
    </w:p>
    <w:p w14:paraId="03017555" w14:textId="77777777" w:rsidR="00053DB6" w:rsidRPr="009515AF" w:rsidRDefault="00053DB6" w:rsidP="00053DB6">
      <w:permStart w:id="806124853" w:edGrp="everyone"/>
      <w:r>
        <w:t>In relation to reporting frequency, we propose the below recommendations.</w:t>
      </w:r>
    </w:p>
    <w:p w14:paraId="69FEE42A" w14:textId="77777777" w:rsidR="00053DB6" w:rsidRPr="0044248B" w:rsidRDefault="00053DB6" w:rsidP="00053DB6">
      <w:pPr>
        <w:rPr>
          <w:b/>
          <w:bCs/>
        </w:rPr>
      </w:pPr>
      <w:r w:rsidRPr="0044248B">
        <w:rPr>
          <w:b/>
          <w:bCs/>
        </w:rPr>
        <w:t>EMIR – Frequency Recommendations</w:t>
      </w:r>
    </w:p>
    <w:p w14:paraId="7284187E" w14:textId="77777777" w:rsidR="00053DB6" w:rsidRPr="008055FE" w:rsidRDefault="00053DB6" w:rsidP="00053DB6">
      <w:pPr>
        <w:numPr>
          <w:ilvl w:val="0"/>
          <w:numId w:val="31"/>
        </w:numPr>
        <w:spacing w:after="160" w:line="278" w:lineRule="auto"/>
      </w:pPr>
      <w:r w:rsidRPr="0044248B">
        <w:rPr>
          <w:b/>
          <w:bCs/>
        </w:rPr>
        <w:t>Trade Reconciliation Checks:</w:t>
      </w:r>
      <w:r w:rsidRPr="0044248B">
        <w:br/>
        <w:t xml:space="preserve">Shift to </w:t>
      </w:r>
      <w:r w:rsidRPr="0044248B">
        <w:rPr>
          <w:b/>
          <w:bCs/>
        </w:rPr>
        <w:t>monthly spot-checks</w:t>
      </w:r>
      <w:r w:rsidRPr="0044248B">
        <w:t xml:space="preserve"> on </w:t>
      </w:r>
      <w:r w:rsidRPr="0044248B">
        <w:rPr>
          <w:b/>
          <w:bCs/>
        </w:rPr>
        <w:t>matched UTIs or trade reports</w:t>
      </w:r>
      <w:r w:rsidRPr="0044248B">
        <w:t>.</w:t>
      </w:r>
      <w:r w:rsidRPr="0044248B">
        <w:br/>
      </w:r>
      <w:r w:rsidRPr="0044248B">
        <w:rPr>
          <w:b/>
          <w:bCs/>
        </w:rPr>
        <w:t>Daily reconciliation</w:t>
      </w:r>
      <w:r w:rsidRPr="0044248B">
        <w:t xml:space="preserve"> should only occur if there is a </w:t>
      </w:r>
      <w:r w:rsidRPr="0044248B">
        <w:rPr>
          <w:b/>
          <w:bCs/>
        </w:rPr>
        <w:t>spike in rejections, mismatches, or disputes</w:t>
      </w:r>
      <w:r w:rsidRPr="0044248B">
        <w:t>.</w:t>
      </w:r>
    </w:p>
    <w:p w14:paraId="50AC8692" w14:textId="77777777" w:rsidR="00053DB6" w:rsidRPr="0044248B" w:rsidRDefault="00053DB6" w:rsidP="00053DB6">
      <w:pPr>
        <w:numPr>
          <w:ilvl w:val="0"/>
          <w:numId w:val="31"/>
        </w:numPr>
        <w:spacing w:after="160" w:line="278" w:lineRule="auto"/>
      </w:pPr>
      <w:r w:rsidRPr="0044248B">
        <w:rPr>
          <w:b/>
          <w:bCs/>
        </w:rPr>
        <w:t>Valuation Accuracy Checks:</w:t>
      </w:r>
      <w:r w:rsidRPr="0044248B">
        <w:br/>
        <w:t xml:space="preserve">Perform a </w:t>
      </w:r>
      <w:r w:rsidRPr="0044248B">
        <w:rPr>
          <w:b/>
          <w:bCs/>
        </w:rPr>
        <w:t>monthly review</w:t>
      </w:r>
      <w:r w:rsidRPr="0044248B">
        <w:t xml:space="preserve"> on a </w:t>
      </w:r>
      <w:r w:rsidRPr="0044248B">
        <w:rPr>
          <w:b/>
          <w:bCs/>
        </w:rPr>
        <w:t>sample of bilateral trades</w:t>
      </w:r>
      <w:r w:rsidRPr="0044248B">
        <w:t xml:space="preserve">, with attention focused on </w:t>
      </w:r>
      <w:r w:rsidRPr="0044248B">
        <w:rPr>
          <w:b/>
          <w:bCs/>
        </w:rPr>
        <w:t>material changes in valuation</w:t>
      </w:r>
      <w:r w:rsidRPr="0044248B">
        <w:t xml:space="preserve"> rather than minor variances.</w:t>
      </w:r>
    </w:p>
    <w:p w14:paraId="05B35EFE" w14:textId="77777777" w:rsidR="00053DB6" w:rsidRPr="0044248B" w:rsidRDefault="00053DB6" w:rsidP="00053DB6">
      <w:pPr>
        <w:numPr>
          <w:ilvl w:val="0"/>
          <w:numId w:val="31"/>
        </w:numPr>
        <w:spacing w:after="160" w:line="278" w:lineRule="auto"/>
      </w:pPr>
      <w:r w:rsidRPr="0044248B">
        <w:rPr>
          <w:b/>
          <w:bCs/>
        </w:rPr>
        <w:lastRenderedPageBreak/>
        <w:t>Collateral Reporting Controls:</w:t>
      </w:r>
      <w:r w:rsidRPr="0044248B">
        <w:br/>
        <w:t xml:space="preserve">Conduct </w:t>
      </w:r>
      <w:r w:rsidRPr="0044248B">
        <w:rPr>
          <w:b/>
          <w:bCs/>
        </w:rPr>
        <w:t>monthly or quarterly sample-based reviews</w:t>
      </w:r>
      <w:r w:rsidRPr="0044248B">
        <w:t xml:space="preserve">, prioritizing </w:t>
      </w:r>
      <w:r w:rsidRPr="0044248B">
        <w:rPr>
          <w:b/>
          <w:bCs/>
        </w:rPr>
        <w:t>trades with large exposure or margin movements</w:t>
      </w:r>
      <w:r w:rsidRPr="0044248B">
        <w:t>.</w:t>
      </w:r>
    </w:p>
    <w:p w14:paraId="4D4FE27B" w14:textId="77777777" w:rsidR="00053DB6" w:rsidRPr="0044248B" w:rsidRDefault="00053DB6" w:rsidP="00053DB6">
      <w:pPr>
        <w:numPr>
          <w:ilvl w:val="0"/>
          <w:numId w:val="31"/>
        </w:numPr>
        <w:spacing w:after="160" w:line="278" w:lineRule="auto"/>
      </w:pPr>
      <w:r w:rsidRPr="0044248B">
        <w:rPr>
          <w:b/>
          <w:bCs/>
        </w:rPr>
        <w:t>UTI Generation &amp; Matching Oversight:</w:t>
      </w:r>
      <w:r w:rsidRPr="0044248B">
        <w:br/>
        <w:t xml:space="preserve">Perform </w:t>
      </w:r>
      <w:r w:rsidRPr="0044248B">
        <w:rPr>
          <w:b/>
          <w:bCs/>
        </w:rPr>
        <w:t xml:space="preserve">checks only in the context of trade analysis </w:t>
      </w:r>
    </w:p>
    <w:p w14:paraId="0CB068F8" w14:textId="77777777" w:rsidR="00053DB6" w:rsidRDefault="00053DB6" w:rsidP="00053DB6"/>
    <w:p w14:paraId="66B7B53A" w14:textId="77777777" w:rsidR="00053DB6" w:rsidRPr="00A236BA" w:rsidRDefault="00053DB6" w:rsidP="00053DB6">
      <w:pPr>
        <w:rPr>
          <w:b/>
          <w:bCs/>
        </w:rPr>
      </w:pPr>
      <w:r w:rsidRPr="00A236BA">
        <w:rPr>
          <w:b/>
          <w:bCs/>
        </w:rPr>
        <w:t>MI</w:t>
      </w:r>
      <w:r>
        <w:rPr>
          <w:b/>
          <w:bCs/>
        </w:rPr>
        <w:t>FI</w:t>
      </w:r>
      <w:r w:rsidRPr="00A236BA">
        <w:rPr>
          <w:b/>
          <w:bCs/>
        </w:rPr>
        <w:t xml:space="preserve">R – </w:t>
      </w:r>
      <w:r w:rsidRPr="0044248B">
        <w:rPr>
          <w:b/>
          <w:bCs/>
        </w:rPr>
        <w:t>Frequency Recommendations</w:t>
      </w:r>
    </w:p>
    <w:p w14:paraId="30B068AF" w14:textId="77777777" w:rsidR="00053DB6" w:rsidRPr="00A236BA" w:rsidRDefault="00053DB6" w:rsidP="00053DB6">
      <w:pPr>
        <w:numPr>
          <w:ilvl w:val="0"/>
          <w:numId w:val="30"/>
        </w:numPr>
        <w:spacing w:after="160" w:line="278" w:lineRule="auto"/>
      </w:pPr>
      <w:r w:rsidRPr="00A236BA">
        <w:rPr>
          <w:b/>
          <w:bCs/>
        </w:rPr>
        <w:t>UTI Checks:</w:t>
      </w:r>
      <w:r w:rsidRPr="00A236BA">
        <w:br/>
        <w:t xml:space="preserve">Perform </w:t>
      </w:r>
      <w:r w:rsidRPr="00A236BA">
        <w:rPr>
          <w:b/>
          <w:bCs/>
        </w:rPr>
        <w:t>weekly reviews of UTI integrity</w:t>
      </w:r>
      <w:r w:rsidRPr="00A236BA">
        <w:t xml:space="preserve">, </w:t>
      </w:r>
      <w:proofErr w:type="gramStart"/>
      <w:r>
        <w:t>unless</w:t>
      </w:r>
      <w:r w:rsidRPr="00A236BA">
        <w:rPr>
          <w:b/>
          <w:bCs/>
        </w:rPr>
        <w:t xml:space="preserve">  trading</w:t>
      </w:r>
      <w:proofErr w:type="gramEnd"/>
      <w:r w:rsidRPr="00A236BA">
        <w:rPr>
          <w:b/>
          <w:bCs/>
        </w:rPr>
        <w:t xml:space="preserve"> OTC derivatives directly</w:t>
      </w:r>
      <w:r w:rsidRPr="00A236BA">
        <w:t xml:space="preserve">. </w:t>
      </w:r>
    </w:p>
    <w:p w14:paraId="7AACC9A7" w14:textId="77777777" w:rsidR="00053DB6" w:rsidRPr="00A236BA" w:rsidRDefault="00053DB6" w:rsidP="00053DB6">
      <w:pPr>
        <w:numPr>
          <w:ilvl w:val="0"/>
          <w:numId w:val="30"/>
        </w:numPr>
        <w:spacing w:after="160" w:line="278" w:lineRule="auto"/>
      </w:pPr>
      <w:r w:rsidRPr="00A236BA">
        <w:rPr>
          <w:b/>
          <w:bCs/>
        </w:rPr>
        <w:t>Rejected Submissions (via ARM/TR):</w:t>
      </w:r>
      <w:r w:rsidRPr="00A236BA">
        <w:br/>
      </w:r>
      <w:r>
        <w:t>Perform</w:t>
      </w:r>
      <w:r w:rsidRPr="00A236BA">
        <w:t xml:space="preserve"> a </w:t>
      </w:r>
      <w:r w:rsidRPr="00A236BA">
        <w:rPr>
          <w:b/>
          <w:bCs/>
        </w:rPr>
        <w:t>monthly log review</w:t>
      </w:r>
      <w:r w:rsidRPr="00A236BA">
        <w:t xml:space="preserve"> of rejected reports instead of ad hoc checks. In addition, conduct a </w:t>
      </w:r>
      <w:r w:rsidRPr="00A236BA">
        <w:rPr>
          <w:b/>
          <w:bCs/>
        </w:rPr>
        <w:t>thematic analysis on a quarterly basis</w:t>
      </w:r>
      <w:r w:rsidRPr="00A236BA">
        <w:t xml:space="preserve"> to identify recurring issues or trends.</w:t>
      </w:r>
    </w:p>
    <w:p w14:paraId="51C101D4" w14:textId="77777777" w:rsidR="00053DB6" w:rsidRPr="00A236BA" w:rsidRDefault="00053DB6" w:rsidP="00053DB6">
      <w:pPr>
        <w:numPr>
          <w:ilvl w:val="0"/>
          <w:numId w:val="30"/>
        </w:numPr>
        <w:spacing w:after="160" w:line="278" w:lineRule="auto"/>
      </w:pPr>
      <w:r w:rsidRPr="00A236BA">
        <w:rPr>
          <w:b/>
          <w:bCs/>
        </w:rPr>
        <w:t>Price and Quantity Validation:</w:t>
      </w:r>
      <w:r w:rsidRPr="00A236BA">
        <w:br/>
        <w:t xml:space="preserve">Use an </w:t>
      </w:r>
      <w:r w:rsidRPr="00A236BA">
        <w:rPr>
          <w:b/>
          <w:bCs/>
        </w:rPr>
        <w:t>exception-based approach</w:t>
      </w:r>
      <w:r w:rsidRPr="00A236BA">
        <w:t xml:space="preserve">—check only </w:t>
      </w:r>
      <w:r w:rsidRPr="00A236BA">
        <w:rPr>
          <w:b/>
          <w:bCs/>
        </w:rPr>
        <w:t>high-value or outlier trades</w:t>
      </w:r>
      <w:r w:rsidRPr="00A236BA">
        <w:t>, rather than performing systematic reviews of all reports.</w:t>
      </w:r>
    </w:p>
    <w:p w14:paraId="74700D16" w14:textId="77777777" w:rsidR="00053DB6" w:rsidRPr="00A236BA" w:rsidRDefault="00053DB6" w:rsidP="00053DB6">
      <w:pPr>
        <w:numPr>
          <w:ilvl w:val="0"/>
          <w:numId w:val="30"/>
        </w:numPr>
        <w:spacing w:after="160" w:line="278" w:lineRule="auto"/>
      </w:pPr>
      <w:r w:rsidRPr="00A236BA">
        <w:rPr>
          <w:b/>
          <w:bCs/>
        </w:rPr>
        <w:t>Venue Code Mapping (MIC Code):</w:t>
      </w:r>
      <w:r w:rsidRPr="00A236BA">
        <w:br/>
        <w:t xml:space="preserve">Validate </w:t>
      </w:r>
      <w:r w:rsidRPr="00A236BA">
        <w:rPr>
          <w:b/>
          <w:bCs/>
        </w:rPr>
        <w:t>semi-annually</w:t>
      </w:r>
      <w:r w:rsidRPr="00A236BA">
        <w:t xml:space="preserve">, or </w:t>
      </w:r>
      <w:r w:rsidRPr="00A236BA">
        <w:rPr>
          <w:b/>
          <w:bCs/>
        </w:rPr>
        <w:t>only when trading relationships or execution venues change</w:t>
      </w:r>
      <w:r w:rsidRPr="00A236BA">
        <w:t>, to ensure accurate venue identification.</w:t>
      </w:r>
    </w:p>
    <w:p w14:paraId="162ABCEF" w14:textId="1E9993D1" w:rsidR="00926BDA" w:rsidRDefault="00053DB6" w:rsidP="00053DB6">
      <w:pPr>
        <w:numPr>
          <w:ilvl w:val="0"/>
          <w:numId w:val="30"/>
        </w:numPr>
        <w:spacing w:after="160" w:line="278" w:lineRule="auto"/>
      </w:pPr>
      <w:r w:rsidRPr="00A236BA">
        <w:rPr>
          <w:b/>
          <w:bCs/>
        </w:rPr>
        <w:t>Field-Level Completeness:</w:t>
      </w:r>
      <w:r w:rsidRPr="00A236BA">
        <w:br/>
        <w:t xml:space="preserve">Conduct </w:t>
      </w:r>
      <w:r w:rsidRPr="00A236BA">
        <w:rPr>
          <w:b/>
          <w:bCs/>
        </w:rPr>
        <w:t>monthly spot checks</w:t>
      </w:r>
      <w:r w:rsidRPr="00A236BA">
        <w:t xml:space="preserve"> on a </w:t>
      </w:r>
      <w:r w:rsidRPr="00A236BA">
        <w:rPr>
          <w:b/>
          <w:bCs/>
        </w:rPr>
        <w:t>representative sample of reports</w:t>
      </w:r>
      <w:r>
        <w:t>.</w:t>
      </w:r>
      <w:r w:rsidRPr="00A236BA">
        <w:t xml:space="preserve"> </w:t>
      </w:r>
    </w:p>
    <w:permEnd w:id="806124853"/>
    <w:p w14:paraId="009ECB82" w14:textId="77777777" w:rsidR="00926BDA" w:rsidRDefault="00926BDA" w:rsidP="00926BDA">
      <w:r>
        <w:t>&lt;ESMA_QUESTION_CASR_23&gt;</w:t>
      </w:r>
    </w:p>
    <w:p w14:paraId="66F1F3EB" w14:textId="77777777" w:rsidR="00926BDA" w:rsidRDefault="00926BDA" w:rsidP="00926BDA"/>
    <w:p w14:paraId="6B277954" w14:textId="77777777" w:rsidR="00926BDA" w:rsidRDefault="00926BDA" w:rsidP="00926BDA">
      <w:pPr>
        <w:pStyle w:val="Questionstyle"/>
        <w:spacing w:before="120" w:after="120"/>
        <w:ind w:left="851" w:hanging="709"/>
      </w:pPr>
      <w:r>
        <w:t>Proportionality measures: how do you consider proportionality can be taken into account in the context of burden reduction in regulatory reporting? What specific measures would you propose and how would you quantify their impact?</w:t>
      </w:r>
    </w:p>
    <w:p w14:paraId="64667397" w14:textId="77777777" w:rsidR="00926BDA" w:rsidRDefault="00926BDA" w:rsidP="00926BDA">
      <w:r>
        <w:t>&lt;ESMA_QUESTION_CASR_24&gt;</w:t>
      </w:r>
    </w:p>
    <w:p w14:paraId="496D4D3C" w14:textId="77777777" w:rsidR="00926BDA" w:rsidRDefault="00926BDA" w:rsidP="00926BDA">
      <w:permStart w:id="1360161894" w:edGrp="everyone"/>
      <w:r>
        <w:t>TYPE YOUR TEXT HERE</w:t>
      </w:r>
    </w:p>
    <w:permEnd w:id="1360161894"/>
    <w:p w14:paraId="0138C76D" w14:textId="77777777" w:rsidR="00926BDA" w:rsidRDefault="00926BDA" w:rsidP="00926BDA">
      <w:r>
        <w:t>&lt;ESMA_QUESTION_CASR_24&gt;</w:t>
      </w:r>
    </w:p>
    <w:p w14:paraId="7A473ECA" w14:textId="77777777" w:rsidR="00926BDA" w:rsidRDefault="00926BDA" w:rsidP="00926BDA"/>
    <w:p w14:paraId="1A40D34E" w14:textId="77777777" w:rsidR="00926BDA" w:rsidRDefault="00926BDA" w:rsidP="00926BDA">
      <w:pPr>
        <w:pStyle w:val="Questionstyle"/>
        <w:spacing w:before="120" w:after="120"/>
        <w:ind w:left="851" w:hanging="709"/>
      </w:pPr>
      <w:r>
        <w:t>Question for reporting entities under EMIR: what is the one-off cost of implementing EMIR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43F72962" w14:textId="77777777" w:rsidR="00926BDA" w:rsidRDefault="00926BDA" w:rsidP="00926BDA">
      <w:r>
        <w:t>&lt;ESMA_QUESTION_CASR_25&gt;</w:t>
      </w:r>
    </w:p>
    <w:p w14:paraId="7BFB6A77" w14:textId="77777777" w:rsidR="00926BDA" w:rsidRDefault="00926BDA" w:rsidP="00926BDA">
      <w:permStart w:id="1181963014" w:edGrp="everyone"/>
      <w:r>
        <w:lastRenderedPageBreak/>
        <w:t>TYPE YOUR TEXT HERE</w:t>
      </w:r>
    </w:p>
    <w:permEnd w:id="1181963014"/>
    <w:p w14:paraId="77305D93" w14:textId="77777777" w:rsidR="00926BDA" w:rsidRDefault="00926BDA" w:rsidP="00926BDA">
      <w:r>
        <w:t>&lt;ESMA_QUESTION_CASR_25&gt;</w:t>
      </w:r>
    </w:p>
    <w:p w14:paraId="1582C478" w14:textId="77777777" w:rsidR="00926BDA" w:rsidRDefault="00926BDA" w:rsidP="00926BDA"/>
    <w:p w14:paraId="54B7F101" w14:textId="77777777" w:rsidR="00926BDA" w:rsidRDefault="00926BDA" w:rsidP="00926BDA">
      <w:pPr>
        <w:pStyle w:val="Questionstyle"/>
        <w:spacing w:before="120" w:after="120"/>
        <w:ind w:left="851" w:hanging="709"/>
      </w:pPr>
      <w:r>
        <w:t>Question for reporting entities under EMIR: what is your estimated average cost per transaction (on-going cost) to comply with the reporting requirements under EMIR? This cost should include not only the fees associated with reporting through trade repositories (which usually includes data collection and information storage) but also the total cost, including any other cost lines, such as, IT maintenance and support, training, data processing and audit fees. Do you identify any other relevant ongoing cost line?</w:t>
      </w:r>
    </w:p>
    <w:p w14:paraId="2FA5A328" w14:textId="77777777" w:rsidR="00926BDA" w:rsidRDefault="00926BDA" w:rsidP="00926BDA">
      <w:r>
        <w:t>&lt;ESMA_QUESTION_CASR_26&gt;</w:t>
      </w:r>
    </w:p>
    <w:p w14:paraId="00710FAD" w14:textId="77777777" w:rsidR="00926BDA" w:rsidRDefault="00926BDA" w:rsidP="00926BDA">
      <w:permStart w:id="1743740379" w:edGrp="everyone"/>
      <w:r>
        <w:t>TYPE YOUR TEXT HERE</w:t>
      </w:r>
    </w:p>
    <w:permEnd w:id="1743740379"/>
    <w:p w14:paraId="0C7300AB" w14:textId="77777777" w:rsidR="00926BDA" w:rsidRDefault="00926BDA" w:rsidP="00926BDA">
      <w:r>
        <w:t>&lt;ESMA_QUESTION_CASR_26&gt;</w:t>
      </w:r>
    </w:p>
    <w:p w14:paraId="32ED6907" w14:textId="77777777" w:rsidR="00926BDA" w:rsidRDefault="00926BDA" w:rsidP="00926BDA"/>
    <w:p w14:paraId="58E30CC4" w14:textId="77777777" w:rsidR="00926BDA" w:rsidRDefault="00926BDA" w:rsidP="00926BDA">
      <w:pPr>
        <w:pStyle w:val="Questionstyle"/>
        <w:spacing w:before="120" w:after="120"/>
        <w:ind w:left="851" w:hanging="709"/>
      </w:pPr>
      <w:r>
        <w:t>Question for reporting entities under MiFIR: what is the one-off cost of implementing mifir requirements to date? This cost should include all cost lines, such as familiarisation with obligations, staff recruitment, training, legal advice, consultancy fees, project management and investment/updating in it. Do you identify any other relevant one-off cost line?</w:t>
      </w:r>
    </w:p>
    <w:p w14:paraId="196DADE2" w14:textId="77777777" w:rsidR="00926BDA" w:rsidRDefault="00926BDA" w:rsidP="00926BDA">
      <w:r>
        <w:t>&lt;ESMA_QUESTION_CASR_27&gt;</w:t>
      </w:r>
    </w:p>
    <w:p w14:paraId="1FB47DD6" w14:textId="77777777" w:rsidR="00926BDA" w:rsidRDefault="00926BDA" w:rsidP="00926BDA">
      <w:permStart w:id="1620378332" w:edGrp="everyone"/>
      <w:r>
        <w:t>TYPE YOUR TEXT HERE</w:t>
      </w:r>
    </w:p>
    <w:permEnd w:id="1620378332"/>
    <w:p w14:paraId="6A4C4033" w14:textId="77777777" w:rsidR="00926BDA" w:rsidRDefault="00926BDA" w:rsidP="00926BDA">
      <w:r>
        <w:t>&lt;ESMA_QUESTION_CASR_27&gt;</w:t>
      </w:r>
    </w:p>
    <w:p w14:paraId="0A47CCFB" w14:textId="77777777" w:rsidR="00926BDA" w:rsidRDefault="00926BDA" w:rsidP="00926BDA"/>
    <w:p w14:paraId="7F8F7499" w14:textId="77777777" w:rsidR="00926BDA" w:rsidRDefault="00926BDA" w:rsidP="00926BDA">
      <w:pPr>
        <w:pStyle w:val="Questionstyle"/>
        <w:spacing w:before="120" w:after="120"/>
        <w:ind w:left="851" w:hanging="709"/>
      </w:pPr>
      <w:r>
        <w:t>Question for reporting entities under MiFIR: what is your estimated average cost per transaction (on-going cost) to comply with the reporting requirements under MiFIR? This cost should include not only the fees associated with reporting through Approved Reported Mechanisms but also the total cost, including any other cost lines, such as, IT maintenance and support, training, data processing and audit fees. Do you identify any other relevant ongoing cost line?</w:t>
      </w:r>
    </w:p>
    <w:p w14:paraId="3D79135C" w14:textId="77777777" w:rsidR="00926BDA" w:rsidRDefault="00926BDA" w:rsidP="00926BDA">
      <w:r>
        <w:t>&lt;ESMA_QUESTION_CASR_28&gt;</w:t>
      </w:r>
    </w:p>
    <w:p w14:paraId="5B90D268" w14:textId="77777777" w:rsidR="00053DB6" w:rsidRDefault="00053DB6" w:rsidP="00053DB6">
      <w:pPr>
        <w:rPr>
          <w:b/>
          <w:bCs/>
        </w:rPr>
      </w:pPr>
      <w:permStart w:id="443381358" w:edGrp="everyone"/>
      <w:r w:rsidRPr="005A4580">
        <w:rPr>
          <w:b/>
          <w:bCs/>
        </w:rPr>
        <w:t>Reporting Costs Overview</w:t>
      </w:r>
    </w:p>
    <w:p w14:paraId="5DE4D63E" w14:textId="77777777" w:rsidR="00053DB6" w:rsidRPr="005A4580" w:rsidRDefault="00053DB6" w:rsidP="00053DB6">
      <w:r w:rsidRPr="0067533A">
        <w:t>On an annual basis, BNP</w:t>
      </w:r>
      <w:r>
        <w:t xml:space="preserve"> </w:t>
      </w:r>
      <w:proofErr w:type="gramStart"/>
      <w:r>
        <w:t>Paribas  Asset</w:t>
      </w:r>
      <w:proofErr w:type="gramEnd"/>
      <w:r>
        <w:t xml:space="preserve"> Management </w:t>
      </w:r>
      <w:r w:rsidRPr="0067533A">
        <w:t>face</w:t>
      </w:r>
      <w:r>
        <w:t>s</w:t>
      </w:r>
      <w:r w:rsidRPr="0067533A">
        <w:t xml:space="preserve"> the following costs for reporting, divide</w:t>
      </w:r>
      <w:r>
        <w:t>d</w:t>
      </w:r>
      <w:r w:rsidRPr="0067533A">
        <w:t xml:space="preserve"> in these 3 main areas:</w:t>
      </w:r>
    </w:p>
    <w:p w14:paraId="2EFBE908" w14:textId="77777777" w:rsidR="00053DB6" w:rsidRPr="005A4580" w:rsidRDefault="00053DB6" w:rsidP="00053DB6">
      <w:pPr>
        <w:rPr>
          <w:b/>
          <w:bCs/>
        </w:rPr>
      </w:pPr>
      <w:r w:rsidRPr="005A4580">
        <w:rPr>
          <w:b/>
          <w:bCs/>
        </w:rPr>
        <w:t xml:space="preserve">1. </w:t>
      </w:r>
      <w:r>
        <w:rPr>
          <w:b/>
          <w:bCs/>
        </w:rPr>
        <w:t xml:space="preserve">RDT </w:t>
      </w:r>
      <w:r w:rsidRPr="005A4580">
        <w:rPr>
          <w:b/>
          <w:bCs/>
        </w:rPr>
        <w:t>Transaction Reporting (via ARM)</w:t>
      </w:r>
    </w:p>
    <w:p w14:paraId="1127AFF3" w14:textId="77777777" w:rsidR="00053DB6" w:rsidRPr="005A4580" w:rsidRDefault="00053DB6" w:rsidP="00053DB6">
      <w:pPr>
        <w:numPr>
          <w:ilvl w:val="0"/>
          <w:numId w:val="32"/>
        </w:numPr>
        <w:spacing w:after="160" w:line="278" w:lineRule="auto"/>
      </w:pPr>
      <w:r w:rsidRPr="005A4580">
        <w:t xml:space="preserve">All transaction reports must be sent through an </w:t>
      </w:r>
      <w:r w:rsidRPr="005A4580">
        <w:rPr>
          <w:b/>
          <w:bCs/>
        </w:rPr>
        <w:t>Authorised Reporting Mechanism (ARM)</w:t>
      </w:r>
      <w:r w:rsidRPr="005A4580">
        <w:t>, which then transmits the data to regulators.</w:t>
      </w:r>
    </w:p>
    <w:p w14:paraId="3A95C12A" w14:textId="77777777" w:rsidR="00053DB6" w:rsidRPr="005A4580" w:rsidRDefault="00053DB6" w:rsidP="00053DB6">
      <w:pPr>
        <w:numPr>
          <w:ilvl w:val="0"/>
          <w:numId w:val="32"/>
        </w:numPr>
        <w:spacing w:after="160" w:line="278" w:lineRule="auto"/>
      </w:pPr>
      <w:r w:rsidRPr="005A4580">
        <w:t xml:space="preserve">Only a </w:t>
      </w:r>
      <w:r w:rsidRPr="005A4580">
        <w:rPr>
          <w:b/>
          <w:bCs/>
        </w:rPr>
        <w:t>limited number of ARMs</w:t>
      </w:r>
      <w:r w:rsidRPr="005A4580">
        <w:t xml:space="preserve"> are authorised by </w:t>
      </w:r>
      <w:r w:rsidRPr="005A4580">
        <w:rPr>
          <w:b/>
          <w:bCs/>
        </w:rPr>
        <w:t>ESMA (EU)</w:t>
      </w:r>
      <w:r w:rsidRPr="005A4580">
        <w:t xml:space="preserve"> and the </w:t>
      </w:r>
      <w:r w:rsidRPr="005A4580">
        <w:rPr>
          <w:b/>
          <w:bCs/>
        </w:rPr>
        <w:t>FCA (UK)</w:t>
      </w:r>
      <w:r w:rsidRPr="005A4580">
        <w:t>.</w:t>
      </w:r>
    </w:p>
    <w:p w14:paraId="1E203177" w14:textId="77777777" w:rsidR="00053DB6" w:rsidRDefault="00053DB6" w:rsidP="00053DB6">
      <w:pPr>
        <w:numPr>
          <w:ilvl w:val="0"/>
          <w:numId w:val="32"/>
        </w:numPr>
        <w:spacing w:after="160" w:line="278" w:lineRule="auto"/>
      </w:pPr>
      <w:r w:rsidRPr="005A4580">
        <w:t xml:space="preserve">All reporting costs are concentrated through </w:t>
      </w:r>
      <w:r w:rsidRPr="005A4580">
        <w:rPr>
          <w:b/>
          <w:bCs/>
        </w:rPr>
        <w:t>this single provider</w:t>
      </w:r>
      <w:r w:rsidRPr="005A4580">
        <w:t>.</w:t>
      </w:r>
    </w:p>
    <w:p w14:paraId="54166777" w14:textId="77777777" w:rsidR="00053DB6" w:rsidRDefault="00053DB6" w:rsidP="00053DB6">
      <w:pPr>
        <w:numPr>
          <w:ilvl w:val="0"/>
          <w:numId w:val="32"/>
        </w:numPr>
        <w:spacing w:after="160" w:line="278" w:lineRule="auto"/>
      </w:pPr>
      <w:r w:rsidRPr="0033508F">
        <w:lastRenderedPageBreak/>
        <w:t xml:space="preserve">The minimum annual Charge for the Transaction Reporting Services </w:t>
      </w:r>
      <w:r>
        <w:t xml:space="preserve">in </w:t>
      </w:r>
      <w:r w:rsidRPr="0033508F">
        <w:rPr>
          <w:b/>
          <w:bCs/>
        </w:rPr>
        <w:t>EU</w:t>
      </w:r>
      <w:r>
        <w:t xml:space="preserve"> </w:t>
      </w:r>
      <w:r w:rsidRPr="0033508F">
        <w:t>is</w:t>
      </w:r>
      <w:r>
        <w:t xml:space="preserve"> </w:t>
      </w:r>
      <w:proofErr w:type="gramStart"/>
      <w:r>
        <w:t xml:space="preserve">approximately </w:t>
      </w:r>
      <w:r w:rsidRPr="0033508F">
        <w:t xml:space="preserve"> €</w:t>
      </w:r>
      <w:proofErr w:type="gramEnd"/>
      <w:r w:rsidRPr="0033508F">
        <w:t>20</w:t>
      </w:r>
      <w:r>
        <w:t>0</w:t>
      </w:r>
      <w:r w:rsidRPr="0033508F">
        <w:t>,</w:t>
      </w:r>
      <w:r>
        <w:t>000 and includes up to almost 50,000,000 messages being processed per year as part of the Transaction Reporting Services.</w:t>
      </w:r>
    </w:p>
    <w:p w14:paraId="7A8C13C6" w14:textId="77777777" w:rsidR="00053DB6" w:rsidRPr="005A4580" w:rsidRDefault="00053DB6" w:rsidP="00053DB6">
      <w:pPr>
        <w:numPr>
          <w:ilvl w:val="0"/>
          <w:numId w:val="32"/>
        </w:numPr>
        <w:spacing w:after="160" w:line="278" w:lineRule="auto"/>
      </w:pPr>
      <w:r w:rsidRPr="00C03D49">
        <w:t xml:space="preserve">The minimum annual Charge for the Transaction Reporting Services </w:t>
      </w:r>
      <w:r>
        <w:t xml:space="preserve">in </w:t>
      </w:r>
      <w:r w:rsidRPr="00C03D49">
        <w:rPr>
          <w:b/>
          <w:bCs/>
        </w:rPr>
        <w:t>UK</w:t>
      </w:r>
      <w:r>
        <w:t xml:space="preserve"> </w:t>
      </w:r>
      <w:r w:rsidRPr="00C03D49">
        <w:t>for the</w:t>
      </w:r>
      <w:r>
        <w:t xml:space="preserve"> </w:t>
      </w:r>
      <w:r w:rsidRPr="00C03D49">
        <w:t xml:space="preserve">Initial Term is </w:t>
      </w:r>
      <w:r>
        <w:t xml:space="preserve">around </w:t>
      </w:r>
      <w:r w:rsidRPr="00C03D49">
        <w:t>£3,</w:t>
      </w:r>
      <w:r>
        <w:t>5</w:t>
      </w:r>
      <w:r w:rsidRPr="00C03D49">
        <w:t>0</w:t>
      </w:r>
      <w:r>
        <w:t>0</w:t>
      </w:r>
      <w:r w:rsidRPr="005A4580">
        <w:t xml:space="preserve">. </w:t>
      </w:r>
      <w:r>
        <w:t xml:space="preserve">This </w:t>
      </w:r>
      <w:r w:rsidRPr="00C03D49">
        <w:t>includes up to</w:t>
      </w:r>
      <w:r>
        <w:t xml:space="preserve"> approximately </w:t>
      </w:r>
      <w:r w:rsidRPr="00C03D49">
        <w:t>11</w:t>
      </w:r>
      <w:r>
        <w:t>0</w:t>
      </w:r>
      <w:r w:rsidRPr="00C03D49">
        <w:t>,</w:t>
      </w:r>
      <w:r>
        <w:t>000</w:t>
      </w:r>
      <w:r w:rsidRPr="00C03D49">
        <w:t xml:space="preserve"> messages being processed per year as part of the Transaction Reporting Services</w:t>
      </w:r>
    </w:p>
    <w:p w14:paraId="6ADF8112" w14:textId="77777777" w:rsidR="00053DB6" w:rsidRPr="005A4580" w:rsidRDefault="00053DB6" w:rsidP="00053DB6">
      <w:pPr>
        <w:numPr>
          <w:ilvl w:val="0"/>
          <w:numId w:val="32"/>
        </w:numPr>
        <w:spacing w:after="160" w:line="278" w:lineRule="auto"/>
      </w:pPr>
      <w:r w:rsidRPr="005A4580">
        <w:rPr>
          <w:b/>
          <w:bCs/>
        </w:rPr>
        <w:t>UK transaction volume is very low</w:t>
      </w:r>
      <w:r w:rsidRPr="005A4580">
        <w:t>, so associated costs for UK reporting are minimal.</w:t>
      </w:r>
    </w:p>
    <w:p w14:paraId="1B679058" w14:textId="77777777" w:rsidR="00053DB6" w:rsidRPr="004E5B47" w:rsidRDefault="00053DB6" w:rsidP="00053DB6">
      <w:pPr>
        <w:jc w:val="both"/>
        <w:rPr>
          <w:b/>
          <w:bCs/>
        </w:rPr>
      </w:pPr>
      <w:r w:rsidRPr="004E5B47">
        <w:rPr>
          <w:b/>
          <w:bCs/>
        </w:rPr>
        <w:t>2. Post-Trade Transparency Reporting (via APA)</w:t>
      </w:r>
    </w:p>
    <w:p w14:paraId="6F193CBC" w14:textId="77777777" w:rsidR="00053DB6" w:rsidRPr="004E5B47" w:rsidRDefault="00053DB6" w:rsidP="00053DB6">
      <w:pPr>
        <w:numPr>
          <w:ilvl w:val="0"/>
          <w:numId w:val="33"/>
        </w:numPr>
        <w:spacing w:after="160" w:line="278" w:lineRule="auto"/>
        <w:jc w:val="both"/>
      </w:pPr>
      <w:r w:rsidRPr="004E5B47">
        <w:t xml:space="preserve">For post-trade transparency (MiFIR/MiFID II), we use an </w:t>
      </w:r>
      <w:r w:rsidRPr="004E5B47">
        <w:rPr>
          <w:b/>
          <w:bCs/>
        </w:rPr>
        <w:t>Approved Publication Arrangement (APA)</w:t>
      </w:r>
      <w:r w:rsidRPr="004E5B47">
        <w:t>.</w:t>
      </w:r>
    </w:p>
    <w:p w14:paraId="363BDE0D" w14:textId="77777777" w:rsidR="00053DB6" w:rsidRDefault="00053DB6" w:rsidP="00053DB6">
      <w:pPr>
        <w:numPr>
          <w:ilvl w:val="0"/>
          <w:numId w:val="33"/>
        </w:numPr>
        <w:spacing w:after="160" w:line="278" w:lineRule="auto"/>
        <w:jc w:val="both"/>
      </w:pPr>
      <w:r w:rsidRPr="004E5B47">
        <w:t xml:space="preserve">Only a few APAs are </w:t>
      </w:r>
      <w:r>
        <w:t>authorized, we use the same for both EU and UK.</w:t>
      </w:r>
    </w:p>
    <w:p w14:paraId="31C265FA" w14:textId="77777777" w:rsidR="00053DB6" w:rsidRDefault="00053DB6" w:rsidP="00053DB6">
      <w:pPr>
        <w:numPr>
          <w:ilvl w:val="0"/>
          <w:numId w:val="33"/>
        </w:numPr>
        <w:spacing w:after="160" w:line="278" w:lineRule="auto"/>
        <w:jc w:val="both"/>
      </w:pPr>
      <w:r>
        <w:t xml:space="preserve">In </w:t>
      </w:r>
      <w:r w:rsidRPr="0029620A">
        <w:rPr>
          <w:b/>
          <w:bCs/>
        </w:rPr>
        <w:t>EU</w:t>
      </w:r>
      <w:r>
        <w:t xml:space="preserve">, our trading volume exceeds the 100 trades per </w:t>
      </w:r>
      <w:proofErr w:type="gramStart"/>
      <w:r>
        <w:t>day ,</w:t>
      </w:r>
      <w:proofErr w:type="gramEnd"/>
      <w:r>
        <w:t xml:space="preserve"> based on this we pay a fix annual charge of </w:t>
      </w:r>
      <w:proofErr w:type="gramStart"/>
      <w:r>
        <w:t xml:space="preserve">approximately </w:t>
      </w:r>
      <w:r w:rsidRPr="0033508F">
        <w:t xml:space="preserve"> €</w:t>
      </w:r>
      <w:proofErr w:type="gramEnd"/>
      <w:r>
        <w:t>35,000.</w:t>
      </w:r>
    </w:p>
    <w:p w14:paraId="09CEE5B7" w14:textId="77777777" w:rsidR="00053DB6" w:rsidRPr="004E5B47" w:rsidRDefault="00053DB6" w:rsidP="00053DB6">
      <w:pPr>
        <w:numPr>
          <w:ilvl w:val="0"/>
          <w:numId w:val="33"/>
        </w:numPr>
        <w:spacing w:after="160" w:line="278" w:lineRule="auto"/>
        <w:jc w:val="both"/>
      </w:pPr>
      <w:r>
        <w:t xml:space="preserve">In UK, our trading volume is quite low, we pay a fix annual charge of approximately </w:t>
      </w:r>
      <w:r w:rsidRPr="00C03D49">
        <w:t>£</w:t>
      </w:r>
      <w:r>
        <w:t>8,000.</w:t>
      </w:r>
    </w:p>
    <w:p w14:paraId="614F524E" w14:textId="77777777" w:rsidR="00053DB6" w:rsidRPr="00566EA0" w:rsidRDefault="00053DB6" w:rsidP="00053DB6">
      <w:pPr>
        <w:jc w:val="both"/>
        <w:rPr>
          <w:b/>
          <w:bCs/>
        </w:rPr>
      </w:pPr>
      <w:r w:rsidRPr="00566EA0">
        <w:rPr>
          <w:b/>
          <w:bCs/>
        </w:rPr>
        <w:t>3. Regulatory Fees</w:t>
      </w:r>
    </w:p>
    <w:p w14:paraId="3B155659" w14:textId="77777777" w:rsidR="00053DB6" w:rsidRPr="00566EA0" w:rsidRDefault="00053DB6" w:rsidP="00053DB6">
      <w:pPr>
        <w:numPr>
          <w:ilvl w:val="0"/>
          <w:numId w:val="34"/>
        </w:numPr>
        <w:spacing w:after="160" w:line="278" w:lineRule="auto"/>
        <w:jc w:val="both"/>
      </w:pPr>
      <w:r w:rsidRPr="00566EA0">
        <w:t xml:space="preserve">Since </w:t>
      </w:r>
      <w:r w:rsidRPr="00566EA0">
        <w:rPr>
          <w:b/>
          <w:bCs/>
        </w:rPr>
        <w:t>2022</w:t>
      </w:r>
      <w:r w:rsidRPr="00566EA0">
        <w:t xml:space="preserve">, </w:t>
      </w:r>
      <w:r w:rsidRPr="00195894">
        <w:rPr>
          <w:b/>
          <w:bCs/>
        </w:rPr>
        <w:t>ESMA</w:t>
      </w:r>
      <w:r w:rsidRPr="00566EA0">
        <w:t xml:space="preserve"> apply </w:t>
      </w:r>
      <w:r w:rsidRPr="00566EA0">
        <w:rPr>
          <w:b/>
          <w:bCs/>
        </w:rPr>
        <w:t>fixed regulatory reporting fees</w:t>
      </w:r>
      <w:r>
        <w:rPr>
          <w:b/>
          <w:bCs/>
        </w:rPr>
        <w:t xml:space="preserve"> </w:t>
      </w:r>
      <w:r>
        <w:t>to both RTT and PPT reporting</w:t>
      </w:r>
      <w:r w:rsidRPr="00566EA0">
        <w:t>.</w:t>
      </w:r>
    </w:p>
    <w:p w14:paraId="68E87AF9" w14:textId="5D3283B2" w:rsidR="00926BDA" w:rsidRDefault="00053DB6" w:rsidP="00053DB6">
      <w:pPr>
        <w:numPr>
          <w:ilvl w:val="0"/>
          <w:numId w:val="34"/>
        </w:numPr>
        <w:spacing w:after="160" w:line="278" w:lineRule="auto"/>
        <w:jc w:val="both"/>
      </w:pPr>
      <w:r w:rsidRPr="00566EA0">
        <w:t xml:space="preserve">These are typically </w:t>
      </w:r>
      <w:r w:rsidRPr="00566EA0">
        <w:rPr>
          <w:b/>
          <w:bCs/>
        </w:rPr>
        <w:t>up to €8,000/year</w:t>
      </w:r>
      <w:r>
        <w:rPr>
          <w:b/>
          <w:bCs/>
        </w:rPr>
        <w:t>.</w:t>
      </w:r>
    </w:p>
    <w:permEnd w:id="443381358"/>
    <w:p w14:paraId="39C29865" w14:textId="77777777" w:rsidR="00926BDA" w:rsidRDefault="00926BDA" w:rsidP="00926BDA">
      <w:r>
        <w:t>&lt;ESMA_QUESTION_CASR_28&gt;</w:t>
      </w:r>
    </w:p>
    <w:p w14:paraId="795D30C8" w14:textId="77777777" w:rsidR="00926BDA" w:rsidRDefault="00926BDA" w:rsidP="00926BDA"/>
    <w:p w14:paraId="07255D8C" w14:textId="77777777" w:rsidR="00926BDA" w:rsidRDefault="00926BDA" w:rsidP="00926BDA">
      <w:pPr>
        <w:pStyle w:val="Questionstyle"/>
        <w:spacing w:before="120" w:after="120"/>
        <w:ind w:left="851" w:hanging="709"/>
      </w:pPr>
      <w:r>
        <w:t>Question for reporting entities under EMIR or MiFIR: Are there other cost-factors that we should consider when estimating the cost saving over a long term horizon?</w:t>
      </w:r>
    </w:p>
    <w:p w14:paraId="3F82851F" w14:textId="77777777" w:rsidR="00926BDA" w:rsidRDefault="00926BDA" w:rsidP="00926BDA">
      <w:r>
        <w:t>&lt;ESMA_QUESTION_CASR_29&gt;</w:t>
      </w:r>
    </w:p>
    <w:p w14:paraId="0D39D81F" w14:textId="77777777" w:rsidR="00926BDA" w:rsidRDefault="00926BDA" w:rsidP="00926BDA">
      <w:permStart w:id="1172965324" w:edGrp="everyone"/>
      <w:r>
        <w:t>TYPE YOUR TEXT HERE</w:t>
      </w:r>
    </w:p>
    <w:permEnd w:id="1172965324"/>
    <w:p w14:paraId="7F24D947" w14:textId="77777777" w:rsidR="00926BDA" w:rsidRDefault="00926BDA" w:rsidP="00926BDA">
      <w:r>
        <w:t>&lt;ESMA_QUESTION_CASR_29&gt;</w:t>
      </w:r>
    </w:p>
    <w:p w14:paraId="43B06597" w14:textId="77777777" w:rsidR="00926BDA" w:rsidRDefault="00926BDA" w:rsidP="00926BDA"/>
    <w:p w14:paraId="613621CD" w14:textId="77777777" w:rsidR="00926BDA" w:rsidRDefault="00926BDA" w:rsidP="00926BDA">
      <w:pPr>
        <w:pStyle w:val="Questionstyle"/>
        <w:spacing w:before="120" w:after="120"/>
        <w:ind w:left="851" w:hanging="709"/>
      </w:pPr>
      <w:r>
        <w:t>What are the anticipated investments and transition costs associated with implementing option 1a, 1b, 2a and 2b (e.g. Decommissioning of legacy systems, adapting systems to new changes and future evolving requirements, etc.)? Please provide a detailed breakdown of these costs, including any one-off and ongoing expenses. What is the estimated average cost saving per transaction?</w:t>
      </w:r>
    </w:p>
    <w:p w14:paraId="74BBAE67" w14:textId="77777777" w:rsidR="00926BDA" w:rsidRDefault="00926BDA" w:rsidP="00926BDA">
      <w:r>
        <w:t>&lt;ESMA_QUESTION_CASR_30&gt;</w:t>
      </w:r>
    </w:p>
    <w:p w14:paraId="5F1EAC10" w14:textId="77777777" w:rsidR="00926BDA" w:rsidRDefault="00926BDA" w:rsidP="00926BDA">
      <w:permStart w:id="34827801" w:edGrp="everyone"/>
      <w:r>
        <w:lastRenderedPageBreak/>
        <w:t>TYPE YOUR TEXT HERE</w:t>
      </w:r>
    </w:p>
    <w:permEnd w:id="34827801"/>
    <w:p w14:paraId="36BBCB63" w14:textId="77777777" w:rsidR="00926BDA" w:rsidRDefault="00926BDA" w:rsidP="00926BDA">
      <w:r>
        <w:t>&lt;ESMA_QUESTION_CASR_30&gt;</w:t>
      </w:r>
    </w:p>
    <w:p w14:paraId="5D766C2E" w14:textId="77777777" w:rsidR="00926BDA" w:rsidRDefault="00926BDA" w:rsidP="00926BDA"/>
    <w:p w14:paraId="6B9AF4F4" w14:textId="77777777" w:rsidR="00926BDA" w:rsidRDefault="00926BDA" w:rsidP="00926BDA"/>
    <w:p w14:paraId="4182AD67" w14:textId="77777777" w:rsidR="00DB377C" w:rsidRDefault="00DB377C" w:rsidP="00DB377C"/>
    <w:sectPr w:rsidR="00DB377C" w:rsidSect="00C85C8B">
      <w:headerReference w:type="default" r:id="rId21"/>
      <w:footerReference w:type="default" r:id="rId2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593DF" w14:textId="77777777" w:rsidR="00CF2971" w:rsidRDefault="00CF2971" w:rsidP="007E7997">
      <w:r>
        <w:separator/>
      </w:r>
    </w:p>
  </w:endnote>
  <w:endnote w:type="continuationSeparator" w:id="0">
    <w:p w14:paraId="360D61E0" w14:textId="77777777" w:rsidR="00CF2971" w:rsidRDefault="00CF2971" w:rsidP="007E7997">
      <w:r>
        <w:continuationSeparator/>
      </w:r>
    </w:p>
  </w:endnote>
  <w:endnote w:type="continuationNotice" w:id="1">
    <w:p w14:paraId="0B79DF9E" w14:textId="77777777" w:rsidR="00CF2971" w:rsidRDefault="00CF29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AAFD" w14:textId="77777777" w:rsidR="00053DB6" w:rsidRDefault="00053D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F3915" w14:textId="586194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14717" w14:textId="77777777" w:rsidR="00CF2971" w:rsidRDefault="00CF2971" w:rsidP="007E7997">
      <w:r>
        <w:separator/>
      </w:r>
    </w:p>
  </w:footnote>
  <w:footnote w:type="continuationSeparator" w:id="0">
    <w:p w14:paraId="2168A9A2" w14:textId="77777777" w:rsidR="00CF2971" w:rsidRDefault="00CF2971" w:rsidP="007E7997">
      <w:r>
        <w:continuationSeparator/>
      </w:r>
    </w:p>
  </w:footnote>
  <w:footnote w:type="continuationNotice" w:id="1">
    <w:p w14:paraId="0FC61AF4" w14:textId="77777777" w:rsidR="00CF2971" w:rsidRDefault="00CF29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3F5" w14:textId="77C7624B" w:rsidR="00FA64BE" w:rsidRDefault="00FA64BE" w:rsidP="00FA64BE">
    <w:pPr>
      <w:pStyle w:val="Header"/>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w:t>
    </w:r>
    <w:r w:rsidR="004D19BD">
      <w:rPr>
        <w:rFonts w:asciiTheme="minorHAnsi" w:eastAsiaTheme="minorEastAsia" w:hAnsiTheme="minorHAnsi" w:cstheme="minorBidi"/>
        <w:color w:val="000000" w:themeColor="text1" w:themeShade="80"/>
        <w:sz w:val="16"/>
        <w:szCs w:val="20"/>
        <w:lang w:eastAsia="en-US"/>
      </w:rPr>
      <w:t>3</w:t>
    </w:r>
    <w:r w:rsidR="000310AB">
      <w:rPr>
        <w:rFonts w:asciiTheme="minorHAnsi" w:eastAsiaTheme="minorEastAsia" w:hAnsiTheme="minorHAnsi" w:cstheme="minorBidi"/>
        <w:color w:val="000000" w:themeColor="text1" w:themeShade="80"/>
        <w:sz w:val="16"/>
        <w:szCs w:val="20"/>
        <w:lang w:eastAsia="en-US"/>
      </w:rPr>
      <w:t xml:space="preserve"> </w:t>
    </w:r>
    <w:r w:rsidR="004D19BD">
      <w:rPr>
        <w:rFonts w:asciiTheme="minorHAnsi" w:eastAsiaTheme="minorEastAsia" w:hAnsiTheme="minorHAnsi" w:cstheme="minorBidi"/>
        <w:color w:val="000000" w:themeColor="text1" w:themeShade="80"/>
        <w:sz w:val="16"/>
        <w:szCs w:val="20"/>
        <w:lang w:eastAsia="en-US"/>
      </w:rPr>
      <w:t>June</w:t>
    </w:r>
    <w:r w:rsidR="000310AB">
      <w:rPr>
        <w:rFonts w:asciiTheme="minorHAnsi" w:eastAsiaTheme="minorEastAsia" w:hAnsiTheme="minorHAnsi" w:cstheme="minorBidi"/>
        <w:color w:val="000000" w:themeColor="text1" w:themeShade="80"/>
        <w:sz w:val="16"/>
        <w:szCs w:val="20"/>
        <w:lang w:eastAsia="en-US"/>
      </w:rPr>
      <w:t xml:space="preserve"> 2025</w:t>
    </w:r>
    <w:r w:rsidR="00C00D4F">
      <w:rPr>
        <w:rFonts w:asciiTheme="minorHAnsi" w:eastAsiaTheme="minorEastAsia" w:hAnsiTheme="minorHAnsi" w:cstheme="minorBidi"/>
        <w:color w:val="000000" w:themeColor="text1" w:themeShade="80"/>
        <w:sz w:val="16"/>
        <w:szCs w:val="20"/>
        <w:lang w:eastAsia="en-US"/>
      </w:rPr>
      <w:br/>
    </w:r>
    <w:r w:rsidR="006D2EE6" w:rsidRPr="006D2EE6">
      <w:rPr>
        <w:rFonts w:asciiTheme="minorHAnsi" w:eastAsiaTheme="minorEastAsia" w:hAnsiTheme="minorHAnsi" w:cstheme="minorBidi"/>
        <w:color w:val="000000" w:themeColor="text1" w:themeShade="80"/>
        <w:sz w:val="16"/>
        <w:szCs w:val="20"/>
        <w:lang w:eastAsia="en-US"/>
      </w:rPr>
      <w:t>ESMA12-437499640-3046</w:t>
    </w:r>
  </w:p>
  <w:p w14:paraId="70391035" w14:textId="0FE57758" w:rsidR="00E36813" w:rsidRDefault="00FA64BE" w:rsidP="00FA64BE">
    <w:pPr>
      <w:pStyle w:val="Header"/>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A3259"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B6EC4" w14:textId="2AEFCC83" w:rsidR="00E36813" w:rsidRDefault="00FA64BE" w:rsidP="00B50534">
    <w:pPr>
      <w:pStyle w:val="Header"/>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Header"/>
      <w:jc w:val="right"/>
      <w:rPr>
        <w:rFonts w:asciiTheme="minorHAnsi" w:hAnsiTheme="minorHAnsi" w:cstheme="minorHAnsi"/>
        <w:color w:val="2F5496" w:themeColor="accent5" w:themeShade="BF"/>
        <w:sz w:val="20"/>
      </w:rPr>
    </w:pPr>
  </w:p>
  <w:p w14:paraId="3E983FE8" w14:textId="71D87355" w:rsidR="00FA64BE" w:rsidRDefault="00FA64BE" w:rsidP="00FA64BE">
    <w:pPr>
      <w:pStyle w:val="Header"/>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Header"/>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1E25"/>
    <w:multiLevelType w:val="multilevel"/>
    <w:tmpl w:val="5DC60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81784"/>
    <w:multiLevelType w:val="multilevel"/>
    <w:tmpl w:val="8DE0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A2324"/>
    <w:multiLevelType w:val="multilevel"/>
    <w:tmpl w:val="9442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465569"/>
    <w:multiLevelType w:val="multilevel"/>
    <w:tmpl w:val="BA027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9210B20"/>
    <w:multiLevelType w:val="multilevel"/>
    <w:tmpl w:val="DEFE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32B165A3"/>
    <w:multiLevelType w:val="multilevel"/>
    <w:tmpl w:val="E1809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A25AA5"/>
    <w:multiLevelType w:val="multilevel"/>
    <w:tmpl w:val="805E2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48616D9"/>
    <w:multiLevelType w:val="multilevel"/>
    <w:tmpl w:val="6BF6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B33D75"/>
    <w:multiLevelType w:val="multilevel"/>
    <w:tmpl w:val="CB3C6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8D6D13"/>
    <w:multiLevelType w:val="multilevel"/>
    <w:tmpl w:val="65886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8520013"/>
    <w:multiLevelType w:val="multilevel"/>
    <w:tmpl w:val="2CCAA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D43F23"/>
    <w:multiLevelType w:val="multilevel"/>
    <w:tmpl w:val="B9520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A76D1D"/>
    <w:multiLevelType w:val="multilevel"/>
    <w:tmpl w:val="6F42B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755784"/>
    <w:multiLevelType w:val="multilevel"/>
    <w:tmpl w:val="3E28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45278F7"/>
    <w:multiLevelType w:val="multilevel"/>
    <w:tmpl w:val="FBD274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BA0FE8"/>
    <w:multiLevelType w:val="hybridMultilevel"/>
    <w:tmpl w:val="9564B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8830CD"/>
    <w:multiLevelType w:val="multilevel"/>
    <w:tmpl w:val="CF86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6E776B"/>
    <w:multiLevelType w:val="multilevel"/>
    <w:tmpl w:val="40C09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C13D2E"/>
    <w:multiLevelType w:val="multilevel"/>
    <w:tmpl w:val="B302F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6BF910AC"/>
    <w:multiLevelType w:val="multilevel"/>
    <w:tmpl w:val="B4A6F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2665B1"/>
    <w:multiLevelType w:val="multilevel"/>
    <w:tmpl w:val="009C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E34FE4"/>
    <w:multiLevelType w:val="multilevel"/>
    <w:tmpl w:val="5CC0B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D2143A"/>
    <w:multiLevelType w:val="multilevel"/>
    <w:tmpl w:val="5FCA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87786A"/>
    <w:multiLevelType w:val="multilevel"/>
    <w:tmpl w:val="9F84F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8975619">
    <w:abstractNumId w:val="4"/>
  </w:num>
  <w:num w:numId="2" w16cid:durableId="1495532731">
    <w:abstractNumId w:val="4"/>
  </w:num>
  <w:num w:numId="3" w16cid:durableId="994409496">
    <w:abstractNumId w:val="27"/>
  </w:num>
  <w:num w:numId="4" w16cid:durableId="1880320868">
    <w:abstractNumId w:val="6"/>
  </w:num>
  <w:num w:numId="5" w16cid:durableId="290864581">
    <w:abstractNumId w:val="12"/>
  </w:num>
  <w:num w:numId="6" w16cid:durableId="765269892">
    <w:abstractNumId w:val="7"/>
  </w:num>
  <w:num w:numId="7" w16cid:durableId="1301960395">
    <w:abstractNumId w:val="9"/>
  </w:num>
  <w:num w:numId="8" w16cid:durableId="986476960">
    <w:abstractNumId w:val="21"/>
  </w:num>
  <w:num w:numId="9" w16cid:durableId="837424337">
    <w:abstractNumId w:val="16"/>
  </w:num>
  <w:num w:numId="10" w16cid:durableId="730466929">
    <w:abstractNumId w:val="10"/>
    <w:lvlOverride w:ilvl="0">
      <w:startOverride w:val="1"/>
    </w:lvlOverride>
  </w:num>
  <w:num w:numId="11" w16cid:durableId="2067141359">
    <w:abstractNumId w:val="3"/>
  </w:num>
  <w:num w:numId="12" w16cid:durableId="885796084">
    <w:abstractNumId w:val="17"/>
  </w:num>
  <w:num w:numId="13" w16cid:durableId="1777943820">
    <w:abstractNumId w:val="22"/>
  </w:num>
  <w:num w:numId="14" w16cid:durableId="294608747">
    <w:abstractNumId w:val="0"/>
  </w:num>
  <w:num w:numId="15" w16cid:durableId="1375076541">
    <w:abstractNumId w:val="19"/>
  </w:num>
  <w:num w:numId="16" w16cid:durableId="1279601085">
    <w:abstractNumId w:val="2"/>
  </w:num>
  <w:num w:numId="17" w16cid:durableId="1601986854">
    <w:abstractNumId w:val="20"/>
  </w:num>
  <w:num w:numId="18" w16cid:durableId="2081831421">
    <w:abstractNumId w:val="14"/>
  </w:num>
  <w:num w:numId="19" w16cid:durableId="672876713">
    <w:abstractNumId w:val="15"/>
  </w:num>
  <w:num w:numId="20" w16cid:durableId="712776844">
    <w:abstractNumId w:val="13"/>
  </w:num>
  <w:num w:numId="21" w16cid:durableId="1510410253">
    <w:abstractNumId w:val="28"/>
  </w:num>
  <w:num w:numId="22" w16cid:durableId="234243357">
    <w:abstractNumId w:val="32"/>
  </w:num>
  <w:num w:numId="23" w16cid:durableId="924342453">
    <w:abstractNumId w:val="11"/>
  </w:num>
  <w:num w:numId="24" w16cid:durableId="984162904">
    <w:abstractNumId w:val="5"/>
  </w:num>
  <w:num w:numId="25" w16cid:durableId="20596951">
    <w:abstractNumId w:val="8"/>
  </w:num>
  <w:num w:numId="26" w16cid:durableId="1046568170">
    <w:abstractNumId w:val="26"/>
  </w:num>
  <w:num w:numId="27" w16cid:durableId="2010214875">
    <w:abstractNumId w:val="1"/>
  </w:num>
  <w:num w:numId="28" w16cid:durableId="1248342204">
    <w:abstractNumId w:val="23"/>
  </w:num>
  <w:num w:numId="29" w16cid:durableId="1263421023">
    <w:abstractNumId w:val="31"/>
  </w:num>
  <w:num w:numId="30" w16cid:durableId="1884361580">
    <w:abstractNumId w:val="30"/>
  </w:num>
  <w:num w:numId="31" w16cid:durableId="1245069164">
    <w:abstractNumId w:val="18"/>
  </w:num>
  <w:num w:numId="32" w16cid:durableId="1815948176">
    <w:abstractNumId w:val="24"/>
  </w:num>
  <w:num w:numId="33" w16cid:durableId="1096484378">
    <w:abstractNumId w:val="29"/>
  </w:num>
  <w:num w:numId="34" w16cid:durableId="48373795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activeWritingStyle w:appName="MSWord" w:lang="fr-BE" w:vendorID="64" w:dllVersion="0" w:nlCheck="1" w:checkStyle="0"/>
  <w:proofState w:grammar="clean"/>
  <w:attachedTemplate r:id="rId1"/>
  <w:documentProtection w:edit="readOnly" w:enforcement="1" w:cryptProviderType="rsaAES" w:cryptAlgorithmClass="hash" w:cryptAlgorithmType="typeAny" w:cryptAlgorithmSid="14" w:cryptSpinCount="100000" w:hash="nAphKpkaeZEPo4cL34GqxI1GhByEj+ZfUlxttBRS1W1NpR3oZRkLRVwmpgy47+A1FK/eSpf35TYVrWfFOYTE7w==" w:salt="q1RVhAxdIzK7AQZzP5Pty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CC1"/>
    <w:rsid w:val="00011F6C"/>
    <w:rsid w:val="0001249B"/>
    <w:rsid w:val="00012D68"/>
    <w:rsid w:val="000142BB"/>
    <w:rsid w:val="0001633D"/>
    <w:rsid w:val="0001726F"/>
    <w:rsid w:val="00020098"/>
    <w:rsid w:val="00020300"/>
    <w:rsid w:val="00021A9A"/>
    <w:rsid w:val="00022ADA"/>
    <w:rsid w:val="00026327"/>
    <w:rsid w:val="00027EC9"/>
    <w:rsid w:val="000310AB"/>
    <w:rsid w:val="00033934"/>
    <w:rsid w:val="00036C09"/>
    <w:rsid w:val="000372BF"/>
    <w:rsid w:val="000405C8"/>
    <w:rsid w:val="00040A52"/>
    <w:rsid w:val="00044C5A"/>
    <w:rsid w:val="00044E0A"/>
    <w:rsid w:val="00047C57"/>
    <w:rsid w:val="00053DB6"/>
    <w:rsid w:val="00054E00"/>
    <w:rsid w:val="00061B2B"/>
    <w:rsid w:val="000627C5"/>
    <w:rsid w:val="0006448C"/>
    <w:rsid w:val="0006449B"/>
    <w:rsid w:val="000655AD"/>
    <w:rsid w:val="00066FD1"/>
    <w:rsid w:val="00072BF9"/>
    <w:rsid w:val="00073DF9"/>
    <w:rsid w:val="0007767E"/>
    <w:rsid w:val="0007796D"/>
    <w:rsid w:val="000830DA"/>
    <w:rsid w:val="00083FBB"/>
    <w:rsid w:val="00086F71"/>
    <w:rsid w:val="000921E6"/>
    <w:rsid w:val="00092D6C"/>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2232"/>
    <w:rsid w:val="000E3DB1"/>
    <w:rsid w:val="000E6946"/>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90E"/>
    <w:rsid w:val="00130EF9"/>
    <w:rsid w:val="001319C7"/>
    <w:rsid w:val="001355E6"/>
    <w:rsid w:val="0013644A"/>
    <w:rsid w:val="00140762"/>
    <w:rsid w:val="00140BA6"/>
    <w:rsid w:val="00141946"/>
    <w:rsid w:val="00143DCA"/>
    <w:rsid w:val="00144AAD"/>
    <w:rsid w:val="001455E7"/>
    <w:rsid w:val="0014624E"/>
    <w:rsid w:val="001522DD"/>
    <w:rsid w:val="00155BAB"/>
    <w:rsid w:val="001608B2"/>
    <w:rsid w:val="00160FE0"/>
    <w:rsid w:val="00162574"/>
    <w:rsid w:val="00163AB3"/>
    <w:rsid w:val="00165047"/>
    <w:rsid w:val="00165FF8"/>
    <w:rsid w:val="0016669F"/>
    <w:rsid w:val="00170AD6"/>
    <w:rsid w:val="001735B8"/>
    <w:rsid w:val="00177AA7"/>
    <w:rsid w:val="00180917"/>
    <w:rsid w:val="00180E53"/>
    <w:rsid w:val="00181CB7"/>
    <w:rsid w:val="0018606F"/>
    <w:rsid w:val="001862A5"/>
    <w:rsid w:val="00186A70"/>
    <w:rsid w:val="00191035"/>
    <w:rsid w:val="001918E5"/>
    <w:rsid w:val="00192A7A"/>
    <w:rsid w:val="00197AAF"/>
    <w:rsid w:val="001A1EF4"/>
    <w:rsid w:val="001A68A0"/>
    <w:rsid w:val="001A7046"/>
    <w:rsid w:val="001A710D"/>
    <w:rsid w:val="001A7E6F"/>
    <w:rsid w:val="001B0A27"/>
    <w:rsid w:val="001B0A77"/>
    <w:rsid w:val="001B1727"/>
    <w:rsid w:val="001B1B48"/>
    <w:rsid w:val="001B2151"/>
    <w:rsid w:val="001B3CFF"/>
    <w:rsid w:val="001B4957"/>
    <w:rsid w:val="001B4996"/>
    <w:rsid w:val="001B4EC9"/>
    <w:rsid w:val="001C0E59"/>
    <w:rsid w:val="001C432D"/>
    <w:rsid w:val="001C469E"/>
    <w:rsid w:val="001C56C3"/>
    <w:rsid w:val="001C5D8C"/>
    <w:rsid w:val="001C7E0A"/>
    <w:rsid w:val="001D0112"/>
    <w:rsid w:val="001D19F5"/>
    <w:rsid w:val="001D385A"/>
    <w:rsid w:val="001D3AC4"/>
    <w:rsid w:val="001D55EF"/>
    <w:rsid w:val="001D6B39"/>
    <w:rsid w:val="001E1ECD"/>
    <w:rsid w:val="001E3E0D"/>
    <w:rsid w:val="001E4A45"/>
    <w:rsid w:val="001E5AB7"/>
    <w:rsid w:val="001E5E30"/>
    <w:rsid w:val="001F0479"/>
    <w:rsid w:val="001F1F10"/>
    <w:rsid w:val="001F23C9"/>
    <w:rsid w:val="001F3999"/>
    <w:rsid w:val="001F3D9D"/>
    <w:rsid w:val="001F4AC8"/>
    <w:rsid w:val="00200894"/>
    <w:rsid w:val="002022EC"/>
    <w:rsid w:val="00202333"/>
    <w:rsid w:val="00202FA8"/>
    <w:rsid w:val="002034B8"/>
    <w:rsid w:val="00205922"/>
    <w:rsid w:val="00206FB8"/>
    <w:rsid w:val="0020766F"/>
    <w:rsid w:val="00207A07"/>
    <w:rsid w:val="00210181"/>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991"/>
    <w:rsid w:val="00254CC2"/>
    <w:rsid w:val="00256CCC"/>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1456"/>
    <w:rsid w:val="00282B3A"/>
    <w:rsid w:val="00282D38"/>
    <w:rsid w:val="00282FBE"/>
    <w:rsid w:val="00284802"/>
    <w:rsid w:val="00284AF2"/>
    <w:rsid w:val="0028536B"/>
    <w:rsid w:val="00285CED"/>
    <w:rsid w:val="00285EB5"/>
    <w:rsid w:val="00287C8F"/>
    <w:rsid w:val="00290893"/>
    <w:rsid w:val="002917B9"/>
    <w:rsid w:val="00291A55"/>
    <w:rsid w:val="0029394C"/>
    <w:rsid w:val="002A13B0"/>
    <w:rsid w:val="002A2A39"/>
    <w:rsid w:val="002A2C91"/>
    <w:rsid w:val="002A6C21"/>
    <w:rsid w:val="002A780E"/>
    <w:rsid w:val="002B144C"/>
    <w:rsid w:val="002B53F3"/>
    <w:rsid w:val="002C03FD"/>
    <w:rsid w:val="002C044D"/>
    <w:rsid w:val="002C1AA5"/>
    <w:rsid w:val="002C2A46"/>
    <w:rsid w:val="002C3048"/>
    <w:rsid w:val="002C76AE"/>
    <w:rsid w:val="002D2992"/>
    <w:rsid w:val="002D37A0"/>
    <w:rsid w:val="002D5AB5"/>
    <w:rsid w:val="002D6667"/>
    <w:rsid w:val="002D761A"/>
    <w:rsid w:val="002D79F3"/>
    <w:rsid w:val="002E1C11"/>
    <w:rsid w:val="002E3D0B"/>
    <w:rsid w:val="002E3E7D"/>
    <w:rsid w:val="002E685C"/>
    <w:rsid w:val="002E6A8E"/>
    <w:rsid w:val="002F6279"/>
    <w:rsid w:val="00300F55"/>
    <w:rsid w:val="003013B7"/>
    <w:rsid w:val="00301993"/>
    <w:rsid w:val="00301E55"/>
    <w:rsid w:val="00307397"/>
    <w:rsid w:val="003101EF"/>
    <w:rsid w:val="00312BDD"/>
    <w:rsid w:val="00314117"/>
    <w:rsid w:val="00317EDF"/>
    <w:rsid w:val="00322B55"/>
    <w:rsid w:val="003279E7"/>
    <w:rsid w:val="00327B62"/>
    <w:rsid w:val="00331FE9"/>
    <w:rsid w:val="0033324D"/>
    <w:rsid w:val="0033587C"/>
    <w:rsid w:val="0033696D"/>
    <w:rsid w:val="00336BF9"/>
    <w:rsid w:val="003371E8"/>
    <w:rsid w:val="00337471"/>
    <w:rsid w:val="00340647"/>
    <w:rsid w:val="0034151D"/>
    <w:rsid w:val="00342B5B"/>
    <w:rsid w:val="00343532"/>
    <w:rsid w:val="00345469"/>
    <w:rsid w:val="003454ED"/>
    <w:rsid w:val="00345EB9"/>
    <w:rsid w:val="0035030F"/>
    <w:rsid w:val="003519DD"/>
    <w:rsid w:val="00351B68"/>
    <w:rsid w:val="00351F68"/>
    <w:rsid w:val="00353C4B"/>
    <w:rsid w:val="003545A6"/>
    <w:rsid w:val="00356C60"/>
    <w:rsid w:val="003578D1"/>
    <w:rsid w:val="00363639"/>
    <w:rsid w:val="00366D42"/>
    <w:rsid w:val="0036748C"/>
    <w:rsid w:val="00371FAA"/>
    <w:rsid w:val="00372615"/>
    <w:rsid w:val="00372EA3"/>
    <w:rsid w:val="0037311D"/>
    <w:rsid w:val="0037358E"/>
    <w:rsid w:val="00373A3C"/>
    <w:rsid w:val="00373AB8"/>
    <w:rsid w:val="00373FCF"/>
    <w:rsid w:val="00374193"/>
    <w:rsid w:val="00376233"/>
    <w:rsid w:val="00380B30"/>
    <w:rsid w:val="00381784"/>
    <w:rsid w:val="00381EB0"/>
    <w:rsid w:val="00382A72"/>
    <w:rsid w:val="00382CA6"/>
    <w:rsid w:val="00382EBA"/>
    <w:rsid w:val="0038331A"/>
    <w:rsid w:val="0039135B"/>
    <w:rsid w:val="003A34E7"/>
    <w:rsid w:val="003A3CB1"/>
    <w:rsid w:val="003A3D55"/>
    <w:rsid w:val="003A5CC4"/>
    <w:rsid w:val="003A73A4"/>
    <w:rsid w:val="003B102E"/>
    <w:rsid w:val="003B26BA"/>
    <w:rsid w:val="003B4E3D"/>
    <w:rsid w:val="003B7E44"/>
    <w:rsid w:val="003C167E"/>
    <w:rsid w:val="003C481D"/>
    <w:rsid w:val="003C4EB5"/>
    <w:rsid w:val="003C5D02"/>
    <w:rsid w:val="003D1099"/>
    <w:rsid w:val="003D2CED"/>
    <w:rsid w:val="003D344A"/>
    <w:rsid w:val="003D3BB8"/>
    <w:rsid w:val="003D72F4"/>
    <w:rsid w:val="003D7C07"/>
    <w:rsid w:val="003E13FD"/>
    <w:rsid w:val="003E1C24"/>
    <w:rsid w:val="003E61FC"/>
    <w:rsid w:val="003E77BC"/>
    <w:rsid w:val="003F0087"/>
    <w:rsid w:val="003F0EDF"/>
    <w:rsid w:val="003F20C7"/>
    <w:rsid w:val="003F35B0"/>
    <w:rsid w:val="003F39B1"/>
    <w:rsid w:val="00400D9C"/>
    <w:rsid w:val="00400FBE"/>
    <w:rsid w:val="004022CF"/>
    <w:rsid w:val="004029B1"/>
    <w:rsid w:val="004038F1"/>
    <w:rsid w:val="00404282"/>
    <w:rsid w:val="00404ED5"/>
    <w:rsid w:val="0040743A"/>
    <w:rsid w:val="00407623"/>
    <w:rsid w:val="00407A74"/>
    <w:rsid w:val="004114D5"/>
    <w:rsid w:val="00414210"/>
    <w:rsid w:val="00414DB4"/>
    <w:rsid w:val="004159DB"/>
    <w:rsid w:val="004171F5"/>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8CA"/>
    <w:rsid w:val="004709E7"/>
    <w:rsid w:val="00470ADE"/>
    <w:rsid w:val="004712C7"/>
    <w:rsid w:val="00474736"/>
    <w:rsid w:val="004759EB"/>
    <w:rsid w:val="00477919"/>
    <w:rsid w:val="00482611"/>
    <w:rsid w:val="00482A27"/>
    <w:rsid w:val="00487DCE"/>
    <w:rsid w:val="00492701"/>
    <w:rsid w:val="004950B7"/>
    <w:rsid w:val="0049534D"/>
    <w:rsid w:val="00497209"/>
    <w:rsid w:val="00497FEA"/>
    <w:rsid w:val="004A22F3"/>
    <w:rsid w:val="004A75F5"/>
    <w:rsid w:val="004B07B2"/>
    <w:rsid w:val="004B0955"/>
    <w:rsid w:val="004B143D"/>
    <w:rsid w:val="004B1842"/>
    <w:rsid w:val="004B1D1B"/>
    <w:rsid w:val="004B25D0"/>
    <w:rsid w:val="004B3553"/>
    <w:rsid w:val="004B5E92"/>
    <w:rsid w:val="004B6859"/>
    <w:rsid w:val="004C0A30"/>
    <w:rsid w:val="004C357C"/>
    <w:rsid w:val="004C3D18"/>
    <w:rsid w:val="004D19BD"/>
    <w:rsid w:val="004D2D3F"/>
    <w:rsid w:val="004D42B1"/>
    <w:rsid w:val="004D526F"/>
    <w:rsid w:val="004E0583"/>
    <w:rsid w:val="004E19C0"/>
    <w:rsid w:val="004E1C54"/>
    <w:rsid w:val="004E21FE"/>
    <w:rsid w:val="004E2C37"/>
    <w:rsid w:val="004E5285"/>
    <w:rsid w:val="004F0CF3"/>
    <w:rsid w:val="004F5740"/>
    <w:rsid w:val="004F58C9"/>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664AB"/>
    <w:rsid w:val="005725BD"/>
    <w:rsid w:val="005730B0"/>
    <w:rsid w:val="00575DCC"/>
    <w:rsid w:val="00576AAD"/>
    <w:rsid w:val="005821B0"/>
    <w:rsid w:val="0059175F"/>
    <w:rsid w:val="00591AAC"/>
    <w:rsid w:val="00592F5C"/>
    <w:rsid w:val="00595F08"/>
    <w:rsid w:val="00595FBE"/>
    <w:rsid w:val="005A1C55"/>
    <w:rsid w:val="005A4636"/>
    <w:rsid w:val="005A5EF1"/>
    <w:rsid w:val="005B169D"/>
    <w:rsid w:val="005B467C"/>
    <w:rsid w:val="005B4A69"/>
    <w:rsid w:val="005B4ACA"/>
    <w:rsid w:val="005B6B12"/>
    <w:rsid w:val="005C19E9"/>
    <w:rsid w:val="005C2DBC"/>
    <w:rsid w:val="005C5F13"/>
    <w:rsid w:val="005C65F9"/>
    <w:rsid w:val="005C6B0E"/>
    <w:rsid w:val="005C7E1F"/>
    <w:rsid w:val="005D1B9E"/>
    <w:rsid w:val="005D1F6B"/>
    <w:rsid w:val="005D2DE7"/>
    <w:rsid w:val="005D331C"/>
    <w:rsid w:val="005D54DC"/>
    <w:rsid w:val="005D6355"/>
    <w:rsid w:val="005D7AAF"/>
    <w:rsid w:val="005E0C59"/>
    <w:rsid w:val="005E18DE"/>
    <w:rsid w:val="005E1DA3"/>
    <w:rsid w:val="005E306B"/>
    <w:rsid w:val="005E3669"/>
    <w:rsid w:val="005E53D0"/>
    <w:rsid w:val="005E5785"/>
    <w:rsid w:val="005E6098"/>
    <w:rsid w:val="005E7969"/>
    <w:rsid w:val="005F0C93"/>
    <w:rsid w:val="005F3F22"/>
    <w:rsid w:val="005F4FC0"/>
    <w:rsid w:val="005F540F"/>
    <w:rsid w:val="005F5491"/>
    <w:rsid w:val="005F6144"/>
    <w:rsid w:val="005F6573"/>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1694"/>
    <w:rsid w:val="00695AF2"/>
    <w:rsid w:val="00696A2B"/>
    <w:rsid w:val="00696BD5"/>
    <w:rsid w:val="006A04AE"/>
    <w:rsid w:val="006A0AE4"/>
    <w:rsid w:val="006A172D"/>
    <w:rsid w:val="006A23F3"/>
    <w:rsid w:val="006A2CF3"/>
    <w:rsid w:val="006A5047"/>
    <w:rsid w:val="006A5E48"/>
    <w:rsid w:val="006A7A10"/>
    <w:rsid w:val="006A7E17"/>
    <w:rsid w:val="006B0DA4"/>
    <w:rsid w:val="006B1B6B"/>
    <w:rsid w:val="006B2C57"/>
    <w:rsid w:val="006B391B"/>
    <w:rsid w:val="006B79E0"/>
    <w:rsid w:val="006C0B2D"/>
    <w:rsid w:val="006C1633"/>
    <w:rsid w:val="006C5BF8"/>
    <w:rsid w:val="006C791B"/>
    <w:rsid w:val="006C7CCB"/>
    <w:rsid w:val="006D2EE6"/>
    <w:rsid w:val="006D3F14"/>
    <w:rsid w:val="006D3FDF"/>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3173E"/>
    <w:rsid w:val="007319C3"/>
    <w:rsid w:val="0073454F"/>
    <w:rsid w:val="00735C00"/>
    <w:rsid w:val="007364C6"/>
    <w:rsid w:val="00740BF3"/>
    <w:rsid w:val="00741D5C"/>
    <w:rsid w:val="0074352F"/>
    <w:rsid w:val="00747C5E"/>
    <w:rsid w:val="00750210"/>
    <w:rsid w:val="00750618"/>
    <w:rsid w:val="0075162F"/>
    <w:rsid w:val="00754844"/>
    <w:rsid w:val="00754B57"/>
    <w:rsid w:val="007552C7"/>
    <w:rsid w:val="0075671D"/>
    <w:rsid w:val="0076002F"/>
    <w:rsid w:val="0076038B"/>
    <w:rsid w:val="00761744"/>
    <w:rsid w:val="00762B6D"/>
    <w:rsid w:val="00764582"/>
    <w:rsid w:val="00765FA3"/>
    <w:rsid w:val="00766961"/>
    <w:rsid w:val="00766B5A"/>
    <w:rsid w:val="007678D6"/>
    <w:rsid w:val="0077026A"/>
    <w:rsid w:val="00770C33"/>
    <w:rsid w:val="00773465"/>
    <w:rsid w:val="007741C3"/>
    <w:rsid w:val="00777BE0"/>
    <w:rsid w:val="00777CFF"/>
    <w:rsid w:val="00780923"/>
    <w:rsid w:val="00781265"/>
    <w:rsid w:val="0078131F"/>
    <w:rsid w:val="007844C6"/>
    <w:rsid w:val="007876EF"/>
    <w:rsid w:val="00790306"/>
    <w:rsid w:val="00793573"/>
    <w:rsid w:val="0079364C"/>
    <w:rsid w:val="00793C6C"/>
    <w:rsid w:val="007942B9"/>
    <w:rsid w:val="00796C7F"/>
    <w:rsid w:val="00797E0C"/>
    <w:rsid w:val="007A160F"/>
    <w:rsid w:val="007A48BC"/>
    <w:rsid w:val="007A51D4"/>
    <w:rsid w:val="007B0BC1"/>
    <w:rsid w:val="007B354B"/>
    <w:rsid w:val="007B4FC3"/>
    <w:rsid w:val="007B73F3"/>
    <w:rsid w:val="007B7EE5"/>
    <w:rsid w:val="007C1C28"/>
    <w:rsid w:val="007C2A2C"/>
    <w:rsid w:val="007C3577"/>
    <w:rsid w:val="007C5E08"/>
    <w:rsid w:val="007C5F2A"/>
    <w:rsid w:val="007C660A"/>
    <w:rsid w:val="007D0002"/>
    <w:rsid w:val="007D7A59"/>
    <w:rsid w:val="007E0E75"/>
    <w:rsid w:val="007E53F5"/>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5192"/>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41"/>
    <w:rsid w:val="008712BF"/>
    <w:rsid w:val="00872209"/>
    <w:rsid w:val="008731EB"/>
    <w:rsid w:val="00873656"/>
    <w:rsid w:val="00880140"/>
    <w:rsid w:val="008842F7"/>
    <w:rsid w:val="00885B94"/>
    <w:rsid w:val="0089075A"/>
    <w:rsid w:val="00890F80"/>
    <w:rsid w:val="00892BFD"/>
    <w:rsid w:val="0089338A"/>
    <w:rsid w:val="00894199"/>
    <w:rsid w:val="008948BE"/>
    <w:rsid w:val="00896D1F"/>
    <w:rsid w:val="00896D5B"/>
    <w:rsid w:val="008A1E27"/>
    <w:rsid w:val="008A264B"/>
    <w:rsid w:val="008A2C86"/>
    <w:rsid w:val="008A6000"/>
    <w:rsid w:val="008A70A8"/>
    <w:rsid w:val="008A7FAC"/>
    <w:rsid w:val="008B1FD9"/>
    <w:rsid w:val="008B2AF1"/>
    <w:rsid w:val="008B5191"/>
    <w:rsid w:val="008B710D"/>
    <w:rsid w:val="008B7CA1"/>
    <w:rsid w:val="008C0177"/>
    <w:rsid w:val="008C0389"/>
    <w:rsid w:val="008C1B25"/>
    <w:rsid w:val="008C27D3"/>
    <w:rsid w:val="008C2C43"/>
    <w:rsid w:val="008C4B2B"/>
    <w:rsid w:val="008C5E91"/>
    <w:rsid w:val="008C686D"/>
    <w:rsid w:val="008C6B18"/>
    <w:rsid w:val="008C75E6"/>
    <w:rsid w:val="008C767A"/>
    <w:rsid w:val="008C7A73"/>
    <w:rsid w:val="008D0569"/>
    <w:rsid w:val="008D28FD"/>
    <w:rsid w:val="008D59F9"/>
    <w:rsid w:val="008D5C28"/>
    <w:rsid w:val="008E00A6"/>
    <w:rsid w:val="008E1710"/>
    <w:rsid w:val="008E2D26"/>
    <w:rsid w:val="008E3C8E"/>
    <w:rsid w:val="008E4076"/>
    <w:rsid w:val="008E5ACB"/>
    <w:rsid w:val="008E7DBA"/>
    <w:rsid w:val="008F1993"/>
    <w:rsid w:val="008F3386"/>
    <w:rsid w:val="008F3AD9"/>
    <w:rsid w:val="008F4642"/>
    <w:rsid w:val="008F4C29"/>
    <w:rsid w:val="008F4E00"/>
    <w:rsid w:val="008F6163"/>
    <w:rsid w:val="008F761D"/>
    <w:rsid w:val="00900D44"/>
    <w:rsid w:val="00902520"/>
    <w:rsid w:val="00906DC4"/>
    <w:rsid w:val="00911A61"/>
    <w:rsid w:val="00914478"/>
    <w:rsid w:val="0091457F"/>
    <w:rsid w:val="0091729E"/>
    <w:rsid w:val="00926BDA"/>
    <w:rsid w:val="00931615"/>
    <w:rsid w:val="0093261E"/>
    <w:rsid w:val="00937B82"/>
    <w:rsid w:val="0094008E"/>
    <w:rsid w:val="00941C0C"/>
    <w:rsid w:val="009437F2"/>
    <w:rsid w:val="0094528B"/>
    <w:rsid w:val="00951970"/>
    <w:rsid w:val="00960A8B"/>
    <w:rsid w:val="00965128"/>
    <w:rsid w:val="00967068"/>
    <w:rsid w:val="00973F43"/>
    <w:rsid w:val="0097785D"/>
    <w:rsid w:val="0098011D"/>
    <w:rsid w:val="00981912"/>
    <w:rsid w:val="009819C0"/>
    <w:rsid w:val="009835AD"/>
    <w:rsid w:val="00987A75"/>
    <w:rsid w:val="00990C72"/>
    <w:rsid w:val="00991A8A"/>
    <w:rsid w:val="00991BED"/>
    <w:rsid w:val="00992611"/>
    <w:rsid w:val="00994303"/>
    <w:rsid w:val="00995019"/>
    <w:rsid w:val="0099526D"/>
    <w:rsid w:val="00996C8B"/>
    <w:rsid w:val="009A0054"/>
    <w:rsid w:val="009A0F6E"/>
    <w:rsid w:val="009A2D9C"/>
    <w:rsid w:val="009A38D9"/>
    <w:rsid w:val="009A5548"/>
    <w:rsid w:val="009A72CC"/>
    <w:rsid w:val="009B25C1"/>
    <w:rsid w:val="009B26DB"/>
    <w:rsid w:val="009B7B79"/>
    <w:rsid w:val="009C0383"/>
    <w:rsid w:val="009C145B"/>
    <w:rsid w:val="009C3E04"/>
    <w:rsid w:val="009C4FB0"/>
    <w:rsid w:val="009C75D1"/>
    <w:rsid w:val="009C7694"/>
    <w:rsid w:val="009C792D"/>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7BE9"/>
    <w:rsid w:val="00A02199"/>
    <w:rsid w:val="00A026A4"/>
    <w:rsid w:val="00A04044"/>
    <w:rsid w:val="00A055DD"/>
    <w:rsid w:val="00A11D0C"/>
    <w:rsid w:val="00A16579"/>
    <w:rsid w:val="00A24843"/>
    <w:rsid w:val="00A25AB7"/>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770B3"/>
    <w:rsid w:val="00A8284E"/>
    <w:rsid w:val="00A870EE"/>
    <w:rsid w:val="00A91D91"/>
    <w:rsid w:val="00A95D52"/>
    <w:rsid w:val="00A960E3"/>
    <w:rsid w:val="00A96F81"/>
    <w:rsid w:val="00A9709D"/>
    <w:rsid w:val="00A973A8"/>
    <w:rsid w:val="00AA054E"/>
    <w:rsid w:val="00AA0A10"/>
    <w:rsid w:val="00AA2094"/>
    <w:rsid w:val="00AA2947"/>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5A"/>
    <w:rsid w:val="00AD5187"/>
    <w:rsid w:val="00AD6B11"/>
    <w:rsid w:val="00AD6B34"/>
    <w:rsid w:val="00AD6F90"/>
    <w:rsid w:val="00AE0286"/>
    <w:rsid w:val="00AE247F"/>
    <w:rsid w:val="00AE4A24"/>
    <w:rsid w:val="00AE4FC7"/>
    <w:rsid w:val="00AE7235"/>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507E"/>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002C"/>
    <w:rsid w:val="00B728C7"/>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29C8"/>
    <w:rsid w:val="00BD3536"/>
    <w:rsid w:val="00BD37FD"/>
    <w:rsid w:val="00BE0B46"/>
    <w:rsid w:val="00BE225E"/>
    <w:rsid w:val="00BE237E"/>
    <w:rsid w:val="00BE3703"/>
    <w:rsid w:val="00BE567F"/>
    <w:rsid w:val="00BF0A29"/>
    <w:rsid w:val="00BF25CD"/>
    <w:rsid w:val="00BF5553"/>
    <w:rsid w:val="00BF75CD"/>
    <w:rsid w:val="00BF7E68"/>
    <w:rsid w:val="00C00D4F"/>
    <w:rsid w:val="00C00F1C"/>
    <w:rsid w:val="00C0346D"/>
    <w:rsid w:val="00C0358F"/>
    <w:rsid w:val="00C03BB0"/>
    <w:rsid w:val="00C041CF"/>
    <w:rsid w:val="00C0696A"/>
    <w:rsid w:val="00C11CFA"/>
    <w:rsid w:val="00C12034"/>
    <w:rsid w:val="00C1396B"/>
    <w:rsid w:val="00C1501F"/>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320B"/>
    <w:rsid w:val="00C54316"/>
    <w:rsid w:val="00C55208"/>
    <w:rsid w:val="00C5527D"/>
    <w:rsid w:val="00C61B1A"/>
    <w:rsid w:val="00C62A53"/>
    <w:rsid w:val="00C709F9"/>
    <w:rsid w:val="00C70FF7"/>
    <w:rsid w:val="00C73A00"/>
    <w:rsid w:val="00C73A70"/>
    <w:rsid w:val="00C76054"/>
    <w:rsid w:val="00C779A2"/>
    <w:rsid w:val="00C80546"/>
    <w:rsid w:val="00C83CAD"/>
    <w:rsid w:val="00C8419E"/>
    <w:rsid w:val="00C851D7"/>
    <w:rsid w:val="00C85C8B"/>
    <w:rsid w:val="00C867AD"/>
    <w:rsid w:val="00C87F9F"/>
    <w:rsid w:val="00C9545D"/>
    <w:rsid w:val="00C9625C"/>
    <w:rsid w:val="00C97337"/>
    <w:rsid w:val="00C978C6"/>
    <w:rsid w:val="00C97F2A"/>
    <w:rsid w:val="00C97F9B"/>
    <w:rsid w:val="00CA112D"/>
    <w:rsid w:val="00CA1F9F"/>
    <w:rsid w:val="00CA2179"/>
    <w:rsid w:val="00CA3D8A"/>
    <w:rsid w:val="00CA4A87"/>
    <w:rsid w:val="00CB0C0C"/>
    <w:rsid w:val="00CB4B3E"/>
    <w:rsid w:val="00CB50EF"/>
    <w:rsid w:val="00CB623F"/>
    <w:rsid w:val="00CB791A"/>
    <w:rsid w:val="00CB7D1B"/>
    <w:rsid w:val="00CC11DF"/>
    <w:rsid w:val="00CC1A6E"/>
    <w:rsid w:val="00CC3F62"/>
    <w:rsid w:val="00CC536E"/>
    <w:rsid w:val="00CC59DD"/>
    <w:rsid w:val="00CC7FC6"/>
    <w:rsid w:val="00CD47B2"/>
    <w:rsid w:val="00CD5AFD"/>
    <w:rsid w:val="00CD6E6D"/>
    <w:rsid w:val="00CD7091"/>
    <w:rsid w:val="00CD74EB"/>
    <w:rsid w:val="00CE49F8"/>
    <w:rsid w:val="00CE4E1E"/>
    <w:rsid w:val="00CE66B5"/>
    <w:rsid w:val="00CF2971"/>
    <w:rsid w:val="00CF2D77"/>
    <w:rsid w:val="00CF52DF"/>
    <w:rsid w:val="00CF5832"/>
    <w:rsid w:val="00CF5911"/>
    <w:rsid w:val="00CF7221"/>
    <w:rsid w:val="00CF724E"/>
    <w:rsid w:val="00D059F5"/>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7150"/>
    <w:rsid w:val="00D27EB3"/>
    <w:rsid w:val="00D32D2A"/>
    <w:rsid w:val="00D35E02"/>
    <w:rsid w:val="00D378C9"/>
    <w:rsid w:val="00D37B9F"/>
    <w:rsid w:val="00D40FA1"/>
    <w:rsid w:val="00D41425"/>
    <w:rsid w:val="00D41EFF"/>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3338"/>
    <w:rsid w:val="00D775F3"/>
    <w:rsid w:val="00D77868"/>
    <w:rsid w:val="00D77F25"/>
    <w:rsid w:val="00D809B4"/>
    <w:rsid w:val="00D84C2A"/>
    <w:rsid w:val="00D9064B"/>
    <w:rsid w:val="00D95D17"/>
    <w:rsid w:val="00D978C6"/>
    <w:rsid w:val="00DA03F6"/>
    <w:rsid w:val="00DA134A"/>
    <w:rsid w:val="00DA1A2E"/>
    <w:rsid w:val="00DA3413"/>
    <w:rsid w:val="00DA426E"/>
    <w:rsid w:val="00DA4339"/>
    <w:rsid w:val="00DA462C"/>
    <w:rsid w:val="00DA4B1B"/>
    <w:rsid w:val="00DA4EFC"/>
    <w:rsid w:val="00DA648D"/>
    <w:rsid w:val="00DA6A7B"/>
    <w:rsid w:val="00DA726D"/>
    <w:rsid w:val="00DB1B8D"/>
    <w:rsid w:val="00DB2693"/>
    <w:rsid w:val="00DB377C"/>
    <w:rsid w:val="00DB3DEA"/>
    <w:rsid w:val="00DB40BD"/>
    <w:rsid w:val="00DB4B8E"/>
    <w:rsid w:val="00DB4F4B"/>
    <w:rsid w:val="00DC070F"/>
    <w:rsid w:val="00DC3462"/>
    <w:rsid w:val="00DC3858"/>
    <w:rsid w:val="00DC3A57"/>
    <w:rsid w:val="00DC7A95"/>
    <w:rsid w:val="00DD1DAF"/>
    <w:rsid w:val="00DD55C2"/>
    <w:rsid w:val="00DD759E"/>
    <w:rsid w:val="00DE314E"/>
    <w:rsid w:val="00DE4CFB"/>
    <w:rsid w:val="00DF045B"/>
    <w:rsid w:val="00DF0F58"/>
    <w:rsid w:val="00DF1ED8"/>
    <w:rsid w:val="00DF3785"/>
    <w:rsid w:val="00DF3D27"/>
    <w:rsid w:val="00DF6074"/>
    <w:rsid w:val="00E02239"/>
    <w:rsid w:val="00E047EC"/>
    <w:rsid w:val="00E07D42"/>
    <w:rsid w:val="00E163E9"/>
    <w:rsid w:val="00E240F5"/>
    <w:rsid w:val="00E30004"/>
    <w:rsid w:val="00E31A5B"/>
    <w:rsid w:val="00E333AC"/>
    <w:rsid w:val="00E3456B"/>
    <w:rsid w:val="00E35C16"/>
    <w:rsid w:val="00E36085"/>
    <w:rsid w:val="00E36813"/>
    <w:rsid w:val="00E42382"/>
    <w:rsid w:val="00E603DF"/>
    <w:rsid w:val="00E63745"/>
    <w:rsid w:val="00E66134"/>
    <w:rsid w:val="00E6699F"/>
    <w:rsid w:val="00E67845"/>
    <w:rsid w:val="00E67B40"/>
    <w:rsid w:val="00E703AE"/>
    <w:rsid w:val="00E72373"/>
    <w:rsid w:val="00E72C92"/>
    <w:rsid w:val="00E74A40"/>
    <w:rsid w:val="00E76AF9"/>
    <w:rsid w:val="00E84EF0"/>
    <w:rsid w:val="00E8649C"/>
    <w:rsid w:val="00E87886"/>
    <w:rsid w:val="00E87CDE"/>
    <w:rsid w:val="00E91330"/>
    <w:rsid w:val="00E91FC1"/>
    <w:rsid w:val="00E92D54"/>
    <w:rsid w:val="00E9323C"/>
    <w:rsid w:val="00E95FD8"/>
    <w:rsid w:val="00EA0283"/>
    <w:rsid w:val="00EA357E"/>
    <w:rsid w:val="00EA5DE1"/>
    <w:rsid w:val="00EB0C86"/>
    <w:rsid w:val="00EB0E16"/>
    <w:rsid w:val="00EB1A57"/>
    <w:rsid w:val="00EB236F"/>
    <w:rsid w:val="00EB237E"/>
    <w:rsid w:val="00EC1546"/>
    <w:rsid w:val="00EC15D5"/>
    <w:rsid w:val="00EC384A"/>
    <w:rsid w:val="00EC4D18"/>
    <w:rsid w:val="00EC5B23"/>
    <w:rsid w:val="00EC5DED"/>
    <w:rsid w:val="00EC6BD8"/>
    <w:rsid w:val="00ED0356"/>
    <w:rsid w:val="00ED0D71"/>
    <w:rsid w:val="00ED3DCD"/>
    <w:rsid w:val="00ED3DD5"/>
    <w:rsid w:val="00ED4FDB"/>
    <w:rsid w:val="00ED56BE"/>
    <w:rsid w:val="00ED74D7"/>
    <w:rsid w:val="00EE095F"/>
    <w:rsid w:val="00EE0DA8"/>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25B7F"/>
    <w:rsid w:val="00F30180"/>
    <w:rsid w:val="00F31A29"/>
    <w:rsid w:val="00F3279A"/>
    <w:rsid w:val="00F37236"/>
    <w:rsid w:val="00F44634"/>
    <w:rsid w:val="00F45473"/>
    <w:rsid w:val="00F505EC"/>
    <w:rsid w:val="00F5088F"/>
    <w:rsid w:val="00F51657"/>
    <w:rsid w:val="00F5223C"/>
    <w:rsid w:val="00F55F69"/>
    <w:rsid w:val="00F57787"/>
    <w:rsid w:val="00F61E82"/>
    <w:rsid w:val="00F6243A"/>
    <w:rsid w:val="00F63323"/>
    <w:rsid w:val="00F636FE"/>
    <w:rsid w:val="00F648B2"/>
    <w:rsid w:val="00F67EBD"/>
    <w:rsid w:val="00F70EA4"/>
    <w:rsid w:val="00F77851"/>
    <w:rsid w:val="00F80FAB"/>
    <w:rsid w:val="00F81AAC"/>
    <w:rsid w:val="00F81E3B"/>
    <w:rsid w:val="00F827E1"/>
    <w:rsid w:val="00F856DA"/>
    <w:rsid w:val="00F879B3"/>
    <w:rsid w:val="00F927B5"/>
    <w:rsid w:val="00F94BD0"/>
    <w:rsid w:val="00F95403"/>
    <w:rsid w:val="00F954EE"/>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3B26"/>
    <w:rsid w:val="00FC6384"/>
    <w:rsid w:val="00FC6733"/>
    <w:rsid w:val="00FD224E"/>
    <w:rsid w:val="00FD2677"/>
    <w:rsid w:val="00FD28B8"/>
    <w:rsid w:val="00FD4D00"/>
    <w:rsid w:val="00FE0BD8"/>
    <w:rsid w:val="00FE1709"/>
    <w:rsid w:val="00FE1FC9"/>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9C04BF69-CA55-48B5-A60C-B108C2F75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6"/>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7E7997"/>
    <w:pPr>
      <w:tabs>
        <w:tab w:val="center" w:pos="4536"/>
        <w:tab w:val="right" w:pos="9072"/>
      </w:tabs>
    </w:pPr>
  </w:style>
  <w:style w:type="character" w:customStyle="1" w:styleId="HeaderChar">
    <w:name w:val="Header Char"/>
    <w:basedOn w:val="DefaultParagraphFont"/>
    <w:link w:val="Header"/>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871163"/>
    <w:pPr>
      <w:numPr>
        <w:numId w:val="7"/>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871163"/>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Strong"/>
    <w:uiPriority w:val="1"/>
    <w:qFormat/>
    <w:rsid w:val="00FA64BE"/>
    <w:rPr>
      <w:b w:val="0"/>
      <w:bCs/>
      <w:caps/>
      <w:smallCaps w:val="0"/>
      <w:color w:val="70AD47" w:themeColor="accent6"/>
      <w:sz w:val="22"/>
    </w:rPr>
  </w:style>
  <w:style w:type="paragraph" w:customStyle="1" w:styleId="Paragraph">
    <w:name w:val="Paragraph"/>
    <w:basedOn w:val="ListParagraph"/>
    <w:link w:val="ParagraphChar"/>
    <w:qFormat/>
    <w:rsid w:val="00CB0C0C"/>
    <w:pPr>
      <w:numPr>
        <w:numId w:val="10"/>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DefaultParagraphFon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3390843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37201994">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74326518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2432951">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713226">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51534017">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62080478">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25295946">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25359563">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97983348">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80953536">
      <w:bodyDiv w:val="1"/>
      <w:marLeft w:val="0"/>
      <w:marRight w:val="0"/>
      <w:marTop w:val="0"/>
      <w:marBottom w:val="0"/>
      <w:divBdr>
        <w:top w:val="none" w:sz="0" w:space="0" w:color="auto"/>
        <w:left w:val="none" w:sz="0" w:space="0" w:color="auto"/>
        <w:bottom w:val="none" w:sz="0" w:space="0" w:color="auto"/>
        <w:right w:val="none" w:sz="0" w:space="0" w:color="auto"/>
      </w:divBdr>
    </w:div>
    <w:div w:id="1818372730">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www.esma.europa.eu/legal-notic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509</Value>
      <Value>508</Value>
      <Value>20</Value>
    </TaxCatchAll>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Qualification of crypto-assets - ESMA Guidelines on classification</TermName>
          <TermId xmlns="http://schemas.microsoft.com/office/infopath/2007/PartnerControls">4332d316-c095-4f91-9af2-56426177b6b7</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2025</Year>
    <a9b3b1dad23b4ba58c3f3e36a96e1d9c xmlns="d0fb0f98-34f9-4d57-9559-eb8efd17aa5e">
      <Terms xmlns="http://schemas.microsoft.com/office/infopath/2007/PartnerControls"/>
    </a9b3b1dad23b4ba58c3f3e36a96e1d9c>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European Green Bonds</TermName>
          <TermId xmlns="http://schemas.microsoft.com/office/infopath/2007/PartnerControls">f68cfe7f-8b0c-4445-b5d7-ad808afd8270</TermId>
        </TermInfo>
      </Terms>
    </caa5aeb1a6644849b60fbe2335e12657>
    <_dlc_DocId xmlns="d0fb0f98-34f9-4d57-9559-eb8efd17aa5e">ESMA12-437499640-3046</_dlc_DocId>
    <_dlc_DocIdUrl xmlns="d0fb0f98-34f9-4d57-9559-eb8efd17aa5e">
      <Url>https://securitiesandmarketsauth.sharepoint.com/sites/sherpa-daru/_layouts/15/DocIdRedir.aspx?ID=ESMA12-437499640-3046</Url>
      <Description>ESMA12-437499640-3046</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rojects Document" ma:contentTypeID="0x010100503F0D35E53D034B940919FAB1A37C880700C6AD09EDF1492341843D00183F05DEB3" ma:contentTypeVersion="27" ma:contentTypeDescription="" ma:contentTypeScope="" ma:versionID="d34fef912863cac6dfebdfb03ae49ef2">
  <xsd:schema xmlns:xsd="http://www.w3.org/2001/XMLSchema" xmlns:xs="http://www.w3.org/2001/XMLSchema" xmlns:p="http://schemas.microsoft.com/office/2006/metadata/properties" xmlns:ns2="d0fb0f98-34f9-4d57-9559-eb8efd17aa5e" xmlns:ns3="865d8a05-f056-4017-b8dd-1de195fc3e23" targetNamespace="http://schemas.microsoft.com/office/2006/metadata/properties" ma:root="true" ma:fieldsID="7e11c17e85f2e7699576c4f9eb43d193" ns2:_="" ns3:_="">
    <xsd:import namespace="d0fb0f98-34f9-4d57-9559-eb8efd17aa5e"/>
    <xsd:import namespace="865d8a05-f056-4017-b8dd-1de195fc3e23"/>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8;#Restricted|187aa7e6-627f-4951-b138-6ff841dc883d"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fieldId="{caa5aeb1-a664-4849-b60f-be2335e12657}" ma:sspId="d4b01e31-ead0-4f68-a8e9-2aaca35f2e62" ma:termSetId="9a9b884f-1937-4ba8-b5f2-ea2505275fea" ma:anchorId="00000000-0000-0000-0000-000000000000" ma:open="true" ma:isKeyword="false">
      <xsd:complexType>
        <xsd:sequence>
          <xsd:element ref="pc:Terms" minOccurs="0" maxOccurs="1"/>
        </xsd:sequence>
      </xsd:complexType>
    </xsd:element>
    <xsd:element name="n644e5dfaa29486bad4a4fc019c6d2df" ma:index="21" nillable="true" ma:taxonomy="true" ma:internalName="n644e5dfaa29486bad4a4fc019c6d2df" ma:taxonomyFieldName="SubTopic" ma:displayName="Sub Topic" ma:readOnly="false" ma:fieldId="{7644e5df-aa29-486b-ad4a-4fc019c6d2df}" ma:sspId="d4b01e31-ead0-4f68-a8e9-2aaca35f2e62" ma:termSetId="e8ea3c90-637e-4220-bd5c-1240989cf81e"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5d8a05-f056-4017-b8dd-1de195fc3e23"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d0fb0f98-34f9-4d57-9559-eb8efd17aa5e"/>
  </ds:schemaRefs>
</ds:datastoreItem>
</file>

<file path=customXml/itemProps2.xml><?xml version="1.0" encoding="utf-8"?>
<ds:datastoreItem xmlns:ds="http://schemas.openxmlformats.org/officeDocument/2006/customXml" ds:itemID="{4FBC0C5A-5A55-4279-A037-D43AA8D96806}">
  <ds:schemaRefs>
    <ds:schemaRef ds:uri="http://schemas.microsoft.com/sharepoint/event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52151C37-7AB0-45DC-A9ED-E58388F1C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865d8a05-f056-4017-b8dd-1de195fc3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76</TotalTime>
  <Pages>22</Pages>
  <Words>6859</Words>
  <Characters>37730</Characters>
  <Application>Microsoft Office Word</Application>
  <DocSecurity>8</DocSecurity>
  <Lines>314</Lines>
  <Paragraphs>88</Paragraphs>
  <ScaleCrop>false</ScaleCrop>
  <Company>ESMA</Company>
  <LinksUpToDate>false</LinksUpToDate>
  <CharactersWithSpaces>44501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Edoardo MARMO</cp:lastModifiedBy>
  <cp:revision>6</cp:revision>
  <cp:lastPrinted>2017-07-24T14:47:00Z</cp:lastPrinted>
  <dcterms:created xsi:type="dcterms:W3CDTF">2025-09-15T19:34:00Z</dcterms:created>
  <dcterms:modified xsi:type="dcterms:W3CDTF">2025-09-16T10:18:00Z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6;#Regular|07f1e362-856b-423d-bea6-a14079762141</vt:lpwstr>
  </property>
  <property fmtid="{D5CDD505-2E9C-101B-9397-08002B2CF9AE}" pid="4" name="ContentTypeId">
    <vt:lpwstr>0x010100503F0D35E53D034B940919FAB1A37C880700C6AD09EDF1492341843D00183F05DEB3</vt:lpwstr>
  </property>
  <property fmtid="{D5CDD505-2E9C-101B-9397-08002B2CF9AE}" pid="5" name="_dlc_DocIdItemGuid">
    <vt:lpwstr>569bcf0d-12b0-4e1e-b129-58e1e8da7205</vt:lpwstr>
  </property>
  <property fmtid="{D5CDD505-2E9C-101B-9397-08002B2CF9AE}" pid="6" name="DocumentType">
    <vt:lpwstr>20;#Report|78753201-1e9e-4a21-a088-6ff602b5c999</vt:lpwstr>
  </property>
  <property fmtid="{D5CDD505-2E9C-101B-9397-08002B2CF9AE}" pid="7" name="Topic">
    <vt:lpwstr>508;#European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509;#Qualification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05ae7051-b702-462d-8e81-9ac0b6085f00_Extended_MSFT_Method">
    <vt:lpwstr>Standard</vt:lpwstr>
  </property>
  <property fmtid="{D5CDD505-2E9C-101B-9397-08002B2CF9AE}" pid="22" name="MSIP_Label_05ae7051-b702-462d-8e81-9ac0b6085f00_Removed">
    <vt:lpwstr>False</vt:lpwstr>
  </property>
  <property fmtid="{D5CDD505-2E9C-101B-9397-08002B2CF9AE}" pid="23" name="MSIP_Label_05ae7051-b702-462d-8e81-9ac0b6085f00_ActionId">
    <vt:lpwstr>4dcb8942-b9fd-4687-9c67-fe5cb333f037</vt:lpwstr>
  </property>
  <property fmtid="{D5CDD505-2E9C-101B-9397-08002B2CF9AE}" pid="24" name="MSIP_Label_05ae7051-b702-462d-8e81-9ac0b6085f00_Name">
    <vt:lpwstr>Regular</vt:lpwstr>
  </property>
  <property fmtid="{D5CDD505-2E9C-101B-9397-08002B2CF9AE}" pid="25" name="MSIP_Label_05ae7051-b702-462d-8e81-9ac0b6085f00_SetDate">
    <vt:lpwstr>2025-06-17T15:19:03Z</vt:lpwstr>
  </property>
  <property fmtid="{D5CDD505-2E9C-101B-9397-08002B2CF9AE}" pid="26" name="MSIP_Label_05ae7051-b702-462d-8e81-9ac0b6085f00_SiteId">
    <vt:lpwstr>e406f268-4ae7-4c80-8994-02493da00c03</vt:lpwstr>
  </property>
  <property fmtid="{D5CDD505-2E9C-101B-9397-08002B2CF9AE}" pid="27" name="MSIP_Label_05ae7051-b702-462d-8e81-9ac0b6085f00_Enabled">
    <vt:lpwstr>True</vt:lpwstr>
  </property>
  <property fmtid="{D5CDD505-2E9C-101B-9397-08002B2CF9AE}" pid="28" name="MSIP_Label_8ffbc0b8-e97b-47d1-beac-cb0955d66f3b_Enabled">
    <vt:lpwstr>true</vt:lpwstr>
  </property>
  <property fmtid="{D5CDD505-2E9C-101B-9397-08002B2CF9AE}" pid="29" name="MSIP_Label_8ffbc0b8-e97b-47d1-beac-cb0955d66f3b_SetDate">
    <vt:lpwstr>2025-09-15T19:15:38Z</vt:lpwstr>
  </property>
  <property fmtid="{D5CDD505-2E9C-101B-9397-08002B2CF9AE}" pid="30" name="MSIP_Label_8ffbc0b8-e97b-47d1-beac-cb0955d66f3b_Method">
    <vt:lpwstr>Privileged</vt:lpwstr>
  </property>
  <property fmtid="{D5CDD505-2E9C-101B-9397-08002B2CF9AE}" pid="31" name="MSIP_Label_8ffbc0b8-e97b-47d1-beac-cb0955d66f3b_Name">
    <vt:lpwstr>8ffbc0b8-e97b-47d1-beac-cb0955d66f3b</vt:lpwstr>
  </property>
  <property fmtid="{D5CDD505-2E9C-101B-9397-08002B2CF9AE}" pid="32" name="MSIP_Label_8ffbc0b8-e97b-47d1-beac-cb0955d66f3b_SiteId">
    <vt:lpwstr>614f9c25-bffa-42c7-86d8-964101f55fa2</vt:lpwstr>
  </property>
  <property fmtid="{D5CDD505-2E9C-101B-9397-08002B2CF9AE}" pid="33" name="MSIP_Label_8ffbc0b8-e97b-47d1-beac-cb0955d66f3b_ActionId">
    <vt:lpwstr>f953b846-2d49-4f26-ae6d-f801c078573f</vt:lpwstr>
  </property>
  <property fmtid="{D5CDD505-2E9C-101B-9397-08002B2CF9AE}" pid="34" name="MSIP_Label_8ffbc0b8-e97b-47d1-beac-cb0955d66f3b_ContentBits">
    <vt:lpwstr>2</vt:lpwstr>
  </property>
  <property fmtid="{D5CDD505-2E9C-101B-9397-08002B2CF9AE}" pid="35" name="MSIP_Label_8ffbc0b8-e97b-47d1-beac-cb0955d66f3b_Tag">
    <vt:lpwstr>10, 0, 1, 1</vt:lpwstr>
  </property>
</Properties>
</file>