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tulo"/>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tulo"/>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Ttulo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Ttulo2"/>
            <w:numPr>
              <w:ilvl w:val="0"/>
              <w:numId w:val="0"/>
            </w:numPr>
            <w:sectPr w:rsidR="00AF2EF7" w:rsidRPr="00B16706" w:rsidSect="007E7997">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8"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Prrafodelist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Prrafodelista"/>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Prrafodelist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Prrafodelist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Prrafodelist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Prrafodelista"/>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9"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20"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Ttulo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Ttulo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Ttulo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1A1F3EB7" w:rsidR="00C85C8B" w:rsidRPr="00B16706" w:rsidRDefault="00E464C1" w:rsidP="00C85C8B">
                <w:pPr>
                  <w:rPr>
                    <w:rFonts w:ascii="Arial" w:hAnsi="Arial" w:cs="Arial"/>
                    <w:color w:val="808080"/>
                    <w:sz w:val="16"/>
                    <w:szCs w:val="20"/>
                    <w:lang w:eastAsia="de-DE"/>
                  </w:rPr>
                </w:pPr>
                <w:r>
                  <w:rPr>
                    <w:rFonts w:ascii="Arial" w:hAnsi="Arial" w:cs="Arial"/>
                    <w:color w:val="808080"/>
                    <w:sz w:val="16"/>
                    <w:szCs w:val="20"/>
                    <w:lang w:eastAsia="de-DE"/>
                  </w:rPr>
                  <w:t>BME – SIX Group</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490DB6C9"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E464C1">
                  <w:rPr>
                    <w:rFonts w:ascii="Arial" w:hAnsi="Arial" w:cs="Arial"/>
                    <w:sz w:val="16"/>
                    <w:szCs w:val="20"/>
                    <w:lang w:eastAsia="de-DE"/>
                  </w:rPr>
                  <w:t>Regulated markets/Exchanges/Trading Systems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13906ED7" w:rsidR="00C85C8B" w:rsidRPr="00B16706" w:rsidRDefault="00E464C1" w:rsidP="00C85C8B">
                <w:pPr>
                  <w:rPr>
                    <w:rFonts w:ascii="Arial" w:hAnsi="Arial" w:cs="Arial"/>
                    <w:sz w:val="16"/>
                    <w:szCs w:val="20"/>
                    <w:lang w:eastAsia="de-DE"/>
                  </w:rPr>
                </w:pPr>
                <w:r>
                  <w:rPr>
                    <w:rFonts w:ascii="Arial" w:hAnsi="Arial" w:cs="Arial"/>
                    <w:sz w:val="16"/>
                    <w:szCs w:val="20"/>
                    <w:lang w:eastAsia="de-DE"/>
                  </w:rPr>
                  <w:t>Spain</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6C2573B1" w14:textId="77777777" w:rsidR="00E464C1" w:rsidRPr="006B196C" w:rsidRDefault="00E464C1" w:rsidP="00E464C1">
      <w:pPr>
        <w:jc w:val="both"/>
        <w:rPr>
          <w:rFonts w:ascii="Calibri" w:hAnsi="Calibri" w:cs="Calibri"/>
          <w:sz w:val="20"/>
          <w:szCs w:val="20"/>
        </w:rPr>
      </w:pPr>
      <w:permStart w:id="785210304" w:edGrp="everyone"/>
      <w:r w:rsidRPr="006B196C">
        <w:rPr>
          <w:rFonts w:ascii="Calibri" w:hAnsi="Calibri" w:cs="Calibri"/>
          <w:sz w:val="20"/>
          <w:szCs w:val="20"/>
        </w:rPr>
        <w:t>SIX Group generally agrees with the overall description of challenges outlined by ESMA and would like comment on certain additional topics as presented below.</w:t>
      </w:r>
    </w:p>
    <w:p w14:paraId="73D44D20" w14:textId="77777777" w:rsidR="00E464C1" w:rsidRPr="006B196C" w:rsidRDefault="00E464C1" w:rsidP="00E464C1">
      <w:pPr>
        <w:jc w:val="both"/>
        <w:rPr>
          <w:rFonts w:ascii="Calibri" w:hAnsi="Calibri" w:cs="Calibri"/>
          <w:sz w:val="20"/>
          <w:szCs w:val="20"/>
        </w:rPr>
      </w:pPr>
    </w:p>
    <w:p w14:paraId="329FC055" w14:textId="77777777" w:rsidR="00E464C1" w:rsidDel="00C4205E" w:rsidRDefault="00E464C1" w:rsidP="00E464C1">
      <w:pPr>
        <w:jc w:val="both"/>
        <w:rPr>
          <w:rFonts w:ascii="Calibri" w:hAnsi="Calibri" w:cs="Calibri"/>
          <w:sz w:val="20"/>
          <w:szCs w:val="20"/>
        </w:rPr>
      </w:pPr>
      <w:r w:rsidRPr="006B196C" w:rsidDel="00C4205E">
        <w:rPr>
          <w:rFonts w:ascii="Calibri" w:hAnsi="Calibri" w:cs="Calibri"/>
          <w:sz w:val="20"/>
          <w:szCs w:val="20"/>
        </w:rPr>
        <w:t xml:space="preserve">We fully support the focus on regulatory burden reduction and simplification approach adopted by the European Commission and ESMA. An efficient regulatory framework which is at the same </w:t>
      </w:r>
      <w:r w:rsidDel="00C4205E">
        <w:rPr>
          <w:rFonts w:ascii="Calibri" w:hAnsi="Calibri" w:cs="Calibri"/>
          <w:sz w:val="20"/>
          <w:szCs w:val="20"/>
        </w:rPr>
        <w:t xml:space="preserve">time </w:t>
      </w:r>
      <w:r w:rsidRPr="006B196C" w:rsidDel="00C4205E">
        <w:rPr>
          <w:rFonts w:ascii="Calibri" w:hAnsi="Calibri" w:cs="Calibri"/>
          <w:sz w:val="20"/>
          <w:szCs w:val="20"/>
        </w:rPr>
        <w:t>robust and consistent</w:t>
      </w:r>
      <w:r w:rsidDel="00C4205E">
        <w:rPr>
          <w:rFonts w:ascii="Calibri" w:hAnsi="Calibri" w:cs="Calibri"/>
          <w:sz w:val="20"/>
          <w:szCs w:val="20"/>
        </w:rPr>
        <w:t>,</w:t>
      </w:r>
      <w:r w:rsidRPr="006B196C" w:rsidDel="00C4205E">
        <w:rPr>
          <w:rFonts w:ascii="Calibri" w:hAnsi="Calibri" w:cs="Calibri"/>
          <w:sz w:val="20"/>
          <w:szCs w:val="20"/>
        </w:rPr>
        <w:t xml:space="preserve"> yet agile and less costly to comply</w:t>
      </w:r>
      <w:r w:rsidDel="00C4205E">
        <w:rPr>
          <w:rFonts w:ascii="Calibri" w:hAnsi="Calibri" w:cs="Calibri"/>
          <w:sz w:val="20"/>
          <w:szCs w:val="20"/>
        </w:rPr>
        <w:t>,</w:t>
      </w:r>
      <w:r w:rsidRPr="006B196C" w:rsidDel="00C4205E">
        <w:rPr>
          <w:rFonts w:ascii="Calibri" w:hAnsi="Calibri" w:cs="Calibri"/>
          <w:sz w:val="20"/>
          <w:szCs w:val="20"/>
        </w:rPr>
        <w:t xml:space="preserve"> would help EU markets’ competitiveness. In today’s evolving global geopolitical scene, EU financial markets and economy would benefit from repositioning the EU as a more business friendly jurisdiction.</w:t>
      </w:r>
    </w:p>
    <w:p w14:paraId="35A25286" w14:textId="77777777" w:rsidR="00E464C1" w:rsidRPr="006B196C" w:rsidRDefault="00E464C1" w:rsidP="00E464C1">
      <w:pPr>
        <w:jc w:val="both"/>
        <w:rPr>
          <w:rFonts w:ascii="Calibri" w:hAnsi="Calibri" w:cs="Calibri"/>
          <w:sz w:val="20"/>
          <w:szCs w:val="20"/>
        </w:rPr>
      </w:pPr>
    </w:p>
    <w:p w14:paraId="2F44A9C2" w14:textId="77777777" w:rsidR="00E464C1" w:rsidRDefault="00E464C1" w:rsidP="00E464C1">
      <w:pPr>
        <w:jc w:val="both"/>
        <w:rPr>
          <w:rFonts w:ascii="Calibri" w:hAnsi="Calibri" w:cs="Calibri"/>
          <w:sz w:val="20"/>
          <w:szCs w:val="20"/>
          <w:lang w:val="en-US"/>
        </w:rPr>
      </w:pPr>
      <w:r>
        <w:rPr>
          <w:rFonts w:ascii="Calibri" w:hAnsi="Calibri" w:cs="Calibri"/>
          <w:sz w:val="20"/>
          <w:szCs w:val="20"/>
          <w:lang w:val="en-US"/>
        </w:rPr>
        <w:t>In this sense, we w</w:t>
      </w:r>
      <w:r w:rsidRPr="006B196C">
        <w:rPr>
          <w:rFonts w:ascii="Calibri" w:hAnsi="Calibri" w:cs="Calibri"/>
          <w:sz w:val="20"/>
          <w:szCs w:val="20"/>
          <w:lang w:val="en-US"/>
        </w:rPr>
        <w:t xml:space="preserve">ould like to </w:t>
      </w:r>
      <w:proofErr w:type="spellStart"/>
      <w:r w:rsidRPr="006B196C">
        <w:rPr>
          <w:rFonts w:ascii="Calibri" w:hAnsi="Calibri" w:cs="Calibri"/>
          <w:sz w:val="20"/>
          <w:szCs w:val="20"/>
          <w:lang w:val="en-US"/>
        </w:rPr>
        <w:t>emphasi</w:t>
      </w:r>
      <w:r>
        <w:rPr>
          <w:rFonts w:ascii="Calibri" w:hAnsi="Calibri" w:cs="Calibri"/>
          <w:sz w:val="20"/>
          <w:szCs w:val="20"/>
          <w:lang w:val="en-US"/>
        </w:rPr>
        <w:t>s</w:t>
      </w:r>
      <w:r w:rsidRPr="006B196C">
        <w:rPr>
          <w:rFonts w:ascii="Calibri" w:hAnsi="Calibri" w:cs="Calibri"/>
          <w:sz w:val="20"/>
          <w:szCs w:val="20"/>
          <w:lang w:val="en-US"/>
        </w:rPr>
        <w:t>e</w:t>
      </w:r>
      <w:proofErr w:type="spellEnd"/>
      <w:r w:rsidRPr="006B196C">
        <w:rPr>
          <w:rFonts w:ascii="Calibri" w:hAnsi="Calibri" w:cs="Calibri"/>
          <w:sz w:val="20"/>
          <w:szCs w:val="20"/>
          <w:lang w:val="en-US"/>
        </w:rPr>
        <w:t xml:space="preserve"> the key issues that have been accurately identified in this section</w:t>
      </w:r>
      <w:r>
        <w:rPr>
          <w:rFonts w:ascii="Calibri" w:hAnsi="Calibri" w:cs="Calibri"/>
          <w:sz w:val="20"/>
          <w:szCs w:val="20"/>
          <w:lang w:val="en-US"/>
        </w:rPr>
        <w:t xml:space="preserve"> as the main cost drivers:</w:t>
      </w:r>
    </w:p>
    <w:p w14:paraId="78315176" w14:textId="77777777" w:rsidR="00E464C1" w:rsidRPr="006B196C" w:rsidRDefault="00E464C1" w:rsidP="00E464C1">
      <w:pPr>
        <w:jc w:val="both"/>
        <w:rPr>
          <w:rFonts w:ascii="Calibri" w:hAnsi="Calibri" w:cs="Calibri"/>
          <w:sz w:val="20"/>
          <w:szCs w:val="20"/>
        </w:rPr>
      </w:pPr>
    </w:p>
    <w:p w14:paraId="170F21D7" w14:textId="77777777" w:rsidR="00E464C1" w:rsidRPr="00960850" w:rsidRDefault="00E464C1" w:rsidP="00E464C1">
      <w:pPr>
        <w:pStyle w:val="Prrafodelista"/>
        <w:numPr>
          <w:ilvl w:val="0"/>
          <w:numId w:val="37"/>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960850">
        <w:rPr>
          <w:rFonts w:ascii="Calibri" w:hAnsi="Calibri" w:cs="Calibri"/>
          <w:b/>
          <w:bCs/>
          <w:sz w:val="20"/>
          <w:szCs w:val="20"/>
        </w:rPr>
        <w:t>Duplication of IT systems and processes</w:t>
      </w:r>
    </w:p>
    <w:p w14:paraId="3A920641" w14:textId="77777777" w:rsidR="00E464C1" w:rsidRPr="00960850" w:rsidRDefault="00E464C1" w:rsidP="00E464C1">
      <w:pPr>
        <w:jc w:val="both"/>
        <w:rPr>
          <w:rFonts w:ascii="Calibri" w:hAnsi="Calibri" w:cs="Calibri"/>
          <w:sz w:val="20"/>
          <w:szCs w:val="20"/>
        </w:rPr>
      </w:pPr>
    </w:p>
    <w:p w14:paraId="0F06BA97" w14:textId="77777777" w:rsidR="00E464C1" w:rsidRPr="006B196C" w:rsidRDefault="00E464C1" w:rsidP="00E464C1">
      <w:pPr>
        <w:jc w:val="both"/>
        <w:rPr>
          <w:rFonts w:ascii="Calibri" w:hAnsi="Calibri" w:cs="Calibri"/>
          <w:sz w:val="20"/>
          <w:szCs w:val="20"/>
          <w:lang w:val="en-US"/>
        </w:rPr>
      </w:pPr>
      <w:r>
        <w:rPr>
          <w:rFonts w:ascii="Calibri" w:hAnsi="Calibri" w:cs="Calibri"/>
          <w:sz w:val="20"/>
          <w:szCs w:val="20"/>
          <w:lang w:val="en-US"/>
        </w:rPr>
        <w:t>For Trade Repositories (“TRs”)</w:t>
      </w:r>
      <w:r w:rsidRPr="006B196C">
        <w:rPr>
          <w:rFonts w:ascii="Calibri" w:hAnsi="Calibri" w:cs="Calibri"/>
          <w:sz w:val="20"/>
          <w:szCs w:val="20"/>
          <w:lang w:val="en-US"/>
        </w:rPr>
        <w:t>, the primary cost driver is the duplication of IT systems and processes. This is further exacerbated by the need to maintain multiple connections between market participants, authorities, and different reporting entities. This fragmented infrastructure results in significant operational inefficiencies and increased costs across all stakeholders.</w:t>
      </w:r>
      <w:r>
        <w:rPr>
          <w:rFonts w:ascii="Calibri" w:hAnsi="Calibri" w:cs="Calibri"/>
          <w:sz w:val="20"/>
          <w:szCs w:val="20"/>
          <w:lang w:val="en-US"/>
        </w:rPr>
        <w:t xml:space="preserve"> </w:t>
      </w:r>
    </w:p>
    <w:p w14:paraId="1030F791" w14:textId="77777777" w:rsidR="00E464C1" w:rsidRPr="00063FEE" w:rsidRDefault="00E464C1" w:rsidP="00E464C1">
      <w:pPr>
        <w:pStyle w:val="Prrafodelista"/>
        <w:rPr>
          <w:rFonts w:ascii="Calibri" w:hAnsi="Calibri" w:cs="Calibri"/>
          <w:sz w:val="20"/>
          <w:szCs w:val="20"/>
        </w:rPr>
      </w:pPr>
    </w:p>
    <w:p w14:paraId="41963ECE" w14:textId="77777777" w:rsidR="00E464C1" w:rsidRPr="002A0C33" w:rsidRDefault="00E464C1" w:rsidP="00E464C1">
      <w:pPr>
        <w:pStyle w:val="Prrafodelista"/>
        <w:numPr>
          <w:ilvl w:val="0"/>
          <w:numId w:val="37"/>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FB3803">
        <w:rPr>
          <w:rFonts w:ascii="Calibri" w:hAnsi="Calibri" w:cs="Calibri"/>
          <w:b/>
          <w:bCs/>
          <w:sz w:val="20"/>
          <w:szCs w:val="20"/>
        </w:rPr>
        <w:t>Frequent regulatory changes and lack of flexibility to enable a phased implementation, synchronisation and coordination of the changes in the different reporting regimes.</w:t>
      </w:r>
    </w:p>
    <w:p w14:paraId="3BF44977" w14:textId="77777777" w:rsidR="00E464C1" w:rsidRDefault="00E464C1" w:rsidP="00E464C1">
      <w:pPr>
        <w:jc w:val="both"/>
        <w:rPr>
          <w:rFonts w:ascii="Calibri" w:hAnsi="Calibri" w:cs="Calibri"/>
          <w:sz w:val="20"/>
          <w:szCs w:val="20"/>
        </w:rPr>
      </w:pPr>
    </w:p>
    <w:p w14:paraId="25B331E6" w14:textId="77777777" w:rsidR="00E464C1" w:rsidRDefault="00E464C1" w:rsidP="00E464C1">
      <w:pPr>
        <w:jc w:val="both"/>
        <w:rPr>
          <w:rFonts w:ascii="Calibri" w:hAnsi="Calibri" w:cs="Calibri"/>
          <w:sz w:val="20"/>
          <w:szCs w:val="20"/>
        </w:rPr>
      </w:pPr>
      <w:r w:rsidRPr="006B196C">
        <w:rPr>
          <w:rFonts w:ascii="Calibri" w:hAnsi="Calibri" w:cs="Calibri"/>
          <w:sz w:val="20"/>
          <w:szCs w:val="20"/>
        </w:rPr>
        <w:t>ESMA points at the frequent regulatory changes as one of the main drivers of compliance cost and time and resources consumption</w:t>
      </w:r>
      <w:r>
        <w:rPr>
          <w:rFonts w:ascii="Calibri" w:hAnsi="Calibri" w:cs="Calibri"/>
          <w:sz w:val="20"/>
          <w:szCs w:val="20"/>
        </w:rPr>
        <w:t>, with what we agree</w:t>
      </w:r>
      <w:r w:rsidRPr="006B196C">
        <w:rPr>
          <w:rFonts w:ascii="Calibri" w:hAnsi="Calibri" w:cs="Calibri"/>
          <w:sz w:val="20"/>
          <w:szCs w:val="20"/>
        </w:rPr>
        <w:t>. The current fragmented scene is the consequence of almost two decades of regulatory frenzy.</w:t>
      </w:r>
    </w:p>
    <w:p w14:paraId="668E0BF6" w14:textId="77777777" w:rsidR="00E464C1" w:rsidRDefault="00E464C1" w:rsidP="00E464C1">
      <w:pPr>
        <w:jc w:val="both"/>
        <w:rPr>
          <w:rFonts w:ascii="Calibri" w:hAnsi="Calibri" w:cs="Calibri"/>
          <w:sz w:val="20"/>
          <w:szCs w:val="20"/>
        </w:rPr>
      </w:pPr>
    </w:p>
    <w:p w14:paraId="726DBA2D" w14:textId="77777777" w:rsidR="00E464C1" w:rsidRDefault="00E464C1" w:rsidP="00E464C1">
      <w:pPr>
        <w:jc w:val="both"/>
        <w:rPr>
          <w:rFonts w:ascii="Calibri" w:hAnsi="Calibri" w:cs="Calibri"/>
          <w:sz w:val="20"/>
          <w:szCs w:val="20"/>
        </w:rPr>
      </w:pPr>
      <w:r w:rsidRPr="006B196C">
        <w:rPr>
          <w:rFonts w:ascii="Calibri" w:hAnsi="Calibri" w:cs="Calibri"/>
          <w:sz w:val="20"/>
          <w:szCs w:val="20"/>
        </w:rPr>
        <w:t>The</w:t>
      </w:r>
      <w:r>
        <w:rPr>
          <w:rFonts w:ascii="Calibri" w:hAnsi="Calibri" w:cs="Calibri"/>
          <w:sz w:val="20"/>
          <w:szCs w:val="20"/>
        </w:rPr>
        <w:t xml:space="preserve">se </w:t>
      </w:r>
      <w:r w:rsidRPr="006B196C">
        <w:rPr>
          <w:rFonts w:ascii="Calibri" w:hAnsi="Calibri" w:cs="Calibri"/>
          <w:sz w:val="20"/>
          <w:szCs w:val="20"/>
        </w:rPr>
        <w:t xml:space="preserve">frequent updates to reporting frameworks place ongoing pressure on compliance, IT, and operations teams. This burden is exacerbated by a lack of harmonisation across regulations, the absence of phased implementation, and unsynchronised timelines. Together, these factors force firms to manage parallel development streams with limited resources, increasing complexity and reducing overall efficiency. </w:t>
      </w:r>
    </w:p>
    <w:p w14:paraId="768C3A12" w14:textId="77777777" w:rsidR="00E464C1" w:rsidRPr="006B196C" w:rsidRDefault="00E464C1" w:rsidP="00E464C1">
      <w:pPr>
        <w:jc w:val="both"/>
        <w:rPr>
          <w:rFonts w:ascii="Calibri" w:hAnsi="Calibri" w:cs="Calibri"/>
          <w:sz w:val="20"/>
          <w:szCs w:val="20"/>
          <w:lang w:val="en-US"/>
        </w:rPr>
      </w:pPr>
    </w:p>
    <w:p w14:paraId="7C9CA9C4" w14:textId="77777777" w:rsidR="00E464C1" w:rsidRDefault="00E464C1" w:rsidP="00E464C1">
      <w:pPr>
        <w:jc w:val="both"/>
        <w:rPr>
          <w:rFonts w:ascii="Calibri" w:hAnsi="Calibri" w:cs="Calibri"/>
          <w:sz w:val="20"/>
          <w:szCs w:val="20"/>
          <w:lang w:val="en-US"/>
        </w:rPr>
      </w:pPr>
      <w:r w:rsidRPr="006B196C">
        <w:rPr>
          <w:rFonts w:ascii="Calibri" w:hAnsi="Calibri" w:cs="Calibri"/>
          <w:sz w:val="20"/>
          <w:szCs w:val="20"/>
          <w:lang w:val="en-US"/>
        </w:rPr>
        <w:t xml:space="preserve">Moreover, the frequent and uncoordinated implementation of regulatory changes </w:t>
      </w:r>
      <w:r w:rsidRPr="71A89374">
        <w:rPr>
          <w:rFonts w:ascii="Calibri" w:hAnsi="Calibri" w:cs="Calibri"/>
          <w:sz w:val="20"/>
          <w:szCs w:val="20"/>
          <w:lang w:val="en-US"/>
        </w:rPr>
        <w:t>requires</w:t>
      </w:r>
      <w:r w:rsidRPr="006B196C">
        <w:rPr>
          <w:rFonts w:ascii="Calibri" w:hAnsi="Calibri" w:cs="Calibri"/>
          <w:sz w:val="20"/>
          <w:szCs w:val="20"/>
          <w:lang w:val="en-US"/>
        </w:rPr>
        <w:t xml:space="preserve"> constant system adaptations, further straining resources and increasing compliance burdens for all </w:t>
      </w:r>
      <w:r w:rsidRPr="4396CCE2">
        <w:rPr>
          <w:rFonts w:ascii="Calibri" w:hAnsi="Calibri" w:cs="Calibri"/>
          <w:sz w:val="20"/>
          <w:szCs w:val="20"/>
          <w:lang w:val="en-US"/>
        </w:rPr>
        <w:t>parties involved.</w:t>
      </w:r>
    </w:p>
    <w:p w14:paraId="2129AD54" w14:textId="77777777" w:rsidR="00E464C1" w:rsidRDefault="00E464C1" w:rsidP="00E464C1">
      <w:pPr>
        <w:jc w:val="both"/>
        <w:rPr>
          <w:rFonts w:ascii="Calibri" w:hAnsi="Calibri" w:cs="Calibri"/>
          <w:sz w:val="20"/>
          <w:szCs w:val="20"/>
          <w:lang w:val="en-US"/>
        </w:rPr>
      </w:pPr>
    </w:p>
    <w:p w14:paraId="56EB435C" w14:textId="77777777" w:rsidR="00E464C1" w:rsidRPr="006F5499" w:rsidRDefault="00E464C1" w:rsidP="00E464C1">
      <w:pPr>
        <w:pStyle w:val="Prrafodelista"/>
        <w:numPr>
          <w:ilvl w:val="0"/>
          <w:numId w:val="37"/>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F5499">
        <w:rPr>
          <w:rFonts w:ascii="Calibri" w:hAnsi="Calibri" w:cs="Calibri"/>
          <w:b/>
          <w:sz w:val="20"/>
          <w:szCs w:val="20"/>
        </w:rPr>
        <w:t>Duplicative reporting of the same derivative instruments under MiFIR, EMIR, and REMIT</w:t>
      </w:r>
    </w:p>
    <w:p w14:paraId="1A840414" w14:textId="77777777" w:rsidR="00E464C1" w:rsidRDefault="00E464C1" w:rsidP="00E464C1">
      <w:pPr>
        <w:rPr>
          <w:rFonts w:ascii="Calibri" w:hAnsi="Calibri" w:cs="Calibri"/>
          <w:sz w:val="20"/>
          <w:szCs w:val="20"/>
          <w:lang w:val="en-US"/>
        </w:rPr>
      </w:pPr>
    </w:p>
    <w:p w14:paraId="559D3D12" w14:textId="77777777" w:rsidR="00E464C1" w:rsidRPr="006B196C" w:rsidRDefault="00E464C1" w:rsidP="00E464C1">
      <w:pPr>
        <w:jc w:val="both"/>
        <w:rPr>
          <w:rFonts w:ascii="Calibri" w:hAnsi="Calibri" w:cs="Calibri"/>
          <w:sz w:val="20"/>
          <w:szCs w:val="20"/>
        </w:rPr>
      </w:pPr>
      <w:r>
        <w:rPr>
          <w:rFonts w:ascii="Calibri" w:hAnsi="Calibri" w:cs="Calibri"/>
          <w:sz w:val="20"/>
          <w:szCs w:val="20"/>
        </w:rPr>
        <w:t>For Central Counterparties (“CCPs”), t</w:t>
      </w:r>
      <w:r w:rsidRPr="006B196C">
        <w:rPr>
          <w:rFonts w:ascii="Calibri" w:hAnsi="Calibri" w:cs="Calibri"/>
          <w:sz w:val="20"/>
          <w:szCs w:val="20"/>
        </w:rPr>
        <w:t>he alignment of the different reporting requirements would allow to achieve effective reporting consistency and reporting entities effort reduction.</w:t>
      </w:r>
      <w:r>
        <w:rPr>
          <w:rFonts w:ascii="Calibri" w:hAnsi="Calibri" w:cs="Calibri"/>
          <w:sz w:val="20"/>
          <w:szCs w:val="20"/>
        </w:rPr>
        <w:t xml:space="preserve"> </w:t>
      </w:r>
      <w:r w:rsidRPr="00BE2396">
        <w:rPr>
          <w:rFonts w:ascii="Calibri" w:hAnsi="Calibri" w:cs="Calibri"/>
          <w:sz w:val="20"/>
          <w:szCs w:val="20"/>
        </w:rPr>
        <w:t xml:space="preserve">The use of one single template </w:t>
      </w:r>
      <w:r>
        <w:rPr>
          <w:rFonts w:ascii="Calibri" w:hAnsi="Calibri" w:cs="Calibri"/>
          <w:sz w:val="20"/>
          <w:szCs w:val="20"/>
        </w:rPr>
        <w:lastRenderedPageBreak/>
        <w:t xml:space="preserve">would </w:t>
      </w:r>
      <w:r w:rsidRPr="00BE2396">
        <w:rPr>
          <w:rFonts w:ascii="Calibri" w:hAnsi="Calibri" w:cs="Calibri"/>
          <w:sz w:val="20"/>
          <w:szCs w:val="20"/>
        </w:rPr>
        <w:t>bring the benefit of avoiding duplicative reporting (MiFIR-EMIR or MiFIR-SFTR), without requiring any reduction in the current scope of data reported under these three regulations.</w:t>
      </w:r>
    </w:p>
    <w:p w14:paraId="0C3CB229" w14:textId="77777777" w:rsidR="00E464C1" w:rsidRDefault="00E464C1" w:rsidP="00E464C1">
      <w:pPr>
        <w:jc w:val="both"/>
        <w:rPr>
          <w:rFonts w:ascii="Calibri" w:hAnsi="Calibri" w:cs="Calibri"/>
          <w:sz w:val="20"/>
          <w:szCs w:val="20"/>
        </w:rPr>
      </w:pPr>
      <w:r>
        <w:rPr>
          <w:rFonts w:ascii="Calibri" w:hAnsi="Calibri" w:cs="Calibri"/>
          <w:sz w:val="20"/>
          <w:szCs w:val="20"/>
          <w:lang w:val="en-US"/>
        </w:rPr>
        <w:t>T</w:t>
      </w:r>
      <w:r w:rsidRPr="006B196C">
        <w:rPr>
          <w:rFonts w:ascii="Calibri" w:hAnsi="Calibri" w:cs="Calibri"/>
          <w:sz w:val="20"/>
          <w:szCs w:val="20"/>
          <w:lang w:val="en-US"/>
        </w:rPr>
        <w:t xml:space="preserve">hese factors represent the most significant sources of cost and inefficiency for market participants, authorities, and the wider reporting ecosystem. </w:t>
      </w:r>
      <w:r>
        <w:rPr>
          <w:rFonts w:ascii="Calibri" w:hAnsi="Calibri" w:cs="Calibri"/>
          <w:sz w:val="20"/>
          <w:szCs w:val="20"/>
        </w:rPr>
        <w:t>However, while s</w:t>
      </w:r>
      <w:proofErr w:type="spellStart"/>
      <w:r w:rsidRPr="4396CCE2">
        <w:rPr>
          <w:rFonts w:ascii="Calibri" w:hAnsi="Calibri" w:cs="Calibri"/>
          <w:sz w:val="20"/>
          <w:szCs w:val="20"/>
          <w:lang w:val="en-US"/>
        </w:rPr>
        <w:t>treamlining</w:t>
      </w:r>
      <w:proofErr w:type="spellEnd"/>
      <w:r w:rsidRPr="006B196C">
        <w:rPr>
          <w:rFonts w:ascii="Calibri" w:hAnsi="Calibri" w:cs="Calibri"/>
          <w:sz w:val="20"/>
          <w:szCs w:val="20"/>
          <w:lang w:val="en-US"/>
        </w:rPr>
        <w:t xml:space="preserve"> and </w:t>
      </w:r>
      <w:proofErr w:type="spellStart"/>
      <w:r w:rsidRPr="006B196C">
        <w:rPr>
          <w:rFonts w:ascii="Calibri" w:hAnsi="Calibri" w:cs="Calibri"/>
          <w:sz w:val="20"/>
          <w:szCs w:val="20"/>
          <w:lang w:val="en-US"/>
        </w:rPr>
        <w:t>centrali</w:t>
      </w:r>
      <w:r>
        <w:rPr>
          <w:rFonts w:ascii="Calibri" w:hAnsi="Calibri" w:cs="Calibri"/>
          <w:sz w:val="20"/>
          <w:szCs w:val="20"/>
          <w:lang w:val="en-US"/>
        </w:rPr>
        <w:t>s</w:t>
      </w:r>
      <w:r w:rsidRPr="006B196C">
        <w:rPr>
          <w:rFonts w:ascii="Calibri" w:hAnsi="Calibri" w:cs="Calibri"/>
          <w:sz w:val="20"/>
          <w:szCs w:val="20"/>
          <w:lang w:val="en-US"/>
        </w:rPr>
        <w:t>ing</w:t>
      </w:r>
      <w:proofErr w:type="spellEnd"/>
      <w:r w:rsidRPr="006B196C">
        <w:rPr>
          <w:rFonts w:ascii="Calibri" w:hAnsi="Calibri" w:cs="Calibri"/>
          <w:sz w:val="20"/>
          <w:szCs w:val="20"/>
          <w:lang w:val="en-US"/>
        </w:rPr>
        <w:t xml:space="preserve"> reporting processes would help address these issues and reduce unnecessary complexity</w:t>
      </w:r>
      <w:r>
        <w:rPr>
          <w:rFonts w:ascii="Calibri" w:hAnsi="Calibri" w:cs="Calibri"/>
          <w:sz w:val="20"/>
          <w:szCs w:val="20"/>
        </w:rPr>
        <w:t xml:space="preserve">, </w:t>
      </w:r>
      <w:r w:rsidRPr="006B196C">
        <w:rPr>
          <w:rFonts w:ascii="Calibri" w:hAnsi="Calibri" w:cs="Calibri"/>
          <w:sz w:val="20"/>
          <w:szCs w:val="20"/>
        </w:rPr>
        <w:t xml:space="preserve">there is no </w:t>
      </w:r>
      <w:r>
        <w:rPr>
          <w:rFonts w:ascii="Calibri" w:hAnsi="Calibri" w:cs="Calibri"/>
          <w:sz w:val="20"/>
          <w:szCs w:val="20"/>
        </w:rPr>
        <w:t xml:space="preserve">urgent </w:t>
      </w:r>
      <w:r w:rsidRPr="006B196C">
        <w:rPr>
          <w:rFonts w:ascii="Calibri" w:hAnsi="Calibri" w:cs="Calibri"/>
          <w:sz w:val="20"/>
          <w:szCs w:val="20"/>
        </w:rPr>
        <w:t xml:space="preserve">need for review, especially if this happens to the detriment of quality and consistency of reported data. In this sense, we appreciate ESMA’s move to make a no-rush and comprehensive analysis of the current situation with enough time ahead of March 2028 to properly refine findings and conclusions. </w:t>
      </w:r>
    </w:p>
    <w:p w14:paraId="0F8B8179" w14:textId="77777777" w:rsidR="00E464C1" w:rsidRDefault="00E464C1" w:rsidP="00E464C1">
      <w:pPr>
        <w:jc w:val="both"/>
        <w:rPr>
          <w:rFonts w:ascii="Calibri" w:hAnsi="Calibri" w:cs="Calibri"/>
          <w:sz w:val="20"/>
          <w:szCs w:val="20"/>
        </w:rPr>
      </w:pPr>
    </w:p>
    <w:p w14:paraId="75F2C9BC"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Proper and serious impact assessments are needed to ensure useful and cost-efficient regime is put in place.</w:t>
      </w:r>
      <w:r>
        <w:rPr>
          <w:rFonts w:ascii="Calibri" w:hAnsi="Calibri" w:cs="Calibri"/>
          <w:sz w:val="20"/>
          <w:szCs w:val="20"/>
        </w:rPr>
        <w:t xml:space="preserve"> </w:t>
      </w:r>
      <w:r w:rsidRPr="006B196C">
        <w:rPr>
          <w:rFonts w:ascii="Calibri" w:hAnsi="Calibri" w:cs="Calibri"/>
          <w:sz w:val="20"/>
          <w:szCs w:val="20"/>
        </w:rPr>
        <w:t xml:space="preserve">To ensure a more comprehensive, cost-efficient and future-proof approach to </w:t>
      </w:r>
      <w:r>
        <w:rPr>
          <w:rFonts w:ascii="Calibri" w:hAnsi="Calibri" w:cs="Calibri"/>
          <w:sz w:val="20"/>
          <w:szCs w:val="20"/>
        </w:rPr>
        <w:t>regulatory</w:t>
      </w:r>
      <w:r w:rsidRPr="006B196C">
        <w:rPr>
          <w:rFonts w:ascii="Calibri" w:hAnsi="Calibri" w:cs="Calibri"/>
          <w:sz w:val="20"/>
          <w:szCs w:val="20"/>
        </w:rPr>
        <w:t xml:space="preserve"> reporting across different regulatory frameworks, conduction of proper impact assessment is needed. Hence, we advocate for the implementation of thorough fact-based impact and cost assessments before proposing new regulation or amendments to the existing regimes. </w:t>
      </w:r>
    </w:p>
    <w:p w14:paraId="7E3215C6" w14:textId="77777777" w:rsidR="00E464C1" w:rsidRPr="006B196C" w:rsidRDefault="00E464C1" w:rsidP="00E464C1">
      <w:pPr>
        <w:jc w:val="both"/>
        <w:rPr>
          <w:rFonts w:ascii="Calibri" w:hAnsi="Calibri" w:cs="Calibri"/>
          <w:sz w:val="20"/>
          <w:szCs w:val="20"/>
        </w:rPr>
      </w:pPr>
    </w:p>
    <w:p w14:paraId="627A3D18"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 xml:space="preserve">A consistent approach would necessarily imply a higher degree of coordination across teams and units within NCAs, ESMA and EC so that the production of different, divergent but overlapping pieces of regulation that are very similar in nature and purpose is avoided. Improved coordination should be </w:t>
      </w:r>
      <w:r w:rsidRPr="000244F6">
        <w:rPr>
          <w:rFonts w:ascii="Calibri" w:hAnsi="Calibri" w:cs="Calibri"/>
          <w:sz w:val="20"/>
          <w:szCs w:val="20"/>
        </w:rPr>
        <w:t>sought</w:t>
      </w:r>
      <w:r w:rsidRPr="006B196C">
        <w:rPr>
          <w:rFonts w:ascii="Calibri" w:hAnsi="Calibri" w:cs="Calibri"/>
          <w:sz w:val="20"/>
          <w:szCs w:val="20"/>
        </w:rPr>
        <w:t xml:space="preserve"> also regarding the implementation timelines. Better planification of roll-outs phases would prove beneficial for all implied stakeholders (e.g., NCAs, </w:t>
      </w:r>
      <w:r>
        <w:rPr>
          <w:rFonts w:ascii="Calibri" w:hAnsi="Calibri" w:cs="Calibri"/>
          <w:sz w:val="20"/>
          <w:szCs w:val="20"/>
        </w:rPr>
        <w:t>regulated</w:t>
      </w:r>
      <w:r w:rsidRPr="006B196C">
        <w:rPr>
          <w:rFonts w:ascii="Calibri" w:hAnsi="Calibri" w:cs="Calibri"/>
          <w:sz w:val="20"/>
          <w:szCs w:val="20"/>
        </w:rPr>
        <w:t xml:space="preserve"> reporting infrastructure or obliged firms) and would help ensuring a most effective implementation of significant regulatory changes.</w:t>
      </w:r>
    </w:p>
    <w:p w14:paraId="0686BEC7" w14:textId="77777777" w:rsidR="00E464C1" w:rsidRPr="006B196C" w:rsidRDefault="00E464C1" w:rsidP="00E464C1">
      <w:pPr>
        <w:jc w:val="both"/>
        <w:rPr>
          <w:rFonts w:ascii="Calibri" w:hAnsi="Calibri" w:cs="Calibri"/>
          <w:sz w:val="20"/>
          <w:szCs w:val="20"/>
        </w:rPr>
      </w:pPr>
    </w:p>
    <w:p w14:paraId="7A5191D6" w14:textId="77777777" w:rsidR="00E464C1" w:rsidRDefault="00E464C1" w:rsidP="00E464C1">
      <w:pPr>
        <w:jc w:val="both"/>
        <w:rPr>
          <w:rFonts w:ascii="Calibri" w:hAnsi="Calibri" w:cs="Calibri"/>
          <w:sz w:val="20"/>
          <w:szCs w:val="20"/>
        </w:rPr>
      </w:pPr>
      <w:r>
        <w:rPr>
          <w:rFonts w:ascii="Calibri" w:hAnsi="Calibri" w:cs="Calibri"/>
          <w:sz w:val="20"/>
          <w:szCs w:val="20"/>
        </w:rPr>
        <w:t>This</w:t>
      </w:r>
      <w:r w:rsidRPr="006B196C">
        <w:rPr>
          <w:rFonts w:ascii="Calibri" w:hAnsi="Calibri" w:cs="Calibri"/>
          <w:sz w:val="20"/>
          <w:szCs w:val="20"/>
        </w:rPr>
        <w:t xml:space="preserve"> call for evidence does not point to the MiFIR (Art. 26.5) requirement for trading venues to collect information from trading participants that are not directly subject to MiFIR reporting as a relevant compliance burden. We advocate for simplifying the process through requiring all participants to report their transactions.</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22B02B8B" w14:textId="77777777" w:rsidR="00E464C1" w:rsidRPr="000E44AE" w:rsidRDefault="00E464C1" w:rsidP="00E464C1">
      <w:pPr>
        <w:rPr>
          <w:rFonts w:ascii="Calibri" w:hAnsi="Calibri" w:cs="Calibri"/>
          <w:sz w:val="20"/>
          <w:szCs w:val="20"/>
          <w:u w:val="single"/>
        </w:rPr>
      </w:pPr>
      <w:permStart w:id="545925079" w:edGrp="everyone"/>
      <w:r w:rsidRPr="006B196C">
        <w:rPr>
          <w:rFonts w:ascii="Calibri" w:hAnsi="Calibri" w:cs="Calibri"/>
          <w:sz w:val="20"/>
          <w:szCs w:val="20"/>
        </w:rPr>
        <w:t>SIX Group generally agrees with the overall proposed principles</w:t>
      </w:r>
      <w:r>
        <w:rPr>
          <w:rFonts w:ascii="Calibri" w:hAnsi="Calibri" w:cs="Calibri"/>
          <w:sz w:val="20"/>
          <w:szCs w:val="20"/>
        </w:rPr>
        <w:t>, although the list may not be exhaustive</w:t>
      </w:r>
      <w:r w:rsidRPr="006B196C">
        <w:rPr>
          <w:rFonts w:ascii="Calibri" w:hAnsi="Calibri" w:cs="Calibri"/>
          <w:sz w:val="20"/>
          <w:szCs w:val="20"/>
        </w:rPr>
        <w:t>. We would like to comment specifically on the following principles:</w:t>
      </w:r>
    </w:p>
    <w:p w14:paraId="5B83355B" w14:textId="77777777" w:rsidR="00E464C1" w:rsidRPr="000E44AE" w:rsidRDefault="00E464C1" w:rsidP="00E464C1">
      <w:pPr>
        <w:rPr>
          <w:rFonts w:ascii="Calibri" w:hAnsi="Calibri" w:cs="Calibri"/>
          <w:sz w:val="20"/>
          <w:szCs w:val="20"/>
          <w:u w:val="single"/>
        </w:rPr>
      </w:pPr>
    </w:p>
    <w:p w14:paraId="53A2D74C" w14:textId="77777777" w:rsidR="00E464C1" w:rsidRPr="000F6553" w:rsidRDefault="00E464C1" w:rsidP="00E464C1">
      <w:pPr>
        <w:pStyle w:val="Prrafodelista"/>
        <w:numPr>
          <w:ilvl w:val="0"/>
          <w:numId w:val="39"/>
        </w:numPr>
        <w:tabs>
          <w:tab w:val="clear" w:pos="0"/>
          <w:tab w:val="clear" w:pos="142"/>
          <w:tab w:val="clear" w:pos="284"/>
          <w:tab w:val="clear" w:pos="567"/>
        </w:tabs>
        <w:autoSpaceDE/>
        <w:autoSpaceDN/>
        <w:adjustRightInd/>
        <w:spacing w:after="80" w:line="240" w:lineRule="auto"/>
        <w:contextualSpacing/>
        <w:rPr>
          <w:rFonts w:ascii="Calibri" w:hAnsi="Calibri" w:cs="Calibri"/>
          <w:sz w:val="20"/>
          <w:szCs w:val="20"/>
        </w:rPr>
      </w:pPr>
      <w:r w:rsidRPr="00214300">
        <w:rPr>
          <w:rFonts w:ascii="Calibri" w:hAnsi="Calibri" w:cs="Calibri"/>
          <w:sz w:val="20"/>
          <w:szCs w:val="20"/>
          <w:u w:val="single"/>
        </w:rPr>
        <w:t>Preserve information scope</w:t>
      </w:r>
      <w:r w:rsidRPr="00214300">
        <w:rPr>
          <w:rFonts w:ascii="Calibri" w:hAnsi="Calibri" w:cs="Calibri"/>
          <w:sz w:val="20"/>
          <w:szCs w:val="20"/>
        </w:rPr>
        <w:t xml:space="preserve">. We agree with the general description of this principle (i.e., changes must not unduly restrict the information needed by authorities and other entities to perform their supervisory and other duties and gaps should be assessed and addressed, based on actual use of data). </w:t>
      </w:r>
      <w:r w:rsidRPr="000F6553">
        <w:rPr>
          <w:rFonts w:ascii="Calibri" w:hAnsi="Calibri" w:cs="Calibri"/>
          <w:sz w:val="20"/>
          <w:szCs w:val="20"/>
        </w:rPr>
        <w:t xml:space="preserve">Delivery of this principle can be achieved through both the assessment of data needs by supervisory authorities and the amount of data collected. In this regard, we advocate for an exhaustive review of the data required to perform supervisory duties adequately. </w:t>
      </w:r>
    </w:p>
    <w:p w14:paraId="292A6663" w14:textId="77777777" w:rsidR="00E464C1" w:rsidRPr="006F5499" w:rsidRDefault="00E464C1" w:rsidP="00E464C1">
      <w:pPr>
        <w:pStyle w:val="Prrafodelista"/>
        <w:numPr>
          <w:ilvl w:val="0"/>
          <w:numId w:val="0"/>
        </w:numPr>
        <w:spacing w:before="240"/>
        <w:ind w:left="1068"/>
        <w:rPr>
          <w:rFonts w:ascii="Calibri" w:hAnsi="Calibri" w:cs="Calibri"/>
          <w:sz w:val="20"/>
          <w:szCs w:val="20"/>
        </w:rPr>
      </w:pPr>
    </w:p>
    <w:p w14:paraId="5AA6AD65" w14:textId="77777777" w:rsidR="00E464C1" w:rsidRPr="006F5499" w:rsidRDefault="00E464C1" w:rsidP="00E464C1">
      <w:pPr>
        <w:pStyle w:val="Prrafodelista"/>
        <w:numPr>
          <w:ilvl w:val="0"/>
          <w:numId w:val="38"/>
        </w:numPr>
        <w:tabs>
          <w:tab w:val="clear" w:pos="0"/>
          <w:tab w:val="clear" w:pos="142"/>
          <w:tab w:val="clear" w:pos="284"/>
          <w:tab w:val="clear" w:pos="567"/>
        </w:tabs>
        <w:autoSpaceDE/>
        <w:autoSpaceDN/>
        <w:adjustRightInd/>
        <w:spacing w:before="240" w:after="80" w:line="240" w:lineRule="auto"/>
        <w:contextualSpacing/>
        <w:rPr>
          <w:rFonts w:ascii="Calibri" w:hAnsi="Calibri" w:cs="Calibri"/>
          <w:sz w:val="20"/>
          <w:szCs w:val="20"/>
        </w:rPr>
      </w:pPr>
      <w:r w:rsidRPr="00DE7E58">
        <w:rPr>
          <w:rFonts w:ascii="Calibri" w:hAnsi="Calibri" w:cs="Calibri"/>
          <w:sz w:val="20"/>
          <w:szCs w:val="20"/>
          <w:u w:val="single"/>
        </w:rPr>
        <w:t>Decrease overlaps to reduce reporting burden</w:t>
      </w:r>
      <w:r>
        <w:rPr>
          <w:rFonts w:ascii="Calibri" w:hAnsi="Calibri" w:cs="Calibri"/>
          <w:sz w:val="20"/>
          <w:szCs w:val="20"/>
        </w:rPr>
        <w:t>. We would advocate for a more ambitious goal. In our view, full elimination of overlaps would effectively reduce reporting burden. Where elimination is not possible, minimization of overlaps should be the target. Otherwise, the effectiveness of reporting framework amendment might be limited. Any change should aim at being future proof.</w:t>
      </w:r>
    </w:p>
    <w:p w14:paraId="4756D5D4" w14:textId="77777777" w:rsidR="00E464C1" w:rsidRPr="006F5499" w:rsidRDefault="00E464C1" w:rsidP="00E464C1">
      <w:pPr>
        <w:pStyle w:val="Prrafodelista"/>
        <w:numPr>
          <w:ilvl w:val="0"/>
          <w:numId w:val="0"/>
        </w:numPr>
        <w:spacing w:before="240"/>
        <w:ind w:left="1068"/>
        <w:rPr>
          <w:rFonts w:ascii="Calibri" w:hAnsi="Calibri" w:cs="Calibri"/>
          <w:sz w:val="20"/>
          <w:szCs w:val="20"/>
        </w:rPr>
      </w:pPr>
    </w:p>
    <w:p w14:paraId="6956138F" w14:textId="77777777" w:rsidR="00E464C1" w:rsidRPr="003A2943" w:rsidRDefault="00E464C1" w:rsidP="00E464C1">
      <w:pPr>
        <w:pStyle w:val="Prrafodelista"/>
        <w:numPr>
          <w:ilvl w:val="0"/>
          <w:numId w:val="38"/>
        </w:numPr>
        <w:tabs>
          <w:tab w:val="clear" w:pos="0"/>
          <w:tab w:val="clear" w:pos="142"/>
          <w:tab w:val="clear" w:pos="284"/>
          <w:tab w:val="clear" w:pos="567"/>
        </w:tabs>
        <w:autoSpaceDE/>
        <w:autoSpaceDN/>
        <w:adjustRightInd/>
        <w:spacing w:before="240" w:after="80" w:line="240" w:lineRule="auto"/>
        <w:contextualSpacing/>
        <w:rPr>
          <w:rFonts w:ascii="Calibri" w:hAnsi="Calibri" w:cs="Calibri"/>
          <w:sz w:val="20"/>
          <w:szCs w:val="20"/>
        </w:rPr>
      </w:pPr>
      <w:r>
        <w:rPr>
          <w:rFonts w:ascii="Calibri" w:hAnsi="Calibri" w:cs="Calibri"/>
          <w:sz w:val="20"/>
          <w:szCs w:val="20"/>
          <w:u w:val="single"/>
        </w:rPr>
        <w:t>Ensure global alignment</w:t>
      </w:r>
      <w:r w:rsidRPr="004A40FB">
        <w:rPr>
          <w:rFonts w:ascii="Calibri" w:hAnsi="Calibri" w:cs="Calibri"/>
          <w:sz w:val="20"/>
          <w:szCs w:val="20"/>
        </w:rPr>
        <w:t>.</w:t>
      </w:r>
      <w:r>
        <w:rPr>
          <w:rFonts w:ascii="Calibri" w:hAnsi="Calibri" w:cs="Calibri"/>
          <w:sz w:val="20"/>
          <w:szCs w:val="20"/>
        </w:rPr>
        <w:t xml:space="preserve"> We see this principle as needed condition to contribute to repositioning the EU as a competitive jurisdiction in the global financial market. If in addition to global alignment, EU policy makers were able to device features making EU more appealing than other jurisdictions, that would prove truly a game-changer. </w:t>
      </w:r>
      <w:r w:rsidRPr="00A41D50">
        <w:rPr>
          <w:rFonts w:ascii="Calibri" w:hAnsi="Calibri" w:cs="Calibri"/>
          <w:sz w:val="20"/>
          <w:szCs w:val="20"/>
        </w:rPr>
        <w:t>However, ensuring global alignment is not</w:t>
      </w:r>
      <w:r>
        <w:rPr>
          <w:rFonts w:ascii="Calibri" w:hAnsi="Calibri" w:cs="Calibri"/>
          <w:sz w:val="20"/>
          <w:szCs w:val="20"/>
        </w:rPr>
        <w:t xml:space="preserve"> </w:t>
      </w:r>
      <w:r w:rsidRPr="006F5499">
        <w:rPr>
          <w:rFonts w:ascii="Calibri" w:hAnsi="Calibri" w:cs="Calibri"/>
          <w:sz w:val="20"/>
          <w:szCs w:val="20"/>
        </w:rPr>
        <w:t xml:space="preserve">always feasible due to </w:t>
      </w:r>
      <w:r w:rsidRPr="006F5499">
        <w:rPr>
          <w:rFonts w:ascii="Calibri" w:hAnsi="Calibri" w:cs="Calibri"/>
          <w:sz w:val="20"/>
          <w:szCs w:val="20"/>
        </w:rPr>
        <w:lastRenderedPageBreak/>
        <w:t>differences in other related regulations that fall out of the scope of this review.</w:t>
      </w:r>
      <w:r>
        <w:rPr>
          <w:rFonts w:ascii="Calibri" w:hAnsi="Calibri" w:cs="Calibri"/>
          <w:sz w:val="20"/>
          <w:szCs w:val="20"/>
        </w:rPr>
        <w:t xml:space="preserve"> </w:t>
      </w:r>
      <w:r w:rsidRPr="006F5499">
        <w:rPr>
          <w:rFonts w:ascii="Calibri" w:hAnsi="Calibri" w:cs="Calibri"/>
          <w:sz w:val="20"/>
          <w:szCs w:val="20"/>
        </w:rPr>
        <w:t>For instance, the US Dodd-Frank Act only covers OTC derivatives reporting, as ETDs are already</w:t>
      </w:r>
      <w:r>
        <w:rPr>
          <w:rFonts w:ascii="Calibri" w:hAnsi="Calibri" w:cs="Calibri"/>
          <w:sz w:val="20"/>
          <w:szCs w:val="20"/>
        </w:rPr>
        <w:t xml:space="preserve"> </w:t>
      </w:r>
      <w:r w:rsidRPr="006F5499">
        <w:rPr>
          <w:rFonts w:ascii="Calibri" w:hAnsi="Calibri" w:cs="Calibri"/>
          <w:sz w:val="20"/>
          <w:szCs w:val="20"/>
        </w:rPr>
        <w:t>supervised under other existing regulations. Likewise, the equivalent of the MiFIR transaction</w:t>
      </w:r>
      <w:r>
        <w:rPr>
          <w:rFonts w:ascii="Calibri" w:hAnsi="Calibri" w:cs="Calibri"/>
          <w:sz w:val="20"/>
          <w:szCs w:val="20"/>
        </w:rPr>
        <w:t xml:space="preserve"> </w:t>
      </w:r>
      <w:r w:rsidRPr="006F5499">
        <w:rPr>
          <w:rFonts w:ascii="Calibri" w:hAnsi="Calibri" w:cs="Calibri"/>
          <w:sz w:val="20"/>
          <w:szCs w:val="20"/>
        </w:rPr>
        <w:t>reporting obligations in the US, is covered by different regulations such as DFA, ATS and CEA, with</w:t>
      </w:r>
      <w:r>
        <w:rPr>
          <w:rFonts w:ascii="Calibri" w:hAnsi="Calibri" w:cs="Calibri"/>
          <w:sz w:val="20"/>
          <w:szCs w:val="20"/>
        </w:rPr>
        <w:t xml:space="preserve"> </w:t>
      </w:r>
      <w:r w:rsidRPr="006F5499">
        <w:rPr>
          <w:rFonts w:ascii="Calibri" w:hAnsi="Calibri" w:cs="Calibri"/>
          <w:sz w:val="20"/>
          <w:szCs w:val="20"/>
        </w:rPr>
        <w:t>enforcements on exchanges and OTFs that complement the transaction reporting performed by</w:t>
      </w:r>
      <w:r>
        <w:rPr>
          <w:rFonts w:ascii="Calibri" w:hAnsi="Calibri" w:cs="Calibri"/>
          <w:sz w:val="20"/>
          <w:szCs w:val="20"/>
        </w:rPr>
        <w:t xml:space="preserve"> </w:t>
      </w:r>
      <w:r w:rsidRPr="006F5499">
        <w:rPr>
          <w:rFonts w:ascii="Calibri" w:hAnsi="Calibri" w:cs="Calibri"/>
          <w:sz w:val="20"/>
          <w:szCs w:val="20"/>
        </w:rPr>
        <w:t>market participants. Therefore, although this alignment is a desirable goal, the ultimate objective</w:t>
      </w:r>
      <w:r>
        <w:rPr>
          <w:rFonts w:ascii="Calibri" w:hAnsi="Calibri" w:cs="Calibri"/>
          <w:sz w:val="20"/>
          <w:szCs w:val="20"/>
        </w:rPr>
        <w:t xml:space="preserve"> </w:t>
      </w:r>
      <w:r w:rsidRPr="006F5499">
        <w:rPr>
          <w:rFonts w:ascii="Calibri" w:hAnsi="Calibri" w:cs="Calibri"/>
          <w:sz w:val="20"/>
          <w:szCs w:val="20"/>
        </w:rPr>
        <w:t>should be to reduce the reporting burden while preserving the information scope of the different EU</w:t>
      </w:r>
      <w:r>
        <w:rPr>
          <w:rFonts w:ascii="Calibri" w:hAnsi="Calibri" w:cs="Calibri"/>
          <w:sz w:val="20"/>
          <w:szCs w:val="20"/>
        </w:rPr>
        <w:t xml:space="preserve"> </w:t>
      </w:r>
      <w:r w:rsidRPr="006F5499">
        <w:rPr>
          <w:rFonts w:ascii="Calibri" w:hAnsi="Calibri" w:cs="Calibri"/>
          <w:sz w:val="20"/>
          <w:szCs w:val="20"/>
        </w:rPr>
        <w:t>regulations and ensure a future-proof solution with the required technological capabilities to</w:t>
      </w:r>
      <w:r>
        <w:rPr>
          <w:rFonts w:ascii="Calibri" w:hAnsi="Calibri" w:cs="Calibri"/>
          <w:sz w:val="20"/>
          <w:szCs w:val="20"/>
        </w:rPr>
        <w:t xml:space="preserve"> </w:t>
      </w:r>
      <w:r w:rsidRPr="006F5499">
        <w:rPr>
          <w:rFonts w:ascii="Calibri" w:hAnsi="Calibri" w:cs="Calibri"/>
          <w:sz w:val="20"/>
          <w:szCs w:val="20"/>
        </w:rPr>
        <w:t>support all needs and achieve an efficient and useful framework.</w:t>
      </w:r>
    </w:p>
    <w:p w14:paraId="26394438" w14:textId="77777777" w:rsidR="00E464C1" w:rsidRPr="006F5499" w:rsidRDefault="00E464C1" w:rsidP="00E464C1">
      <w:pPr>
        <w:pStyle w:val="Prrafodelista"/>
        <w:numPr>
          <w:ilvl w:val="0"/>
          <w:numId w:val="0"/>
        </w:numPr>
        <w:spacing w:before="240"/>
        <w:ind w:left="1068"/>
        <w:rPr>
          <w:rFonts w:ascii="Calibri" w:hAnsi="Calibri" w:cs="Calibri"/>
          <w:sz w:val="20"/>
          <w:szCs w:val="20"/>
        </w:rPr>
      </w:pPr>
    </w:p>
    <w:p w14:paraId="7DFAE810" w14:textId="77777777" w:rsidR="00E464C1" w:rsidRPr="00AC09C6" w:rsidRDefault="00E464C1" w:rsidP="00E464C1">
      <w:pPr>
        <w:pStyle w:val="Prrafodelista"/>
        <w:numPr>
          <w:ilvl w:val="0"/>
          <w:numId w:val="38"/>
        </w:numPr>
        <w:tabs>
          <w:tab w:val="clear" w:pos="0"/>
          <w:tab w:val="clear" w:pos="142"/>
          <w:tab w:val="clear" w:pos="284"/>
          <w:tab w:val="clear" w:pos="567"/>
        </w:tabs>
        <w:autoSpaceDE/>
        <w:autoSpaceDN/>
        <w:adjustRightInd/>
        <w:spacing w:before="240" w:after="80" w:line="240" w:lineRule="auto"/>
        <w:contextualSpacing/>
        <w:rPr>
          <w:rFonts w:ascii="Calibri" w:hAnsi="Calibri" w:cs="Calibri"/>
          <w:sz w:val="20"/>
          <w:szCs w:val="20"/>
        </w:rPr>
      </w:pPr>
      <w:r w:rsidRPr="00DE7E58">
        <w:rPr>
          <w:rFonts w:ascii="Calibri" w:hAnsi="Calibri" w:cs="Calibri"/>
          <w:sz w:val="20"/>
          <w:szCs w:val="20"/>
          <w:u w:val="single"/>
        </w:rPr>
        <w:t>Balance cost and benefit</w:t>
      </w:r>
      <w:r>
        <w:rPr>
          <w:rFonts w:ascii="Calibri" w:hAnsi="Calibri" w:cs="Calibri"/>
          <w:sz w:val="20"/>
          <w:szCs w:val="20"/>
        </w:rPr>
        <w:t xml:space="preserve">. This principle shall play a pivotal role in defining the nature, amount and frequency of data to be reported. Considering there is time enough for the March 2028 deadline, we would advocate for an exhaustive impact assessment and cost analysis in this regard to find a balance that ensures an EU business-friendly approach while maintaining sufficient supervisory capacity to preserve market integrity and transparency. </w:t>
      </w:r>
    </w:p>
    <w:p w14:paraId="1DA5B835" w14:textId="77777777" w:rsidR="00E464C1" w:rsidRPr="00AC09C6" w:rsidRDefault="00E464C1" w:rsidP="00E464C1">
      <w:pPr>
        <w:spacing w:before="240"/>
        <w:rPr>
          <w:rFonts w:ascii="Calibri" w:hAnsi="Calibri" w:cs="Calibri"/>
          <w:sz w:val="20"/>
          <w:szCs w:val="20"/>
          <w:lang w:val="en-US"/>
        </w:rPr>
      </w:pPr>
      <w:r w:rsidRPr="00AC09C6">
        <w:rPr>
          <w:rFonts w:ascii="Calibri" w:hAnsi="Calibri" w:cs="Calibri"/>
          <w:sz w:val="20"/>
          <w:szCs w:val="20"/>
        </w:rPr>
        <w:t>We would suggest additional princ</w:t>
      </w:r>
      <w:r>
        <w:rPr>
          <w:rFonts w:ascii="Calibri" w:hAnsi="Calibri" w:cs="Calibri"/>
          <w:sz w:val="20"/>
          <w:szCs w:val="20"/>
        </w:rPr>
        <w:t xml:space="preserve">iples: </w:t>
      </w:r>
    </w:p>
    <w:p w14:paraId="79988F9C" w14:textId="77777777" w:rsidR="00E464C1" w:rsidRPr="006F5499" w:rsidRDefault="00E464C1" w:rsidP="00E464C1">
      <w:pPr>
        <w:pStyle w:val="Prrafodelista"/>
        <w:numPr>
          <w:ilvl w:val="0"/>
          <w:numId w:val="0"/>
        </w:numPr>
        <w:ind w:left="1068"/>
        <w:rPr>
          <w:rFonts w:ascii="Calibri" w:hAnsi="Calibri" w:cs="Calibri"/>
          <w:sz w:val="20"/>
          <w:szCs w:val="20"/>
        </w:rPr>
      </w:pPr>
    </w:p>
    <w:p w14:paraId="6CCA4303" w14:textId="77777777" w:rsidR="00E464C1" w:rsidRDefault="00E464C1" w:rsidP="00E464C1">
      <w:pPr>
        <w:pStyle w:val="Prrafodelista"/>
        <w:numPr>
          <w:ilvl w:val="0"/>
          <w:numId w:val="38"/>
        </w:numPr>
        <w:tabs>
          <w:tab w:val="clear" w:pos="0"/>
          <w:tab w:val="clear" w:pos="142"/>
          <w:tab w:val="clear" w:pos="284"/>
          <w:tab w:val="clear" w:pos="567"/>
        </w:tabs>
        <w:autoSpaceDE/>
        <w:autoSpaceDN/>
        <w:adjustRightInd/>
        <w:spacing w:before="240" w:after="80" w:line="240" w:lineRule="auto"/>
        <w:contextualSpacing/>
        <w:rPr>
          <w:rFonts w:ascii="Calibri" w:hAnsi="Calibri" w:cs="Calibri"/>
          <w:sz w:val="20"/>
          <w:szCs w:val="20"/>
        </w:rPr>
      </w:pPr>
      <w:r w:rsidRPr="00B35A8F">
        <w:rPr>
          <w:rFonts w:ascii="Calibri" w:hAnsi="Calibri" w:cs="Calibri"/>
          <w:sz w:val="20"/>
          <w:szCs w:val="20"/>
          <w:u w:val="single"/>
        </w:rPr>
        <w:t>Comprehensiveness and Future-Proof Review</w:t>
      </w:r>
      <w:r w:rsidRPr="00B35A8F">
        <w:rPr>
          <w:rFonts w:ascii="Calibri" w:hAnsi="Calibri" w:cs="Calibri"/>
          <w:sz w:val="20"/>
          <w:szCs w:val="20"/>
        </w:rPr>
        <w:t>:</w:t>
      </w:r>
      <w:r>
        <w:rPr>
          <w:rFonts w:ascii="Calibri" w:hAnsi="Calibri" w:cs="Calibri"/>
          <w:sz w:val="20"/>
          <w:szCs w:val="20"/>
        </w:rPr>
        <w:t xml:space="preserve"> It is paramount </w:t>
      </w:r>
      <w:r w:rsidRPr="006B196C">
        <w:rPr>
          <w:rFonts w:ascii="Calibri" w:hAnsi="Calibri" w:cs="Calibri"/>
          <w:sz w:val="20"/>
          <w:szCs w:val="20"/>
        </w:rPr>
        <w:t xml:space="preserve">to ensure that changes to the reporting framework are long-lasting and exhaustive (i.e., </w:t>
      </w:r>
      <w:r w:rsidRPr="4396CCE2">
        <w:rPr>
          <w:rFonts w:ascii="Calibri" w:hAnsi="Calibri" w:cs="Calibri"/>
          <w:sz w:val="20"/>
          <w:szCs w:val="20"/>
        </w:rPr>
        <w:t xml:space="preserve">to improve the reporting regime for </w:t>
      </w:r>
      <w:r w:rsidRPr="006B196C">
        <w:rPr>
          <w:rFonts w:ascii="Calibri" w:hAnsi="Calibri" w:cs="Calibri"/>
          <w:sz w:val="20"/>
          <w:szCs w:val="20"/>
        </w:rPr>
        <w:t xml:space="preserve">all asset classes and not only to derivatives). Changes to the reporting regime/s should avoid bringing in extra complexity and should remain as simple as possible and not beyond what is strictly needed to allow for efficient supervisory tasks by authorities. </w:t>
      </w:r>
    </w:p>
    <w:p w14:paraId="2679C74C" w14:textId="77777777" w:rsidR="00E464C1" w:rsidRPr="008E286D" w:rsidRDefault="00E464C1" w:rsidP="00E464C1">
      <w:pPr>
        <w:pStyle w:val="Prrafodelista"/>
        <w:numPr>
          <w:ilvl w:val="0"/>
          <w:numId w:val="0"/>
        </w:numPr>
        <w:ind w:left="1068"/>
        <w:rPr>
          <w:rFonts w:ascii="Calibri" w:hAnsi="Calibri" w:cs="Calibri"/>
          <w:sz w:val="20"/>
          <w:szCs w:val="20"/>
        </w:rPr>
      </w:pPr>
    </w:p>
    <w:p w14:paraId="28DF762B" w14:textId="77777777" w:rsidR="00E464C1" w:rsidRPr="008E286D" w:rsidRDefault="00E464C1" w:rsidP="00E464C1">
      <w:pPr>
        <w:pStyle w:val="Prrafodelista"/>
        <w:numPr>
          <w:ilvl w:val="0"/>
          <w:numId w:val="38"/>
        </w:numPr>
        <w:tabs>
          <w:tab w:val="clear" w:pos="0"/>
          <w:tab w:val="clear" w:pos="142"/>
          <w:tab w:val="clear" w:pos="284"/>
          <w:tab w:val="clear" w:pos="567"/>
        </w:tabs>
        <w:autoSpaceDE/>
        <w:autoSpaceDN/>
        <w:adjustRightInd/>
        <w:spacing w:before="240" w:after="80" w:line="240" w:lineRule="auto"/>
        <w:contextualSpacing/>
        <w:rPr>
          <w:rFonts w:ascii="Calibri" w:hAnsi="Calibri" w:cs="Calibri"/>
          <w:sz w:val="20"/>
          <w:szCs w:val="20"/>
        </w:rPr>
      </w:pPr>
      <w:r w:rsidRPr="008E286D">
        <w:rPr>
          <w:rFonts w:ascii="Calibri" w:hAnsi="Calibri" w:cs="Calibri"/>
          <w:sz w:val="20"/>
          <w:szCs w:val="20"/>
          <w:u w:val="single"/>
        </w:rPr>
        <w:t>Proportionality and Streamlining:</w:t>
      </w:r>
      <w:r w:rsidRPr="008E286D">
        <w:rPr>
          <w:rFonts w:ascii="Calibri" w:hAnsi="Calibri" w:cs="Calibri"/>
          <w:sz w:val="20"/>
          <w:szCs w:val="20"/>
        </w:rPr>
        <w:t> We recommend incorporating a principle that ensures proportionality between regulatory requirements and the operational burden placed on reporting entities. This should include efforts to streamline reporting processes to avoid duplication of IT systems and workflows, and to apply proportionality in terms of reporting burden across different types of market participants</w:t>
      </w:r>
      <w:r w:rsidRPr="008E286D">
        <w:rPr>
          <w:rFonts w:ascii="Calibri" w:hAnsi="Calibri" w:cs="Calibri"/>
          <w:i/>
          <w:iCs/>
          <w:sz w:val="20"/>
          <w:szCs w:val="20"/>
        </w:rPr>
        <w:t>.</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4D2102D9" w14:textId="77777777" w:rsidR="00E464C1" w:rsidRDefault="00E464C1" w:rsidP="00E464C1">
      <w:pPr>
        <w:jc w:val="both"/>
        <w:rPr>
          <w:rFonts w:ascii="Calibri" w:hAnsi="Calibri" w:cs="Calibri"/>
          <w:sz w:val="20"/>
          <w:szCs w:val="20"/>
        </w:rPr>
      </w:pPr>
      <w:permStart w:id="666895774" w:edGrp="everyone"/>
      <w:r>
        <w:rPr>
          <w:rFonts w:ascii="Calibri" w:hAnsi="Calibri" w:cs="Calibri"/>
          <w:sz w:val="20"/>
          <w:szCs w:val="20"/>
        </w:rPr>
        <w:t>The m</w:t>
      </w:r>
      <w:r w:rsidRPr="006B196C">
        <w:rPr>
          <w:rFonts w:ascii="Calibri" w:hAnsi="Calibri" w:cs="Calibri"/>
          <w:sz w:val="20"/>
          <w:szCs w:val="20"/>
        </w:rPr>
        <w:t xml:space="preserve">ain advantage of Option 1a </w:t>
      </w:r>
      <w:r>
        <w:rPr>
          <w:rFonts w:ascii="Calibri" w:hAnsi="Calibri" w:cs="Calibri"/>
          <w:sz w:val="20"/>
          <w:szCs w:val="20"/>
        </w:rPr>
        <w:t>lies in</w:t>
      </w:r>
      <w:r w:rsidRPr="006B196C">
        <w:rPr>
          <w:rFonts w:ascii="Calibri" w:hAnsi="Calibri" w:cs="Calibri"/>
          <w:sz w:val="20"/>
          <w:szCs w:val="20"/>
        </w:rPr>
        <w:t xml:space="preserve"> its </w:t>
      </w:r>
      <w:r w:rsidRPr="006F5499">
        <w:rPr>
          <w:rFonts w:ascii="Calibri" w:hAnsi="Calibri" w:cs="Calibri"/>
          <w:sz w:val="20"/>
          <w:szCs w:val="20"/>
          <w:u w:val="single"/>
        </w:rPr>
        <w:t>simplicity</w:t>
      </w:r>
      <w:r w:rsidRPr="006B196C">
        <w:rPr>
          <w:rFonts w:ascii="Calibri" w:hAnsi="Calibri" w:cs="Calibri"/>
          <w:sz w:val="20"/>
          <w:szCs w:val="20"/>
        </w:rPr>
        <w:t xml:space="preserve">. Splitting </w:t>
      </w:r>
      <w:r>
        <w:rPr>
          <w:rFonts w:ascii="Calibri" w:hAnsi="Calibri" w:cs="Calibri"/>
          <w:sz w:val="20"/>
          <w:szCs w:val="20"/>
        </w:rPr>
        <w:t xml:space="preserve">the reporting </w:t>
      </w:r>
      <w:r w:rsidRPr="006B196C">
        <w:rPr>
          <w:rFonts w:ascii="Calibri" w:hAnsi="Calibri" w:cs="Calibri"/>
          <w:sz w:val="20"/>
          <w:szCs w:val="20"/>
        </w:rPr>
        <w:t>between ETD and OTC transactions (</w:t>
      </w:r>
      <w:r>
        <w:rPr>
          <w:rFonts w:ascii="Calibri" w:hAnsi="Calibri" w:cs="Calibri"/>
          <w:sz w:val="20"/>
          <w:szCs w:val="20"/>
        </w:rPr>
        <w:t>including</w:t>
      </w:r>
      <w:r w:rsidRPr="006B196C">
        <w:rPr>
          <w:rFonts w:ascii="Calibri" w:hAnsi="Calibri" w:cs="Calibri"/>
          <w:sz w:val="20"/>
          <w:szCs w:val="20"/>
        </w:rPr>
        <w:t xml:space="preserve"> post-trade events) appears simpler to implement than other options, particularly compared to Option 2. </w:t>
      </w:r>
      <w:r>
        <w:rPr>
          <w:rFonts w:ascii="Calibri" w:hAnsi="Calibri" w:cs="Calibri"/>
          <w:sz w:val="20"/>
          <w:szCs w:val="20"/>
        </w:rPr>
        <w:t xml:space="preserve">This simplicity may facilitate quicker adoption by market participants and reduce initial implementation complexity. </w:t>
      </w:r>
      <w:r w:rsidRPr="006B196C">
        <w:rPr>
          <w:rFonts w:ascii="Calibri" w:hAnsi="Calibri" w:cs="Calibri"/>
          <w:sz w:val="20"/>
          <w:szCs w:val="20"/>
        </w:rPr>
        <w:t>However, the ability to deliver substantial reduction of regulatory burden and compliance cost might be limited</w:t>
      </w:r>
      <w:r>
        <w:rPr>
          <w:rFonts w:ascii="Calibri" w:hAnsi="Calibri" w:cs="Calibri"/>
          <w:sz w:val="20"/>
          <w:szCs w:val="20"/>
        </w:rPr>
        <w:t xml:space="preserve">, as it only </w:t>
      </w:r>
      <w:r w:rsidRPr="4396CCE2">
        <w:rPr>
          <w:rFonts w:ascii="Calibri" w:hAnsi="Calibri" w:cs="Calibri"/>
          <w:sz w:val="20"/>
          <w:szCs w:val="20"/>
        </w:rPr>
        <w:t>addresses</w:t>
      </w:r>
      <w:r>
        <w:rPr>
          <w:rFonts w:ascii="Calibri" w:hAnsi="Calibri" w:cs="Calibri"/>
          <w:sz w:val="20"/>
          <w:szCs w:val="20"/>
        </w:rPr>
        <w:t xml:space="preserve"> several longstanding challenges within the current framework.</w:t>
      </w:r>
    </w:p>
    <w:p w14:paraId="06771202" w14:textId="77777777" w:rsidR="00E464C1" w:rsidRDefault="00E464C1" w:rsidP="00E464C1">
      <w:pPr>
        <w:jc w:val="both"/>
        <w:rPr>
          <w:rFonts w:ascii="Calibri" w:hAnsi="Calibri" w:cs="Calibri"/>
          <w:sz w:val="20"/>
          <w:szCs w:val="20"/>
        </w:rPr>
      </w:pPr>
    </w:p>
    <w:p w14:paraId="20FA7BAB" w14:textId="77777777" w:rsidR="00E464C1" w:rsidRDefault="00E464C1" w:rsidP="00E464C1">
      <w:pPr>
        <w:jc w:val="both"/>
        <w:rPr>
          <w:rFonts w:ascii="Calibri" w:hAnsi="Calibri" w:cs="Calibri"/>
          <w:sz w:val="20"/>
          <w:szCs w:val="20"/>
        </w:rPr>
      </w:pPr>
      <w:proofErr w:type="gramStart"/>
      <w:r>
        <w:rPr>
          <w:rFonts w:ascii="Calibri" w:hAnsi="Calibri" w:cs="Calibri"/>
          <w:sz w:val="20"/>
          <w:szCs w:val="20"/>
        </w:rPr>
        <w:t>In particular, Option</w:t>
      </w:r>
      <w:proofErr w:type="gramEnd"/>
      <w:r>
        <w:rPr>
          <w:rFonts w:ascii="Calibri" w:hAnsi="Calibri" w:cs="Calibri"/>
          <w:sz w:val="20"/>
          <w:szCs w:val="20"/>
        </w:rPr>
        <w:t xml:space="preserve"> 1a effectively </w:t>
      </w:r>
      <w:r w:rsidRPr="006F5499">
        <w:rPr>
          <w:rFonts w:ascii="Calibri" w:hAnsi="Calibri" w:cs="Calibri"/>
          <w:sz w:val="20"/>
          <w:szCs w:val="20"/>
          <w:u w:val="single"/>
        </w:rPr>
        <w:t>removes duplicative reporting of OTC and ETD transactions</w:t>
      </w:r>
      <w:r>
        <w:rPr>
          <w:rFonts w:ascii="Calibri" w:hAnsi="Calibri" w:cs="Calibri"/>
          <w:sz w:val="20"/>
          <w:szCs w:val="20"/>
        </w:rPr>
        <w:t xml:space="preserve">. Thereby streamlining the data flow between regimes. It also </w:t>
      </w:r>
      <w:r w:rsidRPr="4396CCE2">
        <w:rPr>
          <w:rFonts w:ascii="Calibri" w:hAnsi="Calibri" w:cs="Calibri"/>
          <w:sz w:val="20"/>
          <w:szCs w:val="20"/>
          <w:u w:val="single"/>
        </w:rPr>
        <w:t>addresses</w:t>
      </w:r>
      <w:r w:rsidRPr="006F5499">
        <w:rPr>
          <w:rFonts w:ascii="Calibri" w:hAnsi="Calibri" w:cs="Calibri"/>
          <w:sz w:val="20"/>
          <w:szCs w:val="20"/>
          <w:u w:val="single"/>
        </w:rPr>
        <w:t xml:space="preserve"> inconsistencies in terminology</w:t>
      </w:r>
      <w:r>
        <w:rPr>
          <w:rFonts w:ascii="Calibri" w:hAnsi="Calibri" w:cs="Calibri"/>
          <w:sz w:val="20"/>
          <w:szCs w:val="20"/>
        </w:rPr>
        <w:t xml:space="preserve">, contributing to a greater harmonisation across reporting standards. The principle of </w:t>
      </w:r>
      <w:r w:rsidRPr="006F5499">
        <w:rPr>
          <w:rFonts w:ascii="Calibri" w:hAnsi="Calibri" w:cs="Calibri"/>
          <w:sz w:val="20"/>
          <w:szCs w:val="20"/>
          <w:u w:val="single"/>
        </w:rPr>
        <w:t>dual-sided reporting</w:t>
      </w:r>
      <w:r>
        <w:rPr>
          <w:rFonts w:ascii="Calibri" w:hAnsi="Calibri" w:cs="Calibri"/>
          <w:sz w:val="20"/>
          <w:szCs w:val="20"/>
        </w:rPr>
        <w:t xml:space="preserve"> is also covered under this option, which may simplify obligations for reporting entities. While intragroup reporting and reference data duplications are not explicitly mentioned, they could potentially be accommodated within the scope of Option 1a, depending on its final implementation and supporting guidance. </w:t>
      </w:r>
    </w:p>
    <w:p w14:paraId="446717A7" w14:textId="77777777" w:rsidR="00E464C1" w:rsidRDefault="00E464C1" w:rsidP="00E464C1">
      <w:pPr>
        <w:jc w:val="both"/>
        <w:rPr>
          <w:rFonts w:ascii="Calibri" w:hAnsi="Calibri" w:cs="Calibri"/>
          <w:sz w:val="20"/>
          <w:szCs w:val="20"/>
        </w:rPr>
      </w:pPr>
    </w:p>
    <w:p w14:paraId="420334EA" w14:textId="77777777" w:rsidR="00E464C1" w:rsidRDefault="00E464C1" w:rsidP="00E464C1">
      <w:pPr>
        <w:jc w:val="both"/>
        <w:rPr>
          <w:rFonts w:ascii="Calibri" w:hAnsi="Calibri" w:cs="Calibri"/>
          <w:sz w:val="20"/>
          <w:szCs w:val="20"/>
        </w:rPr>
      </w:pPr>
      <w:r>
        <w:rPr>
          <w:rFonts w:ascii="Calibri" w:hAnsi="Calibri" w:cs="Calibri"/>
          <w:sz w:val="20"/>
          <w:szCs w:val="20"/>
        </w:rPr>
        <w:t xml:space="preserve">Despite these advantages, several critical issues remain unresolved. Option 1a does not address elements such as the </w:t>
      </w:r>
      <w:r>
        <w:rPr>
          <w:rFonts w:ascii="Calibri" w:hAnsi="Calibri" w:cs="Calibri"/>
          <w:sz w:val="20"/>
          <w:szCs w:val="20"/>
          <w:lang w:val="en-US"/>
        </w:rPr>
        <w:t>f</w:t>
      </w:r>
      <w:r w:rsidRPr="006B196C">
        <w:rPr>
          <w:rFonts w:ascii="Calibri" w:hAnsi="Calibri" w:cs="Calibri"/>
          <w:sz w:val="20"/>
          <w:szCs w:val="20"/>
          <w:lang w:val="en-US"/>
        </w:rPr>
        <w:t>requent regulatory changes and lack of flexibility to enable a phased implementation, synchronization and coordination of the changes in different regimes</w:t>
      </w:r>
      <w:r>
        <w:rPr>
          <w:rFonts w:ascii="Calibri" w:hAnsi="Calibri" w:cs="Calibri"/>
          <w:sz w:val="20"/>
          <w:szCs w:val="20"/>
          <w:lang w:val="en-US"/>
        </w:rPr>
        <w:t>. The r</w:t>
      </w:r>
      <w:r w:rsidRPr="006B196C">
        <w:rPr>
          <w:rFonts w:ascii="Calibri" w:hAnsi="Calibri" w:cs="Calibri"/>
          <w:sz w:val="20"/>
          <w:szCs w:val="20"/>
          <w:lang w:val="en-US"/>
        </w:rPr>
        <w:t xml:space="preserve">equirements to report both transactional-level and </w:t>
      </w:r>
      <w:r w:rsidRPr="006B196C">
        <w:rPr>
          <w:rFonts w:ascii="Calibri" w:hAnsi="Calibri" w:cs="Calibri"/>
          <w:sz w:val="20"/>
          <w:szCs w:val="20"/>
          <w:lang w:val="en-US"/>
        </w:rPr>
        <w:lastRenderedPageBreak/>
        <w:t>position-level data</w:t>
      </w:r>
      <w:r>
        <w:rPr>
          <w:rFonts w:ascii="Calibri" w:hAnsi="Calibri" w:cs="Calibri"/>
          <w:sz w:val="20"/>
          <w:szCs w:val="20"/>
          <w:lang w:val="en-US"/>
        </w:rPr>
        <w:t xml:space="preserve"> </w:t>
      </w:r>
      <w:r w:rsidRPr="4396CCE2">
        <w:rPr>
          <w:rFonts w:ascii="Calibri" w:hAnsi="Calibri" w:cs="Calibri"/>
          <w:sz w:val="20"/>
          <w:szCs w:val="20"/>
          <w:lang w:val="en-US"/>
        </w:rPr>
        <w:t>are</w:t>
      </w:r>
      <w:r>
        <w:rPr>
          <w:rFonts w:ascii="Calibri" w:hAnsi="Calibri" w:cs="Calibri"/>
          <w:sz w:val="20"/>
          <w:szCs w:val="20"/>
          <w:lang w:val="en-US"/>
        </w:rPr>
        <w:t xml:space="preserve"> also left unaddressed. Furthermore, the fragmentation of d</w:t>
      </w:r>
      <w:r w:rsidRPr="009F7097">
        <w:rPr>
          <w:rFonts w:ascii="Calibri" w:hAnsi="Calibri" w:cs="Calibri"/>
          <w:sz w:val="20"/>
          <w:szCs w:val="20"/>
          <w:lang w:val="en-US"/>
        </w:rPr>
        <w:t>ifferent reporting channels across MiFIR, EMIR, SFTR and REMIT</w:t>
      </w:r>
      <w:r>
        <w:rPr>
          <w:rFonts w:ascii="Calibri" w:hAnsi="Calibri" w:cs="Calibri"/>
          <w:sz w:val="20"/>
          <w:szCs w:val="20"/>
          <w:lang w:val="en-US"/>
        </w:rPr>
        <w:t xml:space="preserve"> persists, with entities continuing to report through separate infrastructures governed by distinct logics. This structural separation contributes to the d</w:t>
      </w:r>
      <w:r w:rsidRPr="009F7097">
        <w:rPr>
          <w:rFonts w:ascii="Calibri" w:hAnsi="Calibri" w:cs="Calibri"/>
          <w:sz w:val="20"/>
          <w:szCs w:val="20"/>
          <w:lang w:val="en-US"/>
        </w:rPr>
        <w:t>uplication of IT systems</w:t>
      </w:r>
      <w:r>
        <w:rPr>
          <w:rFonts w:ascii="Calibri" w:hAnsi="Calibri" w:cs="Calibri"/>
          <w:sz w:val="20"/>
          <w:szCs w:val="20"/>
          <w:lang w:val="en-US"/>
        </w:rPr>
        <w:t xml:space="preserve">, </w:t>
      </w:r>
      <w:r w:rsidRPr="005A5DBC">
        <w:rPr>
          <w:rFonts w:ascii="Calibri" w:hAnsi="Calibri" w:cs="Calibri"/>
          <w:sz w:val="20"/>
          <w:szCs w:val="20"/>
        </w:rPr>
        <w:t xml:space="preserve">as entities, ARMs, TRs, and authorities must maintain parallel frameworks for OTC and ETD reporting. These limitations suggest that while Option 1a introduces some efficiencies, it does not deliver a comprehensive solution to the broader challenges faced, hence, </w:t>
      </w:r>
      <w:r w:rsidRPr="005A5DBC">
        <w:rPr>
          <w:rFonts w:ascii="Calibri" w:hAnsi="Calibri" w:cs="Calibri"/>
          <w:sz w:val="20"/>
          <w:szCs w:val="20"/>
          <w:lang w:val="en-US"/>
        </w:rPr>
        <w:t>it could be considered as</w:t>
      </w:r>
      <w:r w:rsidRPr="005A5DBC">
        <w:rPr>
          <w:rFonts w:ascii="Calibri" w:hAnsi="Calibri" w:cs="Calibri"/>
          <w:sz w:val="20"/>
          <w:szCs w:val="20"/>
        </w:rPr>
        <w:t xml:space="preserve"> “nice to have” in the absence of a comprehensive in-depth review of the reporting framework aimed at truly simplifying the regulatory reporting regime in the EU.</w:t>
      </w:r>
    </w:p>
    <w:p w14:paraId="1011C748" w14:textId="77777777" w:rsidR="00E464C1" w:rsidRDefault="00E464C1" w:rsidP="00E464C1">
      <w:pPr>
        <w:jc w:val="both"/>
        <w:rPr>
          <w:rFonts w:ascii="Calibri" w:hAnsi="Calibri" w:cs="Calibri"/>
          <w:sz w:val="20"/>
          <w:szCs w:val="20"/>
        </w:rPr>
      </w:pPr>
    </w:p>
    <w:p w14:paraId="1516D992" w14:textId="77777777" w:rsidR="00E464C1" w:rsidRPr="000E44AE" w:rsidRDefault="00E464C1" w:rsidP="00E464C1">
      <w:pPr>
        <w:jc w:val="both"/>
        <w:rPr>
          <w:rFonts w:ascii="Calibri" w:hAnsi="Calibri" w:cs="Calibri"/>
          <w:sz w:val="20"/>
          <w:szCs w:val="20"/>
        </w:rPr>
      </w:pPr>
      <w:r>
        <w:rPr>
          <w:rFonts w:ascii="Calibri" w:hAnsi="Calibri" w:cs="Calibri"/>
          <w:sz w:val="20"/>
          <w:szCs w:val="20"/>
        </w:rPr>
        <w:t xml:space="preserve">Moreover, </w:t>
      </w:r>
      <w:r w:rsidRPr="4396CCE2">
        <w:rPr>
          <w:rFonts w:ascii="Calibri" w:hAnsi="Calibri" w:cs="Calibri"/>
          <w:sz w:val="20"/>
          <w:szCs w:val="20"/>
          <w:lang w:val="en-US"/>
        </w:rPr>
        <w:t>a</w:t>
      </w:r>
      <w:r w:rsidRPr="006B196C">
        <w:rPr>
          <w:rFonts w:ascii="Calibri" w:hAnsi="Calibri" w:cs="Calibri"/>
          <w:sz w:val="20"/>
          <w:szCs w:val="20"/>
          <w:lang w:val="en-US"/>
        </w:rPr>
        <w:t xml:space="preserve">lthough </w:t>
      </w:r>
      <w:r>
        <w:rPr>
          <w:rFonts w:ascii="Calibri" w:hAnsi="Calibri" w:cs="Calibri"/>
          <w:sz w:val="20"/>
          <w:szCs w:val="20"/>
          <w:lang w:val="en-US"/>
        </w:rPr>
        <w:t>Option 1a</w:t>
      </w:r>
      <w:r w:rsidRPr="006B196C">
        <w:rPr>
          <w:rFonts w:ascii="Calibri" w:hAnsi="Calibri" w:cs="Calibri"/>
          <w:sz w:val="20"/>
          <w:szCs w:val="20"/>
          <w:lang w:val="en-US"/>
        </w:rPr>
        <w:t xml:space="preserve"> </w:t>
      </w:r>
      <w:r>
        <w:rPr>
          <w:rFonts w:ascii="Calibri" w:hAnsi="Calibri" w:cs="Calibri"/>
          <w:sz w:val="20"/>
          <w:szCs w:val="20"/>
          <w:lang w:val="en-US"/>
        </w:rPr>
        <w:t>may appear to</w:t>
      </w:r>
      <w:r w:rsidRPr="006B196C">
        <w:rPr>
          <w:rFonts w:ascii="Calibri" w:hAnsi="Calibri" w:cs="Calibri"/>
          <w:sz w:val="20"/>
          <w:szCs w:val="20"/>
          <w:lang w:val="en-US"/>
        </w:rPr>
        <w:t xml:space="preserve"> align with </w:t>
      </w:r>
      <w:r>
        <w:rPr>
          <w:rFonts w:ascii="Calibri" w:hAnsi="Calibri" w:cs="Calibri"/>
          <w:sz w:val="20"/>
          <w:szCs w:val="20"/>
          <w:lang w:val="en-US"/>
        </w:rPr>
        <w:t xml:space="preserve">certain aspects of reporting frameworks in </w:t>
      </w:r>
      <w:r w:rsidRPr="006B196C">
        <w:rPr>
          <w:rFonts w:ascii="Calibri" w:hAnsi="Calibri" w:cs="Calibri"/>
          <w:sz w:val="20"/>
          <w:szCs w:val="20"/>
          <w:lang w:val="en-US"/>
        </w:rPr>
        <w:t>other jurisdictions</w:t>
      </w:r>
      <w:r w:rsidRPr="4396CCE2">
        <w:rPr>
          <w:rFonts w:ascii="Calibri" w:hAnsi="Calibri" w:cs="Calibri"/>
          <w:sz w:val="20"/>
          <w:szCs w:val="20"/>
          <w:lang w:val="en-US"/>
        </w:rPr>
        <w:t xml:space="preserve"> such</w:t>
      </w:r>
      <w:r>
        <w:rPr>
          <w:rFonts w:ascii="Calibri" w:hAnsi="Calibri" w:cs="Calibri"/>
          <w:sz w:val="20"/>
          <w:szCs w:val="20"/>
          <w:lang w:val="en-US"/>
        </w:rPr>
        <w:t xml:space="preserve"> as</w:t>
      </w:r>
      <w:r w:rsidRPr="006B196C">
        <w:rPr>
          <w:rFonts w:ascii="Calibri" w:hAnsi="Calibri" w:cs="Calibri"/>
          <w:sz w:val="20"/>
          <w:szCs w:val="20"/>
          <w:lang w:val="en-US"/>
        </w:rPr>
        <w:t xml:space="preserve"> the US, </w:t>
      </w:r>
      <w:r>
        <w:rPr>
          <w:rFonts w:ascii="Calibri" w:hAnsi="Calibri" w:cs="Calibri"/>
          <w:sz w:val="20"/>
          <w:szCs w:val="20"/>
          <w:lang w:val="en-US"/>
        </w:rPr>
        <w:t>material differences remain, particularly in how market abuse and systemic risk are regulated. These divergences limit the potential for full alignment. In this context</w:t>
      </w:r>
      <w:r w:rsidRPr="006B196C">
        <w:rPr>
          <w:rFonts w:ascii="Calibri" w:hAnsi="Calibri" w:cs="Calibri"/>
          <w:sz w:val="20"/>
          <w:szCs w:val="20"/>
          <w:lang w:val="en-US"/>
        </w:rPr>
        <w:t xml:space="preserve">, </w:t>
      </w:r>
      <w:proofErr w:type="spellStart"/>
      <w:r>
        <w:rPr>
          <w:rFonts w:ascii="Calibri" w:hAnsi="Calibri" w:cs="Calibri"/>
          <w:sz w:val="20"/>
          <w:szCs w:val="20"/>
          <w:lang w:val="en-US"/>
        </w:rPr>
        <w:t>i</w:t>
      </w:r>
      <w:r w:rsidRPr="002240F2">
        <w:rPr>
          <w:rFonts w:ascii="Calibri" w:hAnsi="Calibri" w:cs="Calibri"/>
          <w:sz w:val="20"/>
          <w:szCs w:val="20"/>
        </w:rPr>
        <w:t>t</w:t>
      </w:r>
      <w:proofErr w:type="spellEnd"/>
      <w:r w:rsidRPr="002240F2">
        <w:rPr>
          <w:rFonts w:ascii="Calibri" w:hAnsi="Calibri" w:cs="Calibri"/>
          <w:sz w:val="20"/>
          <w:szCs w:val="20"/>
        </w:rPr>
        <w:t xml:space="preserve"> is important to recall that the inclusion of ETD transactions under EMIR was introduced to strengthen the supervisory framework for monitoring systemic and counterparty risks. Any future changes to the reporting structure should remain consistent with this original objective, ensuring that supervisory capabilities are preserved. </w:t>
      </w:r>
    </w:p>
    <w:p w14:paraId="28A5634C" w14:textId="77777777" w:rsidR="00E464C1" w:rsidRPr="00C97BD4" w:rsidRDefault="00E464C1" w:rsidP="00E464C1">
      <w:pPr>
        <w:jc w:val="both"/>
        <w:rPr>
          <w:rFonts w:ascii="Calibri" w:hAnsi="Calibri" w:cs="Calibri"/>
          <w:sz w:val="20"/>
          <w:szCs w:val="20"/>
          <w:lang w:val="en-US"/>
        </w:rPr>
      </w:pPr>
    </w:p>
    <w:p w14:paraId="6BDF295B" w14:textId="77777777" w:rsidR="00E464C1" w:rsidRDefault="00E464C1" w:rsidP="00E464C1">
      <w:pPr>
        <w:jc w:val="both"/>
        <w:rPr>
          <w:rFonts w:ascii="Calibri" w:hAnsi="Calibri" w:cs="Calibri"/>
          <w:sz w:val="20"/>
          <w:szCs w:val="20"/>
        </w:rPr>
      </w:pPr>
      <w:r w:rsidRPr="000E44AE">
        <w:rPr>
          <w:rFonts w:ascii="Calibri" w:hAnsi="Calibri" w:cs="Calibri"/>
          <w:sz w:val="20"/>
          <w:szCs w:val="20"/>
        </w:rPr>
        <w:t>SIX Group favours Option 2</w:t>
      </w:r>
      <w:r w:rsidRPr="00450CBD">
        <w:rPr>
          <w:rFonts w:ascii="Calibri" w:hAnsi="Calibri" w:cs="Calibri"/>
          <w:sz w:val="20"/>
          <w:szCs w:val="20"/>
        </w:rPr>
        <w:t xml:space="preserve"> </w:t>
      </w:r>
      <w:r>
        <w:rPr>
          <w:rFonts w:ascii="Calibri" w:hAnsi="Calibri" w:cs="Calibri"/>
          <w:sz w:val="20"/>
          <w:szCs w:val="20"/>
        </w:rPr>
        <w:t xml:space="preserve">(revised) </w:t>
      </w:r>
      <w:r w:rsidRPr="00450CBD">
        <w:rPr>
          <w:rFonts w:ascii="Calibri" w:hAnsi="Calibri" w:cs="Calibri"/>
          <w:sz w:val="20"/>
          <w:szCs w:val="20"/>
        </w:rPr>
        <w:t>to achieve greater integration,</w:t>
      </w:r>
      <w:r w:rsidRPr="006B196C">
        <w:rPr>
          <w:rFonts w:ascii="Calibri" w:hAnsi="Calibri" w:cs="Calibri"/>
          <w:sz w:val="20"/>
          <w:szCs w:val="20"/>
        </w:rPr>
        <w:t xml:space="preserve"> maximizing both the value of reported data for supervisory purposes and the benefit of a unified homogeneous transaction reporting regime for obliged entities.</w:t>
      </w:r>
      <w:r>
        <w:rPr>
          <w:rFonts w:ascii="Calibri" w:hAnsi="Calibri" w:cs="Calibri"/>
          <w:sz w:val="20"/>
          <w:szCs w:val="20"/>
        </w:rPr>
        <w:t xml:space="preserve"> However, the balance between implementation costs and regulatory benefits under Option 2 requires careful consideration. To mitigate these concerns, a structured transition from Option 1a to Option 2a could offer a pragmatic path forward. This would involve maintaining both frameworks in parallel for an extended period, allowing market participants to adapt gradually while preserving operational continuity. </w:t>
      </w:r>
      <w:r w:rsidRPr="006F5499">
        <w:rPr>
          <w:rFonts w:ascii="Calibri" w:hAnsi="Calibri" w:cs="Calibri"/>
          <w:sz w:val="20"/>
          <w:szCs w:val="20"/>
        </w:rPr>
        <w:t>Further details on how this transition could be operationalised are provided in response to Question 5.</w:t>
      </w:r>
      <w:r>
        <w:rPr>
          <w:rFonts w:ascii="Calibri" w:hAnsi="Calibri" w:cs="Calibri"/>
          <w:sz w:val="20"/>
          <w:szCs w:val="20"/>
        </w:rPr>
        <w:t xml:space="preserve"> </w:t>
      </w:r>
      <w:r w:rsidRPr="006B196C">
        <w:rPr>
          <w:rFonts w:ascii="Calibri" w:hAnsi="Calibri" w:cs="Calibri"/>
          <w:sz w:val="20"/>
          <w:szCs w:val="20"/>
        </w:rPr>
        <w:t>We suggest in depth impact assessment and cost analysis is carried out to assess compliance of any of the options put forward by ESMA fulfil the balance cost and benefit principle. Indeed, proper assessment is needed on how the cost of moving into a revised reporting framework compares to the cost of maintaining the current situation.</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0BD093CF" w14:textId="77777777" w:rsidR="00E464C1" w:rsidRPr="006B196C" w:rsidRDefault="00E464C1" w:rsidP="00E464C1">
      <w:pPr>
        <w:jc w:val="both"/>
        <w:rPr>
          <w:rFonts w:ascii="Calibri" w:hAnsi="Calibri" w:cs="Calibri"/>
          <w:sz w:val="20"/>
          <w:szCs w:val="20"/>
          <w:lang w:val="en-US"/>
        </w:rPr>
      </w:pPr>
      <w:permStart w:id="1901729855" w:edGrp="everyone"/>
      <w:r w:rsidRPr="006F5499">
        <w:rPr>
          <w:rFonts w:ascii="Calibri" w:hAnsi="Calibri" w:cs="Calibri"/>
          <w:sz w:val="20"/>
          <w:szCs w:val="20"/>
        </w:rPr>
        <w:t>While some key limitations of the proposal have already been outlined in our response to Q3, the following section provides a more detailed analysis of the identified</w:t>
      </w:r>
      <w:r>
        <w:rPr>
          <w:rFonts w:ascii="Calibri" w:hAnsi="Calibri" w:cs="Calibri"/>
          <w:sz w:val="20"/>
          <w:szCs w:val="20"/>
        </w:rPr>
        <w:t>:</w:t>
      </w:r>
    </w:p>
    <w:p w14:paraId="5BC3224C" w14:textId="77777777" w:rsidR="00E464C1" w:rsidRPr="006B196C" w:rsidRDefault="00E464C1" w:rsidP="00E464C1">
      <w:pPr>
        <w:jc w:val="both"/>
        <w:rPr>
          <w:rFonts w:ascii="Calibri" w:hAnsi="Calibri" w:cs="Calibri"/>
          <w:sz w:val="20"/>
          <w:szCs w:val="20"/>
          <w:lang w:val="en-US"/>
        </w:rPr>
      </w:pPr>
    </w:p>
    <w:p w14:paraId="68079CFE"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Reduc</w:t>
      </w:r>
      <w:r>
        <w:rPr>
          <w:rFonts w:ascii="Calibri" w:hAnsi="Calibri" w:cs="Calibri"/>
          <w:b/>
          <w:sz w:val="20"/>
          <w:szCs w:val="20"/>
          <w:lang w:val="en-US"/>
        </w:rPr>
        <w:t>tion of the</w:t>
      </w:r>
      <w:r w:rsidRPr="006B196C">
        <w:rPr>
          <w:rFonts w:ascii="Calibri" w:hAnsi="Calibri" w:cs="Calibri"/>
          <w:b/>
          <w:sz w:val="20"/>
          <w:szCs w:val="20"/>
          <w:lang w:val="en-US"/>
        </w:rPr>
        <w:t xml:space="preserve"> scope of MiFIR data</w:t>
      </w:r>
      <w:r>
        <w:rPr>
          <w:rFonts w:ascii="Calibri" w:hAnsi="Calibri" w:cs="Calibri"/>
          <w:b/>
          <w:sz w:val="20"/>
          <w:szCs w:val="20"/>
          <w:lang w:val="en-US"/>
        </w:rPr>
        <w:t>:</w:t>
      </w:r>
      <w:r w:rsidRPr="006B196C">
        <w:rPr>
          <w:rFonts w:ascii="Calibri" w:hAnsi="Calibri" w:cs="Calibri"/>
          <w:sz w:val="20"/>
          <w:szCs w:val="20"/>
          <w:lang w:val="en-US"/>
        </w:rPr>
        <w:t xml:space="preserve"> Supervisors will stop receiving OTC transactions via MiFIR channels. While NCAs can get OTC transactions from EMIR, </w:t>
      </w:r>
      <w:r w:rsidRPr="006B196C">
        <w:rPr>
          <w:rFonts w:ascii="Calibri" w:hAnsi="Calibri" w:cs="Calibri"/>
          <w:sz w:val="20"/>
          <w:szCs w:val="20"/>
        </w:rPr>
        <w:t xml:space="preserve">the absence of MiFIR-specific fields would hinder effective monitoring </w:t>
      </w:r>
      <w:r w:rsidRPr="006B196C">
        <w:rPr>
          <w:rFonts w:ascii="Calibri" w:hAnsi="Calibri" w:cs="Calibri"/>
          <w:sz w:val="20"/>
          <w:szCs w:val="20"/>
          <w:lang w:val="en-US"/>
        </w:rPr>
        <w:t>market abuse.</w:t>
      </w:r>
    </w:p>
    <w:p w14:paraId="071E9EE2"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Loss of ETD data in EMIR reporting</w:t>
      </w:r>
      <w:r w:rsidRPr="006B196C">
        <w:rPr>
          <w:rFonts w:ascii="Calibri" w:hAnsi="Calibri" w:cs="Calibri"/>
          <w:sz w:val="20"/>
          <w:szCs w:val="20"/>
          <w:lang w:val="en-US"/>
        </w:rPr>
        <w:t>: The EMIR reporting data will lose ETD transactions. To compensate this limitation, EMIR data points would need to be reported to the ARMs, which would significantly increase the complexity of this reporting.</w:t>
      </w:r>
    </w:p>
    <w:p w14:paraId="3CC1F914"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bCs/>
          <w:sz w:val="20"/>
          <w:szCs w:val="20"/>
        </w:rPr>
        <w:t xml:space="preserve">Increased costs for certain entities: </w:t>
      </w:r>
      <w:r w:rsidRPr="006B196C">
        <w:rPr>
          <w:rFonts w:ascii="Calibri" w:hAnsi="Calibri" w:cs="Calibri"/>
          <w:sz w:val="20"/>
          <w:szCs w:val="20"/>
          <w:lang w:val="en-US"/>
        </w:rPr>
        <w:t>Reporting EMIR ETDs under MiFIR would imply that entities (e.g., NFC with a current reporting obligation under EMIR but not under MiFIR) would need to change their reporting channels and templates, thus creating very significant costs to adapt and maintain two IT systems instead of one.</w:t>
      </w:r>
    </w:p>
    <w:p w14:paraId="787D37D9"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Incomplete post-trade data from CCPs</w:t>
      </w:r>
      <w:r w:rsidRPr="006B196C">
        <w:rPr>
          <w:rFonts w:ascii="Calibri" w:hAnsi="Calibri" w:cs="Calibri"/>
          <w:sz w:val="20"/>
          <w:szCs w:val="20"/>
          <w:lang w:val="en-US"/>
        </w:rPr>
        <w:t>: If ETD post-trade events are sourced from CCPs, these do not have the details about the final counterparties to the trades when customers positions are aggregated in an omnibus account. That is information exclusively owned by the Clearer. To solve this lack of information, EMIR would have to be modified to impose a new obligation for Clearers to inform the CCP about final customers, increasing the costs of adaptation.</w:t>
      </w:r>
    </w:p>
    <w:p w14:paraId="76D479E3"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lastRenderedPageBreak/>
        <w:t>New requirements for CCPs and TRs</w:t>
      </w:r>
      <w:r w:rsidRPr="006B196C">
        <w:rPr>
          <w:rFonts w:ascii="Calibri" w:hAnsi="Calibri" w:cs="Calibri"/>
          <w:sz w:val="20"/>
          <w:szCs w:val="20"/>
          <w:lang w:val="en-US"/>
        </w:rPr>
        <w:t xml:space="preserve">: CCPs and/or TRs, that will be required to calculate positions based on transaction flows, a complex process that can be prone to errors. </w:t>
      </w:r>
    </w:p>
    <w:p w14:paraId="5054F59F"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bCs/>
          <w:sz w:val="20"/>
          <w:szCs w:val="20"/>
        </w:rPr>
        <w:t xml:space="preserve">Misalignment with regulatory objectives: </w:t>
      </w:r>
      <w:r w:rsidRPr="006B196C">
        <w:rPr>
          <w:rFonts w:ascii="Calibri" w:hAnsi="Calibri" w:cs="Calibri"/>
          <w:sz w:val="20"/>
          <w:szCs w:val="20"/>
          <w:lang w:val="en-US"/>
        </w:rPr>
        <w:t>In essence, this solution seems to bring complexity to marker participants, CCPs, TRs and authorities while the scope of the data reported under the two regulations seems to be misaligned with the EMIR and MiFIR purposes.</w:t>
      </w:r>
    </w:p>
    <w:p w14:paraId="665FADD9" w14:textId="77777777" w:rsidR="00E464C1" w:rsidRPr="006B196C" w:rsidRDefault="00E464C1" w:rsidP="00E464C1">
      <w:pPr>
        <w:pStyle w:val="Prrafodelista"/>
        <w:numPr>
          <w:ilvl w:val="0"/>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Implications of single-sided reporting</w:t>
      </w:r>
      <w:r w:rsidRPr="006B196C">
        <w:rPr>
          <w:rFonts w:ascii="Calibri" w:hAnsi="Calibri" w:cs="Calibri"/>
          <w:sz w:val="20"/>
          <w:szCs w:val="20"/>
          <w:lang w:val="en-US"/>
        </w:rPr>
        <w:t>: While single-sided reporting could reduce the burden for firms, it introduces several challenges:</w:t>
      </w:r>
    </w:p>
    <w:p w14:paraId="7F9D5CE8" w14:textId="77777777" w:rsidR="00E464C1" w:rsidRPr="006B196C" w:rsidRDefault="00E464C1" w:rsidP="00E464C1">
      <w:pPr>
        <w:pStyle w:val="Prrafodelista"/>
        <w:numPr>
          <w:ilvl w:val="1"/>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MiFIR data sensitivity</w:t>
      </w:r>
      <w:r w:rsidRPr="006B196C">
        <w:rPr>
          <w:rFonts w:ascii="Calibri" w:hAnsi="Calibri" w:cs="Calibri"/>
          <w:sz w:val="20"/>
          <w:szCs w:val="20"/>
          <w:lang w:val="en-US"/>
        </w:rPr>
        <w:t xml:space="preserve">: MiFIR requires reporting sensitive information—such as clients' names, national identification numbers, and transaction details. Due to the complexity </w:t>
      </w:r>
      <w:r w:rsidRPr="4396CCE2">
        <w:rPr>
          <w:rFonts w:ascii="Calibri" w:hAnsi="Calibri" w:cs="Calibri"/>
          <w:sz w:val="20"/>
          <w:szCs w:val="20"/>
          <w:lang w:val="en-US"/>
        </w:rPr>
        <w:t>of exchanging</w:t>
      </w:r>
      <w:r w:rsidRPr="006B196C">
        <w:rPr>
          <w:rFonts w:ascii="Calibri" w:hAnsi="Calibri" w:cs="Calibri"/>
          <w:sz w:val="20"/>
          <w:szCs w:val="20"/>
          <w:lang w:val="en-US"/>
        </w:rPr>
        <w:t xml:space="preserve"> this data between firms, removing the dual-sided reporting obligation under MiFIR would </w:t>
      </w:r>
      <w:r>
        <w:rPr>
          <w:rFonts w:ascii="Calibri" w:hAnsi="Calibri" w:cs="Calibri"/>
          <w:sz w:val="20"/>
          <w:szCs w:val="20"/>
          <w:lang w:val="en-US"/>
        </w:rPr>
        <w:t>require the introduction of new ways to report this information</w:t>
      </w:r>
      <w:r w:rsidRPr="006B196C">
        <w:rPr>
          <w:rFonts w:ascii="Calibri" w:hAnsi="Calibri" w:cs="Calibri"/>
          <w:sz w:val="20"/>
          <w:szCs w:val="20"/>
          <w:lang w:val="en-US"/>
        </w:rPr>
        <w:t xml:space="preserve">. </w:t>
      </w:r>
    </w:p>
    <w:p w14:paraId="530232E1" w14:textId="77777777" w:rsidR="00E464C1" w:rsidRPr="006B196C" w:rsidRDefault="00E464C1" w:rsidP="00E464C1">
      <w:pPr>
        <w:pStyle w:val="Prrafodelista"/>
        <w:numPr>
          <w:ilvl w:val="1"/>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Inconsistency between regimes</w:t>
      </w:r>
      <w:r w:rsidRPr="006B196C">
        <w:rPr>
          <w:rFonts w:ascii="Calibri" w:hAnsi="Calibri" w:cs="Calibri"/>
          <w:sz w:val="20"/>
          <w:szCs w:val="20"/>
          <w:lang w:val="en-US"/>
        </w:rPr>
        <w:t>: Given the overlap between EMIR and MiFIR, removing the dual-sided reporting obligation for EMIR and not MiFIR would introduce additional complexity derived from the lack of standardization between regimes, the need to implement complex workflows to determine which entity has the reporting obligation under every scenario, etc.</w:t>
      </w:r>
    </w:p>
    <w:p w14:paraId="1666D2A8" w14:textId="77777777" w:rsidR="00E464C1" w:rsidRPr="00DC65B0" w:rsidRDefault="00E464C1" w:rsidP="00E464C1">
      <w:pPr>
        <w:pStyle w:val="Prrafodelista"/>
        <w:numPr>
          <w:ilvl w:val="1"/>
          <w:numId w:val="4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DC65B0">
        <w:rPr>
          <w:rFonts w:ascii="Calibri" w:hAnsi="Calibri" w:cs="Calibri"/>
          <w:b/>
          <w:sz w:val="20"/>
          <w:szCs w:val="20"/>
          <w:lang w:val="en-US"/>
        </w:rPr>
        <w:t>Complexity of reconciliation</w:t>
      </w:r>
      <w:r w:rsidRPr="00DC65B0">
        <w:rPr>
          <w:rFonts w:ascii="Calibri" w:hAnsi="Calibri" w:cs="Calibri"/>
          <w:sz w:val="20"/>
          <w:szCs w:val="20"/>
          <w:lang w:val="en-US"/>
        </w:rPr>
        <w:t xml:space="preserve">: </w:t>
      </w:r>
      <w:r w:rsidRPr="004A467D">
        <w:rPr>
          <w:rFonts w:ascii="Calibri" w:hAnsi="Calibri" w:cs="Calibri"/>
          <w:sz w:val="20"/>
          <w:szCs w:val="20"/>
        </w:rPr>
        <w:t xml:space="preserve">Currently, reconciliation between counterparties enables the identification of underreporting (via pairing results), misreporting, and divergent interpretations of regulatory requirements (via matching results). These data quality indicators ensure the reliability of the data used by NCAs and have proven even more relevant following regulatory changes, as observed in EMIR REFIT. However, the complexity of the reconciliation process—often intensive and resource-consuming—is seen as a challenge for reporting participants. Therefore, if single-sided reporting is implemented, other risk mitigation processes should be used to guarantee the quality of the reported data. Nevertheless, it is crucial to address reconciliation burdens through alternative approaches (i.e., reducing the number of reconciliation fields, increasing tolerance levels, simplifying reconciliation logic) </w:t>
      </w:r>
      <w:r w:rsidRPr="4396CCE2">
        <w:rPr>
          <w:rFonts w:ascii="Calibri" w:hAnsi="Calibri" w:cs="Calibri"/>
          <w:sz w:val="20"/>
          <w:szCs w:val="20"/>
        </w:rPr>
        <w:t>to</w:t>
      </w:r>
      <w:r w:rsidRPr="004A467D">
        <w:rPr>
          <w:rFonts w:ascii="Calibri" w:hAnsi="Calibri" w:cs="Calibri"/>
          <w:sz w:val="20"/>
          <w:szCs w:val="20"/>
        </w:rPr>
        <w:t xml:space="preserve"> preserve the benefits of dual-sided reporting.  </w:t>
      </w:r>
    </w:p>
    <w:p w14:paraId="01AC469C" w14:textId="77777777" w:rsidR="00E464C1" w:rsidRPr="006B196C" w:rsidRDefault="00E464C1" w:rsidP="00E464C1">
      <w:pPr>
        <w:jc w:val="both"/>
        <w:rPr>
          <w:rFonts w:ascii="Calibri" w:hAnsi="Calibri" w:cs="Calibri"/>
          <w:sz w:val="20"/>
          <w:szCs w:val="20"/>
          <w:lang w:val="en-US"/>
        </w:rPr>
      </w:pPr>
    </w:p>
    <w:p w14:paraId="491D7E67"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lang w:val="en-US"/>
        </w:rPr>
        <w:t xml:space="preserve">The adaptation of the EMIR template to cover MiFIR fields would provide benefits for those market participants that are obliged to report the same derivative transactions under MiFIR and EMIR, reporting in one single message and avoiding duplicative reporting. To achieve this, the message could be sent to </w:t>
      </w:r>
      <w:r>
        <w:rPr>
          <w:rFonts w:ascii="Calibri" w:hAnsi="Calibri" w:cs="Calibri"/>
          <w:sz w:val="20"/>
          <w:szCs w:val="20"/>
        </w:rPr>
        <w:t>r</w:t>
      </w:r>
      <w:r w:rsidRPr="00C97BD4">
        <w:rPr>
          <w:rFonts w:ascii="Calibri" w:hAnsi="Calibri" w:cs="Calibri"/>
          <w:sz w:val="20"/>
          <w:szCs w:val="20"/>
        </w:rPr>
        <w:t>egulated reporting infrastruc</w:t>
      </w:r>
      <w:r>
        <w:rPr>
          <w:rFonts w:ascii="Calibri" w:hAnsi="Calibri" w:cs="Calibri"/>
          <w:sz w:val="20"/>
          <w:szCs w:val="20"/>
        </w:rPr>
        <w:t>t</w:t>
      </w:r>
      <w:r w:rsidRPr="00C97BD4">
        <w:rPr>
          <w:rFonts w:ascii="Calibri" w:hAnsi="Calibri" w:cs="Calibri"/>
          <w:sz w:val="20"/>
          <w:szCs w:val="20"/>
        </w:rPr>
        <w:t>ure</w:t>
      </w:r>
      <w:r>
        <w:rPr>
          <w:rFonts w:ascii="Calibri" w:hAnsi="Calibri" w:cs="Calibri"/>
          <w:sz w:val="20"/>
          <w:szCs w:val="20"/>
        </w:rPr>
        <w:t>s (comprising TRs, APAs and ARMs)</w:t>
      </w:r>
      <w:r w:rsidRPr="006B196C">
        <w:rPr>
          <w:rFonts w:ascii="Calibri" w:hAnsi="Calibri" w:cs="Calibri"/>
          <w:sz w:val="20"/>
          <w:szCs w:val="20"/>
          <w:lang w:val="en-US"/>
        </w:rPr>
        <w:t>, which can easily adapt their systems to process the message and provide both MiFIR and EMIR feedback to authorities and ESMA.</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37935DF6" w14:textId="77777777" w:rsidR="00E464C1" w:rsidRDefault="00E464C1" w:rsidP="00E464C1">
      <w:pPr>
        <w:jc w:val="both"/>
        <w:rPr>
          <w:rFonts w:ascii="Calibri" w:hAnsi="Calibri" w:cs="Calibri"/>
          <w:sz w:val="20"/>
          <w:szCs w:val="20"/>
        </w:rPr>
      </w:pPr>
      <w:permStart w:id="1034637762" w:edGrp="everyone"/>
      <w:r w:rsidRPr="00B35A8F">
        <w:rPr>
          <w:rFonts w:ascii="Calibri" w:hAnsi="Calibri" w:cs="Calibri"/>
          <w:sz w:val="20"/>
          <w:szCs w:val="20"/>
        </w:rPr>
        <w:t>While some of the key limitations of Option 1a have already been outlined in our response to Q3 and Q4, we provide below a more detailed analysis of the remaining gaps and their implications for implementation</w:t>
      </w:r>
      <w:r w:rsidRPr="006F5499">
        <w:rPr>
          <w:rFonts w:ascii="Calibri" w:hAnsi="Calibri" w:cs="Calibri"/>
          <w:sz w:val="20"/>
          <w:szCs w:val="20"/>
        </w:rPr>
        <w:t xml:space="preserve"> and supervisory effectiveness</w:t>
      </w:r>
      <w:r w:rsidRPr="00B35A8F">
        <w:rPr>
          <w:rFonts w:ascii="Calibri" w:hAnsi="Calibri" w:cs="Calibri"/>
          <w:sz w:val="20"/>
          <w:szCs w:val="20"/>
        </w:rPr>
        <w:t>.</w:t>
      </w:r>
    </w:p>
    <w:p w14:paraId="2B887964" w14:textId="77777777" w:rsidR="00E464C1" w:rsidRPr="006B196C" w:rsidRDefault="00E464C1" w:rsidP="00E464C1">
      <w:pPr>
        <w:jc w:val="both"/>
        <w:rPr>
          <w:rFonts w:ascii="Calibri" w:hAnsi="Calibri" w:cs="Calibri"/>
          <w:sz w:val="20"/>
          <w:szCs w:val="20"/>
        </w:rPr>
      </w:pPr>
    </w:p>
    <w:p w14:paraId="2DA5AEB2" w14:textId="77777777" w:rsidR="00E464C1" w:rsidRDefault="00E464C1" w:rsidP="00E464C1">
      <w:pPr>
        <w:jc w:val="both"/>
        <w:rPr>
          <w:rFonts w:ascii="Calibri" w:hAnsi="Calibri" w:cs="Calibri"/>
          <w:sz w:val="20"/>
          <w:szCs w:val="20"/>
        </w:rPr>
      </w:pPr>
      <w:r w:rsidRPr="006F5499">
        <w:rPr>
          <w:rFonts w:ascii="Calibri" w:hAnsi="Calibri" w:cs="Calibri"/>
          <w:sz w:val="20"/>
          <w:szCs w:val="20"/>
        </w:rPr>
        <w:t xml:space="preserve">Option 1a does not adequately address several critical </w:t>
      </w:r>
      <w:r>
        <w:rPr>
          <w:rFonts w:ascii="Calibri" w:hAnsi="Calibri" w:cs="Calibri"/>
          <w:sz w:val="20"/>
          <w:szCs w:val="20"/>
        </w:rPr>
        <w:t xml:space="preserve">issues: </w:t>
      </w:r>
    </w:p>
    <w:p w14:paraId="482BB370" w14:textId="77777777" w:rsidR="00E464C1" w:rsidRPr="006B196C" w:rsidRDefault="00E464C1" w:rsidP="00E464C1">
      <w:pPr>
        <w:jc w:val="both"/>
        <w:rPr>
          <w:rFonts w:ascii="Calibri" w:hAnsi="Calibri" w:cs="Calibri"/>
          <w:sz w:val="20"/>
          <w:szCs w:val="20"/>
          <w:lang w:val="en-US"/>
        </w:rPr>
      </w:pPr>
    </w:p>
    <w:p w14:paraId="4F8FA22F"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w:t>
      </w:r>
      <w:r w:rsidRPr="006B196C">
        <w:rPr>
          <w:rFonts w:ascii="Calibri" w:hAnsi="Calibri" w:cs="Calibri"/>
          <w:b/>
          <w:sz w:val="20"/>
          <w:szCs w:val="20"/>
          <w:lang w:val="en-US"/>
        </w:rPr>
        <w:t>High</w:t>
      </w:r>
      <w:r w:rsidRPr="006B196C">
        <w:rPr>
          <w:rFonts w:ascii="Calibri" w:hAnsi="Calibri" w:cs="Calibri"/>
          <w:sz w:val="20"/>
          <w:szCs w:val="20"/>
          <w:lang w:val="en-US"/>
        </w:rPr>
        <w:t>) Reduction on the frequency of regulatory changes and lack of flexibility to enable a phased implementation, synchronization and coordination of the changes in different regimes</w:t>
      </w:r>
    </w:p>
    <w:p w14:paraId="544DBE63"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Intragroup reporting</w:t>
      </w:r>
    </w:p>
    <w:p w14:paraId="458DC996"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Reference data reporting duplications, although it could be accommodated</w:t>
      </w:r>
    </w:p>
    <w:p w14:paraId="6B7B4F5D"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w:t>
      </w:r>
      <w:r w:rsidRPr="006B196C">
        <w:rPr>
          <w:rFonts w:ascii="Calibri" w:hAnsi="Calibri" w:cs="Calibri"/>
          <w:b/>
          <w:sz w:val="20"/>
          <w:szCs w:val="20"/>
          <w:lang w:val="en-US"/>
        </w:rPr>
        <w:t>High</w:t>
      </w:r>
      <w:r w:rsidRPr="006B196C">
        <w:rPr>
          <w:rFonts w:ascii="Calibri" w:hAnsi="Calibri" w:cs="Calibri"/>
          <w:sz w:val="20"/>
          <w:szCs w:val="20"/>
          <w:lang w:val="en-US"/>
        </w:rPr>
        <w:t>) Different reporting channels across regimes</w:t>
      </w:r>
    </w:p>
    <w:p w14:paraId="74A094C0"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w:t>
      </w:r>
      <w:r w:rsidRPr="006B196C">
        <w:rPr>
          <w:rFonts w:ascii="Calibri" w:hAnsi="Calibri" w:cs="Calibri"/>
          <w:b/>
          <w:sz w:val="20"/>
          <w:szCs w:val="20"/>
          <w:lang w:val="en-US"/>
        </w:rPr>
        <w:t>High</w:t>
      </w:r>
      <w:r w:rsidRPr="006B196C">
        <w:rPr>
          <w:rFonts w:ascii="Calibri" w:hAnsi="Calibri" w:cs="Calibri"/>
          <w:sz w:val="20"/>
          <w:szCs w:val="20"/>
          <w:lang w:val="en-US"/>
        </w:rPr>
        <w:t>) Duplication of IT systems</w:t>
      </w:r>
    </w:p>
    <w:p w14:paraId="4F776E3A" w14:textId="77777777" w:rsidR="00E464C1" w:rsidRPr="006B196C" w:rsidRDefault="00E464C1" w:rsidP="00E464C1">
      <w:pPr>
        <w:jc w:val="both"/>
        <w:rPr>
          <w:rFonts w:ascii="Calibri" w:hAnsi="Calibri" w:cs="Calibri"/>
          <w:sz w:val="20"/>
          <w:szCs w:val="20"/>
          <w:lang w:val="en-US"/>
        </w:rPr>
      </w:pPr>
    </w:p>
    <w:p w14:paraId="33CC973D" w14:textId="77777777" w:rsidR="00E464C1" w:rsidRPr="006B196C" w:rsidRDefault="00E464C1" w:rsidP="00E464C1">
      <w:pPr>
        <w:jc w:val="both"/>
        <w:rPr>
          <w:rFonts w:ascii="Calibri" w:hAnsi="Calibri" w:cs="Calibri"/>
          <w:sz w:val="20"/>
          <w:szCs w:val="20"/>
          <w:lang w:val="en-US"/>
        </w:rPr>
      </w:pPr>
      <w:r>
        <w:rPr>
          <w:rFonts w:ascii="Calibri" w:hAnsi="Calibri" w:cs="Calibri"/>
          <w:sz w:val="20"/>
          <w:szCs w:val="20"/>
          <w:lang w:val="en-US"/>
        </w:rPr>
        <w:t>Among these, the issues</w:t>
      </w:r>
      <w:r w:rsidRPr="006B196C">
        <w:rPr>
          <w:rFonts w:ascii="Calibri" w:hAnsi="Calibri" w:cs="Calibri"/>
          <w:sz w:val="20"/>
          <w:szCs w:val="20"/>
          <w:lang w:val="en-US"/>
        </w:rPr>
        <w:t xml:space="preserve"> flagged above as (High) are of outmost importance, as they are key drivers for the regulatory costs.</w:t>
      </w:r>
    </w:p>
    <w:p w14:paraId="4AD2D5C7" w14:textId="77777777" w:rsidR="00E464C1" w:rsidRPr="006B196C" w:rsidRDefault="00E464C1" w:rsidP="00E464C1">
      <w:pPr>
        <w:jc w:val="both"/>
        <w:rPr>
          <w:rFonts w:ascii="Calibri" w:hAnsi="Calibri" w:cs="Calibri"/>
          <w:b/>
          <w:sz w:val="20"/>
          <w:szCs w:val="20"/>
          <w:lang w:val="en-US"/>
        </w:rPr>
      </w:pPr>
    </w:p>
    <w:p w14:paraId="15600C3C" w14:textId="77777777" w:rsidR="00E464C1" w:rsidRPr="00214300" w:rsidRDefault="00E464C1" w:rsidP="00E464C1">
      <w:pPr>
        <w:pStyle w:val="Prrafodelista"/>
        <w:numPr>
          <w:ilvl w:val="0"/>
          <w:numId w:val="44"/>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lang w:val="en-US"/>
        </w:rPr>
      </w:pPr>
      <w:r w:rsidRPr="00214300">
        <w:rPr>
          <w:rFonts w:ascii="Calibri" w:hAnsi="Calibri" w:cs="Calibri"/>
          <w:b/>
          <w:sz w:val="20"/>
          <w:szCs w:val="20"/>
          <w:lang w:val="en-US"/>
        </w:rPr>
        <w:t>Reporting channels and duplication of IT Systems:</w:t>
      </w:r>
    </w:p>
    <w:p w14:paraId="20C22494" w14:textId="77777777" w:rsidR="00E464C1" w:rsidRPr="006B196C" w:rsidRDefault="00E464C1" w:rsidP="00E464C1">
      <w:pPr>
        <w:jc w:val="both"/>
        <w:rPr>
          <w:rFonts w:ascii="Calibri" w:hAnsi="Calibri" w:cs="Calibri"/>
          <w:b/>
          <w:sz w:val="20"/>
          <w:szCs w:val="20"/>
          <w:lang w:val="en-US"/>
        </w:rPr>
      </w:pPr>
    </w:p>
    <w:p w14:paraId="5301FFE1" w14:textId="77777777" w:rsidR="00E464C1" w:rsidRPr="006B196C" w:rsidRDefault="00E464C1" w:rsidP="00E464C1">
      <w:pPr>
        <w:rPr>
          <w:rFonts w:ascii="Calibri" w:hAnsi="Calibri" w:cs="Calibri"/>
          <w:sz w:val="20"/>
          <w:szCs w:val="20"/>
          <w:lang w:val="en-US"/>
        </w:rPr>
      </w:pPr>
      <w:r w:rsidRPr="006B196C">
        <w:rPr>
          <w:rFonts w:ascii="Calibri" w:hAnsi="Calibri" w:cs="Calibri"/>
          <w:sz w:val="20"/>
          <w:szCs w:val="20"/>
          <w:lang w:val="en-US"/>
        </w:rPr>
        <w:t xml:space="preserve">Redirecting EMIR and MiFIR flows depending on the venue where the trades were concluded does not reduce the burden on duplicated reporting channels. Instead, it can even increase the problem for small entities that today only have an obligation to report under EMIR to a TR (e.g., NFC that negotiates ETDs) and in </w:t>
      </w:r>
      <w:r>
        <w:rPr>
          <w:rFonts w:ascii="Calibri" w:hAnsi="Calibri" w:cs="Calibri"/>
          <w:sz w:val="20"/>
          <w:szCs w:val="20"/>
          <w:lang w:val="en-US"/>
        </w:rPr>
        <w:t xml:space="preserve">the </w:t>
      </w:r>
      <w:r w:rsidRPr="006B196C">
        <w:rPr>
          <w:rFonts w:ascii="Calibri" w:hAnsi="Calibri" w:cs="Calibri"/>
          <w:sz w:val="20"/>
          <w:szCs w:val="20"/>
          <w:lang w:val="en-US"/>
        </w:rPr>
        <w:t>future may have to report them to the ARM.</w:t>
      </w:r>
    </w:p>
    <w:p w14:paraId="0EC24AD6" w14:textId="77777777" w:rsidR="00E464C1" w:rsidRPr="006F5499" w:rsidRDefault="00E464C1" w:rsidP="00E464C1">
      <w:pPr>
        <w:rPr>
          <w:rFonts w:ascii="Calibri" w:hAnsi="Calibri" w:cs="Calibri"/>
          <w:sz w:val="20"/>
          <w:szCs w:val="20"/>
          <w:lang w:val="en-US"/>
        </w:rPr>
      </w:pPr>
    </w:p>
    <w:p w14:paraId="4EBD9D07" w14:textId="77777777" w:rsidR="00E464C1" w:rsidRPr="006B196C" w:rsidRDefault="00E464C1" w:rsidP="00E464C1">
      <w:pPr>
        <w:rPr>
          <w:rFonts w:ascii="Calibri" w:hAnsi="Calibri" w:cs="Calibri"/>
          <w:sz w:val="20"/>
          <w:szCs w:val="20"/>
          <w:lang w:val="en-US"/>
        </w:rPr>
      </w:pPr>
      <w:r w:rsidRPr="006B196C">
        <w:rPr>
          <w:rFonts w:ascii="Calibri" w:hAnsi="Calibri" w:cs="Calibri"/>
          <w:sz w:val="20"/>
          <w:szCs w:val="20"/>
          <w:lang w:val="en-US"/>
        </w:rPr>
        <w:t>Unlike for EMIR, reporting channels under MiFIR involve both regulated and unregulated entities. Therefore, shifting the reporting of EMIR ETDs to the MiFIR channels could imply</w:t>
      </w:r>
      <w:r w:rsidRPr="006F5499">
        <w:rPr>
          <w:rFonts w:ascii="Calibri" w:hAnsi="Calibri" w:cs="Calibri"/>
          <w:sz w:val="20"/>
          <w:szCs w:val="20"/>
          <w:lang w:val="en-US"/>
        </w:rPr>
        <w:t>:</w:t>
      </w:r>
    </w:p>
    <w:p w14:paraId="5B3DF29A" w14:textId="77777777" w:rsidR="00E464C1" w:rsidRPr="006B196C" w:rsidRDefault="00E464C1" w:rsidP="00E464C1">
      <w:pPr>
        <w:pStyle w:val="Prrafodelista"/>
        <w:numPr>
          <w:ilvl w:val="1"/>
          <w:numId w:val="41"/>
        </w:numPr>
        <w:tabs>
          <w:tab w:val="clear" w:pos="0"/>
          <w:tab w:val="clear" w:pos="142"/>
          <w:tab w:val="clear" w:pos="284"/>
          <w:tab w:val="clear" w:pos="567"/>
        </w:tabs>
        <w:autoSpaceDE/>
        <w:autoSpaceDN/>
        <w:adjustRightInd/>
        <w:spacing w:line="240" w:lineRule="auto"/>
        <w:ind w:left="720"/>
        <w:contextualSpacing/>
        <w:rPr>
          <w:rFonts w:ascii="Calibri" w:hAnsi="Calibri" w:cs="Calibri"/>
          <w:sz w:val="20"/>
          <w:szCs w:val="20"/>
          <w:lang w:val="en-US"/>
        </w:rPr>
      </w:pPr>
      <w:r>
        <w:rPr>
          <w:rFonts w:ascii="Calibri" w:hAnsi="Calibri" w:cs="Calibri"/>
          <w:sz w:val="20"/>
          <w:szCs w:val="20"/>
          <w:lang w:val="en-US"/>
        </w:rPr>
        <w:t>That e</w:t>
      </w:r>
      <w:r w:rsidRPr="006B196C">
        <w:rPr>
          <w:rFonts w:ascii="Calibri" w:hAnsi="Calibri" w:cs="Calibri"/>
          <w:sz w:val="20"/>
          <w:szCs w:val="20"/>
          <w:lang w:val="en-US"/>
        </w:rPr>
        <w:t xml:space="preserve">ither </w:t>
      </w:r>
    </w:p>
    <w:p w14:paraId="7290EEB6" w14:textId="77777777" w:rsidR="00E464C1" w:rsidRPr="006B196C" w:rsidRDefault="00E464C1" w:rsidP="00E464C1">
      <w:pPr>
        <w:pStyle w:val="Prrafodelista"/>
        <w:numPr>
          <w:ilvl w:val="2"/>
          <w:numId w:val="42"/>
        </w:numPr>
        <w:tabs>
          <w:tab w:val="clear" w:pos="0"/>
          <w:tab w:val="clear" w:pos="142"/>
          <w:tab w:val="clear" w:pos="284"/>
          <w:tab w:val="clear" w:pos="567"/>
        </w:tabs>
        <w:autoSpaceDE/>
        <w:autoSpaceDN/>
        <w:adjustRightInd/>
        <w:spacing w:line="240" w:lineRule="auto"/>
        <w:ind w:left="1440"/>
        <w:contextualSpacing/>
        <w:rPr>
          <w:rFonts w:ascii="Calibri" w:hAnsi="Calibri" w:cs="Calibri"/>
          <w:sz w:val="20"/>
          <w:szCs w:val="20"/>
          <w:lang w:val="en-US"/>
        </w:rPr>
      </w:pPr>
      <w:r w:rsidRPr="006B196C">
        <w:rPr>
          <w:rFonts w:ascii="Calibri" w:hAnsi="Calibri" w:cs="Calibri"/>
          <w:sz w:val="20"/>
          <w:szCs w:val="20"/>
          <w:lang w:val="en-US"/>
        </w:rPr>
        <w:t xml:space="preserve">NCAs would no longer be able to perform their supervisory role under EMIR for ETDs or </w:t>
      </w:r>
    </w:p>
    <w:p w14:paraId="3D22A41E" w14:textId="77777777" w:rsidR="00E464C1" w:rsidRPr="006B196C" w:rsidRDefault="00E464C1" w:rsidP="00E464C1">
      <w:pPr>
        <w:pStyle w:val="Prrafodelista"/>
        <w:numPr>
          <w:ilvl w:val="2"/>
          <w:numId w:val="42"/>
        </w:numPr>
        <w:tabs>
          <w:tab w:val="clear" w:pos="0"/>
          <w:tab w:val="clear" w:pos="142"/>
          <w:tab w:val="clear" w:pos="284"/>
          <w:tab w:val="clear" w:pos="567"/>
        </w:tabs>
        <w:autoSpaceDE/>
        <w:autoSpaceDN/>
        <w:adjustRightInd/>
        <w:spacing w:line="240" w:lineRule="auto"/>
        <w:ind w:left="1440"/>
        <w:contextualSpacing/>
        <w:rPr>
          <w:rFonts w:ascii="Calibri" w:hAnsi="Calibri" w:cs="Calibri"/>
          <w:sz w:val="20"/>
          <w:szCs w:val="20"/>
          <w:lang w:val="en-US"/>
        </w:rPr>
      </w:pPr>
      <w:r w:rsidRPr="006B196C">
        <w:rPr>
          <w:rFonts w:ascii="Calibri" w:hAnsi="Calibri" w:cs="Calibri"/>
          <w:sz w:val="20"/>
          <w:szCs w:val="20"/>
          <w:lang w:val="en-US"/>
        </w:rPr>
        <w:t xml:space="preserve">that all entities that provide MiFIR services (ARMs, and third parties) would be required to implement new functionalities mirroring those from the TRs. In other words, that they would need to build systems and control frameworks to further validate the reporting data (including permission and logical validations), calculate trade states (present and historical), position calculations, warnings, etc., as well </w:t>
      </w:r>
      <w:r>
        <w:rPr>
          <w:rFonts w:ascii="Calibri" w:hAnsi="Calibri" w:cs="Calibri"/>
          <w:sz w:val="20"/>
          <w:szCs w:val="20"/>
          <w:lang w:val="en-US"/>
        </w:rPr>
        <w:t xml:space="preserve">as </w:t>
      </w:r>
      <w:r w:rsidRPr="006B196C">
        <w:rPr>
          <w:rFonts w:ascii="Calibri" w:hAnsi="Calibri" w:cs="Calibri"/>
          <w:sz w:val="20"/>
          <w:szCs w:val="20"/>
          <w:lang w:val="en-US"/>
        </w:rPr>
        <w:t>complying with other requirements such as the 10-year recordkeeping obligation.</w:t>
      </w:r>
    </w:p>
    <w:p w14:paraId="74FEF13B" w14:textId="77777777" w:rsidR="00E464C1" w:rsidRPr="006B196C" w:rsidRDefault="00E464C1" w:rsidP="00E464C1">
      <w:pPr>
        <w:pStyle w:val="Prrafodelista"/>
        <w:numPr>
          <w:ilvl w:val="1"/>
          <w:numId w:val="41"/>
        </w:numPr>
        <w:tabs>
          <w:tab w:val="clear" w:pos="0"/>
          <w:tab w:val="clear" w:pos="142"/>
          <w:tab w:val="clear" w:pos="284"/>
          <w:tab w:val="clear" w:pos="567"/>
        </w:tabs>
        <w:autoSpaceDE/>
        <w:autoSpaceDN/>
        <w:adjustRightInd/>
        <w:spacing w:line="240" w:lineRule="auto"/>
        <w:ind w:left="720"/>
        <w:contextualSpacing/>
        <w:rPr>
          <w:rFonts w:ascii="Calibri" w:hAnsi="Calibri" w:cs="Calibri"/>
          <w:sz w:val="20"/>
          <w:szCs w:val="20"/>
          <w:lang w:val="en-US"/>
        </w:rPr>
      </w:pPr>
      <w:r w:rsidRPr="006B196C">
        <w:rPr>
          <w:rFonts w:ascii="Calibri" w:hAnsi="Calibri" w:cs="Calibri"/>
          <w:sz w:val="20"/>
          <w:szCs w:val="20"/>
          <w:lang w:val="en-US"/>
        </w:rPr>
        <w:t xml:space="preserve">That regulated </w:t>
      </w:r>
      <w:r>
        <w:rPr>
          <w:rFonts w:ascii="Calibri" w:hAnsi="Calibri" w:cs="Calibri"/>
          <w:sz w:val="20"/>
          <w:szCs w:val="20"/>
          <w:lang w:val="en-US"/>
        </w:rPr>
        <w:t xml:space="preserve">reporting infrastructures </w:t>
      </w:r>
      <w:r w:rsidRPr="006B196C">
        <w:rPr>
          <w:rFonts w:ascii="Calibri" w:hAnsi="Calibri" w:cs="Calibri"/>
          <w:sz w:val="20"/>
          <w:szCs w:val="20"/>
          <w:lang w:val="en-US"/>
        </w:rPr>
        <w:t>(TRs, ARMs) and unregulated entities (including non-EU third parties) could be entitled to provide the same services. This would cause:</w:t>
      </w:r>
    </w:p>
    <w:p w14:paraId="73795892" w14:textId="77777777" w:rsidR="00E464C1" w:rsidRPr="006B196C" w:rsidRDefault="00E464C1" w:rsidP="00E464C1">
      <w:pPr>
        <w:pStyle w:val="Prrafodelista"/>
        <w:numPr>
          <w:ilvl w:val="2"/>
          <w:numId w:val="43"/>
        </w:numPr>
        <w:tabs>
          <w:tab w:val="clear" w:pos="0"/>
          <w:tab w:val="clear" w:pos="142"/>
          <w:tab w:val="clear" w:pos="284"/>
          <w:tab w:val="clear" w:pos="567"/>
        </w:tabs>
        <w:autoSpaceDE/>
        <w:autoSpaceDN/>
        <w:adjustRightInd/>
        <w:spacing w:line="240" w:lineRule="auto"/>
        <w:ind w:left="1440"/>
        <w:contextualSpacing/>
        <w:rPr>
          <w:rFonts w:ascii="Calibri" w:hAnsi="Calibri" w:cs="Calibri"/>
          <w:sz w:val="20"/>
          <w:szCs w:val="20"/>
          <w:lang w:val="en-US"/>
        </w:rPr>
      </w:pPr>
      <w:r w:rsidRPr="006B196C">
        <w:rPr>
          <w:rFonts w:ascii="Calibri" w:hAnsi="Calibri" w:cs="Calibri"/>
          <w:sz w:val="20"/>
          <w:szCs w:val="20"/>
          <w:lang w:val="en-US"/>
        </w:rPr>
        <w:t>Reduced capacity for ESMA to supervise the robustness and resilience of critical infrastructures as well as to ensure the confidentiality and accuracy of the data reported. To mitigate this issue, NCAs would need to perform validations on their end (as currently done under MiFIR) instead of relying on regulated entities that already do so.</w:t>
      </w:r>
    </w:p>
    <w:p w14:paraId="1147C7DC" w14:textId="77777777" w:rsidR="00E464C1" w:rsidRPr="006B196C" w:rsidRDefault="00E464C1" w:rsidP="00E464C1">
      <w:pPr>
        <w:pStyle w:val="Prrafodelista"/>
        <w:numPr>
          <w:ilvl w:val="2"/>
          <w:numId w:val="43"/>
        </w:numPr>
        <w:tabs>
          <w:tab w:val="clear" w:pos="0"/>
          <w:tab w:val="clear" w:pos="142"/>
          <w:tab w:val="clear" w:pos="284"/>
          <w:tab w:val="clear" w:pos="567"/>
        </w:tabs>
        <w:autoSpaceDE/>
        <w:autoSpaceDN/>
        <w:adjustRightInd/>
        <w:spacing w:line="240" w:lineRule="auto"/>
        <w:ind w:left="1440"/>
        <w:contextualSpacing/>
        <w:rPr>
          <w:rFonts w:ascii="Calibri" w:hAnsi="Calibri" w:cs="Calibri"/>
          <w:sz w:val="20"/>
          <w:szCs w:val="20"/>
          <w:lang w:val="en-US"/>
        </w:rPr>
      </w:pPr>
      <w:r w:rsidRPr="006B196C">
        <w:rPr>
          <w:rFonts w:ascii="Calibri" w:hAnsi="Calibri" w:cs="Calibri"/>
          <w:sz w:val="20"/>
          <w:szCs w:val="20"/>
          <w:lang w:val="en-US"/>
        </w:rPr>
        <w:t>An uneven playing field for the provision of these regulatory services</w:t>
      </w:r>
      <w:r>
        <w:rPr>
          <w:rFonts w:ascii="Calibri" w:hAnsi="Calibri" w:cs="Calibri"/>
          <w:sz w:val="20"/>
          <w:szCs w:val="20"/>
          <w:lang w:val="en-US"/>
        </w:rPr>
        <w:t>.</w:t>
      </w:r>
    </w:p>
    <w:p w14:paraId="09CB0F47" w14:textId="77777777" w:rsidR="00E464C1" w:rsidRDefault="00E464C1" w:rsidP="00E464C1">
      <w:pPr>
        <w:jc w:val="both"/>
        <w:rPr>
          <w:rFonts w:ascii="Calibri" w:hAnsi="Calibri" w:cs="Calibri"/>
          <w:b/>
          <w:sz w:val="20"/>
          <w:szCs w:val="20"/>
          <w:lang w:val="en-US"/>
        </w:rPr>
      </w:pPr>
    </w:p>
    <w:p w14:paraId="4E15CDCA" w14:textId="77777777" w:rsidR="00E464C1" w:rsidRPr="00557C42" w:rsidRDefault="00E464C1" w:rsidP="00E464C1">
      <w:pPr>
        <w:pStyle w:val="Prrafodelista"/>
        <w:numPr>
          <w:ilvl w:val="0"/>
          <w:numId w:val="44"/>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214300">
        <w:rPr>
          <w:rFonts w:ascii="Calibri" w:hAnsi="Calibri" w:cs="Calibri"/>
          <w:b/>
          <w:sz w:val="20"/>
          <w:szCs w:val="20"/>
          <w:lang w:val="en-US"/>
        </w:rPr>
        <w:t>Data access to EMIR ETDs</w:t>
      </w:r>
      <w:r w:rsidRPr="00214300">
        <w:rPr>
          <w:rFonts w:ascii="Calibri" w:hAnsi="Calibri" w:cs="Calibri"/>
          <w:sz w:val="20"/>
          <w:szCs w:val="20"/>
          <w:lang w:val="en-US"/>
        </w:rPr>
        <w:t>:</w:t>
      </w:r>
    </w:p>
    <w:p w14:paraId="3584A4A9" w14:textId="77777777" w:rsidR="00E464C1" w:rsidRPr="006204B1" w:rsidRDefault="00E464C1" w:rsidP="00E464C1">
      <w:pPr>
        <w:pStyle w:val="Prrafodelista"/>
        <w:numPr>
          <w:ilvl w:val="0"/>
          <w:numId w:val="0"/>
        </w:numPr>
        <w:ind w:left="1068"/>
        <w:rPr>
          <w:rFonts w:ascii="Calibri" w:hAnsi="Calibri" w:cs="Calibri"/>
          <w:sz w:val="20"/>
          <w:szCs w:val="20"/>
          <w:lang w:val="en-US"/>
        </w:rPr>
      </w:pPr>
    </w:p>
    <w:p w14:paraId="3CADBEE9" w14:textId="77777777" w:rsidR="00E464C1" w:rsidRPr="00557C42" w:rsidRDefault="00E464C1" w:rsidP="00E464C1">
      <w:pPr>
        <w:rPr>
          <w:rFonts w:ascii="Calibri" w:hAnsi="Calibri" w:cs="Calibri"/>
          <w:sz w:val="20"/>
          <w:szCs w:val="20"/>
          <w:lang w:val="en-US"/>
        </w:rPr>
      </w:pPr>
      <w:r w:rsidRPr="00557C42">
        <w:rPr>
          <w:rFonts w:ascii="Calibri" w:hAnsi="Calibri" w:cs="Calibri"/>
          <w:sz w:val="20"/>
          <w:szCs w:val="20"/>
          <w:lang w:val="en-US"/>
        </w:rPr>
        <w:t>According to EMIR, TRs have a 10-year recordkeeping obligation. Shifting the ETD flows to MiFIR channels would impact both the continuity and the complexity of data access:</w:t>
      </w:r>
    </w:p>
    <w:p w14:paraId="7081D07A" w14:textId="77777777" w:rsidR="00E464C1" w:rsidRPr="00557C42"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557C42">
        <w:rPr>
          <w:rFonts w:ascii="Calibri" w:hAnsi="Calibri" w:cs="Calibri"/>
          <w:sz w:val="20"/>
          <w:szCs w:val="20"/>
          <w:lang w:val="en-US"/>
        </w:rPr>
        <w:t>MiFIR reporting channels are currently unprepared to record EMIR data types (trade activity, trade states, reconciliation, rejection, warnings, position calculation, etc.). Also, the transfer of this data to them would require the implementation of costly procedures (Portability)</w:t>
      </w:r>
    </w:p>
    <w:p w14:paraId="3F27BE5F" w14:textId="77777777" w:rsidR="00E464C1" w:rsidRPr="00557C42"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557C42">
        <w:rPr>
          <w:rFonts w:ascii="Calibri" w:hAnsi="Calibri" w:cs="Calibri"/>
          <w:sz w:val="20"/>
          <w:szCs w:val="20"/>
          <w:lang w:val="en-US"/>
        </w:rPr>
        <w:t>NCAs are currently able to request TRs to provide ad-hoc reports (activity, state) for ETDs. This option would no longer be supported under option 1a.</w:t>
      </w:r>
    </w:p>
    <w:p w14:paraId="72BF2BA2" w14:textId="77777777" w:rsidR="00E464C1" w:rsidRDefault="00E464C1" w:rsidP="00E464C1">
      <w:pPr>
        <w:jc w:val="both"/>
        <w:rPr>
          <w:rFonts w:ascii="Calibri" w:hAnsi="Calibri" w:cs="Calibri"/>
          <w:b/>
          <w:sz w:val="20"/>
          <w:szCs w:val="20"/>
          <w:lang w:val="en-US"/>
        </w:rPr>
      </w:pPr>
    </w:p>
    <w:p w14:paraId="2AF9DFFC" w14:textId="77777777" w:rsidR="00E464C1" w:rsidRPr="00557C42" w:rsidRDefault="00E464C1" w:rsidP="00E464C1">
      <w:pPr>
        <w:pStyle w:val="Prrafodelista"/>
        <w:keepNext/>
        <w:keepLines/>
        <w:numPr>
          <w:ilvl w:val="0"/>
          <w:numId w:val="44"/>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214300">
        <w:rPr>
          <w:rFonts w:ascii="Calibri" w:hAnsi="Calibri" w:cs="Calibri"/>
          <w:b/>
          <w:sz w:val="20"/>
          <w:szCs w:val="20"/>
          <w:lang w:val="en-US"/>
        </w:rPr>
        <w:t>Reporting and data quality</w:t>
      </w:r>
      <w:r w:rsidRPr="00214300">
        <w:rPr>
          <w:rFonts w:ascii="Calibri" w:hAnsi="Calibri" w:cs="Calibri"/>
          <w:sz w:val="20"/>
          <w:szCs w:val="20"/>
          <w:lang w:val="en-US"/>
        </w:rPr>
        <w:t>:</w:t>
      </w:r>
    </w:p>
    <w:p w14:paraId="4F12A362" w14:textId="77777777" w:rsidR="00E464C1" w:rsidRPr="006204B1" w:rsidRDefault="00E464C1" w:rsidP="00E464C1">
      <w:pPr>
        <w:pStyle w:val="Prrafodelista"/>
        <w:keepNext/>
        <w:keepLines/>
        <w:numPr>
          <w:ilvl w:val="0"/>
          <w:numId w:val="0"/>
        </w:numPr>
        <w:ind w:left="1068"/>
        <w:rPr>
          <w:rFonts w:ascii="Calibri" w:hAnsi="Calibri" w:cs="Calibri"/>
          <w:sz w:val="20"/>
          <w:szCs w:val="20"/>
          <w:lang w:val="en-US"/>
        </w:rPr>
      </w:pPr>
    </w:p>
    <w:p w14:paraId="1912C277" w14:textId="77777777" w:rsidR="00E464C1" w:rsidRPr="00557C42" w:rsidRDefault="00E464C1" w:rsidP="00E464C1">
      <w:pPr>
        <w:keepNext/>
        <w:keepLines/>
        <w:rPr>
          <w:rFonts w:ascii="Calibri" w:hAnsi="Calibri" w:cs="Calibri"/>
          <w:sz w:val="20"/>
          <w:szCs w:val="20"/>
          <w:lang w:val="en-US"/>
        </w:rPr>
      </w:pPr>
      <w:r w:rsidRPr="00557C42">
        <w:rPr>
          <w:rFonts w:ascii="Calibri" w:hAnsi="Calibri" w:cs="Calibri"/>
          <w:sz w:val="20"/>
          <w:szCs w:val="20"/>
          <w:lang w:val="en-US"/>
        </w:rPr>
        <w:t>Currently, TRs perform validations over reported data based not only on the information reported in the lifecycle event itself and on reference data (e.g., ISINs, UPIs, GLEIF, country and currency codes, etc.), but also on the history of such trade (logical validations) and on the latest state of such trade. Under option 1a, ETDs could only reach such level of validation if MiFIR channels would replicate current TR infrastructures</w:t>
      </w:r>
    </w:p>
    <w:p w14:paraId="7FBB1D3A" w14:textId="77777777" w:rsidR="00E464C1" w:rsidRDefault="00E464C1" w:rsidP="00E464C1">
      <w:pPr>
        <w:rPr>
          <w:rFonts w:ascii="Calibri" w:hAnsi="Calibri" w:cs="Calibri"/>
          <w:sz w:val="20"/>
          <w:szCs w:val="20"/>
          <w:lang w:val="en-US"/>
        </w:rPr>
      </w:pPr>
    </w:p>
    <w:p w14:paraId="485D3DA5" w14:textId="77777777" w:rsidR="00E464C1" w:rsidRPr="00557C42" w:rsidRDefault="00E464C1" w:rsidP="00E464C1">
      <w:pPr>
        <w:rPr>
          <w:rFonts w:ascii="Calibri" w:hAnsi="Calibri" w:cs="Calibri"/>
          <w:sz w:val="20"/>
          <w:szCs w:val="20"/>
          <w:lang w:val="en-US"/>
        </w:rPr>
      </w:pPr>
      <w:proofErr w:type="gramStart"/>
      <w:r w:rsidRPr="00557C42">
        <w:rPr>
          <w:rFonts w:ascii="Calibri" w:hAnsi="Calibri" w:cs="Calibri"/>
          <w:sz w:val="20"/>
          <w:szCs w:val="20"/>
          <w:lang w:val="en-US"/>
        </w:rPr>
        <w:t>Assuming that</w:t>
      </w:r>
      <w:proofErr w:type="gramEnd"/>
      <w:r w:rsidRPr="00557C42">
        <w:rPr>
          <w:rFonts w:ascii="Calibri" w:hAnsi="Calibri" w:cs="Calibri"/>
          <w:sz w:val="20"/>
          <w:szCs w:val="20"/>
          <w:lang w:val="en-US"/>
        </w:rPr>
        <w:t xml:space="preserve"> MiFIR reporting remains dual-sided due to the points mentioned</w:t>
      </w:r>
      <w:r>
        <w:rPr>
          <w:rFonts w:ascii="Calibri" w:hAnsi="Calibri" w:cs="Calibri"/>
          <w:sz w:val="20"/>
          <w:szCs w:val="20"/>
          <w:lang w:val="en-US"/>
        </w:rPr>
        <w:t xml:space="preserve"> </w:t>
      </w:r>
      <w:r w:rsidRPr="00557C42">
        <w:rPr>
          <w:rFonts w:ascii="Calibri" w:hAnsi="Calibri" w:cs="Calibri"/>
          <w:sz w:val="20"/>
          <w:szCs w:val="20"/>
          <w:lang w:val="en-US"/>
        </w:rPr>
        <w:t>above, ETDs data would stop being reconcilable, i.e., reduced capabilities to assess data quality, without a tangible benefit / reduction on the reporting obligation by counterparties.</w:t>
      </w:r>
    </w:p>
    <w:p w14:paraId="3C12BB48" w14:textId="77777777" w:rsidR="00E464C1" w:rsidRPr="00557C42" w:rsidRDefault="00E464C1" w:rsidP="00E464C1">
      <w:pPr>
        <w:jc w:val="both"/>
        <w:rPr>
          <w:rFonts w:ascii="Calibri" w:hAnsi="Calibri" w:cs="Calibri"/>
          <w:sz w:val="20"/>
          <w:szCs w:val="20"/>
          <w:lang w:val="en-US"/>
        </w:rPr>
      </w:pPr>
    </w:p>
    <w:p w14:paraId="35A798EA" w14:textId="77777777" w:rsidR="00E464C1" w:rsidRPr="006F5499" w:rsidRDefault="00E464C1" w:rsidP="00E464C1">
      <w:pPr>
        <w:pStyle w:val="Prrafodelista"/>
        <w:numPr>
          <w:ilvl w:val="0"/>
          <w:numId w:val="44"/>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lang w:val="en-US"/>
        </w:rPr>
      </w:pPr>
      <w:r w:rsidRPr="00214300">
        <w:rPr>
          <w:rFonts w:ascii="Calibri" w:hAnsi="Calibri" w:cs="Calibri"/>
          <w:b/>
          <w:sz w:val="20"/>
          <w:szCs w:val="20"/>
          <w:lang w:val="en-US"/>
        </w:rPr>
        <w:t>A workable transition towards Option 2a:</w:t>
      </w:r>
    </w:p>
    <w:p w14:paraId="79A22817" w14:textId="77777777" w:rsidR="00E464C1" w:rsidRPr="006204B1" w:rsidRDefault="00E464C1" w:rsidP="00E464C1">
      <w:pPr>
        <w:pStyle w:val="Prrafodelista"/>
        <w:numPr>
          <w:ilvl w:val="0"/>
          <w:numId w:val="0"/>
        </w:numPr>
        <w:ind w:left="1068"/>
        <w:rPr>
          <w:rFonts w:ascii="Calibri" w:hAnsi="Calibri" w:cs="Calibri"/>
          <w:b/>
          <w:sz w:val="20"/>
          <w:szCs w:val="20"/>
          <w:lang w:val="en-US"/>
        </w:rPr>
      </w:pPr>
    </w:p>
    <w:p w14:paraId="5CE8E773" w14:textId="77777777" w:rsidR="00E464C1" w:rsidRPr="000E1F6A" w:rsidRDefault="00E464C1" w:rsidP="00E464C1">
      <w:pPr>
        <w:jc w:val="both"/>
        <w:rPr>
          <w:rFonts w:ascii="Calibri" w:hAnsi="Calibri" w:cs="Calibri"/>
          <w:sz w:val="20"/>
          <w:szCs w:val="20"/>
          <w:lang w:val="en-US"/>
        </w:rPr>
      </w:pPr>
      <w:r w:rsidRPr="00557C42">
        <w:rPr>
          <w:rFonts w:ascii="Calibri" w:hAnsi="Calibri" w:cs="Calibri"/>
          <w:sz w:val="20"/>
          <w:szCs w:val="20"/>
          <w:lang w:val="en-US"/>
        </w:rPr>
        <w:lastRenderedPageBreak/>
        <w:t xml:space="preserve">A </w:t>
      </w:r>
      <w:r>
        <w:rPr>
          <w:rFonts w:ascii="Calibri" w:hAnsi="Calibri" w:cs="Calibri"/>
          <w:sz w:val="20"/>
          <w:szCs w:val="20"/>
          <w:lang w:val="en-US"/>
        </w:rPr>
        <w:t>transitional</w:t>
      </w:r>
      <w:r w:rsidRPr="00557C42">
        <w:rPr>
          <w:rFonts w:ascii="Calibri" w:hAnsi="Calibri" w:cs="Calibri"/>
          <w:sz w:val="20"/>
          <w:szCs w:val="20"/>
          <w:lang w:val="en-US"/>
        </w:rPr>
        <w:t xml:space="preserve"> solution towards </w:t>
      </w:r>
      <w:r>
        <w:rPr>
          <w:rFonts w:ascii="Calibri" w:hAnsi="Calibri" w:cs="Calibri"/>
          <w:sz w:val="20"/>
          <w:szCs w:val="20"/>
          <w:lang w:val="en-US"/>
        </w:rPr>
        <w:t xml:space="preserve">a </w:t>
      </w:r>
      <w:r w:rsidRPr="00A650AB">
        <w:rPr>
          <w:rFonts w:ascii="Calibri" w:hAnsi="Calibri" w:cs="Calibri"/>
          <w:sz w:val="20"/>
          <w:szCs w:val="20"/>
          <w:lang w:val="en-US"/>
        </w:rPr>
        <w:t>revised</w:t>
      </w:r>
      <w:r>
        <w:rPr>
          <w:rFonts w:ascii="Calibri" w:hAnsi="Calibri" w:cs="Calibri"/>
          <w:sz w:val="20"/>
          <w:szCs w:val="20"/>
          <w:lang w:val="en-US"/>
        </w:rPr>
        <w:t xml:space="preserve"> O</w:t>
      </w:r>
      <w:r w:rsidRPr="00557C42">
        <w:rPr>
          <w:rFonts w:ascii="Calibri" w:hAnsi="Calibri" w:cs="Calibri"/>
          <w:sz w:val="20"/>
          <w:szCs w:val="20"/>
          <w:lang w:val="en-US"/>
        </w:rPr>
        <w:t>ption 2a</w:t>
      </w:r>
      <w:r>
        <w:rPr>
          <w:rFonts w:ascii="Calibri" w:hAnsi="Calibri" w:cs="Calibri"/>
          <w:sz w:val="20"/>
          <w:szCs w:val="20"/>
          <w:lang w:val="en-US"/>
        </w:rPr>
        <w:t xml:space="preserve"> could be considered. </w:t>
      </w:r>
      <w:r w:rsidRPr="000E1F6A">
        <w:rPr>
          <w:rFonts w:ascii="Calibri" w:hAnsi="Calibri" w:cs="Calibri"/>
          <w:sz w:val="20"/>
          <w:szCs w:val="20"/>
          <w:lang w:val="en-US"/>
        </w:rPr>
        <w:t>This would involve a phased approach in which both Option 1a and Option 2a frameworks operate in parallel, allowing entities to adapt progressively while ensuring continuity for NCAs. A detailed structure for this transition is provided in our response to Question 17. The table below outlines a structured transitional approach that could serve as a workable path toward Option 2a, leveraging the key role of regulated reporting infrastructures (TRs and ARMs):</w:t>
      </w:r>
    </w:p>
    <w:p w14:paraId="6E041299" w14:textId="77777777" w:rsidR="00E464C1" w:rsidRPr="00557C42" w:rsidRDefault="00E464C1" w:rsidP="00E464C1">
      <w:pPr>
        <w:jc w:val="both"/>
        <w:rPr>
          <w:rFonts w:ascii="Calibri" w:hAnsi="Calibri" w:cs="Calibri"/>
          <w:sz w:val="20"/>
          <w:szCs w:val="20"/>
          <w:lang w:val="en-US"/>
        </w:rPr>
      </w:pPr>
    </w:p>
    <w:tbl>
      <w:tblPr>
        <w:tblStyle w:val="Tablaconcuadrcula"/>
        <w:tblW w:w="0" w:type="auto"/>
        <w:tblLook w:val="04A0" w:firstRow="1" w:lastRow="0" w:firstColumn="1" w:lastColumn="0" w:noHBand="0" w:noVBand="1"/>
      </w:tblPr>
      <w:tblGrid>
        <w:gridCol w:w="1447"/>
        <w:gridCol w:w="1417"/>
        <w:gridCol w:w="3544"/>
        <w:gridCol w:w="2382"/>
      </w:tblGrid>
      <w:tr w:rsidR="00E464C1" w:rsidRPr="00D96FDD" w14:paraId="175FE93B" w14:textId="77777777" w:rsidTr="002A5E89">
        <w:tc>
          <w:tcPr>
            <w:tcW w:w="1447" w:type="dxa"/>
          </w:tcPr>
          <w:p w14:paraId="2D4A6009" w14:textId="77777777" w:rsidR="00E464C1" w:rsidRPr="00557C42" w:rsidRDefault="00E464C1" w:rsidP="002A5E89">
            <w:pPr>
              <w:jc w:val="both"/>
              <w:rPr>
                <w:rFonts w:ascii="Calibri" w:hAnsi="Calibri" w:cs="Calibri"/>
                <w:b/>
                <w:sz w:val="20"/>
                <w:szCs w:val="20"/>
                <w:lang w:val="en-US"/>
              </w:rPr>
            </w:pPr>
            <w:r w:rsidRPr="00557C42">
              <w:rPr>
                <w:rFonts w:ascii="Calibri" w:hAnsi="Calibri" w:cs="Calibri"/>
                <w:b/>
                <w:sz w:val="20"/>
                <w:szCs w:val="20"/>
                <w:lang w:val="en-US"/>
              </w:rPr>
              <w:t>Type of transaction</w:t>
            </w:r>
          </w:p>
        </w:tc>
        <w:tc>
          <w:tcPr>
            <w:tcW w:w="1417" w:type="dxa"/>
          </w:tcPr>
          <w:p w14:paraId="1952F4D7" w14:textId="77777777" w:rsidR="00E464C1" w:rsidRPr="00557C42" w:rsidRDefault="00E464C1" w:rsidP="002A5E89">
            <w:pPr>
              <w:jc w:val="both"/>
              <w:rPr>
                <w:rFonts w:ascii="Calibri" w:hAnsi="Calibri" w:cs="Calibri"/>
                <w:b/>
                <w:sz w:val="20"/>
                <w:szCs w:val="20"/>
                <w:lang w:val="en-US"/>
              </w:rPr>
            </w:pPr>
            <w:r w:rsidRPr="00557C42">
              <w:rPr>
                <w:rFonts w:ascii="Calibri" w:hAnsi="Calibri" w:cs="Calibri"/>
                <w:b/>
                <w:sz w:val="20"/>
                <w:szCs w:val="20"/>
                <w:lang w:val="en-US"/>
              </w:rPr>
              <w:t>Currently</w:t>
            </w:r>
          </w:p>
        </w:tc>
        <w:tc>
          <w:tcPr>
            <w:tcW w:w="3544" w:type="dxa"/>
          </w:tcPr>
          <w:p w14:paraId="1E879F18" w14:textId="77777777" w:rsidR="00E464C1" w:rsidRPr="00557C42" w:rsidRDefault="00E464C1" w:rsidP="002A5E89">
            <w:pPr>
              <w:jc w:val="both"/>
              <w:rPr>
                <w:rFonts w:ascii="Calibri" w:hAnsi="Calibri" w:cs="Calibri"/>
                <w:b/>
                <w:sz w:val="20"/>
                <w:szCs w:val="20"/>
                <w:lang w:val="en-US"/>
              </w:rPr>
            </w:pPr>
            <w:r w:rsidRPr="00557C42">
              <w:rPr>
                <w:rFonts w:ascii="Calibri" w:hAnsi="Calibri" w:cs="Calibri"/>
                <w:b/>
                <w:sz w:val="20"/>
                <w:szCs w:val="20"/>
                <w:lang w:val="en-US"/>
              </w:rPr>
              <w:t>Option 1a (temporary)</w:t>
            </w:r>
          </w:p>
        </w:tc>
        <w:tc>
          <w:tcPr>
            <w:tcW w:w="2382" w:type="dxa"/>
          </w:tcPr>
          <w:p w14:paraId="53EF1E08" w14:textId="77777777" w:rsidR="00E464C1" w:rsidRPr="00557C42" w:rsidRDefault="00E464C1" w:rsidP="002A5E89">
            <w:pPr>
              <w:jc w:val="both"/>
              <w:rPr>
                <w:rFonts w:ascii="Calibri" w:hAnsi="Calibri" w:cs="Calibri"/>
                <w:b/>
                <w:sz w:val="20"/>
                <w:szCs w:val="20"/>
                <w:lang w:val="en-US"/>
              </w:rPr>
            </w:pPr>
            <w:r w:rsidRPr="00557C42">
              <w:rPr>
                <w:rFonts w:ascii="Calibri" w:hAnsi="Calibri" w:cs="Calibri"/>
                <w:b/>
                <w:sz w:val="20"/>
                <w:szCs w:val="20"/>
                <w:lang w:val="en-US"/>
              </w:rPr>
              <w:t>Option 2a (final state)</w:t>
            </w:r>
          </w:p>
        </w:tc>
      </w:tr>
      <w:tr w:rsidR="00E464C1" w:rsidRPr="00E464C1" w14:paraId="1A713ED8" w14:textId="77777777" w:rsidTr="002A5E89">
        <w:tc>
          <w:tcPr>
            <w:tcW w:w="1447" w:type="dxa"/>
          </w:tcPr>
          <w:p w14:paraId="55834B7B"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Reportable under MiFIR and EMIR</w:t>
            </w:r>
          </w:p>
        </w:tc>
        <w:tc>
          <w:tcPr>
            <w:tcW w:w="1417" w:type="dxa"/>
          </w:tcPr>
          <w:p w14:paraId="28F39FBA"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Reported twice: to ARM and to TR</w:t>
            </w:r>
          </w:p>
        </w:tc>
        <w:tc>
          <w:tcPr>
            <w:tcW w:w="3544" w:type="dxa"/>
          </w:tcPr>
          <w:p w14:paraId="25436795" w14:textId="77777777" w:rsidR="00E464C1" w:rsidRPr="006B196C" w:rsidRDefault="00E464C1" w:rsidP="002A5E89">
            <w:pPr>
              <w:jc w:val="both"/>
              <w:rPr>
                <w:rFonts w:ascii="Calibri" w:hAnsi="Calibri" w:cs="Calibri"/>
                <w:sz w:val="20"/>
                <w:szCs w:val="20"/>
                <w:lang w:val="en-US"/>
              </w:rPr>
            </w:pPr>
            <w:r w:rsidRPr="00C97BD4">
              <w:rPr>
                <w:rFonts w:ascii="Calibri" w:hAnsi="Calibri" w:cs="Calibri"/>
                <w:sz w:val="20"/>
                <w:szCs w:val="20"/>
              </w:rPr>
              <w:t>Regulated reporting infrastruc</w:t>
            </w:r>
            <w:r>
              <w:rPr>
                <w:rFonts w:ascii="Calibri" w:hAnsi="Calibri" w:cs="Calibri"/>
                <w:sz w:val="20"/>
                <w:szCs w:val="20"/>
              </w:rPr>
              <w:t>t</w:t>
            </w:r>
            <w:r w:rsidRPr="00C97BD4">
              <w:rPr>
                <w:rFonts w:ascii="Calibri" w:hAnsi="Calibri" w:cs="Calibri"/>
                <w:sz w:val="20"/>
                <w:szCs w:val="20"/>
              </w:rPr>
              <w:t>ures</w:t>
            </w:r>
            <w:r w:rsidRPr="006B196C">
              <w:rPr>
                <w:rFonts w:ascii="Calibri" w:hAnsi="Calibri" w:cs="Calibri"/>
                <w:sz w:val="20"/>
                <w:szCs w:val="20"/>
                <w:lang w:val="en-US"/>
              </w:rPr>
              <w:t xml:space="preserve"> to support two types of reporting. Either to receive two different reports (one with MiFIR fields, one with EMIR fields) or a single report including all common and specific EMIR/MiFIR fields. Repositories to consolidate all fields regardless of whether they are reported in one or two messages and submit a single file to ESMA TRACE</w:t>
            </w:r>
            <w:r w:rsidRPr="006B196C">
              <w:rPr>
                <w:rStyle w:val="Refdenotaalpie"/>
                <w:rFonts w:ascii="Calibri" w:hAnsi="Calibri" w:cs="Calibri"/>
                <w:sz w:val="20"/>
                <w:szCs w:val="20"/>
                <w:lang w:val="en-US"/>
              </w:rPr>
              <w:footnoteReference w:id="2"/>
            </w:r>
            <w:r w:rsidRPr="006B196C">
              <w:rPr>
                <w:rFonts w:ascii="Calibri" w:hAnsi="Calibri" w:cs="Calibri"/>
                <w:sz w:val="20"/>
                <w:szCs w:val="20"/>
                <w:lang w:val="en-US"/>
              </w:rPr>
              <w:t xml:space="preserve"> using existing channels. Similarly to the use of EMIR filtering rules, every NCA could access their jurisdiction-specific reports directly from TRACE.</w:t>
            </w:r>
          </w:p>
          <w:p w14:paraId="25E97DC5" w14:textId="77777777" w:rsidR="00E464C1" w:rsidRPr="006B196C" w:rsidRDefault="00E464C1" w:rsidP="002A5E89">
            <w:pPr>
              <w:jc w:val="both"/>
              <w:rPr>
                <w:rFonts w:ascii="Calibri" w:hAnsi="Calibri" w:cs="Calibri"/>
                <w:sz w:val="20"/>
                <w:szCs w:val="20"/>
                <w:lang w:val="en-US"/>
              </w:rPr>
            </w:pPr>
          </w:p>
        </w:tc>
        <w:tc>
          <w:tcPr>
            <w:tcW w:w="2382" w:type="dxa"/>
          </w:tcPr>
          <w:p w14:paraId="098AC2B7"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 xml:space="preserve">Entities to report single report using </w:t>
            </w:r>
            <w:proofErr w:type="spellStart"/>
            <w:r w:rsidRPr="006B196C">
              <w:rPr>
                <w:rFonts w:ascii="Calibri" w:hAnsi="Calibri" w:cs="Calibri"/>
                <w:sz w:val="20"/>
                <w:szCs w:val="20"/>
                <w:lang w:val="en-US"/>
              </w:rPr>
              <w:t>EMIR+MiFIR</w:t>
            </w:r>
            <w:proofErr w:type="spellEnd"/>
            <w:r w:rsidRPr="006B196C">
              <w:rPr>
                <w:rFonts w:ascii="Calibri" w:hAnsi="Calibri" w:cs="Calibri"/>
                <w:sz w:val="20"/>
                <w:szCs w:val="20"/>
                <w:lang w:val="en-US"/>
              </w:rPr>
              <w:t xml:space="preserve"> common template.</w:t>
            </w:r>
          </w:p>
          <w:p w14:paraId="2B5C9949"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 xml:space="preserve">Repositories to send one single ‘consolidated’ report to TRACE, and NCAs to access consolidated file from ESMA’s hub. </w:t>
            </w:r>
          </w:p>
        </w:tc>
      </w:tr>
      <w:tr w:rsidR="00E464C1" w:rsidRPr="00E464C1" w14:paraId="354BC907" w14:textId="77777777" w:rsidTr="002A5E89">
        <w:tc>
          <w:tcPr>
            <w:tcW w:w="1447" w:type="dxa"/>
          </w:tcPr>
          <w:p w14:paraId="0584963A"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Reportable under EMIR only</w:t>
            </w:r>
          </w:p>
        </w:tc>
        <w:tc>
          <w:tcPr>
            <w:tcW w:w="1417" w:type="dxa"/>
          </w:tcPr>
          <w:p w14:paraId="4A83D38F"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Reported to TR</w:t>
            </w:r>
          </w:p>
        </w:tc>
        <w:tc>
          <w:tcPr>
            <w:tcW w:w="3544" w:type="dxa"/>
          </w:tcPr>
          <w:p w14:paraId="3E580066"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w:t>
            </w:r>
            <w:r>
              <w:rPr>
                <w:rFonts w:ascii="Calibri" w:hAnsi="Calibri" w:cs="Calibri"/>
                <w:sz w:val="20"/>
                <w:szCs w:val="20"/>
                <w:lang w:val="en-US"/>
              </w:rPr>
              <w:t>gulated reporting infrastructures</w:t>
            </w:r>
            <w:r w:rsidRPr="006B196C">
              <w:rPr>
                <w:rFonts w:ascii="Calibri" w:hAnsi="Calibri" w:cs="Calibri"/>
                <w:sz w:val="20"/>
                <w:szCs w:val="20"/>
                <w:lang w:val="en-US"/>
              </w:rPr>
              <w:t xml:space="preserve"> to support two types of reporting. Either to receive reports with EMIR-only fields or to receive EMIR-only fields using common template with MiFIR fields set to null.</w:t>
            </w:r>
          </w:p>
          <w:p w14:paraId="51140EAA"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Repositories to consolidate this information into the common template and submit a single file to ESMA TRACE using existing channels.</w:t>
            </w:r>
          </w:p>
          <w:p w14:paraId="09835FC9"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Similarly to the use of EMIR filtering rules, every NCA could access their jurisdiction-specific reports directly from TRACE.</w:t>
            </w:r>
          </w:p>
        </w:tc>
        <w:tc>
          <w:tcPr>
            <w:tcW w:w="2382" w:type="dxa"/>
          </w:tcPr>
          <w:p w14:paraId="0FFE5533"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 xml:space="preserve">Entities to report single report using </w:t>
            </w:r>
            <w:proofErr w:type="spellStart"/>
            <w:r w:rsidRPr="006B196C">
              <w:rPr>
                <w:rFonts w:ascii="Calibri" w:hAnsi="Calibri" w:cs="Calibri"/>
                <w:sz w:val="20"/>
                <w:szCs w:val="20"/>
                <w:lang w:val="en-US"/>
              </w:rPr>
              <w:t>EMIR+MiFIR</w:t>
            </w:r>
            <w:proofErr w:type="spellEnd"/>
            <w:r w:rsidRPr="006B196C">
              <w:rPr>
                <w:rFonts w:ascii="Calibri" w:hAnsi="Calibri" w:cs="Calibri"/>
                <w:sz w:val="20"/>
                <w:szCs w:val="20"/>
                <w:lang w:val="en-US"/>
              </w:rPr>
              <w:t xml:space="preserve"> common template, only populating EMIR fields.</w:t>
            </w:r>
          </w:p>
          <w:p w14:paraId="2B173B54" w14:textId="77777777" w:rsidR="00E464C1" w:rsidRPr="006B196C" w:rsidRDefault="00E464C1" w:rsidP="002A5E89">
            <w:pPr>
              <w:jc w:val="both"/>
              <w:rPr>
                <w:rFonts w:ascii="Calibri" w:hAnsi="Calibri" w:cs="Calibri"/>
                <w:sz w:val="20"/>
                <w:szCs w:val="20"/>
                <w:lang w:val="en-US"/>
              </w:rPr>
            </w:pPr>
            <w:r w:rsidRPr="00C97BD4">
              <w:rPr>
                <w:rFonts w:ascii="Calibri" w:hAnsi="Calibri" w:cs="Calibri"/>
                <w:sz w:val="20"/>
                <w:szCs w:val="20"/>
              </w:rPr>
              <w:t xml:space="preserve">Regulated reporting </w:t>
            </w:r>
            <w:proofErr w:type="gramStart"/>
            <w:r w:rsidRPr="00C97BD4">
              <w:rPr>
                <w:rFonts w:ascii="Calibri" w:hAnsi="Calibri" w:cs="Calibri"/>
                <w:sz w:val="20"/>
                <w:szCs w:val="20"/>
              </w:rPr>
              <w:t>infrastruc</w:t>
            </w:r>
            <w:r>
              <w:rPr>
                <w:rFonts w:ascii="Calibri" w:hAnsi="Calibri" w:cs="Calibri"/>
                <w:sz w:val="20"/>
                <w:szCs w:val="20"/>
              </w:rPr>
              <w:t>t</w:t>
            </w:r>
            <w:r w:rsidRPr="00C97BD4">
              <w:rPr>
                <w:rFonts w:ascii="Calibri" w:hAnsi="Calibri" w:cs="Calibri"/>
                <w:sz w:val="20"/>
                <w:szCs w:val="20"/>
              </w:rPr>
              <w:t>ures</w:t>
            </w:r>
            <w:r w:rsidRPr="006B196C">
              <w:rPr>
                <w:rFonts w:ascii="Calibri" w:hAnsi="Calibri" w:cs="Calibri"/>
                <w:sz w:val="20"/>
                <w:szCs w:val="20"/>
                <w:lang w:val="en-US"/>
              </w:rPr>
              <w:t xml:space="preserve">  to</w:t>
            </w:r>
            <w:proofErr w:type="gramEnd"/>
            <w:r w:rsidRPr="006B196C">
              <w:rPr>
                <w:rFonts w:ascii="Calibri" w:hAnsi="Calibri" w:cs="Calibri"/>
                <w:sz w:val="20"/>
                <w:szCs w:val="20"/>
                <w:lang w:val="en-US"/>
              </w:rPr>
              <w:t xml:space="preserve"> send one single ‘consolidated’ report to TRACE, and NCAs to access consolidated file from ESMA’s hub.</w:t>
            </w:r>
          </w:p>
        </w:tc>
      </w:tr>
      <w:tr w:rsidR="00E464C1" w:rsidRPr="00E464C1" w14:paraId="035749CA" w14:textId="77777777" w:rsidTr="002A5E89">
        <w:tc>
          <w:tcPr>
            <w:tcW w:w="1447" w:type="dxa"/>
          </w:tcPr>
          <w:p w14:paraId="376BDE45"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Reportable under MiFIR only</w:t>
            </w:r>
          </w:p>
        </w:tc>
        <w:tc>
          <w:tcPr>
            <w:tcW w:w="1417" w:type="dxa"/>
          </w:tcPr>
          <w:p w14:paraId="403AD6E8"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Reported to ARM</w:t>
            </w:r>
          </w:p>
        </w:tc>
        <w:tc>
          <w:tcPr>
            <w:tcW w:w="3544" w:type="dxa"/>
          </w:tcPr>
          <w:p w14:paraId="2C5353F4"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Re</w:t>
            </w:r>
            <w:r>
              <w:rPr>
                <w:rFonts w:ascii="Calibri" w:hAnsi="Calibri" w:cs="Calibri"/>
                <w:sz w:val="20"/>
                <w:szCs w:val="20"/>
                <w:lang w:val="en-US"/>
              </w:rPr>
              <w:t>gulated reporting infrastructures</w:t>
            </w:r>
            <w:r w:rsidRPr="006B196C">
              <w:rPr>
                <w:rFonts w:ascii="Calibri" w:hAnsi="Calibri" w:cs="Calibri"/>
                <w:sz w:val="20"/>
                <w:szCs w:val="20"/>
                <w:lang w:val="en-US"/>
              </w:rPr>
              <w:t xml:space="preserve"> to support two types of reporting. Either to receive reports with MiFIR-only fields or to receive MiFIR-only fields using common template with EMIR fields set to null. During a transition period, ARMs support reporting of MiFIR-only fields using current channels and mechanisms.</w:t>
            </w:r>
          </w:p>
          <w:p w14:paraId="13C89108"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Similarly to the use of EMIR filtering rules, every NCA could access their jurisdiction-specific reports directly from TRACE.</w:t>
            </w:r>
          </w:p>
        </w:tc>
        <w:tc>
          <w:tcPr>
            <w:tcW w:w="2382" w:type="dxa"/>
          </w:tcPr>
          <w:p w14:paraId="1070AE22" w14:textId="77777777" w:rsidR="00E464C1" w:rsidRPr="006B196C" w:rsidRDefault="00E464C1" w:rsidP="002A5E89">
            <w:pPr>
              <w:jc w:val="both"/>
              <w:rPr>
                <w:rFonts w:ascii="Calibri" w:hAnsi="Calibri" w:cs="Calibri"/>
                <w:sz w:val="20"/>
                <w:szCs w:val="20"/>
                <w:lang w:val="en-US"/>
              </w:rPr>
            </w:pPr>
            <w:r w:rsidRPr="006B196C">
              <w:rPr>
                <w:rFonts w:ascii="Calibri" w:hAnsi="Calibri" w:cs="Calibri"/>
                <w:sz w:val="20"/>
                <w:szCs w:val="20"/>
                <w:lang w:val="en-US"/>
              </w:rPr>
              <w:t xml:space="preserve">Entities to report single report using </w:t>
            </w:r>
            <w:proofErr w:type="spellStart"/>
            <w:r w:rsidRPr="006B196C">
              <w:rPr>
                <w:rFonts w:ascii="Calibri" w:hAnsi="Calibri" w:cs="Calibri"/>
                <w:sz w:val="20"/>
                <w:szCs w:val="20"/>
                <w:lang w:val="en-US"/>
              </w:rPr>
              <w:t>EMIR+MiFIR</w:t>
            </w:r>
            <w:proofErr w:type="spellEnd"/>
            <w:r w:rsidRPr="006B196C">
              <w:rPr>
                <w:rFonts w:ascii="Calibri" w:hAnsi="Calibri" w:cs="Calibri"/>
                <w:sz w:val="20"/>
                <w:szCs w:val="20"/>
                <w:lang w:val="en-US"/>
              </w:rPr>
              <w:t xml:space="preserve"> common template, only populating MiFIR fields.</w:t>
            </w:r>
          </w:p>
          <w:p w14:paraId="4DD51A1B" w14:textId="77777777" w:rsidR="00E464C1" w:rsidRPr="006B196C" w:rsidRDefault="00E464C1" w:rsidP="002A5E89">
            <w:pPr>
              <w:jc w:val="both"/>
              <w:rPr>
                <w:rFonts w:ascii="Calibri" w:hAnsi="Calibri" w:cs="Calibri"/>
                <w:sz w:val="20"/>
                <w:szCs w:val="20"/>
                <w:lang w:val="en-US"/>
              </w:rPr>
            </w:pPr>
            <w:r w:rsidRPr="00C97BD4">
              <w:rPr>
                <w:rFonts w:ascii="Calibri" w:hAnsi="Calibri" w:cs="Calibri"/>
                <w:sz w:val="20"/>
                <w:szCs w:val="20"/>
              </w:rPr>
              <w:t xml:space="preserve">Regulated reporting </w:t>
            </w:r>
            <w:proofErr w:type="gramStart"/>
            <w:r w:rsidRPr="00C97BD4">
              <w:rPr>
                <w:rFonts w:ascii="Calibri" w:hAnsi="Calibri" w:cs="Calibri"/>
                <w:sz w:val="20"/>
                <w:szCs w:val="20"/>
              </w:rPr>
              <w:t>infrastruc</w:t>
            </w:r>
            <w:r>
              <w:rPr>
                <w:rFonts w:ascii="Calibri" w:hAnsi="Calibri" w:cs="Calibri"/>
                <w:sz w:val="20"/>
                <w:szCs w:val="20"/>
              </w:rPr>
              <w:t>t</w:t>
            </w:r>
            <w:r w:rsidRPr="00C97BD4">
              <w:rPr>
                <w:rFonts w:ascii="Calibri" w:hAnsi="Calibri" w:cs="Calibri"/>
                <w:sz w:val="20"/>
                <w:szCs w:val="20"/>
              </w:rPr>
              <w:t>ures</w:t>
            </w:r>
            <w:r w:rsidRPr="006B196C">
              <w:rPr>
                <w:rFonts w:ascii="Calibri" w:hAnsi="Calibri" w:cs="Calibri"/>
                <w:sz w:val="20"/>
                <w:szCs w:val="20"/>
                <w:lang w:val="en-US"/>
              </w:rPr>
              <w:t xml:space="preserve">  to</w:t>
            </w:r>
            <w:proofErr w:type="gramEnd"/>
            <w:r w:rsidRPr="006B196C">
              <w:rPr>
                <w:rFonts w:ascii="Calibri" w:hAnsi="Calibri" w:cs="Calibri"/>
                <w:sz w:val="20"/>
                <w:szCs w:val="20"/>
                <w:lang w:val="en-US"/>
              </w:rPr>
              <w:t xml:space="preserve"> send one single ‘consolidated’ report to TRACE, and NCAs to access consolidated file from ESMA’s hub.</w:t>
            </w:r>
          </w:p>
        </w:tc>
      </w:tr>
    </w:tbl>
    <w:p w14:paraId="46B684E7" w14:textId="77777777" w:rsidR="00E464C1" w:rsidRPr="006B196C" w:rsidRDefault="00E464C1" w:rsidP="00E464C1">
      <w:pPr>
        <w:jc w:val="both"/>
        <w:rPr>
          <w:rFonts w:ascii="Calibri" w:hAnsi="Calibri" w:cs="Calibri"/>
          <w:sz w:val="20"/>
          <w:szCs w:val="20"/>
          <w:lang w:val="en-US"/>
        </w:rPr>
      </w:pPr>
    </w:p>
    <w:p w14:paraId="6315666F" w14:textId="77777777" w:rsidR="00E464C1" w:rsidRPr="006B196C" w:rsidRDefault="00E464C1" w:rsidP="00E464C1">
      <w:pPr>
        <w:jc w:val="both"/>
        <w:rPr>
          <w:rFonts w:ascii="Calibri" w:hAnsi="Calibri" w:cs="Calibri"/>
          <w:sz w:val="20"/>
          <w:szCs w:val="20"/>
          <w:lang w:val="en-US"/>
        </w:rPr>
      </w:pPr>
      <w:r w:rsidRPr="006B196C">
        <w:rPr>
          <w:rFonts w:ascii="Calibri" w:hAnsi="Calibri" w:cs="Calibri"/>
          <w:sz w:val="20"/>
          <w:szCs w:val="20"/>
          <w:lang w:val="en-US"/>
        </w:rPr>
        <w:lastRenderedPageBreak/>
        <w:t>This solution could also support the simplification of SFTR reporting. Whereas the business overlap is more limited, there are still similarities on the information to be reported. For example, if reported via the TR, they could share the same template for the reporting of valuation and/or margin data.</w:t>
      </w:r>
    </w:p>
    <w:p w14:paraId="4707AC55" w14:textId="77777777" w:rsidR="00E464C1" w:rsidRPr="006B196C" w:rsidRDefault="00E464C1" w:rsidP="00E464C1">
      <w:pPr>
        <w:jc w:val="both"/>
        <w:rPr>
          <w:rFonts w:ascii="Calibri" w:hAnsi="Calibri" w:cs="Calibri"/>
          <w:sz w:val="20"/>
          <w:szCs w:val="20"/>
          <w:lang w:val="en-US"/>
        </w:rPr>
      </w:pPr>
    </w:p>
    <w:p w14:paraId="0C6B03F6" w14:textId="77777777" w:rsidR="00E464C1" w:rsidRPr="006B196C" w:rsidRDefault="00E464C1" w:rsidP="00E464C1">
      <w:pPr>
        <w:jc w:val="both"/>
        <w:rPr>
          <w:rFonts w:ascii="Calibri" w:hAnsi="Calibri" w:cs="Calibri"/>
          <w:sz w:val="20"/>
          <w:szCs w:val="20"/>
          <w:lang w:val="en-US"/>
        </w:rPr>
      </w:pPr>
      <w:r w:rsidRPr="006B196C">
        <w:rPr>
          <w:rFonts w:ascii="Calibri" w:hAnsi="Calibri" w:cs="Calibri"/>
          <w:sz w:val="20"/>
          <w:szCs w:val="20"/>
          <w:lang w:val="en-US"/>
        </w:rPr>
        <w:t>The proposed solution addresses the following:</w:t>
      </w:r>
    </w:p>
    <w:p w14:paraId="0083A7FF" w14:textId="77777777" w:rsidR="00E464C1" w:rsidRPr="006B196C" w:rsidRDefault="00E464C1" w:rsidP="00E464C1">
      <w:pPr>
        <w:jc w:val="both"/>
        <w:rPr>
          <w:rFonts w:ascii="Calibri" w:hAnsi="Calibri" w:cs="Calibri"/>
          <w:sz w:val="20"/>
          <w:szCs w:val="20"/>
          <w:lang w:val="en-US"/>
        </w:rPr>
      </w:pPr>
    </w:p>
    <w:p w14:paraId="55D09AE2"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Pr>
          <w:rFonts w:ascii="Calibri" w:hAnsi="Calibri" w:cs="Calibri"/>
          <w:b/>
          <w:sz w:val="20"/>
          <w:szCs w:val="20"/>
          <w:lang w:val="en-US"/>
        </w:rPr>
        <w:t>D</w:t>
      </w:r>
      <w:r w:rsidRPr="006B196C">
        <w:rPr>
          <w:rFonts w:ascii="Calibri" w:hAnsi="Calibri" w:cs="Calibri"/>
          <w:b/>
          <w:sz w:val="20"/>
          <w:szCs w:val="20"/>
          <w:lang w:val="en-US"/>
        </w:rPr>
        <w:t>uplicated reporting</w:t>
      </w:r>
      <w:r w:rsidRPr="006B196C">
        <w:rPr>
          <w:rFonts w:ascii="Calibri" w:hAnsi="Calibri" w:cs="Calibri"/>
          <w:sz w:val="20"/>
          <w:szCs w:val="20"/>
          <w:lang w:val="en-US"/>
        </w:rPr>
        <w:t>: Transactions reportable under both EMIR and MiFIR could be reported only once from day one, avoiding redundancy.</w:t>
      </w:r>
    </w:p>
    <w:p w14:paraId="3ED2A140"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3180EEB1"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Lack of flexibility</w:t>
      </w:r>
      <w:r w:rsidRPr="006B196C">
        <w:rPr>
          <w:rFonts w:ascii="Calibri" w:hAnsi="Calibri" w:cs="Calibri"/>
          <w:sz w:val="20"/>
          <w:szCs w:val="20"/>
          <w:lang w:val="en-US"/>
        </w:rPr>
        <w:t xml:space="preserve">: Entities could adapt to the new reporting model at their best convenience (having a transition period). Despite the level of adaptation by counterparties, NCAs would benefit from the consolidation from day 1. </w:t>
      </w:r>
    </w:p>
    <w:p w14:paraId="3A51B8FE" w14:textId="77777777" w:rsidR="00E464C1" w:rsidRPr="00B93CA5" w:rsidRDefault="00E464C1" w:rsidP="00E464C1">
      <w:pPr>
        <w:rPr>
          <w:rFonts w:ascii="Calibri" w:hAnsi="Calibri" w:cs="Calibri"/>
          <w:sz w:val="20"/>
          <w:szCs w:val="20"/>
          <w:lang w:val="en-US"/>
        </w:rPr>
      </w:pPr>
    </w:p>
    <w:p w14:paraId="6C32C70E"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Different reporting channels</w:t>
      </w:r>
      <w:r w:rsidRPr="006B196C">
        <w:rPr>
          <w:rFonts w:ascii="Calibri" w:hAnsi="Calibri" w:cs="Calibri"/>
          <w:sz w:val="20"/>
          <w:szCs w:val="20"/>
          <w:lang w:val="en-US"/>
        </w:rPr>
        <w:t xml:space="preserve">: Transferring all flows to </w:t>
      </w:r>
      <w:r>
        <w:rPr>
          <w:rFonts w:ascii="Calibri" w:hAnsi="Calibri" w:cs="Calibri"/>
          <w:sz w:val="20"/>
          <w:szCs w:val="20"/>
          <w:lang w:val="en-US"/>
        </w:rPr>
        <w:t xml:space="preserve">a regulated reporting infrastructure </w:t>
      </w:r>
      <w:r w:rsidRPr="006B196C">
        <w:rPr>
          <w:rFonts w:ascii="Calibri" w:hAnsi="Calibri" w:cs="Calibri"/>
          <w:sz w:val="20"/>
          <w:szCs w:val="20"/>
          <w:lang w:val="en-US"/>
        </w:rPr>
        <w:t xml:space="preserve">would simplify the reporting channels for entities given that EMIR/MiFIR flows would be sent </w:t>
      </w:r>
      <w:r w:rsidRPr="006B196C" w:rsidDel="001873DD">
        <w:rPr>
          <w:rFonts w:ascii="Calibri" w:hAnsi="Calibri" w:cs="Calibri"/>
          <w:sz w:val="20"/>
          <w:szCs w:val="20"/>
          <w:lang w:val="en-US"/>
        </w:rPr>
        <w:t xml:space="preserve">to </w:t>
      </w:r>
      <w:r>
        <w:rPr>
          <w:rFonts w:ascii="Calibri" w:hAnsi="Calibri" w:cs="Calibri"/>
          <w:sz w:val="20"/>
          <w:szCs w:val="20"/>
          <w:lang w:val="en-US"/>
        </w:rPr>
        <w:t>such infrastructure</w:t>
      </w:r>
      <w:r w:rsidRPr="006B196C">
        <w:rPr>
          <w:rFonts w:ascii="Calibri" w:hAnsi="Calibri" w:cs="Calibri"/>
          <w:sz w:val="20"/>
          <w:szCs w:val="20"/>
          <w:lang w:val="en-US"/>
        </w:rPr>
        <w:t>, as well as SFTR. Also, NCAs could retrieve all their reports directly from TRACE</w:t>
      </w:r>
      <w:r>
        <w:rPr>
          <w:rFonts w:ascii="Calibri" w:hAnsi="Calibri" w:cs="Calibri"/>
          <w:sz w:val="20"/>
          <w:szCs w:val="20"/>
          <w:lang w:val="en-US"/>
        </w:rPr>
        <w:t>.</w:t>
      </w:r>
    </w:p>
    <w:p w14:paraId="730B5BAB" w14:textId="77777777" w:rsidR="00E464C1" w:rsidRPr="00B93CA5" w:rsidRDefault="00E464C1" w:rsidP="00E464C1">
      <w:pPr>
        <w:rPr>
          <w:rFonts w:ascii="Calibri" w:hAnsi="Calibri" w:cs="Calibri"/>
          <w:sz w:val="20"/>
          <w:szCs w:val="20"/>
          <w:lang w:val="en-US"/>
        </w:rPr>
      </w:pPr>
    </w:p>
    <w:p w14:paraId="15C8AB6E"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Duplication of IT systems</w:t>
      </w:r>
      <w:r w:rsidRPr="006B196C">
        <w:rPr>
          <w:rFonts w:ascii="Calibri" w:hAnsi="Calibri" w:cs="Calibri"/>
          <w:sz w:val="20"/>
          <w:szCs w:val="20"/>
          <w:lang w:val="en-US"/>
        </w:rPr>
        <w:t>: Having the possibility (not the obligation during the transition period) to report on a single format, would allow entities to remove in an orderly manner the duplication of their IT systems.</w:t>
      </w:r>
    </w:p>
    <w:p w14:paraId="4E655BA0" w14:textId="77777777" w:rsidR="00E464C1" w:rsidRPr="00DA6B60" w:rsidRDefault="00E464C1" w:rsidP="00E464C1">
      <w:pPr>
        <w:rPr>
          <w:rFonts w:ascii="Calibri" w:hAnsi="Calibri" w:cs="Calibri"/>
          <w:sz w:val="20"/>
          <w:szCs w:val="20"/>
          <w:lang w:val="en-US"/>
        </w:rPr>
      </w:pPr>
    </w:p>
    <w:p w14:paraId="2178D99A"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Reference data reporting duplications, and intragroup reporting</w:t>
      </w:r>
      <w:r w:rsidRPr="006B196C">
        <w:rPr>
          <w:rFonts w:ascii="Calibri" w:hAnsi="Calibri" w:cs="Calibri"/>
          <w:sz w:val="20"/>
          <w:szCs w:val="20"/>
          <w:lang w:val="en-US"/>
        </w:rPr>
        <w:t>: The accommodation of these changes is compatible with the solution proposed.</w:t>
      </w:r>
    </w:p>
    <w:p w14:paraId="34409F92" w14:textId="77777777" w:rsidR="00E464C1" w:rsidRPr="00231DEA" w:rsidRDefault="00E464C1" w:rsidP="00E464C1">
      <w:pPr>
        <w:rPr>
          <w:rFonts w:ascii="Calibri" w:hAnsi="Calibri" w:cs="Calibri"/>
          <w:sz w:val="20"/>
          <w:szCs w:val="20"/>
          <w:lang w:val="en-US"/>
        </w:rPr>
      </w:pPr>
    </w:p>
    <w:p w14:paraId="2E36677A" w14:textId="77777777" w:rsidR="00E464C1" w:rsidRPr="00E652D8"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Dual-sided reporting</w:t>
      </w:r>
      <w:r w:rsidRPr="006B196C">
        <w:rPr>
          <w:rFonts w:ascii="Calibri" w:hAnsi="Calibri" w:cs="Calibri"/>
          <w:sz w:val="20"/>
          <w:szCs w:val="20"/>
          <w:lang w:val="en-US"/>
        </w:rPr>
        <w:t xml:space="preserve">: </w:t>
      </w:r>
      <w:r>
        <w:rPr>
          <w:rFonts w:ascii="Calibri" w:hAnsi="Calibri" w:cs="Calibri"/>
          <w:sz w:val="20"/>
          <w:szCs w:val="20"/>
          <w:lang w:val="en-US"/>
        </w:rPr>
        <w:t xml:space="preserve"> </w:t>
      </w:r>
      <w:r w:rsidRPr="00E652D8">
        <w:rPr>
          <w:rFonts w:ascii="Calibri" w:hAnsi="Calibri" w:cs="Calibri"/>
          <w:sz w:val="20"/>
          <w:szCs w:val="20"/>
        </w:rPr>
        <w:t>From a data quality perspective, it would be worth exploring the possibility of leveraging existing reconciliation protocols at TRs to assess the quality of MiFIR data as well, using a common template and incorporating relevant MiFIR fields. At the same time, as mentioned in the response to Q</w:t>
      </w:r>
      <w:r>
        <w:rPr>
          <w:rFonts w:ascii="Calibri" w:hAnsi="Calibri" w:cs="Calibri"/>
          <w:sz w:val="20"/>
          <w:szCs w:val="20"/>
        </w:rPr>
        <w:t>4</w:t>
      </w:r>
      <w:r w:rsidRPr="00E652D8">
        <w:rPr>
          <w:rFonts w:ascii="Calibri" w:hAnsi="Calibri" w:cs="Calibri"/>
          <w:sz w:val="20"/>
          <w:szCs w:val="20"/>
        </w:rPr>
        <w:t>, it is crucial to address reconciliation burdens through alternative approaches (i.e., reducing the number of reconciliation fields, increasing tolerance levels, simplifying reconciliation logic), as well as considering other risk mitigation processes to guarantee the quality of the reported data</w:t>
      </w:r>
      <w:r>
        <w:rPr>
          <w:rFonts w:ascii="Calibri" w:hAnsi="Calibri" w:cs="Calibri"/>
          <w:sz w:val="20"/>
          <w:szCs w:val="20"/>
        </w:rPr>
        <w:t>.</w:t>
      </w:r>
    </w:p>
    <w:p w14:paraId="782C7913" w14:textId="77777777" w:rsidR="00E464C1" w:rsidRPr="00DA6B60" w:rsidRDefault="00E464C1" w:rsidP="00E464C1">
      <w:pPr>
        <w:rPr>
          <w:rFonts w:ascii="Calibri" w:hAnsi="Calibri" w:cs="Calibri"/>
          <w:sz w:val="20"/>
          <w:szCs w:val="20"/>
          <w:lang w:val="en-US"/>
        </w:rPr>
      </w:pPr>
    </w:p>
    <w:p w14:paraId="5D2DD239"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Continuity on data access</w:t>
      </w:r>
      <w:r w:rsidRPr="006B196C">
        <w:rPr>
          <w:rFonts w:ascii="Calibri" w:hAnsi="Calibri" w:cs="Calibri"/>
          <w:sz w:val="20"/>
          <w:szCs w:val="20"/>
          <w:lang w:val="en-US"/>
        </w:rPr>
        <w:t xml:space="preserve">: Both counterparties and NCAs would </w:t>
      </w:r>
      <w:r w:rsidRPr="4396CCE2">
        <w:rPr>
          <w:rFonts w:ascii="Calibri" w:hAnsi="Calibri" w:cs="Calibri"/>
          <w:sz w:val="20"/>
          <w:szCs w:val="20"/>
          <w:lang w:val="en-US"/>
        </w:rPr>
        <w:t>retain</w:t>
      </w:r>
      <w:r w:rsidRPr="006B196C">
        <w:rPr>
          <w:rFonts w:ascii="Calibri" w:hAnsi="Calibri" w:cs="Calibri"/>
          <w:sz w:val="20"/>
          <w:szCs w:val="20"/>
          <w:lang w:val="en-US"/>
        </w:rPr>
        <w:t xml:space="preserve"> access to all their data, either directly querying it to the </w:t>
      </w:r>
      <w:r>
        <w:rPr>
          <w:rFonts w:ascii="Calibri" w:hAnsi="Calibri" w:cs="Calibri"/>
          <w:sz w:val="20"/>
          <w:szCs w:val="20"/>
          <w:lang w:val="en-US"/>
        </w:rPr>
        <w:t>regulated reporting infrastructure</w:t>
      </w:r>
      <w:r w:rsidRPr="006B196C">
        <w:rPr>
          <w:rFonts w:ascii="Calibri" w:hAnsi="Calibri" w:cs="Calibri"/>
          <w:sz w:val="20"/>
          <w:szCs w:val="20"/>
          <w:lang w:val="en-US"/>
        </w:rPr>
        <w:t xml:space="preserve"> or via ad-hoc reports to TRACE. No loss on its traceability would occur.</w:t>
      </w:r>
    </w:p>
    <w:p w14:paraId="41E6CC84" w14:textId="77777777" w:rsidR="00E464C1" w:rsidRPr="00DA6B60" w:rsidRDefault="00E464C1" w:rsidP="00E464C1">
      <w:pPr>
        <w:rPr>
          <w:rFonts w:ascii="Calibri" w:hAnsi="Calibri" w:cs="Calibri"/>
          <w:sz w:val="20"/>
          <w:szCs w:val="20"/>
          <w:lang w:val="en-US"/>
        </w:rPr>
      </w:pPr>
    </w:p>
    <w:p w14:paraId="4E40CECD"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Reduced burden on NCAs</w:t>
      </w:r>
      <w:r w:rsidRPr="006B196C">
        <w:rPr>
          <w:rFonts w:ascii="Calibri" w:hAnsi="Calibri" w:cs="Calibri"/>
          <w:sz w:val="20"/>
          <w:szCs w:val="20"/>
          <w:lang w:val="en-US"/>
        </w:rPr>
        <w:t xml:space="preserve">: NCAs could leverage on </w:t>
      </w:r>
      <w:r>
        <w:rPr>
          <w:rFonts w:ascii="Calibri" w:hAnsi="Calibri" w:cs="Calibri"/>
          <w:sz w:val="20"/>
          <w:szCs w:val="20"/>
          <w:lang w:val="en-US"/>
        </w:rPr>
        <w:t>regulated reporting infrastructures</w:t>
      </w:r>
      <w:r w:rsidRPr="006B196C">
        <w:rPr>
          <w:rFonts w:ascii="Calibri" w:hAnsi="Calibri" w:cs="Calibri"/>
          <w:sz w:val="20"/>
          <w:szCs w:val="20"/>
          <w:lang w:val="en-US"/>
        </w:rPr>
        <w:t xml:space="preserve"> to enhance their current validations to perform MiFIR-specific checks, thus </w:t>
      </w:r>
      <w:r w:rsidRPr="4396CCE2">
        <w:rPr>
          <w:rFonts w:ascii="Calibri" w:hAnsi="Calibri" w:cs="Calibri"/>
          <w:sz w:val="20"/>
          <w:szCs w:val="20"/>
          <w:lang w:val="en-US"/>
        </w:rPr>
        <w:t>lightening</w:t>
      </w:r>
      <w:r w:rsidRPr="006B196C">
        <w:rPr>
          <w:rFonts w:ascii="Calibri" w:hAnsi="Calibri" w:cs="Calibri"/>
          <w:sz w:val="20"/>
          <w:szCs w:val="20"/>
          <w:lang w:val="en-US"/>
        </w:rPr>
        <w:t xml:space="preserve"> their systems and processes.</w:t>
      </w:r>
    </w:p>
    <w:p w14:paraId="274A6910" w14:textId="77777777" w:rsidR="00E464C1" w:rsidRPr="00DA6B60" w:rsidRDefault="00E464C1" w:rsidP="00E464C1">
      <w:pPr>
        <w:rPr>
          <w:rFonts w:ascii="Calibri" w:hAnsi="Calibri" w:cs="Calibri"/>
          <w:sz w:val="20"/>
          <w:szCs w:val="20"/>
          <w:lang w:val="en-US"/>
        </w:rPr>
      </w:pPr>
    </w:p>
    <w:p w14:paraId="6CAD5570" w14:textId="77777777" w:rsidR="00E464C1"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b/>
          <w:sz w:val="20"/>
          <w:szCs w:val="20"/>
          <w:lang w:val="en-US"/>
        </w:rPr>
        <w:t>Supervisory consistency</w:t>
      </w:r>
      <w:r w:rsidRPr="006B196C">
        <w:rPr>
          <w:rFonts w:ascii="Calibri" w:hAnsi="Calibri" w:cs="Calibri"/>
          <w:sz w:val="20"/>
          <w:szCs w:val="20"/>
          <w:lang w:val="en-US"/>
        </w:rPr>
        <w:t xml:space="preserve">: Leverage on entities </w:t>
      </w:r>
      <w:proofErr w:type="spellStart"/>
      <w:r w:rsidRPr="006B196C">
        <w:rPr>
          <w:rFonts w:ascii="Calibri" w:hAnsi="Calibri" w:cs="Calibri"/>
          <w:sz w:val="20"/>
          <w:szCs w:val="20"/>
          <w:lang w:val="en-US"/>
        </w:rPr>
        <w:t>authori</w:t>
      </w:r>
      <w:r>
        <w:rPr>
          <w:rFonts w:ascii="Calibri" w:hAnsi="Calibri" w:cs="Calibri"/>
          <w:sz w:val="20"/>
          <w:szCs w:val="20"/>
          <w:lang w:val="en-US"/>
        </w:rPr>
        <w:t>s</w:t>
      </w:r>
      <w:r w:rsidRPr="006B196C">
        <w:rPr>
          <w:rFonts w:ascii="Calibri" w:hAnsi="Calibri" w:cs="Calibri"/>
          <w:sz w:val="20"/>
          <w:szCs w:val="20"/>
          <w:lang w:val="en-US"/>
        </w:rPr>
        <w:t>ed</w:t>
      </w:r>
      <w:proofErr w:type="spellEnd"/>
      <w:r w:rsidRPr="006B196C">
        <w:rPr>
          <w:rFonts w:ascii="Calibri" w:hAnsi="Calibri" w:cs="Calibri"/>
          <w:sz w:val="20"/>
          <w:szCs w:val="20"/>
          <w:lang w:val="en-US"/>
        </w:rPr>
        <w:t xml:space="preserve"> and supervised by ESMA, rather than on non-regulated entities or entities supervised under specific jurisdictions, thus harmonizing this supervision.</w:t>
      </w:r>
      <w:r>
        <w:rPr>
          <w:rFonts w:ascii="Calibri" w:hAnsi="Calibri" w:cs="Calibri"/>
          <w:sz w:val="20"/>
          <w:szCs w:val="20"/>
          <w:lang w:val="en-US"/>
        </w:rPr>
        <w:t xml:space="preserve"> </w:t>
      </w:r>
    </w:p>
    <w:p w14:paraId="50B3A698" w14:textId="77777777" w:rsidR="00E464C1" w:rsidRPr="00E464C1" w:rsidRDefault="00E464C1" w:rsidP="00E464C1">
      <w:pPr>
        <w:ind w:left="708"/>
        <w:rPr>
          <w:rFonts w:ascii="Calibri" w:hAnsi="Calibri" w:cs="Calibri"/>
          <w:sz w:val="20"/>
          <w:szCs w:val="20"/>
          <w:lang w:val="en-US"/>
        </w:rPr>
      </w:pPr>
    </w:p>
    <w:p w14:paraId="170AE745" w14:textId="77777777" w:rsidR="00E464C1" w:rsidRPr="004E0B7A" w:rsidRDefault="00E464C1" w:rsidP="00E464C1">
      <w:pPr>
        <w:rPr>
          <w:rFonts w:ascii="Calibri" w:hAnsi="Calibri" w:cs="Calibri"/>
          <w:sz w:val="20"/>
          <w:szCs w:val="20"/>
          <w:lang w:val="en-US"/>
        </w:rPr>
      </w:pPr>
      <w:r>
        <w:rPr>
          <w:rFonts w:ascii="Calibri" w:hAnsi="Calibri" w:cs="Calibri"/>
          <w:sz w:val="20"/>
          <w:szCs w:val="20"/>
          <w:lang w:val="en-US"/>
        </w:rPr>
        <w:t xml:space="preserve">Further benefits of this proposed solution are outlined in our response to Q9. </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2FA43F66" w14:textId="77777777" w:rsidR="00E464C1" w:rsidRPr="00F3431D" w:rsidRDefault="00E464C1" w:rsidP="00E464C1">
      <w:pPr>
        <w:jc w:val="both"/>
        <w:rPr>
          <w:rFonts w:ascii="Calibri" w:hAnsi="Calibri" w:cs="Calibri"/>
          <w:sz w:val="20"/>
          <w:szCs w:val="20"/>
        </w:rPr>
      </w:pPr>
      <w:permStart w:id="276758894" w:edGrp="everyone"/>
      <w:r w:rsidRPr="00F3431D">
        <w:rPr>
          <w:rFonts w:ascii="Calibri" w:hAnsi="Calibri" w:cs="Calibri"/>
          <w:sz w:val="20"/>
          <w:szCs w:val="20"/>
        </w:rPr>
        <w:t>While delineation between transaction activity covering both ETD and OTC might look like a simple to deploy approach, its implementation cost and complexity might be higher than Option 1a, especially when it comes to the role to be played by trading venues for reporting of OTC transactions.</w:t>
      </w:r>
    </w:p>
    <w:p w14:paraId="4B20F137" w14:textId="77777777" w:rsidR="00E464C1" w:rsidRPr="00F3431D" w:rsidRDefault="00E464C1" w:rsidP="00E464C1">
      <w:pPr>
        <w:jc w:val="both"/>
        <w:rPr>
          <w:rFonts w:ascii="Calibri" w:hAnsi="Calibri" w:cs="Calibri"/>
          <w:sz w:val="20"/>
          <w:szCs w:val="20"/>
        </w:rPr>
      </w:pPr>
    </w:p>
    <w:p w14:paraId="49D2978F" w14:textId="77777777" w:rsidR="00E464C1" w:rsidRPr="00122CF3" w:rsidRDefault="00E464C1" w:rsidP="00E464C1">
      <w:pPr>
        <w:jc w:val="both"/>
        <w:rPr>
          <w:rFonts w:ascii="Calibri" w:hAnsi="Calibri" w:cs="Calibri"/>
          <w:sz w:val="20"/>
          <w:szCs w:val="20"/>
          <w:lang w:val="en-US"/>
        </w:rPr>
      </w:pPr>
      <w:r w:rsidRPr="00122CF3">
        <w:rPr>
          <w:rFonts w:ascii="Calibri" w:hAnsi="Calibri" w:cs="Calibri"/>
          <w:sz w:val="20"/>
          <w:szCs w:val="20"/>
          <w:lang w:val="en-US"/>
        </w:rPr>
        <w:t xml:space="preserve">This option aligns the scope of both regulations with the information reported under each one </w:t>
      </w:r>
      <w:r w:rsidRPr="00122CF3">
        <w:rPr>
          <w:rFonts w:ascii="Calibri" w:hAnsi="Calibri" w:cs="Calibri"/>
          <w:sz w:val="20"/>
          <w:szCs w:val="20"/>
        </w:rPr>
        <w:t>—</w:t>
      </w:r>
      <w:r w:rsidRPr="00122CF3">
        <w:rPr>
          <w:rFonts w:ascii="Calibri" w:hAnsi="Calibri" w:cs="Calibri"/>
          <w:sz w:val="20"/>
          <w:szCs w:val="20"/>
          <w:lang w:val="en-US"/>
        </w:rPr>
        <w:t xml:space="preserve">MiFIR analyses transactions to detect market abuse, while EMIR analyses trades and positions to monitor systemic and counterparty risks. It avoids duplications to either reporting frameworks. However, it limits the capacity to link transactions with post-trade events. </w:t>
      </w:r>
    </w:p>
    <w:p w14:paraId="2F0D14DA" w14:textId="77777777" w:rsidR="00E464C1" w:rsidRPr="00122CF3" w:rsidRDefault="00E464C1" w:rsidP="00E464C1">
      <w:pPr>
        <w:jc w:val="both"/>
        <w:rPr>
          <w:rFonts w:ascii="Calibri" w:hAnsi="Calibri" w:cs="Calibri"/>
          <w:sz w:val="20"/>
          <w:szCs w:val="20"/>
          <w:lang w:val="en-US"/>
        </w:rPr>
      </w:pPr>
    </w:p>
    <w:p w14:paraId="23E5C91C" w14:textId="77777777" w:rsidR="00E464C1" w:rsidRPr="00455E77" w:rsidRDefault="00E464C1" w:rsidP="00E464C1">
      <w:pPr>
        <w:jc w:val="both"/>
        <w:rPr>
          <w:rFonts w:ascii="Calibri" w:hAnsi="Calibri" w:cs="Calibri"/>
          <w:sz w:val="20"/>
          <w:szCs w:val="20"/>
          <w:lang w:val="en-US"/>
        </w:rPr>
      </w:pPr>
      <w:r w:rsidRPr="00455E77">
        <w:rPr>
          <w:rFonts w:ascii="Calibri" w:hAnsi="Calibri" w:cs="Calibri"/>
          <w:sz w:val="20"/>
          <w:szCs w:val="20"/>
          <w:lang w:val="en-US"/>
        </w:rPr>
        <w:t xml:space="preserve">Nevertheless, there is information that would be lost for EMIR supervision, as ETD transactions are necessary in some scenarios to properly assess EMIR-related risks. As mentioned in previous responses, this deficiency could be solved by maintaining ETD transactions under EMIR supervision, while allowing market </w:t>
      </w:r>
      <w:r w:rsidRPr="4396CCE2">
        <w:rPr>
          <w:rFonts w:ascii="Calibri" w:hAnsi="Calibri" w:cs="Calibri"/>
          <w:sz w:val="20"/>
          <w:szCs w:val="20"/>
          <w:lang w:val="en-US"/>
        </w:rPr>
        <w:t>participants</w:t>
      </w:r>
      <w:r w:rsidRPr="00455E77">
        <w:rPr>
          <w:rFonts w:ascii="Calibri" w:hAnsi="Calibri" w:cs="Calibri"/>
          <w:sz w:val="20"/>
          <w:szCs w:val="20"/>
          <w:lang w:val="en-US"/>
        </w:rPr>
        <w:t xml:space="preserve"> to report them using a single message with one unified template that covers MiFIR and EMIR fields. </w:t>
      </w:r>
    </w:p>
    <w:p w14:paraId="41610FD0" w14:textId="77777777" w:rsidR="00E464C1" w:rsidRPr="00455E77" w:rsidRDefault="00E464C1" w:rsidP="00E464C1">
      <w:pPr>
        <w:jc w:val="both"/>
        <w:rPr>
          <w:rFonts w:ascii="Calibri" w:hAnsi="Calibri" w:cs="Calibri"/>
          <w:sz w:val="20"/>
          <w:szCs w:val="20"/>
          <w:lang w:val="en-US"/>
        </w:rPr>
      </w:pPr>
    </w:p>
    <w:p w14:paraId="43A873D5" w14:textId="77777777" w:rsidR="00E464C1" w:rsidRPr="00455E77" w:rsidRDefault="00E464C1" w:rsidP="00E464C1">
      <w:pPr>
        <w:jc w:val="both"/>
        <w:rPr>
          <w:rFonts w:ascii="Calibri" w:hAnsi="Calibri" w:cs="Calibri"/>
          <w:sz w:val="20"/>
          <w:szCs w:val="20"/>
          <w:lang w:val="en-US"/>
        </w:rPr>
      </w:pPr>
      <w:r>
        <w:rPr>
          <w:rFonts w:ascii="Calibri" w:hAnsi="Calibri" w:cs="Calibri"/>
          <w:sz w:val="20"/>
          <w:szCs w:val="20"/>
          <w:lang w:val="en-US"/>
        </w:rPr>
        <w:t xml:space="preserve">In addition to </w:t>
      </w:r>
      <w:r w:rsidRPr="00455E77">
        <w:rPr>
          <w:rFonts w:ascii="Calibri" w:hAnsi="Calibri" w:cs="Calibri"/>
          <w:sz w:val="20"/>
          <w:szCs w:val="20"/>
          <w:lang w:val="en-US"/>
        </w:rPr>
        <w:t>the “report once” principle, where a single reporting template is used across EMIR, MiFIR and SFTR, this solution allows entities to report all the data for the three regulations in one single message eliminating duplication.</w:t>
      </w:r>
    </w:p>
    <w:p w14:paraId="307080FB" w14:textId="77777777" w:rsidR="00E464C1" w:rsidRPr="00455E77" w:rsidRDefault="00E464C1" w:rsidP="00E464C1">
      <w:pPr>
        <w:jc w:val="both"/>
        <w:rPr>
          <w:rFonts w:ascii="Calibri" w:hAnsi="Calibri" w:cs="Calibri"/>
          <w:sz w:val="20"/>
          <w:szCs w:val="20"/>
          <w:lang w:val="en-US"/>
        </w:rPr>
      </w:pPr>
    </w:p>
    <w:p w14:paraId="6710E56A" w14:textId="77777777" w:rsidR="00E464C1" w:rsidRPr="00455E77" w:rsidRDefault="00E464C1" w:rsidP="00E464C1">
      <w:pPr>
        <w:jc w:val="both"/>
        <w:rPr>
          <w:rFonts w:ascii="Calibri" w:hAnsi="Calibri" w:cs="Calibri"/>
          <w:sz w:val="20"/>
          <w:szCs w:val="20"/>
          <w:lang w:val="en-US"/>
        </w:rPr>
      </w:pPr>
      <w:r w:rsidRPr="00455E77">
        <w:rPr>
          <w:rFonts w:ascii="Calibri" w:hAnsi="Calibri" w:cs="Calibri"/>
          <w:sz w:val="20"/>
          <w:szCs w:val="20"/>
          <w:lang w:val="en-US"/>
        </w:rPr>
        <w:t xml:space="preserve">Finally, to allow a single message submission, </w:t>
      </w:r>
      <w:r>
        <w:rPr>
          <w:rFonts w:ascii="Calibri" w:hAnsi="Calibri" w:cs="Calibri"/>
          <w:sz w:val="20"/>
          <w:szCs w:val="20"/>
          <w:lang w:val="en-US"/>
        </w:rPr>
        <w:t xml:space="preserve">a </w:t>
      </w:r>
      <w:r w:rsidRPr="00C97BD4">
        <w:rPr>
          <w:rFonts w:ascii="Calibri" w:hAnsi="Calibri" w:cs="Calibri"/>
          <w:sz w:val="20"/>
          <w:szCs w:val="20"/>
        </w:rPr>
        <w:t>regulated reporting service infrastruc</w:t>
      </w:r>
      <w:r>
        <w:rPr>
          <w:rFonts w:ascii="Calibri" w:hAnsi="Calibri" w:cs="Calibri"/>
          <w:sz w:val="20"/>
          <w:szCs w:val="20"/>
        </w:rPr>
        <w:t>t</w:t>
      </w:r>
      <w:r w:rsidRPr="00C97BD4">
        <w:rPr>
          <w:rFonts w:ascii="Calibri" w:hAnsi="Calibri" w:cs="Calibri"/>
          <w:sz w:val="20"/>
          <w:szCs w:val="20"/>
        </w:rPr>
        <w:t>ure</w:t>
      </w:r>
      <w:r>
        <w:rPr>
          <w:rFonts w:ascii="Calibri" w:hAnsi="Calibri" w:cs="Calibri"/>
          <w:sz w:val="20"/>
          <w:szCs w:val="20"/>
        </w:rPr>
        <w:t xml:space="preserve"> </w:t>
      </w:r>
      <w:r w:rsidRPr="00455E77">
        <w:rPr>
          <w:rFonts w:ascii="Calibri" w:hAnsi="Calibri" w:cs="Calibri"/>
          <w:sz w:val="20"/>
          <w:szCs w:val="20"/>
          <w:lang w:val="en-US"/>
        </w:rPr>
        <w:t xml:space="preserve">would need to be designated for market participants. As commented before (see answer to Q5), the TRs are well-positioned to </w:t>
      </w:r>
      <w:proofErr w:type="spellStart"/>
      <w:r w:rsidRPr="00455E77">
        <w:rPr>
          <w:rFonts w:ascii="Calibri" w:hAnsi="Calibri" w:cs="Calibri"/>
          <w:sz w:val="20"/>
          <w:szCs w:val="20"/>
          <w:lang w:val="en-US"/>
        </w:rPr>
        <w:t>centralise</w:t>
      </w:r>
      <w:proofErr w:type="spellEnd"/>
      <w:r w:rsidRPr="00455E77">
        <w:rPr>
          <w:rFonts w:ascii="Calibri" w:hAnsi="Calibri" w:cs="Calibri"/>
          <w:sz w:val="20"/>
          <w:szCs w:val="20"/>
          <w:lang w:val="en-US"/>
        </w:rPr>
        <w:t xml:space="preserve"> MiFIR and EMIR reporting due to their existing management information system (MIS) and their already-established connections with all EU NCAs and ESMA. </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66B52A20" w14:textId="77777777" w:rsidR="00E464C1" w:rsidRPr="006B196C" w:rsidRDefault="00E464C1" w:rsidP="00E464C1">
      <w:pPr>
        <w:jc w:val="both"/>
        <w:rPr>
          <w:rFonts w:ascii="Calibri" w:hAnsi="Calibri" w:cs="Calibri"/>
          <w:sz w:val="20"/>
          <w:szCs w:val="20"/>
          <w:lang w:val="en-US"/>
        </w:rPr>
      </w:pPr>
      <w:permStart w:id="1327239170" w:edGrp="everyone"/>
      <w:r w:rsidRPr="006F5499">
        <w:rPr>
          <w:rFonts w:ascii="Calibri" w:hAnsi="Calibri" w:cs="Calibri"/>
          <w:sz w:val="20"/>
          <w:szCs w:val="20"/>
        </w:rPr>
        <w:t>As outlined in our response to Question 6, Option 1b presents several structural and operational challenges that raise concerns regarding its feasibility and effectiveness. </w:t>
      </w:r>
      <w:r w:rsidRPr="006B196C">
        <w:rPr>
          <w:rFonts w:ascii="Calibri" w:hAnsi="Calibri" w:cs="Calibri"/>
          <w:sz w:val="20"/>
          <w:szCs w:val="20"/>
          <w:lang w:val="en-US"/>
        </w:rPr>
        <w:t>The main limitation is the “difficulty to monitor the integrity of EMIR data”. Specially, reporting transactions to the ARM and then the subsequent post-trade events to the TR:</w:t>
      </w:r>
    </w:p>
    <w:p w14:paraId="4F1DF40D" w14:textId="77777777" w:rsidR="00E464C1" w:rsidRPr="006B196C" w:rsidRDefault="00E464C1" w:rsidP="00E464C1">
      <w:pPr>
        <w:jc w:val="both"/>
        <w:rPr>
          <w:rFonts w:ascii="Calibri" w:hAnsi="Calibri" w:cs="Calibri"/>
          <w:sz w:val="20"/>
          <w:szCs w:val="20"/>
          <w:lang w:val="en-US"/>
        </w:rPr>
      </w:pPr>
    </w:p>
    <w:p w14:paraId="4B287C2D"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Introduces high complexity to link transactions with post-trade events (e.g., valuation updates, margin updates).</w:t>
      </w:r>
    </w:p>
    <w:p w14:paraId="6B30A1F0" w14:textId="77777777" w:rsidR="00E464C1" w:rsidRPr="00E464C1" w:rsidRDefault="00E464C1" w:rsidP="00E464C1">
      <w:pPr>
        <w:ind w:left="1068" w:hanging="360"/>
        <w:rPr>
          <w:rFonts w:ascii="Calibri" w:hAnsi="Calibri" w:cs="Calibri"/>
          <w:sz w:val="20"/>
          <w:szCs w:val="20"/>
          <w:lang w:val="en-US"/>
        </w:rPr>
      </w:pPr>
    </w:p>
    <w:p w14:paraId="43C15AFD"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Fails to address the issue </w:t>
      </w:r>
      <w:r w:rsidRPr="54614487">
        <w:rPr>
          <w:rFonts w:ascii="Calibri" w:hAnsi="Calibri" w:cs="Calibri"/>
          <w:sz w:val="20"/>
          <w:szCs w:val="20"/>
          <w:lang w:val="en-US"/>
        </w:rPr>
        <w:t>of</w:t>
      </w:r>
      <w:r w:rsidRPr="006B196C">
        <w:rPr>
          <w:rFonts w:ascii="Calibri" w:hAnsi="Calibri" w:cs="Calibri"/>
          <w:sz w:val="20"/>
          <w:szCs w:val="20"/>
          <w:lang w:val="en-US"/>
        </w:rPr>
        <w:t xml:space="preserve"> frequent regulatory changes and lack of flexibility to enable </w:t>
      </w:r>
      <w:r w:rsidRPr="4396CCE2">
        <w:rPr>
          <w:rFonts w:ascii="Calibri" w:hAnsi="Calibri" w:cs="Calibri"/>
          <w:sz w:val="20"/>
          <w:szCs w:val="20"/>
          <w:lang w:val="en-US"/>
        </w:rPr>
        <w:t>a phased</w:t>
      </w:r>
      <w:r w:rsidRPr="006B196C">
        <w:rPr>
          <w:rFonts w:ascii="Calibri" w:hAnsi="Calibri" w:cs="Calibri"/>
          <w:sz w:val="20"/>
          <w:szCs w:val="20"/>
          <w:lang w:val="en-US"/>
        </w:rPr>
        <w:t xml:space="preserve"> implementation, synchronization and coordination of the changes in different regimes.</w:t>
      </w:r>
    </w:p>
    <w:p w14:paraId="6BCC7DD7" w14:textId="77777777" w:rsidR="00E464C1" w:rsidRPr="009A524B" w:rsidRDefault="00E464C1" w:rsidP="00E464C1">
      <w:pPr>
        <w:rPr>
          <w:rFonts w:ascii="Calibri" w:hAnsi="Calibri" w:cs="Calibri"/>
          <w:sz w:val="20"/>
          <w:szCs w:val="20"/>
          <w:lang w:val="en-US"/>
        </w:rPr>
      </w:pPr>
    </w:p>
    <w:p w14:paraId="1F048A75"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Does not resolve the issue on different terminology if such terminology varies between transactions versus post-trade events reported to the TRs</w:t>
      </w:r>
      <w:r>
        <w:rPr>
          <w:rFonts w:ascii="Calibri" w:hAnsi="Calibri" w:cs="Calibri"/>
          <w:sz w:val="20"/>
          <w:szCs w:val="20"/>
          <w:lang w:val="en-US"/>
        </w:rPr>
        <w:t>.</w:t>
      </w:r>
    </w:p>
    <w:p w14:paraId="0C406CF8" w14:textId="77777777" w:rsidR="00E464C1" w:rsidRPr="009A524B" w:rsidRDefault="00E464C1" w:rsidP="00E464C1">
      <w:pPr>
        <w:rPr>
          <w:rFonts w:ascii="Calibri" w:hAnsi="Calibri" w:cs="Calibri"/>
          <w:sz w:val="20"/>
          <w:szCs w:val="20"/>
          <w:lang w:val="en-US"/>
        </w:rPr>
      </w:pPr>
    </w:p>
    <w:p w14:paraId="1EA11DFE"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Not only does</w:t>
      </w:r>
      <w:r w:rsidRPr="4396CCE2">
        <w:rPr>
          <w:rFonts w:ascii="Calibri" w:hAnsi="Calibri" w:cs="Calibri"/>
          <w:sz w:val="20"/>
          <w:szCs w:val="20"/>
          <w:lang w:val="en-US"/>
        </w:rPr>
        <w:t xml:space="preserve"> it</w:t>
      </w:r>
      <w:r w:rsidRPr="006B196C">
        <w:rPr>
          <w:rFonts w:ascii="Calibri" w:hAnsi="Calibri" w:cs="Calibri"/>
          <w:sz w:val="20"/>
          <w:szCs w:val="20"/>
          <w:lang w:val="en-US"/>
        </w:rPr>
        <w:t xml:space="preserve"> not address the issue on different reporting channels but exacerbates </w:t>
      </w:r>
      <w:r w:rsidRPr="4396CCE2">
        <w:rPr>
          <w:rFonts w:ascii="Calibri" w:hAnsi="Calibri" w:cs="Calibri"/>
          <w:sz w:val="20"/>
          <w:szCs w:val="20"/>
          <w:lang w:val="en-US"/>
        </w:rPr>
        <w:t>it.</w:t>
      </w:r>
      <w:r w:rsidRPr="006B196C">
        <w:rPr>
          <w:rFonts w:ascii="Calibri" w:hAnsi="Calibri" w:cs="Calibri"/>
          <w:sz w:val="20"/>
          <w:szCs w:val="20"/>
          <w:lang w:val="en-US"/>
        </w:rPr>
        <w:t xml:space="preserve"> Entities currently reporting only under EMIR to a TR would have to engage with both an ARM (for the reporting of transactions) and with a TR (for the reporting of valuation updates, margin updates, </w:t>
      </w:r>
      <w:proofErr w:type="spellStart"/>
      <w:r w:rsidRPr="006B196C">
        <w:rPr>
          <w:rFonts w:ascii="Calibri" w:hAnsi="Calibri" w:cs="Calibri"/>
          <w:sz w:val="20"/>
          <w:szCs w:val="20"/>
          <w:lang w:val="en-US"/>
        </w:rPr>
        <w:t>etc</w:t>
      </w:r>
      <w:proofErr w:type="spellEnd"/>
      <w:r w:rsidRPr="006B196C">
        <w:rPr>
          <w:rFonts w:ascii="Calibri" w:hAnsi="Calibri" w:cs="Calibri"/>
          <w:sz w:val="20"/>
          <w:szCs w:val="20"/>
          <w:lang w:val="en-US"/>
        </w:rPr>
        <w:t>). This is particularly critical for SMEs, for whom the cost would be significant.</w:t>
      </w:r>
    </w:p>
    <w:p w14:paraId="26086015" w14:textId="77777777" w:rsidR="00E464C1" w:rsidRPr="009A524B" w:rsidRDefault="00E464C1" w:rsidP="00E464C1">
      <w:pPr>
        <w:rPr>
          <w:rFonts w:ascii="Calibri" w:hAnsi="Calibri" w:cs="Calibri"/>
          <w:sz w:val="20"/>
          <w:szCs w:val="20"/>
          <w:lang w:val="en-US"/>
        </w:rPr>
      </w:pPr>
    </w:p>
    <w:p w14:paraId="2A5AD20F" w14:textId="77777777" w:rsidR="00E464C1" w:rsidRPr="00B03B01"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IT systems would still need to be duplicated, both for reporting entities and for NCAs.</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47BC0D8D" w14:textId="77777777" w:rsidR="00E464C1" w:rsidRPr="006B196C" w:rsidRDefault="00E464C1" w:rsidP="00E464C1">
      <w:pPr>
        <w:keepNext/>
        <w:keepLines/>
        <w:jc w:val="both"/>
        <w:rPr>
          <w:rFonts w:ascii="Calibri" w:hAnsi="Calibri" w:cs="Calibri"/>
          <w:sz w:val="20"/>
          <w:szCs w:val="20"/>
        </w:rPr>
      </w:pPr>
      <w:permStart w:id="275065348" w:edGrp="everyone"/>
      <w:r w:rsidRPr="006B196C">
        <w:rPr>
          <w:rFonts w:ascii="Calibri" w:hAnsi="Calibri" w:cs="Calibri"/>
          <w:sz w:val="20"/>
          <w:szCs w:val="20"/>
        </w:rPr>
        <w:lastRenderedPageBreak/>
        <w:t xml:space="preserve">In addition to the limitations referred to in </w:t>
      </w:r>
      <w:r>
        <w:rPr>
          <w:rFonts w:ascii="Calibri" w:hAnsi="Calibri" w:cs="Calibri"/>
          <w:sz w:val="20"/>
          <w:szCs w:val="20"/>
        </w:rPr>
        <w:t xml:space="preserve">the response to Q6 and </w:t>
      </w:r>
      <w:r w:rsidRPr="006B196C">
        <w:rPr>
          <w:rFonts w:ascii="Calibri" w:hAnsi="Calibri" w:cs="Calibri"/>
          <w:sz w:val="20"/>
          <w:szCs w:val="20"/>
        </w:rPr>
        <w:t>Q7, splitting transaction reporting from post-trade events reporting would:</w:t>
      </w:r>
    </w:p>
    <w:p w14:paraId="1460C333" w14:textId="77777777" w:rsidR="00E464C1" w:rsidRPr="006B196C" w:rsidRDefault="00E464C1" w:rsidP="00E464C1">
      <w:pPr>
        <w:keepNext/>
        <w:keepLines/>
        <w:jc w:val="both"/>
        <w:rPr>
          <w:rFonts w:ascii="Calibri" w:hAnsi="Calibri" w:cs="Calibri"/>
          <w:sz w:val="20"/>
          <w:szCs w:val="20"/>
        </w:rPr>
      </w:pPr>
    </w:p>
    <w:p w14:paraId="5F2D415C" w14:textId="77777777" w:rsidR="00E464C1" w:rsidRPr="006B196C" w:rsidRDefault="00E464C1" w:rsidP="00E464C1">
      <w:pPr>
        <w:pStyle w:val="Prrafodelista"/>
        <w:keepNext/>
        <w:keepLines/>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Limit the capacity for TRs to perform validations on the data reported as currently done, given that there are multiple validations that are not self-contained in the valuation/margin reports</w:t>
      </w:r>
      <w:r w:rsidRPr="4396CCE2">
        <w:rPr>
          <w:rFonts w:ascii="Calibri" w:hAnsi="Calibri" w:cs="Calibri"/>
          <w:sz w:val="20"/>
          <w:szCs w:val="20"/>
        </w:rPr>
        <w:t xml:space="preserve"> but</w:t>
      </w:r>
      <w:r w:rsidRPr="006B196C">
        <w:rPr>
          <w:rFonts w:ascii="Calibri" w:hAnsi="Calibri" w:cs="Calibri"/>
          <w:sz w:val="20"/>
          <w:szCs w:val="20"/>
        </w:rPr>
        <w:t xml:space="preserve"> depend on the latest state of the derivative</w:t>
      </w:r>
      <w:r>
        <w:rPr>
          <w:rFonts w:ascii="Calibri" w:hAnsi="Calibri" w:cs="Calibri"/>
          <w:sz w:val="20"/>
          <w:szCs w:val="20"/>
        </w:rPr>
        <w:t>.</w:t>
      </w:r>
    </w:p>
    <w:p w14:paraId="66314B59" w14:textId="77777777" w:rsidR="00E464C1" w:rsidRPr="00E464C1" w:rsidRDefault="00E464C1" w:rsidP="00E464C1">
      <w:pPr>
        <w:keepNext/>
        <w:keepLines/>
        <w:ind w:left="708"/>
        <w:rPr>
          <w:rFonts w:ascii="Calibri" w:hAnsi="Calibri" w:cs="Calibri"/>
          <w:sz w:val="20"/>
          <w:szCs w:val="20"/>
        </w:rPr>
      </w:pPr>
    </w:p>
    <w:p w14:paraId="0C2488E0" w14:textId="77777777" w:rsidR="00E464C1" w:rsidRPr="006B196C" w:rsidRDefault="00E464C1" w:rsidP="00E464C1">
      <w:pPr>
        <w:pStyle w:val="Prrafodelista"/>
        <w:keepNext/>
        <w:keepLines/>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 xml:space="preserve">Limit the capacity for TRs and NCAs to link post-trade events with their associated contract or contracts (e.g., for margins reported at a portfolio level). </w:t>
      </w:r>
    </w:p>
    <w:p w14:paraId="70A3B04B" w14:textId="77777777" w:rsidR="00E464C1" w:rsidRPr="009A524B" w:rsidRDefault="00E464C1" w:rsidP="00E464C1">
      <w:pPr>
        <w:keepNext/>
        <w:keepLines/>
        <w:rPr>
          <w:rFonts w:ascii="Calibri" w:hAnsi="Calibri" w:cs="Calibri"/>
          <w:sz w:val="20"/>
          <w:szCs w:val="20"/>
          <w:lang w:val="en-US"/>
        </w:rPr>
      </w:pPr>
    </w:p>
    <w:p w14:paraId="52AF32EB" w14:textId="77777777" w:rsidR="00E464C1" w:rsidRPr="006B196C" w:rsidRDefault="00E464C1" w:rsidP="00E464C1">
      <w:pPr>
        <w:pStyle w:val="Prrafodelista"/>
        <w:keepNext/>
        <w:keepLines/>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Limit current capabilities from TRs to highlight to entities and NCAs missing or outdated reports (warnings)</w:t>
      </w:r>
      <w:r>
        <w:rPr>
          <w:rFonts w:ascii="Calibri" w:hAnsi="Calibri" w:cs="Calibri"/>
          <w:sz w:val="20"/>
          <w:szCs w:val="20"/>
        </w:rPr>
        <w:t>.</w:t>
      </w:r>
    </w:p>
    <w:p w14:paraId="26413D03" w14:textId="77777777" w:rsidR="00E464C1" w:rsidRPr="009A524B" w:rsidRDefault="00E464C1" w:rsidP="00E464C1">
      <w:pPr>
        <w:keepNext/>
        <w:keepLines/>
        <w:rPr>
          <w:rFonts w:ascii="Calibri" w:hAnsi="Calibri" w:cs="Calibri"/>
          <w:sz w:val="20"/>
          <w:szCs w:val="20"/>
          <w:lang w:val="en-US"/>
        </w:rPr>
      </w:pPr>
    </w:p>
    <w:p w14:paraId="2FCE5530" w14:textId="77777777" w:rsidR="00E464C1" w:rsidRPr="006B196C" w:rsidRDefault="00E464C1" w:rsidP="00E464C1">
      <w:pPr>
        <w:pStyle w:val="Prrafodelista"/>
        <w:keepNext/>
        <w:keepLines/>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Introduce an obligation for entities (also impact on mid and small ones) that currently report only under EMIR to also report their transactions to an ARM.</w:t>
      </w:r>
    </w:p>
    <w:p w14:paraId="19A6D5A7" w14:textId="77777777" w:rsidR="00E464C1" w:rsidRPr="009A524B" w:rsidRDefault="00E464C1" w:rsidP="00E464C1">
      <w:pPr>
        <w:keepNext/>
        <w:keepLines/>
        <w:rPr>
          <w:rFonts w:ascii="Calibri" w:hAnsi="Calibri" w:cs="Calibri"/>
          <w:sz w:val="20"/>
          <w:szCs w:val="20"/>
          <w:lang w:val="en-US"/>
        </w:rPr>
      </w:pPr>
    </w:p>
    <w:p w14:paraId="305F1886" w14:textId="77777777" w:rsidR="00E464C1" w:rsidRPr="006B196C" w:rsidRDefault="00E464C1" w:rsidP="00E464C1">
      <w:pPr>
        <w:pStyle w:val="Prrafodelista"/>
        <w:keepNext/>
        <w:keepLines/>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If option 1b is seen as a first phase before the implementation of a report-once model, both TRs and ARMs would alter their infrastructure landscape over time, potentially leading to a lack of continuity to the final implemented solution.</w:t>
      </w:r>
    </w:p>
    <w:p w14:paraId="4B3C90A4" w14:textId="77777777" w:rsidR="00E464C1" w:rsidRPr="009A524B" w:rsidRDefault="00E464C1" w:rsidP="00E464C1">
      <w:pPr>
        <w:keepNext/>
        <w:keepLines/>
        <w:rPr>
          <w:rFonts w:ascii="Calibri" w:hAnsi="Calibri" w:cs="Calibri"/>
          <w:sz w:val="20"/>
          <w:szCs w:val="20"/>
          <w:lang w:val="en-US"/>
        </w:rPr>
      </w:pPr>
    </w:p>
    <w:p w14:paraId="6D85B3C0" w14:textId="77777777" w:rsidR="00E464C1" w:rsidRPr="006B196C" w:rsidRDefault="00E464C1" w:rsidP="00E464C1">
      <w:pPr>
        <w:pStyle w:val="Prrafodelista"/>
        <w:keepNext/>
        <w:keepLines/>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From a cost perspective, because the relationship between reporting volumes and costs are not linear, lower reporting volumes may not result on a decrease on the fees from TRs/ARMs to continue being cost-based, resulting in no tangible cost reduction for participants.</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2FC41979" w14:textId="77777777" w:rsidR="00E464C1" w:rsidRPr="006B196C" w:rsidRDefault="00E464C1" w:rsidP="00E464C1">
      <w:pPr>
        <w:jc w:val="both"/>
        <w:rPr>
          <w:rFonts w:ascii="Calibri" w:hAnsi="Calibri" w:cs="Calibri"/>
          <w:sz w:val="20"/>
          <w:szCs w:val="20"/>
        </w:rPr>
      </w:pPr>
      <w:permStart w:id="1249454344" w:edGrp="everyone"/>
      <w:r w:rsidRPr="006B196C">
        <w:rPr>
          <w:rFonts w:ascii="Calibri" w:hAnsi="Calibri" w:cs="Calibri"/>
          <w:sz w:val="20"/>
          <w:szCs w:val="20"/>
        </w:rPr>
        <w:t>The alignment of the different reporting requirements would allow to achieve effective reporting consistency and reporting entities effort reduction.</w:t>
      </w:r>
      <w:r>
        <w:rPr>
          <w:rFonts w:ascii="Calibri" w:hAnsi="Calibri" w:cs="Calibri"/>
          <w:sz w:val="20"/>
          <w:szCs w:val="20"/>
        </w:rPr>
        <w:t xml:space="preserve"> </w:t>
      </w:r>
      <w:r w:rsidRPr="00BE2396">
        <w:rPr>
          <w:rFonts w:ascii="Calibri" w:hAnsi="Calibri" w:cs="Calibri"/>
          <w:sz w:val="20"/>
          <w:szCs w:val="20"/>
        </w:rPr>
        <w:t>The use of one single template brings the benefit of avoiding duplicative reporting (MiFIR-EMIR or MiFIR-SFTR), without requiring any reduction in the current scope of data reported under these three regulations.</w:t>
      </w:r>
    </w:p>
    <w:p w14:paraId="1111F646" w14:textId="77777777" w:rsidR="00E464C1" w:rsidRPr="006B196C" w:rsidRDefault="00E464C1" w:rsidP="00E464C1">
      <w:pPr>
        <w:jc w:val="both"/>
        <w:rPr>
          <w:rFonts w:ascii="Calibri" w:hAnsi="Calibri" w:cs="Calibri"/>
          <w:sz w:val="20"/>
          <w:szCs w:val="20"/>
        </w:rPr>
      </w:pPr>
    </w:p>
    <w:p w14:paraId="7921A18F"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SIX Group favours an ambitious integration of the reporting requirements across the different frameworks currently in place as the means to achieve effective simplification and cost reductions for supervisory authorities, obliged firms and reporting infrastructure providers.</w:t>
      </w:r>
    </w:p>
    <w:p w14:paraId="1A3FEBC1" w14:textId="77777777" w:rsidR="00E464C1" w:rsidRPr="006B196C" w:rsidRDefault="00E464C1" w:rsidP="00E464C1">
      <w:pPr>
        <w:jc w:val="both"/>
        <w:rPr>
          <w:rFonts w:ascii="Calibri" w:hAnsi="Calibri" w:cs="Calibri"/>
          <w:sz w:val="20"/>
          <w:szCs w:val="20"/>
        </w:rPr>
      </w:pPr>
    </w:p>
    <w:p w14:paraId="214407E2" w14:textId="77777777" w:rsidR="00E464C1" w:rsidRDefault="00E464C1" w:rsidP="00E464C1">
      <w:pPr>
        <w:jc w:val="both"/>
        <w:rPr>
          <w:rFonts w:ascii="Calibri" w:hAnsi="Calibri" w:cs="Calibri"/>
          <w:sz w:val="20"/>
          <w:szCs w:val="20"/>
        </w:rPr>
      </w:pPr>
      <w:r w:rsidRPr="006B196C">
        <w:rPr>
          <w:rFonts w:ascii="Calibri" w:hAnsi="Calibri" w:cs="Calibri"/>
          <w:sz w:val="20"/>
          <w:szCs w:val="20"/>
        </w:rPr>
        <w:t>In this regard, a report once approach would allow economies of scale for supervisors, obliged entities and reporting infrastructure providers. It also seems the shortest line between the currently complex network of requirements, overlaps and misalignments, and a simplified approach. It would ensure that the same instrument is not reported twice even if reporting is required by different pieces of regulations, hence pursuing different objectives.</w:t>
      </w:r>
    </w:p>
    <w:p w14:paraId="49EF287E" w14:textId="77777777" w:rsidR="00E464C1" w:rsidRDefault="00E464C1" w:rsidP="00E464C1">
      <w:pPr>
        <w:jc w:val="both"/>
        <w:rPr>
          <w:rFonts w:ascii="Calibri" w:hAnsi="Calibri" w:cs="Calibri"/>
          <w:sz w:val="20"/>
          <w:szCs w:val="20"/>
        </w:rPr>
      </w:pPr>
    </w:p>
    <w:p w14:paraId="76F136DF" w14:textId="77777777" w:rsidR="00E464C1" w:rsidRDefault="00E464C1" w:rsidP="00E464C1">
      <w:pPr>
        <w:jc w:val="both"/>
        <w:rPr>
          <w:rFonts w:ascii="Calibri" w:hAnsi="Calibri" w:cs="Calibri"/>
          <w:sz w:val="20"/>
          <w:szCs w:val="20"/>
          <w:lang w:val="en-US"/>
        </w:rPr>
      </w:pPr>
      <w:r w:rsidRPr="006B196C">
        <w:rPr>
          <w:rFonts w:ascii="Calibri" w:hAnsi="Calibri" w:cs="Calibri"/>
          <w:sz w:val="20"/>
          <w:szCs w:val="20"/>
          <w:lang w:val="en-US"/>
        </w:rPr>
        <w:t>Indeed, this solution better addresses the issues highlighted by ESMA, as it:</w:t>
      </w:r>
    </w:p>
    <w:p w14:paraId="1ED305B2" w14:textId="77777777" w:rsidR="00E464C1" w:rsidRPr="006B196C" w:rsidRDefault="00E464C1" w:rsidP="00E464C1">
      <w:pPr>
        <w:jc w:val="both"/>
        <w:rPr>
          <w:rFonts w:ascii="Calibri" w:hAnsi="Calibri" w:cs="Calibri"/>
          <w:sz w:val="20"/>
          <w:szCs w:val="20"/>
        </w:rPr>
      </w:pPr>
    </w:p>
    <w:p w14:paraId="208E3ABC"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Introduces a single template for reporting</w:t>
      </w:r>
      <w:r>
        <w:rPr>
          <w:rFonts w:ascii="Calibri" w:hAnsi="Calibri" w:cs="Calibri"/>
          <w:sz w:val="20"/>
          <w:szCs w:val="20"/>
          <w:lang w:val="en-US"/>
        </w:rPr>
        <w:t xml:space="preserve">, that </w:t>
      </w:r>
      <w:r w:rsidRPr="006B196C">
        <w:rPr>
          <w:rFonts w:ascii="Calibri" w:hAnsi="Calibri" w:cs="Calibri"/>
          <w:sz w:val="20"/>
          <w:szCs w:val="20"/>
          <w:lang w:val="en-US"/>
        </w:rPr>
        <w:t>would ensure coordination of changes in different regimes</w:t>
      </w:r>
    </w:p>
    <w:p w14:paraId="0B6FF333"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60D1A825"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Removes duplicative reporting between EMIR and MiFIR, and aligns terminology</w:t>
      </w:r>
    </w:p>
    <w:p w14:paraId="662C6B41"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511B9852"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lastRenderedPageBreak/>
        <w:t>Is compatible with changes on intragroup reporting and reference data reporting</w:t>
      </w:r>
    </w:p>
    <w:p w14:paraId="2AAF575C"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23B72889"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Simplifies reporting channels</w:t>
      </w:r>
    </w:p>
    <w:p w14:paraId="449AC784"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00E4F231"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Removes duplication of IT systems</w:t>
      </w:r>
    </w:p>
    <w:p w14:paraId="6A2BF01B"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32A71F64"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Option 2a reduces duplications that create inefficiencies within the system and result in incomplete data collection. Ideally, any transaction, order or position would be reported once.</w:t>
      </w:r>
    </w:p>
    <w:p w14:paraId="506C0DA1" w14:textId="77777777" w:rsidR="00E464C1" w:rsidRPr="006B196C" w:rsidRDefault="00E464C1" w:rsidP="00E464C1">
      <w:pPr>
        <w:jc w:val="both"/>
        <w:rPr>
          <w:rFonts w:ascii="Calibri" w:hAnsi="Calibri" w:cs="Calibri"/>
          <w:sz w:val="20"/>
          <w:szCs w:val="20"/>
        </w:rPr>
      </w:pPr>
    </w:p>
    <w:p w14:paraId="5C53AC35" w14:textId="77777777" w:rsidR="00E464C1" w:rsidRDefault="00E464C1" w:rsidP="00E464C1">
      <w:pPr>
        <w:jc w:val="both"/>
        <w:rPr>
          <w:rFonts w:ascii="Calibri" w:hAnsi="Calibri" w:cs="Calibri"/>
          <w:sz w:val="20"/>
          <w:szCs w:val="20"/>
        </w:rPr>
      </w:pPr>
      <w:r w:rsidRPr="006B196C">
        <w:rPr>
          <w:rFonts w:ascii="Calibri" w:hAnsi="Calibri" w:cs="Calibri"/>
          <w:sz w:val="20"/>
          <w:szCs w:val="20"/>
        </w:rPr>
        <w:t>It seems reasonable that any streamlining exercise follows an incremental approach through the prior assessment of the simplification and correction measures that need being addressed first.</w:t>
      </w:r>
    </w:p>
    <w:p w14:paraId="11025B7A" w14:textId="77777777" w:rsidR="00E464C1" w:rsidRDefault="00E464C1" w:rsidP="00E464C1">
      <w:pPr>
        <w:jc w:val="both"/>
        <w:rPr>
          <w:sz w:val="20"/>
          <w:szCs w:val="20"/>
          <w:lang w:val="en-US"/>
        </w:rPr>
      </w:pPr>
    </w:p>
    <w:p w14:paraId="227C1237" w14:textId="77777777" w:rsidR="00E464C1" w:rsidRPr="006F5499" w:rsidRDefault="00E464C1" w:rsidP="00E464C1">
      <w:pPr>
        <w:jc w:val="both"/>
        <w:rPr>
          <w:rFonts w:ascii="Calibri" w:hAnsi="Calibri" w:cs="Calibri"/>
          <w:sz w:val="20"/>
          <w:szCs w:val="20"/>
          <w:lang w:val="en-US"/>
        </w:rPr>
      </w:pPr>
      <w:r w:rsidRPr="006F5499">
        <w:rPr>
          <w:rFonts w:ascii="Calibri" w:hAnsi="Calibri" w:cs="Calibri"/>
          <w:sz w:val="20"/>
          <w:szCs w:val="20"/>
          <w:lang w:val="en-US"/>
        </w:rPr>
        <w:t xml:space="preserve">To further address other issues pointed out by ESMA, this solution could be implemented in different phases, providing entities with a transition period to adapt to it (see suggested approach on </w:t>
      </w:r>
      <w:r>
        <w:rPr>
          <w:rFonts w:ascii="Calibri" w:hAnsi="Calibri" w:cs="Calibri"/>
          <w:sz w:val="20"/>
          <w:szCs w:val="20"/>
          <w:lang w:val="en-US"/>
        </w:rPr>
        <w:t xml:space="preserve">our response to </w:t>
      </w:r>
      <w:r w:rsidRPr="006F5499">
        <w:rPr>
          <w:rFonts w:ascii="Calibri" w:hAnsi="Calibri" w:cs="Calibri"/>
          <w:sz w:val="20"/>
          <w:szCs w:val="20"/>
          <w:lang w:val="en-US"/>
        </w:rPr>
        <w:t>Q5). This phase approach would:</w:t>
      </w:r>
    </w:p>
    <w:p w14:paraId="0CD398FB" w14:textId="77777777" w:rsidR="00E464C1" w:rsidRPr="006F5499" w:rsidRDefault="00E464C1" w:rsidP="00E464C1">
      <w:pPr>
        <w:jc w:val="both"/>
        <w:rPr>
          <w:rFonts w:ascii="Calibri" w:hAnsi="Calibri" w:cs="Calibri"/>
          <w:sz w:val="20"/>
          <w:szCs w:val="20"/>
          <w:lang w:val="en-US"/>
        </w:rPr>
      </w:pPr>
    </w:p>
    <w:p w14:paraId="2CA09639"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Allow entities to adapt to the new requirements at their own pace during the transition period without an impact on the data access by NCAs. From day one, NCAs could receive their ‘</w:t>
      </w:r>
      <w:r>
        <w:rPr>
          <w:rFonts w:ascii="Calibri" w:hAnsi="Calibri" w:cs="Calibri"/>
          <w:sz w:val="20"/>
          <w:szCs w:val="20"/>
          <w:lang w:val="en-US"/>
        </w:rPr>
        <w:t>informed</w:t>
      </w:r>
      <w:r w:rsidRPr="006B196C">
        <w:rPr>
          <w:rFonts w:ascii="Calibri" w:hAnsi="Calibri" w:cs="Calibri"/>
          <w:sz w:val="20"/>
          <w:szCs w:val="20"/>
          <w:lang w:val="en-US"/>
        </w:rPr>
        <w:t>’ template, regardless of whether entities continue reporting separately two sets of data (MiFIR, EMIR) or one using the single template.</w:t>
      </w:r>
    </w:p>
    <w:p w14:paraId="27AFD5A9"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1FA47CC7"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If dual-sided is </w:t>
      </w:r>
      <w:r w:rsidRPr="00E07EC4">
        <w:rPr>
          <w:rFonts w:ascii="Calibri" w:hAnsi="Calibri" w:cs="Calibri"/>
          <w:sz w:val="20"/>
          <w:szCs w:val="20"/>
          <w:lang w:val="en-US"/>
        </w:rPr>
        <w:t>maintained</w:t>
      </w:r>
      <w:r w:rsidRPr="006B196C">
        <w:rPr>
          <w:rFonts w:ascii="Calibri" w:hAnsi="Calibri" w:cs="Calibri"/>
          <w:sz w:val="20"/>
          <w:szCs w:val="20"/>
          <w:lang w:val="en-US"/>
        </w:rPr>
        <w:t>, introduce current EMIR data quality indicators into MiFIR without increasing reporting requirements for entities</w:t>
      </w:r>
      <w:r>
        <w:rPr>
          <w:rFonts w:ascii="Calibri" w:hAnsi="Calibri" w:cs="Calibri"/>
          <w:sz w:val="20"/>
          <w:szCs w:val="20"/>
          <w:lang w:val="en-US"/>
        </w:rPr>
        <w:t xml:space="preserve"> </w:t>
      </w:r>
      <w:r w:rsidRPr="003D3BDC">
        <w:rPr>
          <w:rFonts w:ascii="Calibri" w:hAnsi="Calibri" w:cs="Calibri"/>
          <w:sz w:val="20"/>
          <w:szCs w:val="20"/>
          <w:lang w:val="en-US"/>
        </w:rPr>
        <w:t>and reduce reconciliation process burden</w:t>
      </w:r>
      <w:r w:rsidRPr="00261612">
        <w:rPr>
          <w:rFonts w:ascii="Calibri" w:hAnsi="Calibri" w:cs="Calibri"/>
          <w:b/>
          <w:sz w:val="20"/>
          <w:szCs w:val="20"/>
          <w:lang w:val="en-US"/>
        </w:rPr>
        <w:t>.</w:t>
      </w:r>
      <w:r>
        <w:rPr>
          <w:rFonts w:ascii="Calibri" w:hAnsi="Calibri" w:cs="Calibri"/>
          <w:sz w:val="20"/>
          <w:szCs w:val="20"/>
          <w:lang w:val="en-US"/>
        </w:rPr>
        <w:t xml:space="preserve"> If dual-sided reporting is not maintained, adopt other risk mitigation processes to ensure the quality of data submitted.</w:t>
      </w:r>
    </w:p>
    <w:p w14:paraId="0453A39B" w14:textId="77777777" w:rsidR="00E464C1" w:rsidRPr="00261612" w:rsidRDefault="00E464C1" w:rsidP="00E464C1">
      <w:pPr>
        <w:rPr>
          <w:rFonts w:ascii="Calibri" w:hAnsi="Calibri" w:cs="Calibri"/>
          <w:sz w:val="20"/>
          <w:szCs w:val="20"/>
          <w:lang w:val="en-US"/>
        </w:rPr>
      </w:pPr>
    </w:p>
    <w:p w14:paraId="17B82576"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Allow TRs to continue validating reports not only based on their content but also on their corresponding contract information (latest trade state).</w:t>
      </w:r>
    </w:p>
    <w:p w14:paraId="0E81E388" w14:textId="77777777" w:rsidR="00E464C1" w:rsidRPr="00261612" w:rsidRDefault="00E464C1" w:rsidP="00E464C1">
      <w:pPr>
        <w:rPr>
          <w:rFonts w:ascii="Calibri" w:hAnsi="Calibri" w:cs="Calibri"/>
          <w:sz w:val="20"/>
          <w:szCs w:val="20"/>
          <w:lang w:val="en-US"/>
        </w:rPr>
      </w:pPr>
    </w:p>
    <w:p w14:paraId="28028CB5"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Enable NCAs to access all present and historical data (transactions, positions, lifecycle events) from a single source, without requiring costly data migrations.</w:t>
      </w:r>
    </w:p>
    <w:p w14:paraId="04DCCD5B" w14:textId="77777777" w:rsidR="00E464C1" w:rsidRPr="00261612" w:rsidRDefault="00E464C1" w:rsidP="00E464C1">
      <w:pPr>
        <w:rPr>
          <w:rFonts w:ascii="Calibri" w:hAnsi="Calibri" w:cs="Calibri"/>
          <w:sz w:val="20"/>
          <w:szCs w:val="20"/>
          <w:lang w:val="en-US"/>
        </w:rPr>
      </w:pPr>
    </w:p>
    <w:p w14:paraId="25BEC81E"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Allow NCAs to receive from TRs specific reports such as warnings, rejections or latest state of derivatives/margins.</w:t>
      </w:r>
    </w:p>
    <w:p w14:paraId="230FF93F" w14:textId="77777777" w:rsidR="00E464C1" w:rsidRPr="00261612" w:rsidRDefault="00E464C1" w:rsidP="00E464C1">
      <w:pPr>
        <w:rPr>
          <w:rFonts w:ascii="Calibri" w:hAnsi="Calibri" w:cs="Calibri"/>
          <w:sz w:val="20"/>
          <w:szCs w:val="20"/>
          <w:lang w:val="en-US"/>
        </w:rPr>
      </w:pPr>
    </w:p>
    <w:p w14:paraId="36D9B144"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Enable NCAs to leverage on TRs to validate all data reported by entities, including MiFIR data.</w:t>
      </w:r>
    </w:p>
    <w:p w14:paraId="58724D33" w14:textId="77777777" w:rsidR="00E464C1" w:rsidRPr="00261612" w:rsidRDefault="00E464C1" w:rsidP="00E464C1">
      <w:pPr>
        <w:rPr>
          <w:rFonts w:ascii="Calibri" w:hAnsi="Calibri" w:cs="Calibri"/>
          <w:sz w:val="20"/>
          <w:szCs w:val="20"/>
          <w:lang w:val="en-US"/>
        </w:rPr>
      </w:pPr>
    </w:p>
    <w:p w14:paraId="34089304"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Allow ESMA to supervise in a </w:t>
      </w:r>
      <w:proofErr w:type="spellStart"/>
      <w:r w:rsidRPr="006B196C">
        <w:rPr>
          <w:rFonts w:ascii="Calibri" w:hAnsi="Calibri" w:cs="Calibri"/>
          <w:sz w:val="20"/>
          <w:szCs w:val="20"/>
          <w:lang w:val="en-US"/>
        </w:rPr>
        <w:t>harmoni</w:t>
      </w:r>
      <w:r>
        <w:rPr>
          <w:rFonts w:ascii="Calibri" w:hAnsi="Calibri" w:cs="Calibri"/>
          <w:sz w:val="20"/>
          <w:szCs w:val="20"/>
          <w:lang w:val="en-US"/>
        </w:rPr>
        <w:t>s</w:t>
      </w:r>
      <w:r w:rsidRPr="006B196C">
        <w:rPr>
          <w:rFonts w:ascii="Calibri" w:hAnsi="Calibri" w:cs="Calibri"/>
          <w:sz w:val="20"/>
          <w:szCs w:val="20"/>
          <w:lang w:val="en-US"/>
        </w:rPr>
        <w:t>ed</w:t>
      </w:r>
      <w:proofErr w:type="spellEnd"/>
      <w:r w:rsidRPr="006B196C">
        <w:rPr>
          <w:rFonts w:ascii="Calibri" w:hAnsi="Calibri" w:cs="Calibri"/>
          <w:sz w:val="20"/>
          <w:szCs w:val="20"/>
          <w:lang w:val="en-US"/>
        </w:rPr>
        <w:t xml:space="preserve"> manner all relevant parties receiving regulatory reports from counterparties.</w:t>
      </w:r>
    </w:p>
    <w:p w14:paraId="47FCD319" w14:textId="77777777" w:rsidR="00E464C1" w:rsidRPr="00261612" w:rsidRDefault="00E464C1" w:rsidP="00E464C1">
      <w:pPr>
        <w:rPr>
          <w:rFonts w:ascii="Calibri" w:hAnsi="Calibri" w:cs="Calibri"/>
          <w:sz w:val="20"/>
          <w:szCs w:val="20"/>
          <w:lang w:val="en-US"/>
        </w:rPr>
      </w:pPr>
    </w:p>
    <w:p w14:paraId="493B4D55"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 xml:space="preserve">In this sense, </w:t>
      </w:r>
      <w:r>
        <w:rPr>
          <w:rFonts w:ascii="Calibri" w:hAnsi="Calibri" w:cs="Calibri"/>
          <w:sz w:val="20"/>
          <w:szCs w:val="20"/>
        </w:rPr>
        <w:t>O</w:t>
      </w:r>
      <w:r w:rsidRPr="006B196C">
        <w:rPr>
          <w:rFonts w:ascii="Calibri" w:hAnsi="Calibri" w:cs="Calibri"/>
          <w:sz w:val="20"/>
          <w:szCs w:val="20"/>
        </w:rPr>
        <w:t xml:space="preserve">ption 1a might be understood as a first move to implement </w:t>
      </w:r>
      <w:r>
        <w:rPr>
          <w:rFonts w:ascii="Calibri" w:hAnsi="Calibri" w:cs="Calibri"/>
          <w:sz w:val="20"/>
          <w:szCs w:val="20"/>
        </w:rPr>
        <w:t xml:space="preserve">Option </w:t>
      </w:r>
      <w:r w:rsidRPr="006B196C">
        <w:rPr>
          <w:rFonts w:ascii="Calibri" w:hAnsi="Calibri" w:cs="Calibri"/>
          <w:sz w:val="20"/>
          <w:szCs w:val="20"/>
        </w:rPr>
        <w:t>2a. Option 2a itself looks like a prerequisite to achieve the full harmonization and unification of the reporting frameworks under one single template for all frameworks that option 2b would entail.</w:t>
      </w:r>
    </w:p>
    <w:p w14:paraId="03129B43" w14:textId="77777777" w:rsidR="00E464C1" w:rsidRPr="006B196C" w:rsidRDefault="00E464C1" w:rsidP="00E464C1">
      <w:pPr>
        <w:jc w:val="both"/>
        <w:rPr>
          <w:rFonts w:ascii="Calibri" w:hAnsi="Calibri" w:cs="Calibri"/>
          <w:sz w:val="20"/>
          <w:szCs w:val="20"/>
        </w:rPr>
      </w:pPr>
    </w:p>
    <w:p w14:paraId="7BDB0399"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We suggest in depth impact assessment and cost analysis to assess compliance of any of the options put forward by ESMA fulfil the balance cost and benefit principle. Indeed, proper assessment is needed on how the cost of moving into a revised reporting framework compares to the cost of maintaining the current situation.</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45982854" w14:textId="77777777" w:rsidR="00E464C1" w:rsidRPr="006B196C" w:rsidRDefault="00E464C1" w:rsidP="00E464C1">
      <w:pPr>
        <w:jc w:val="both"/>
        <w:rPr>
          <w:rFonts w:ascii="Calibri" w:hAnsi="Calibri" w:cs="Calibri"/>
          <w:sz w:val="20"/>
          <w:szCs w:val="20"/>
        </w:rPr>
      </w:pPr>
      <w:permStart w:id="199837036" w:edGrp="everyone"/>
      <w:r w:rsidRPr="006B196C">
        <w:rPr>
          <w:rFonts w:ascii="Calibri" w:hAnsi="Calibri" w:cs="Calibri"/>
          <w:sz w:val="20"/>
          <w:szCs w:val="20"/>
        </w:rPr>
        <w:lastRenderedPageBreak/>
        <w:t xml:space="preserve">As </w:t>
      </w:r>
      <w:r>
        <w:rPr>
          <w:rFonts w:ascii="Calibri" w:hAnsi="Calibri" w:cs="Calibri"/>
          <w:sz w:val="20"/>
          <w:szCs w:val="20"/>
        </w:rPr>
        <w:t>O</w:t>
      </w:r>
      <w:r w:rsidRPr="006B196C">
        <w:rPr>
          <w:rFonts w:ascii="Calibri" w:hAnsi="Calibri" w:cs="Calibri"/>
          <w:sz w:val="20"/>
          <w:szCs w:val="20"/>
        </w:rPr>
        <w:t xml:space="preserve">ption 2a represents a more ambitious </w:t>
      </w:r>
      <w:r>
        <w:rPr>
          <w:rFonts w:ascii="Calibri" w:hAnsi="Calibri" w:cs="Calibri"/>
          <w:sz w:val="20"/>
          <w:szCs w:val="20"/>
        </w:rPr>
        <w:t>approach</w:t>
      </w:r>
      <w:r w:rsidRPr="006B196C">
        <w:rPr>
          <w:rFonts w:ascii="Calibri" w:hAnsi="Calibri" w:cs="Calibri"/>
          <w:sz w:val="20"/>
          <w:szCs w:val="20"/>
        </w:rPr>
        <w:t xml:space="preserve"> compared to </w:t>
      </w:r>
      <w:r>
        <w:rPr>
          <w:rFonts w:ascii="Calibri" w:hAnsi="Calibri" w:cs="Calibri"/>
          <w:sz w:val="20"/>
          <w:szCs w:val="20"/>
        </w:rPr>
        <w:t>O</w:t>
      </w:r>
      <w:r w:rsidRPr="006B196C">
        <w:rPr>
          <w:rFonts w:ascii="Calibri" w:hAnsi="Calibri" w:cs="Calibri"/>
          <w:sz w:val="20"/>
          <w:szCs w:val="20"/>
        </w:rPr>
        <w:t>ptions 1a and 1b, it seems also more complex. Therefore, it might demand higher effort, resources and longer implementation planning.</w:t>
      </w:r>
    </w:p>
    <w:p w14:paraId="794FEA7D" w14:textId="77777777" w:rsidR="00E464C1" w:rsidRPr="006B196C" w:rsidRDefault="00E464C1" w:rsidP="00E464C1">
      <w:pPr>
        <w:jc w:val="both"/>
        <w:rPr>
          <w:rFonts w:ascii="Calibri" w:hAnsi="Calibri" w:cs="Calibri"/>
          <w:sz w:val="20"/>
          <w:szCs w:val="20"/>
        </w:rPr>
      </w:pPr>
    </w:p>
    <w:p w14:paraId="09E3C4A9"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Option 2a should in principle aim at providing a fully integrated reporting framework where all sort of obliged entities, whether financial counterparties or non-financial counterparties, can leverage to comply with applicable reporting requirements under MiFIR, EMIR and SFTR under a unified / standardised data collection template.</w:t>
      </w:r>
    </w:p>
    <w:p w14:paraId="01FC35A1" w14:textId="77777777" w:rsidR="00E464C1" w:rsidRPr="006B196C" w:rsidRDefault="00E464C1" w:rsidP="00E464C1">
      <w:pPr>
        <w:jc w:val="both"/>
        <w:rPr>
          <w:rFonts w:ascii="Calibri" w:hAnsi="Calibri" w:cs="Calibri"/>
          <w:sz w:val="20"/>
          <w:szCs w:val="20"/>
        </w:rPr>
      </w:pPr>
    </w:p>
    <w:p w14:paraId="43A217BD" w14:textId="77777777" w:rsidR="00E464C1" w:rsidRPr="009E14F0" w:rsidRDefault="00E464C1" w:rsidP="00E464C1">
      <w:pPr>
        <w:jc w:val="both"/>
        <w:rPr>
          <w:rFonts w:ascii="Calibri" w:hAnsi="Calibri" w:cs="Calibri"/>
          <w:sz w:val="20"/>
          <w:szCs w:val="20"/>
        </w:rPr>
      </w:pPr>
      <w:r w:rsidRPr="006B196C">
        <w:rPr>
          <w:rFonts w:ascii="Calibri" w:hAnsi="Calibri" w:cs="Calibri"/>
          <w:sz w:val="20"/>
          <w:szCs w:val="20"/>
        </w:rPr>
        <w:t xml:space="preserve">Should a </w:t>
      </w:r>
      <w:r>
        <w:rPr>
          <w:rFonts w:ascii="Calibri" w:hAnsi="Calibri" w:cs="Calibri"/>
          <w:sz w:val="20"/>
          <w:szCs w:val="20"/>
        </w:rPr>
        <w:t>“</w:t>
      </w:r>
      <w:r w:rsidRPr="006B196C">
        <w:rPr>
          <w:rFonts w:ascii="Calibri" w:hAnsi="Calibri" w:cs="Calibri"/>
          <w:sz w:val="20"/>
          <w:szCs w:val="20"/>
        </w:rPr>
        <w:t>big-bang</w:t>
      </w:r>
      <w:r>
        <w:rPr>
          <w:rFonts w:ascii="Calibri" w:hAnsi="Calibri" w:cs="Calibri"/>
          <w:sz w:val="20"/>
          <w:szCs w:val="20"/>
        </w:rPr>
        <w:t>” approach</w:t>
      </w:r>
      <w:r w:rsidRPr="006B196C">
        <w:rPr>
          <w:rFonts w:ascii="Calibri" w:hAnsi="Calibri" w:cs="Calibri"/>
          <w:sz w:val="20"/>
          <w:szCs w:val="20"/>
        </w:rPr>
        <w:t xml:space="preserve"> not be the preferred </w:t>
      </w:r>
      <w:r>
        <w:rPr>
          <w:rFonts w:ascii="Calibri" w:hAnsi="Calibri" w:cs="Calibri"/>
          <w:sz w:val="20"/>
          <w:szCs w:val="20"/>
        </w:rPr>
        <w:t>one</w:t>
      </w:r>
      <w:r w:rsidRPr="006B196C">
        <w:rPr>
          <w:rFonts w:ascii="Calibri" w:hAnsi="Calibri" w:cs="Calibri"/>
          <w:sz w:val="20"/>
          <w:szCs w:val="20"/>
        </w:rPr>
        <w:t xml:space="preserve"> by ESMA to roll-out a new simplified reporting framework, a phased approach would </w:t>
      </w:r>
      <w:r>
        <w:rPr>
          <w:rFonts w:ascii="Calibri" w:hAnsi="Calibri" w:cs="Calibri"/>
          <w:sz w:val="20"/>
          <w:szCs w:val="20"/>
        </w:rPr>
        <w:t>be acceptable</w:t>
      </w:r>
      <w:r w:rsidRPr="006B196C">
        <w:rPr>
          <w:rFonts w:ascii="Calibri" w:hAnsi="Calibri" w:cs="Calibri"/>
          <w:sz w:val="20"/>
          <w:szCs w:val="20"/>
        </w:rPr>
        <w:t xml:space="preserve">. Regardless the approach to achieve </w:t>
      </w:r>
      <w:r>
        <w:rPr>
          <w:rFonts w:ascii="Calibri" w:hAnsi="Calibri" w:cs="Calibri"/>
          <w:sz w:val="20"/>
          <w:szCs w:val="20"/>
        </w:rPr>
        <w:t>a</w:t>
      </w:r>
      <w:r w:rsidRPr="006B196C">
        <w:rPr>
          <w:rFonts w:ascii="Calibri" w:hAnsi="Calibri" w:cs="Calibri"/>
          <w:sz w:val="20"/>
          <w:szCs w:val="20"/>
        </w:rPr>
        <w:t xml:space="preserve"> simplified </w:t>
      </w:r>
      <w:r>
        <w:rPr>
          <w:rFonts w:ascii="Calibri" w:hAnsi="Calibri" w:cs="Calibri"/>
          <w:sz w:val="20"/>
          <w:szCs w:val="20"/>
        </w:rPr>
        <w:t>reporting</w:t>
      </w:r>
      <w:r w:rsidRPr="006B196C">
        <w:rPr>
          <w:rFonts w:ascii="Calibri" w:hAnsi="Calibri" w:cs="Calibri"/>
          <w:sz w:val="20"/>
          <w:szCs w:val="20"/>
        </w:rPr>
        <w:t xml:space="preserve"> framework, we would suggest focusing first on the desired arrival point. Once a decision is made on how the reporting framework should ideally look like, the process on how to get to that point might be designed with all the principles in mind, particularly mindful of the cost considerations for supervisors, obliged entities and reporting infrastructure providers.</w:t>
      </w:r>
    </w:p>
    <w:p w14:paraId="3C75749F" w14:textId="77777777" w:rsidR="00E464C1" w:rsidRDefault="00E464C1" w:rsidP="00E464C1">
      <w:pPr>
        <w:jc w:val="both"/>
        <w:rPr>
          <w:rFonts w:ascii="Calibri" w:hAnsi="Calibri" w:cs="Calibri"/>
          <w:sz w:val="20"/>
          <w:szCs w:val="20"/>
          <w:lang w:val="en-US"/>
        </w:rPr>
      </w:pPr>
    </w:p>
    <w:p w14:paraId="0107C2C5" w14:textId="77777777" w:rsidR="00E464C1" w:rsidRPr="00261612" w:rsidRDefault="00E464C1" w:rsidP="00E464C1">
      <w:pPr>
        <w:jc w:val="both"/>
        <w:rPr>
          <w:rFonts w:ascii="Calibri" w:hAnsi="Calibri" w:cs="Calibri"/>
          <w:sz w:val="20"/>
          <w:szCs w:val="20"/>
        </w:rPr>
      </w:pPr>
      <w:r>
        <w:rPr>
          <w:rFonts w:ascii="Calibri" w:hAnsi="Calibri" w:cs="Calibri"/>
          <w:sz w:val="20"/>
          <w:szCs w:val="20"/>
          <w:lang w:val="en-US"/>
        </w:rPr>
        <w:t>A</w:t>
      </w:r>
      <w:r w:rsidRPr="006B196C">
        <w:rPr>
          <w:rFonts w:ascii="Calibri" w:hAnsi="Calibri" w:cs="Calibri"/>
          <w:sz w:val="20"/>
          <w:szCs w:val="20"/>
          <w:lang w:val="en-US"/>
        </w:rPr>
        <w:t xml:space="preserve"> single template based on the MiFIR one can be applied for MIFIR and EMIR reporting. Nevertheless, for post</w:t>
      </w:r>
      <w:r>
        <w:rPr>
          <w:rFonts w:ascii="Calibri" w:hAnsi="Calibri" w:cs="Calibri"/>
          <w:sz w:val="20"/>
          <w:szCs w:val="20"/>
          <w:lang w:val="en-US"/>
        </w:rPr>
        <w:t>-</w:t>
      </w:r>
      <w:r w:rsidRPr="006B196C">
        <w:rPr>
          <w:rFonts w:ascii="Calibri" w:hAnsi="Calibri" w:cs="Calibri"/>
          <w:sz w:val="20"/>
          <w:szCs w:val="20"/>
          <w:lang w:val="en-US"/>
        </w:rPr>
        <w:t xml:space="preserve">trade events and position reporting </w:t>
      </w:r>
      <w:r w:rsidRPr="00261612">
        <w:rPr>
          <w:rFonts w:ascii="Calibri" w:hAnsi="Calibri" w:cs="Calibri"/>
          <w:sz w:val="20"/>
          <w:szCs w:val="20"/>
        </w:rPr>
        <w:t xml:space="preserve">—activities </w:t>
      </w:r>
      <w:r>
        <w:rPr>
          <w:rFonts w:ascii="Calibri" w:hAnsi="Calibri" w:cs="Calibri"/>
          <w:sz w:val="20"/>
          <w:szCs w:val="20"/>
        </w:rPr>
        <w:t>only subject to</w:t>
      </w:r>
      <w:r w:rsidRPr="00261612">
        <w:rPr>
          <w:rFonts w:ascii="Calibri" w:hAnsi="Calibri" w:cs="Calibri"/>
          <w:sz w:val="20"/>
          <w:szCs w:val="20"/>
        </w:rPr>
        <w:t xml:space="preserve"> EMIR—it would be more efficient to retain the current EMIR template.</w:t>
      </w:r>
    </w:p>
    <w:p w14:paraId="21C7AC3A" w14:textId="77777777" w:rsidR="00E464C1" w:rsidRPr="006B196C" w:rsidRDefault="00E464C1" w:rsidP="00E464C1">
      <w:pPr>
        <w:jc w:val="both"/>
        <w:rPr>
          <w:rFonts w:ascii="Calibri" w:hAnsi="Calibri" w:cs="Calibri"/>
          <w:sz w:val="20"/>
          <w:szCs w:val="20"/>
          <w:lang w:val="en-US"/>
        </w:rPr>
      </w:pPr>
    </w:p>
    <w:p w14:paraId="0426EA71" w14:textId="77777777" w:rsidR="00E464C1" w:rsidRPr="006B196C" w:rsidRDefault="00E464C1" w:rsidP="00E464C1">
      <w:pPr>
        <w:jc w:val="both"/>
        <w:rPr>
          <w:rFonts w:ascii="Calibri" w:hAnsi="Calibri" w:cs="Calibri"/>
          <w:sz w:val="20"/>
          <w:szCs w:val="20"/>
          <w:lang w:val="en-US"/>
        </w:rPr>
      </w:pPr>
      <w:r w:rsidRPr="00261612">
        <w:rPr>
          <w:rFonts w:ascii="Calibri" w:hAnsi="Calibri" w:cs="Calibri"/>
          <w:sz w:val="20"/>
          <w:szCs w:val="20"/>
        </w:rPr>
        <w:t>SFTR shares fewer data points with MiFIR compared to EMIR</w:t>
      </w:r>
      <w:r w:rsidRPr="006B196C">
        <w:rPr>
          <w:rFonts w:ascii="Calibri" w:hAnsi="Calibri" w:cs="Calibri"/>
          <w:sz w:val="20"/>
          <w:szCs w:val="20"/>
          <w:lang w:val="en-US"/>
        </w:rPr>
        <w:t>. However, certain post-trade events</w:t>
      </w:r>
      <w:r w:rsidRPr="00261612">
        <w:rPr>
          <w:rFonts w:ascii="Calibri" w:hAnsi="Calibri" w:cs="Calibri"/>
          <w:b/>
          <w:sz w:val="20"/>
          <w:szCs w:val="20"/>
        </w:rPr>
        <w:t>—</w:t>
      </w:r>
      <w:r w:rsidRPr="006B196C">
        <w:rPr>
          <w:rFonts w:ascii="Calibri" w:hAnsi="Calibri" w:cs="Calibri"/>
          <w:sz w:val="20"/>
          <w:szCs w:val="20"/>
          <w:lang w:val="en-US"/>
        </w:rPr>
        <w:t>such as margin updates</w:t>
      </w:r>
      <w:r w:rsidRPr="00261612">
        <w:rPr>
          <w:rFonts w:ascii="Calibri" w:hAnsi="Calibri" w:cs="Calibri"/>
          <w:b/>
          <w:sz w:val="20"/>
          <w:szCs w:val="20"/>
        </w:rPr>
        <w:t>—</w:t>
      </w:r>
      <w:r w:rsidRPr="006B196C">
        <w:rPr>
          <w:rFonts w:ascii="Calibri" w:hAnsi="Calibri" w:cs="Calibri"/>
          <w:sz w:val="20"/>
          <w:szCs w:val="20"/>
          <w:lang w:val="en-US"/>
        </w:rPr>
        <w:t xml:space="preserve">could be </w:t>
      </w:r>
      <w:r>
        <w:rPr>
          <w:rFonts w:ascii="Calibri" w:hAnsi="Calibri" w:cs="Calibri"/>
          <w:sz w:val="20"/>
          <w:szCs w:val="20"/>
          <w:lang w:val="en-US"/>
        </w:rPr>
        <w:t>reported</w:t>
      </w:r>
      <w:r w:rsidRPr="006B196C">
        <w:rPr>
          <w:rFonts w:ascii="Calibri" w:hAnsi="Calibri" w:cs="Calibri"/>
          <w:sz w:val="20"/>
          <w:szCs w:val="20"/>
          <w:lang w:val="en-US"/>
        </w:rPr>
        <w:t xml:space="preserve"> </w:t>
      </w:r>
      <w:r>
        <w:rPr>
          <w:rFonts w:ascii="Calibri" w:hAnsi="Calibri" w:cs="Calibri"/>
          <w:sz w:val="20"/>
          <w:szCs w:val="20"/>
          <w:lang w:val="en-US"/>
        </w:rPr>
        <w:t xml:space="preserve">under both </w:t>
      </w:r>
      <w:r w:rsidRPr="006B196C">
        <w:rPr>
          <w:rFonts w:ascii="Calibri" w:hAnsi="Calibri" w:cs="Calibri"/>
          <w:sz w:val="20"/>
          <w:szCs w:val="20"/>
          <w:lang w:val="en-US"/>
        </w:rPr>
        <w:t xml:space="preserve">EMIR and SFTR using </w:t>
      </w:r>
      <w:proofErr w:type="spellStart"/>
      <w:r>
        <w:rPr>
          <w:rFonts w:ascii="Calibri" w:hAnsi="Calibri" w:cs="Calibri"/>
          <w:sz w:val="20"/>
          <w:szCs w:val="20"/>
          <w:lang w:val="en-US"/>
        </w:rPr>
        <w:t>harmonised</w:t>
      </w:r>
      <w:proofErr w:type="spellEnd"/>
      <w:r w:rsidRPr="006B196C">
        <w:rPr>
          <w:rFonts w:ascii="Calibri" w:hAnsi="Calibri" w:cs="Calibri"/>
          <w:sz w:val="20"/>
          <w:szCs w:val="20"/>
          <w:lang w:val="en-US"/>
        </w:rPr>
        <w:t xml:space="preserve"> templates. In addition, </w:t>
      </w:r>
      <w:r>
        <w:rPr>
          <w:rFonts w:ascii="Calibri" w:hAnsi="Calibri" w:cs="Calibri"/>
          <w:sz w:val="20"/>
          <w:szCs w:val="20"/>
          <w:lang w:val="en-US"/>
        </w:rPr>
        <w:t>enabling the submission of a</w:t>
      </w:r>
      <w:r w:rsidRPr="006B196C">
        <w:rPr>
          <w:rFonts w:ascii="Calibri" w:hAnsi="Calibri" w:cs="Calibri"/>
          <w:sz w:val="20"/>
          <w:szCs w:val="20"/>
          <w:lang w:val="en-US"/>
        </w:rPr>
        <w:t xml:space="preserve"> single EMIR/MiFIR template to the</w:t>
      </w:r>
      <w:r>
        <w:rPr>
          <w:rFonts w:ascii="Calibri" w:hAnsi="Calibri" w:cs="Calibri"/>
          <w:sz w:val="20"/>
          <w:szCs w:val="20"/>
          <w:lang w:val="en-US"/>
        </w:rPr>
        <w:t xml:space="preserve"> </w:t>
      </w:r>
      <w:r w:rsidRPr="00B03B01">
        <w:rPr>
          <w:rFonts w:ascii="Calibri" w:hAnsi="Calibri" w:cs="Calibri"/>
          <w:sz w:val="20"/>
          <w:szCs w:val="20"/>
        </w:rPr>
        <w:t>regulated reporting infrastructure</w:t>
      </w:r>
      <w:r w:rsidRPr="006B196C">
        <w:rPr>
          <w:rFonts w:ascii="Calibri" w:hAnsi="Calibri" w:cs="Calibri"/>
          <w:sz w:val="20"/>
          <w:szCs w:val="20"/>
          <w:lang w:val="en-US"/>
        </w:rPr>
        <w:t xml:space="preserve"> would </w:t>
      </w:r>
      <w:r>
        <w:rPr>
          <w:rFonts w:ascii="Calibri" w:hAnsi="Calibri" w:cs="Calibri"/>
          <w:sz w:val="20"/>
          <w:szCs w:val="20"/>
          <w:lang w:val="en-US"/>
        </w:rPr>
        <w:t>contribute to cost reduction</w:t>
      </w:r>
      <w:r w:rsidRPr="006B196C">
        <w:rPr>
          <w:rFonts w:ascii="Calibri" w:hAnsi="Calibri" w:cs="Calibri"/>
          <w:sz w:val="20"/>
          <w:szCs w:val="20"/>
          <w:lang w:val="en-US"/>
        </w:rPr>
        <w:t xml:space="preserve"> by streamlining reporting channels. </w:t>
      </w:r>
    </w:p>
    <w:p w14:paraId="63FCA6F6" w14:textId="77777777" w:rsidR="00E464C1" w:rsidRPr="006B196C" w:rsidRDefault="00E464C1" w:rsidP="00E464C1">
      <w:pPr>
        <w:jc w:val="both"/>
        <w:rPr>
          <w:rFonts w:ascii="Calibri" w:hAnsi="Calibri" w:cs="Calibri"/>
          <w:sz w:val="20"/>
          <w:szCs w:val="20"/>
          <w:lang w:val="en-US"/>
        </w:rPr>
      </w:pPr>
    </w:p>
    <w:p w14:paraId="6E9E0C82" w14:textId="77777777" w:rsidR="00E464C1" w:rsidRPr="006B196C" w:rsidRDefault="00E464C1" w:rsidP="00E464C1">
      <w:pPr>
        <w:jc w:val="both"/>
        <w:rPr>
          <w:rFonts w:ascii="Calibri" w:hAnsi="Calibri" w:cs="Calibri"/>
          <w:sz w:val="20"/>
          <w:szCs w:val="20"/>
        </w:rPr>
      </w:pPr>
      <w:r>
        <w:rPr>
          <w:rFonts w:ascii="Calibri" w:hAnsi="Calibri" w:cs="Calibri"/>
          <w:sz w:val="20"/>
          <w:szCs w:val="20"/>
          <w:lang w:val="en-US"/>
        </w:rPr>
        <w:t xml:space="preserve">Considering the above, while we support the use of a single transaction template, the potential exclusion of SFTR trades from this template should </w:t>
      </w:r>
      <w:r w:rsidRPr="006B196C">
        <w:rPr>
          <w:rFonts w:ascii="Calibri" w:hAnsi="Calibri" w:cs="Calibri"/>
          <w:sz w:val="20"/>
          <w:szCs w:val="20"/>
          <w:lang w:val="en-US"/>
        </w:rPr>
        <w:t xml:space="preserve">not prevent ESMA from introducing the rest of simplifications to this regulation, such as reference data reporting. </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98522D8" w14:textId="77777777" w:rsidR="00E464C1" w:rsidRDefault="00E464C1" w:rsidP="00E464C1">
      <w:pPr>
        <w:jc w:val="both"/>
        <w:rPr>
          <w:rFonts w:ascii="Calibri" w:hAnsi="Calibri" w:cs="Calibri"/>
          <w:sz w:val="20"/>
          <w:szCs w:val="20"/>
        </w:rPr>
      </w:pPr>
      <w:permStart w:id="2123508368" w:edGrp="everyone"/>
      <w:r w:rsidRPr="006B196C">
        <w:rPr>
          <w:rFonts w:ascii="Calibri" w:hAnsi="Calibri" w:cs="Calibri"/>
          <w:sz w:val="20"/>
          <w:szCs w:val="20"/>
        </w:rPr>
        <w:t xml:space="preserve">While we would favour to focus the analysis on the reaching point rather than onto the details of the options, there might be merit in working </w:t>
      </w:r>
      <w:r>
        <w:rPr>
          <w:rFonts w:ascii="Calibri" w:hAnsi="Calibri" w:cs="Calibri"/>
          <w:sz w:val="20"/>
          <w:szCs w:val="20"/>
        </w:rPr>
        <w:t xml:space="preserve">in several important components: </w:t>
      </w:r>
      <w:r w:rsidRPr="006B196C">
        <w:rPr>
          <w:rFonts w:ascii="Calibri" w:hAnsi="Calibri" w:cs="Calibri"/>
          <w:sz w:val="20"/>
          <w:szCs w:val="20"/>
        </w:rPr>
        <w:t>around the formats of reporting and the implementation of an efficient set of validation rules and arrangements.</w:t>
      </w:r>
    </w:p>
    <w:p w14:paraId="53967CF4" w14:textId="77777777" w:rsidR="00E464C1" w:rsidRPr="006B196C" w:rsidRDefault="00E464C1" w:rsidP="00E464C1">
      <w:pPr>
        <w:jc w:val="both"/>
        <w:rPr>
          <w:rFonts w:ascii="Calibri" w:hAnsi="Calibri" w:cs="Calibri"/>
          <w:sz w:val="20"/>
          <w:szCs w:val="20"/>
        </w:rPr>
      </w:pPr>
    </w:p>
    <w:p w14:paraId="4F44773A" w14:textId="77777777" w:rsidR="00E464C1" w:rsidRDefault="00E464C1" w:rsidP="00E464C1">
      <w:pPr>
        <w:pStyle w:val="Prrafodelista"/>
        <w:numPr>
          <w:ilvl w:val="0"/>
          <w:numId w:val="45"/>
        </w:numPr>
        <w:tabs>
          <w:tab w:val="clear" w:pos="0"/>
          <w:tab w:val="clear" w:pos="142"/>
          <w:tab w:val="clear" w:pos="284"/>
          <w:tab w:val="clear" w:pos="567"/>
        </w:tabs>
        <w:autoSpaceDE/>
        <w:autoSpaceDN/>
        <w:adjustRightInd/>
        <w:spacing w:line="240" w:lineRule="auto"/>
        <w:contextualSpacing/>
        <w:rPr>
          <w:rFonts w:ascii="Calibri" w:hAnsi="Calibri" w:cs="Calibri"/>
          <w:b/>
          <w:bCs/>
          <w:sz w:val="20"/>
          <w:szCs w:val="20"/>
        </w:rPr>
      </w:pPr>
      <w:r w:rsidRPr="00231DEA">
        <w:rPr>
          <w:rFonts w:ascii="Calibri" w:hAnsi="Calibri" w:cs="Calibri"/>
          <w:b/>
          <w:bCs/>
          <w:sz w:val="20"/>
          <w:szCs w:val="20"/>
        </w:rPr>
        <w:t>Reporting format</w:t>
      </w:r>
    </w:p>
    <w:p w14:paraId="109EDD11" w14:textId="77777777" w:rsidR="00E464C1" w:rsidRPr="00231DEA" w:rsidRDefault="00E464C1" w:rsidP="00E464C1">
      <w:pPr>
        <w:pStyle w:val="Prrafodelista"/>
        <w:numPr>
          <w:ilvl w:val="0"/>
          <w:numId w:val="0"/>
        </w:numPr>
        <w:ind w:left="360"/>
        <w:rPr>
          <w:rFonts w:ascii="Calibri" w:hAnsi="Calibri" w:cs="Calibri"/>
          <w:b/>
          <w:bCs/>
          <w:sz w:val="20"/>
          <w:szCs w:val="20"/>
        </w:rPr>
      </w:pPr>
    </w:p>
    <w:p w14:paraId="3993855B"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Reporting formats are of the essence to ensure a fit-for-purpose and cost-efficient data reporting to the supervisory authorities. The selection of an adequate format/protocol have positive impact on the obliged entities and infrastructures, while choosing a suboptimal format/protocol might pose negative impact, complexity and costs for both obliged entities, infrastructures and supervisory authorities.</w:t>
      </w:r>
    </w:p>
    <w:p w14:paraId="6B6FC607" w14:textId="77777777" w:rsidR="00E464C1" w:rsidRPr="006B196C" w:rsidRDefault="00E464C1" w:rsidP="00E464C1">
      <w:pPr>
        <w:jc w:val="both"/>
        <w:rPr>
          <w:rFonts w:ascii="Calibri" w:hAnsi="Calibri" w:cs="Calibri"/>
          <w:sz w:val="20"/>
          <w:szCs w:val="20"/>
        </w:rPr>
      </w:pPr>
    </w:p>
    <w:p w14:paraId="3A0CEFCE"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As an example, the proposal to introduce JSON as the format for MiFIR transaction reporting was perceived as step back in terms of suitability, agility and validation ability. While JSON proves to be a standard and well-functioning standard for several purposes, it is far from an optimal choice for MiFIR, EMIR or SFTR reporting purposes. In this regard, EMIR Refit aligned with MiFIR reporting format in Q2 2024 through adoption of XML. We would favour keeping XML as the reporting standard for the revised reporting framework and discourage introducing new changes to the already aligned reporting standard unless need is demonstrated and compliant with the principles.</w:t>
      </w:r>
    </w:p>
    <w:p w14:paraId="1D589604" w14:textId="77777777" w:rsidR="00E464C1" w:rsidRDefault="00E464C1" w:rsidP="00E464C1">
      <w:pPr>
        <w:jc w:val="both"/>
        <w:rPr>
          <w:rFonts w:ascii="Calibri" w:hAnsi="Calibri" w:cs="Calibri"/>
          <w:sz w:val="20"/>
          <w:szCs w:val="20"/>
        </w:rPr>
      </w:pPr>
    </w:p>
    <w:p w14:paraId="6A7FEBAC" w14:textId="77777777" w:rsidR="00E464C1" w:rsidRDefault="00E464C1" w:rsidP="00E464C1">
      <w:pPr>
        <w:pStyle w:val="Prrafodelista"/>
        <w:numPr>
          <w:ilvl w:val="0"/>
          <w:numId w:val="45"/>
        </w:numPr>
        <w:tabs>
          <w:tab w:val="clear" w:pos="0"/>
          <w:tab w:val="clear" w:pos="142"/>
          <w:tab w:val="clear" w:pos="284"/>
          <w:tab w:val="clear" w:pos="567"/>
        </w:tabs>
        <w:autoSpaceDE/>
        <w:autoSpaceDN/>
        <w:adjustRightInd/>
        <w:spacing w:line="240" w:lineRule="auto"/>
        <w:contextualSpacing/>
        <w:rPr>
          <w:rFonts w:ascii="Calibri" w:hAnsi="Calibri" w:cs="Calibri"/>
          <w:b/>
          <w:bCs/>
          <w:sz w:val="20"/>
          <w:szCs w:val="20"/>
        </w:rPr>
      </w:pPr>
      <w:r w:rsidRPr="00231DEA">
        <w:rPr>
          <w:rFonts w:ascii="Calibri" w:hAnsi="Calibri" w:cs="Calibri"/>
          <w:b/>
          <w:bCs/>
          <w:sz w:val="20"/>
          <w:szCs w:val="20"/>
        </w:rPr>
        <w:t>Validation Rules</w:t>
      </w:r>
    </w:p>
    <w:p w14:paraId="4881059E" w14:textId="77777777" w:rsidR="00E464C1" w:rsidRPr="00231DEA" w:rsidRDefault="00E464C1" w:rsidP="00E464C1">
      <w:pPr>
        <w:pStyle w:val="Prrafodelista"/>
        <w:numPr>
          <w:ilvl w:val="0"/>
          <w:numId w:val="0"/>
        </w:numPr>
        <w:ind w:left="360"/>
        <w:rPr>
          <w:rFonts w:ascii="Calibri" w:hAnsi="Calibri" w:cs="Calibri"/>
          <w:b/>
          <w:bCs/>
          <w:sz w:val="20"/>
          <w:szCs w:val="20"/>
        </w:rPr>
      </w:pPr>
    </w:p>
    <w:p w14:paraId="18C159F7" w14:textId="77777777" w:rsidR="00E464C1" w:rsidRDefault="00E464C1" w:rsidP="00E464C1">
      <w:pPr>
        <w:jc w:val="both"/>
        <w:rPr>
          <w:rFonts w:ascii="Calibri" w:hAnsi="Calibri" w:cs="Calibri"/>
          <w:sz w:val="20"/>
          <w:szCs w:val="20"/>
        </w:rPr>
      </w:pPr>
      <w:r w:rsidRPr="006B196C">
        <w:rPr>
          <w:rFonts w:ascii="Calibri" w:hAnsi="Calibri" w:cs="Calibri"/>
          <w:sz w:val="20"/>
          <w:szCs w:val="20"/>
        </w:rPr>
        <w:t xml:space="preserve">An updated set of validation rules might be needed to allow obliged entities, reporting infrastructure providers and supervisory authorities to effectively cope with a wider set of data points to be collected and submitted. </w:t>
      </w:r>
    </w:p>
    <w:p w14:paraId="4CA50ADB" w14:textId="77777777" w:rsidR="00E464C1" w:rsidRPr="006B196C" w:rsidRDefault="00E464C1" w:rsidP="00E464C1">
      <w:pPr>
        <w:jc w:val="both"/>
        <w:rPr>
          <w:rFonts w:ascii="Calibri" w:hAnsi="Calibri" w:cs="Calibri"/>
          <w:sz w:val="20"/>
          <w:szCs w:val="20"/>
          <w:lang w:val="en-US"/>
        </w:rPr>
      </w:pPr>
    </w:p>
    <w:p w14:paraId="729E6140" w14:textId="77777777" w:rsidR="00E464C1" w:rsidRDefault="00E464C1" w:rsidP="00E464C1">
      <w:pPr>
        <w:pStyle w:val="Prrafodelista"/>
        <w:numPr>
          <w:ilvl w:val="0"/>
          <w:numId w:val="45"/>
        </w:numPr>
        <w:tabs>
          <w:tab w:val="clear" w:pos="0"/>
          <w:tab w:val="clear" w:pos="142"/>
          <w:tab w:val="clear" w:pos="284"/>
          <w:tab w:val="clear" w:pos="567"/>
        </w:tabs>
        <w:autoSpaceDE/>
        <w:autoSpaceDN/>
        <w:adjustRightInd/>
        <w:spacing w:line="240" w:lineRule="auto"/>
        <w:contextualSpacing/>
        <w:rPr>
          <w:rFonts w:ascii="Calibri" w:hAnsi="Calibri" w:cs="Calibri"/>
          <w:b/>
          <w:bCs/>
          <w:sz w:val="20"/>
          <w:szCs w:val="20"/>
        </w:rPr>
      </w:pPr>
      <w:r w:rsidRPr="00231DEA">
        <w:rPr>
          <w:rFonts w:ascii="Calibri" w:hAnsi="Calibri" w:cs="Calibri"/>
          <w:b/>
          <w:bCs/>
          <w:sz w:val="20"/>
          <w:szCs w:val="20"/>
        </w:rPr>
        <w:t xml:space="preserve">Challenges in fitting all data into a single template </w:t>
      </w:r>
    </w:p>
    <w:p w14:paraId="4105D175" w14:textId="77777777" w:rsidR="00E464C1" w:rsidRPr="00231DEA" w:rsidRDefault="00E464C1" w:rsidP="00E464C1">
      <w:pPr>
        <w:pStyle w:val="Prrafodelista"/>
        <w:numPr>
          <w:ilvl w:val="0"/>
          <w:numId w:val="0"/>
        </w:numPr>
        <w:ind w:left="360"/>
        <w:rPr>
          <w:rFonts w:ascii="Calibri" w:hAnsi="Calibri" w:cs="Calibri"/>
          <w:b/>
          <w:bCs/>
          <w:sz w:val="20"/>
          <w:szCs w:val="20"/>
        </w:rPr>
      </w:pPr>
    </w:p>
    <w:p w14:paraId="17413D10" w14:textId="77777777" w:rsidR="00E464C1" w:rsidRPr="00231DEA" w:rsidRDefault="00E464C1" w:rsidP="00E464C1">
      <w:pPr>
        <w:rPr>
          <w:rFonts w:ascii="Calibri" w:hAnsi="Calibri" w:cs="Calibri"/>
          <w:sz w:val="20"/>
          <w:szCs w:val="20"/>
          <w:lang w:val="en-US"/>
        </w:rPr>
      </w:pPr>
      <w:r w:rsidRPr="00231DEA">
        <w:rPr>
          <w:rFonts w:ascii="Calibri" w:hAnsi="Calibri" w:cs="Calibri"/>
          <w:sz w:val="20"/>
          <w:szCs w:val="20"/>
          <w:lang w:val="en-US"/>
        </w:rPr>
        <w:t>Fitting all reporting data into the single template might be challenging for certain entities and for certain use cases. This problem could be mitigated by allowing reporting entities the flexibility to choose between submitting two sets of reports (EMIR and MiFIR individually) or the single ‘common’ report. On their end, TRs could consolidate the information internally in their databases</w:t>
      </w:r>
      <w:r w:rsidRPr="4396CCE2">
        <w:rPr>
          <w:rFonts w:ascii="Calibri" w:hAnsi="Calibri" w:cs="Calibri"/>
          <w:sz w:val="20"/>
          <w:szCs w:val="20"/>
          <w:lang w:val="en-US"/>
        </w:rPr>
        <w:t xml:space="preserve"> and</w:t>
      </w:r>
      <w:r w:rsidRPr="00231DEA">
        <w:rPr>
          <w:rFonts w:ascii="Calibri" w:hAnsi="Calibri" w:cs="Calibri"/>
          <w:sz w:val="20"/>
          <w:szCs w:val="20"/>
          <w:lang w:val="en-US"/>
        </w:rPr>
        <w:t xml:space="preserve"> make it available to Authorities using always the single format. This would provide flexibility to the market in terms of adaptation to the new regime, as well as the use of one or the other approach depending on specific use cases. At the same time, this flexibility would be transparent for Authorities.</w:t>
      </w:r>
    </w:p>
    <w:p w14:paraId="3CD05432"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1F3AE3A6" w14:textId="77777777" w:rsidR="00E464C1" w:rsidRPr="00231DEA" w:rsidRDefault="00E464C1" w:rsidP="00E464C1">
      <w:pPr>
        <w:pStyle w:val="Prrafodelista"/>
        <w:numPr>
          <w:ilvl w:val="0"/>
          <w:numId w:val="45"/>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lang w:val="en-US"/>
        </w:rPr>
      </w:pPr>
      <w:r w:rsidRPr="006B196C">
        <w:rPr>
          <w:rFonts w:ascii="Calibri" w:hAnsi="Calibri" w:cs="Calibri"/>
          <w:b/>
          <w:sz w:val="20"/>
          <w:szCs w:val="20"/>
          <w:lang w:val="en-US"/>
        </w:rPr>
        <w:t>Dual-sided reporting concerns</w:t>
      </w:r>
      <w:r w:rsidRPr="006B196C">
        <w:rPr>
          <w:rFonts w:ascii="Calibri" w:hAnsi="Calibri" w:cs="Calibri"/>
          <w:sz w:val="20"/>
          <w:szCs w:val="20"/>
          <w:lang w:val="en-US"/>
        </w:rPr>
        <w:t xml:space="preserve"> </w:t>
      </w:r>
    </w:p>
    <w:p w14:paraId="313C16D8" w14:textId="77777777" w:rsidR="00E464C1" w:rsidRDefault="00E464C1" w:rsidP="00E464C1">
      <w:pPr>
        <w:pStyle w:val="Prrafodelista"/>
        <w:numPr>
          <w:ilvl w:val="0"/>
          <w:numId w:val="0"/>
        </w:numPr>
        <w:ind w:left="360"/>
        <w:rPr>
          <w:rFonts w:ascii="Calibri" w:hAnsi="Calibri" w:cs="Calibri"/>
          <w:sz w:val="20"/>
          <w:szCs w:val="20"/>
          <w:lang w:val="en-US"/>
        </w:rPr>
      </w:pPr>
    </w:p>
    <w:p w14:paraId="69453781" w14:textId="77777777" w:rsidR="00E464C1" w:rsidRPr="00231DEA" w:rsidRDefault="00E464C1" w:rsidP="00E464C1">
      <w:pPr>
        <w:rPr>
          <w:rFonts w:ascii="Calibri" w:hAnsi="Calibri" w:cs="Calibri"/>
          <w:sz w:val="20"/>
          <w:szCs w:val="20"/>
          <w:lang w:val="en-US"/>
        </w:rPr>
      </w:pPr>
      <w:r w:rsidRPr="00231DEA">
        <w:rPr>
          <w:rFonts w:ascii="Calibri" w:hAnsi="Calibri" w:cs="Calibri"/>
          <w:sz w:val="20"/>
          <w:szCs w:val="20"/>
          <w:lang w:val="en-US"/>
        </w:rPr>
        <w:t>Dual-sided reporting is presented as a challenge for entities. However, changing to a single-sided reporting model would imply:</w:t>
      </w:r>
    </w:p>
    <w:p w14:paraId="1F6F444E" w14:textId="77777777" w:rsidR="00E464C1" w:rsidRPr="00231DEA" w:rsidRDefault="00E464C1" w:rsidP="00E464C1">
      <w:pPr>
        <w:rPr>
          <w:rFonts w:ascii="Calibri" w:hAnsi="Calibri" w:cs="Calibri"/>
          <w:sz w:val="20"/>
          <w:szCs w:val="20"/>
          <w:lang w:val="en-US"/>
        </w:rPr>
      </w:pPr>
    </w:p>
    <w:p w14:paraId="0A9C2228" w14:textId="77777777" w:rsidR="00E464C1" w:rsidRPr="006B196C" w:rsidRDefault="00E464C1" w:rsidP="00E464C1">
      <w:pPr>
        <w:pStyle w:val="Prrafodelista"/>
        <w:numPr>
          <w:ilvl w:val="1"/>
          <w:numId w:val="46"/>
        </w:numPr>
        <w:tabs>
          <w:tab w:val="clear" w:pos="0"/>
          <w:tab w:val="clear" w:pos="142"/>
          <w:tab w:val="clear" w:pos="284"/>
          <w:tab w:val="clear" w:pos="567"/>
        </w:tabs>
        <w:autoSpaceDE/>
        <w:autoSpaceDN/>
        <w:adjustRightInd/>
        <w:spacing w:line="240" w:lineRule="auto"/>
        <w:ind w:left="720"/>
        <w:contextualSpacing/>
        <w:rPr>
          <w:rFonts w:ascii="Calibri" w:hAnsi="Calibri" w:cs="Calibri"/>
          <w:sz w:val="20"/>
          <w:szCs w:val="20"/>
          <w:lang w:val="en-US"/>
        </w:rPr>
      </w:pPr>
      <w:r w:rsidRPr="006B196C">
        <w:rPr>
          <w:rFonts w:ascii="Calibri" w:hAnsi="Calibri" w:cs="Calibri"/>
          <w:sz w:val="20"/>
          <w:szCs w:val="20"/>
          <w:lang w:val="en-US"/>
        </w:rPr>
        <w:t>Definition of a waterfall approach for the identification of the entity responsible for the reporting.</w:t>
      </w:r>
    </w:p>
    <w:p w14:paraId="22D70664" w14:textId="77777777" w:rsidR="00E464C1" w:rsidRDefault="00E464C1" w:rsidP="00E464C1">
      <w:pPr>
        <w:pStyle w:val="Prrafodelista"/>
        <w:numPr>
          <w:ilvl w:val="0"/>
          <w:numId w:val="0"/>
        </w:numPr>
        <w:ind w:left="360"/>
        <w:rPr>
          <w:rFonts w:ascii="Calibri" w:hAnsi="Calibri" w:cs="Calibri"/>
          <w:sz w:val="20"/>
          <w:szCs w:val="20"/>
          <w:lang w:val="en-US"/>
        </w:rPr>
      </w:pPr>
    </w:p>
    <w:p w14:paraId="2E1CE419" w14:textId="77777777" w:rsidR="00E464C1" w:rsidRDefault="00E464C1" w:rsidP="00E464C1">
      <w:pPr>
        <w:pStyle w:val="Prrafodelista"/>
        <w:numPr>
          <w:ilvl w:val="1"/>
          <w:numId w:val="46"/>
        </w:numPr>
        <w:tabs>
          <w:tab w:val="clear" w:pos="0"/>
          <w:tab w:val="clear" w:pos="142"/>
          <w:tab w:val="clear" w:pos="284"/>
          <w:tab w:val="clear" w:pos="567"/>
        </w:tabs>
        <w:autoSpaceDE/>
        <w:autoSpaceDN/>
        <w:adjustRightInd/>
        <w:spacing w:line="240" w:lineRule="auto"/>
        <w:ind w:left="720"/>
        <w:contextualSpacing/>
        <w:rPr>
          <w:rFonts w:ascii="Calibri" w:hAnsi="Calibri" w:cs="Calibri"/>
          <w:sz w:val="20"/>
          <w:szCs w:val="20"/>
          <w:lang w:val="en-US"/>
        </w:rPr>
      </w:pPr>
      <w:r>
        <w:rPr>
          <w:rFonts w:ascii="Calibri" w:hAnsi="Calibri" w:cs="Calibri"/>
          <w:sz w:val="20"/>
          <w:szCs w:val="20"/>
          <w:lang w:val="en-US"/>
        </w:rPr>
        <w:t>Adoption of risk mitigation processes to verify the accuracy of the reported data.</w:t>
      </w:r>
    </w:p>
    <w:p w14:paraId="25676EA5" w14:textId="77777777" w:rsidR="00E464C1" w:rsidRPr="00231DEA" w:rsidRDefault="00E464C1" w:rsidP="00E464C1">
      <w:pPr>
        <w:ind w:left="360"/>
        <w:rPr>
          <w:rFonts w:ascii="Calibri" w:hAnsi="Calibri" w:cs="Calibri"/>
          <w:sz w:val="20"/>
          <w:szCs w:val="20"/>
          <w:lang w:val="en-US"/>
        </w:rPr>
      </w:pPr>
    </w:p>
    <w:p w14:paraId="0C0C886F" w14:textId="77777777" w:rsidR="00E464C1" w:rsidRPr="006B196C" w:rsidRDefault="00E464C1" w:rsidP="00E464C1">
      <w:pPr>
        <w:pStyle w:val="Prrafodelista"/>
        <w:numPr>
          <w:ilvl w:val="1"/>
          <w:numId w:val="46"/>
        </w:numPr>
        <w:tabs>
          <w:tab w:val="clear" w:pos="0"/>
          <w:tab w:val="clear" w:pos="142"/>
          <w:tab w:val="clear" w:pos="284"/>
          <w:tab w:val="clear" w:pos="567"/>
        </w:tabs>
        <w:autoSpaceDE/>
        <w:autoSpaceDN/>
        <w:adjustRightInd/>
        <w:spacing w:line="240" w:lineRule="auto"/>
        <w:ind w:left="720"/>
        <w:contextualSpacing/>
        <w:rPr>
          <w:rFonts w:ascii="Calibri" w:hAnsi="Calibri" w:cs="Calibri"/>
          <w:sz w:val="20"/>
          <w:szCs w:val="20"/>
          <w:lang w:val="en-US"/>
        </w:rPr>
      </w:pPr>
      <w:r w:rsidRPr="006B196C">
        <w:rPr>
          <w:rFonts w:ascii="Calibri" w:hAnsi="Calibri" w:cs="Calibri"/>
          <w:sz w:val="20"/>
          <w:szCs w:val="20"/>
          <w:lang w:val="en-US"/>
        </w:rPr>
        <w:t xml:space="preserve">Generation of an artificial difference between EMIR/SFTR and MiFIR, </w:t>
      </w:r>
      <w:r w:rsidRPr="1570B41D">
        <w:rPr>
          <w:rFonts w:ascii="Calibri" w:hAnsi="Calibri" w:cs="Calibri"/>
          <w:sz w:val="20"/>
          <w:szCs w:val="20"/>
          <w:lang w:val="en-US"/>
        </w:rPr>
        <w:t xml:space="preserve">where dual sided reporting is </w:t>
      </w:r>
      <w:r w:rsidRPr="3E3CD877">
        <w:rPr>
          <w:rFonts w:ascii="Calibri" w:hAnsi="Calibri" w:cs="Calibri"/>
          <w:sz w:val="20"/>
          <w:szCs w:val="20"/>
          <w:lang w:val="en-US"/>
        </w:rPr>
        <w:t xml:space="preserve">very much needed to </w:t>
      </w:r>
      <w:r w:rsidRPr="2211B9BC">
        <w:rPr>
          <w:rFonts w:ascii="Calibri" w:hAnsi="Calibri" w:cs="Calibri"/>
          <w:sz w:val="20"/>
          <w:szCs w:val="20"/>
          <w:lang w:val="en-US"/>
        </w:rPr>
        <w:t>perform</w:t>
      </w:r>
      <w:r w:rsidRPr="4A77B1CE">
        <w:rPr>
          <w:rFonts w:ascii="Calibri" w:hAnsi="Calibri" w:cs="Calibri"/>
          <w:sz w:val="20"/>
          <w:szCs w:val="20"/>
          <w:lang w:val="en-US"/>
        </w:rPr>
        <w:t xml:space="preserve"> </w:t>
      </w:r>
      <w:r w:rsidRPr="7D658EBF">
        <w:rPr>
          <w:rFonts w:ascii="Calibri" w:hAnsi="Calibri" w:cs="Calibri"/>
          <w:sz w:val="20"/>
          <w:szCs w:val="20"/>
          <w:lang w:val="en-US"/>
        </w:rPr>
        <w:t>market abuse</w:t>
      </w:r>
      <w:r w:rsidRPr="2211B9BC">
        <w:rPr>
          <w:rFonts w:ascii="Calibri" w:hAnsi="Calibri" w:cs="Calibri"/>
          <w:sz w:val="20"/>
          <w:szCs w:val="20"/>
          <w:lang w:val="en-US"/>
        </w:rPr>
        <w:t xml:space="preserve"> monitoring. </w:t>
      </w:r>
      <w:r w:rsidRPr="4374D379">
        <w:rPr>
          <w:rFonts w:ascii="Calibri" w:hAnsi="Calibri" w:cs="Calibri"/>
          <w:sz w:val="20"/>
          <w:szCs w:val="20"/>
          <w:lang w:val="en-US"/>
        </w:rPr>
        <w:t xml:space="preserve"> </w:t>
      </w:r>
    </w:p>
    <w:p w14:paraId="00A9F0E1" w14:textId="77777777" w:rsidR="00E464C1" w:rsidRPr="00E464C1" w:rsidRDefault="00E464C1" w:rsidP="00E464C1">
      <w:pPr>
        <w:rPr>
          <w:rFonts w:ascii="Calibri" w:hAnsi="Calibri" w:cs="Calibri"/>
          <w:sz w:val="20"/>
          <w:szCs w:val="20"/>
          <w:lang w:val="en-US"/>
        </w:rPr>
      </w:pPr>
    </w:p>
    <w:p w14:paraId="128A88DC" w14:textId="77777777" w:rsidR="00E464C1" w:rsidRPr="00231DEA" w:rsidRDefault="00E464C1" w:rsidP="00E464C1">
      <w:pPr>
        <w:pStyle w:val="Prrafodelista"/>
        <w:numPr>
          <w:ilvl w:val="0"/>
          <w:numId w:val="45"/>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lang w:val="en-US"/>
        </w:rPr>
      </w:pPr>
      <w:r w:rsidRPr="00272113">
        <w:rPr>
          <w:rFonts w:ascii="Calibri" w:hAnsi="Calibri" w:cs="Calibri"/>
          <w:b/>
          <w:sz w:val="20"/>
          <w:szCs w:val="20"/>
          <w:lang w:val="en-US"/>
        </w:rPr>
        <w:t>Involvement of unregulated third-party vendors</w:t>
      </w:r>
      <w:r w:rsidRPr="00231DEA">
        <w:rPr>
          <w:rFonts w:ascii="Calibri" w:hAnsi="Calibri" w:cs="Calibri"/>
          <w:b/>
          <w:sz w:val="20"/>
          <w:szCs w:val="20"/>
          <w:lang w:val="en-US"/>
        </w:rPr>
        <w:t xml:space="preserve">: </w:t>
      </w:r>
    </w:p>
    <w:p w14:paraId="67B11E56" w14:textId="77777777" w:rsidR="00E464C1" w:rsidRDefault="00E464C1" w:rsidP="00E464C1">
      <w:pPr>
        <w:rPr>
          <w:rFonts w:ascii="Calibri" w:hAnsi="Calibri" w:cs="Calibri"/>
          <w:sz w:val="20"/>
          <w:szCs w:val="20"/>
          <w:lang w:val="en-US"/>
        </w:rPr>
      </w:pPr>
    </w:p>
    <w:p w14:paraId="10E5BA5A" w14:textId="77777777" w:rsidR="00E464C1" w:rsidRPr="00231DEA" w:rsidRDefault="00E464C1" w:rsidP="00E464C1">
      <w:pPr>
        <w:rPr>
          <w:rFonts w:ascii="Calibri" w:hAnsi="Calibri" w:cs="Calibri"/>
          <w:sz w:val="20"/>
          <w:szCs w:val="20"/>
          <w:lang w:val="en-US"/>
        </w:rPr>
      </w:pPr>
      <w:r w:rsidRPr="00231DEA">
        <w:rPr>
          <w:rFonts w:ascii="Calibri" w:hAnsi="Calibri" w:cs="Calibri"/>
          <w:sz w:val="20"/>
          <w:szCs w:val="20"/>
          <w:lang w:val="en-US"/>
        </w:rPr>
        <w:t xml:space="preserve">At the time being there are major unregulated entities such as third-party vendors, not necessarily based in the EU, that play a critical role </w:t>
      </w:r>
      <w:r w:rsidRPr="577CA49C">
        <w:rPr>
          <w:rFonts w:ascii="Calibri" w:hAnsi="Calibri" w:cs="Calibri"/>
          <w:sz w:val="20"/>
          <w:szCs w:val="20"/>
          <w:lang w:val="en-US"/>
        </w:rPr>
        <w:t>i</w:t>
      </w:r>
      <w:r w:rsidRPr="00231DEA">
        <w:rPr>
          <w:rFonts w:ascii="Calibri" w:hAnsi="Calibri" w:cs="Calibri"/>
          <w:sz w:val="20"/>
          <w:szCs w:val="20"/>
          <w:lang w:val="en-US"/>
        </w:rPr>
        <w:t xml:space="preserve">n the reporting process. Implementing option 2a, with the reporting being done via </w:t>
      </w:r>
      <w:r>
        <w:rPr>
          <w:rFonts w:ascii="Calibri" w:hAnsi="Calibri" w:cs="Calibri"/>
          <w:sz w:val="20"/>
          <w:szCs w:val="20"/>
          <w:lang w:val="en-US"/>
        </w:rPr>
        <w:t>regulated reporting infrastructures</w:t>
      </w:r>
      <w:r w:rsidRPr="00231DEA">
        <w:rPr>
          <w:rFonts w:ascii="Calibri" w:hAnsi="Calibri" w:cs="Calibri"/>
          <w:sz w:val="20"/>
          <w:szCs w:val="20"/>
          <w:lang w:val="en-US"/>
        </w:rPr>
        <w:t xml:space="preserve"> (such as TRs) that are supervised by ESMA, would mitigate such risk.</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2B205CA4" w14:textId="77777777" w:rsidR="00E464C1" w:rsidRPr="006B196C" w:rsidRDefault="00E464C1" w:rsidP="00E464C1">
      <w:pPr>
        <w:spacing w:before="240"/>
        <w:jc w:val="both"/>
        <w:rPr>
          <w:rFonts w:ascii="Calibri" w:hAnsi="Calibri" w:cs="Calibri"/>
          <w:sz w:val="20"/>
          <w:szCs w:val="20"/>
        </w:rPr>
      </w:pPr>
      <w:permStart w:id="16780711" w:edGrp="everyone"/>
      <w:r w:rsidRPr="006B196C">
        <w:rPr>
          <w:rFonts w:ascii="Calibri" w:hAnsi="Calibri" w:cs="Calibri"/>
          <w:sz w:val="20"/>
          <w:szCs w:val="20"/>
        </w:rPr>
        <w:t>The alignment of the different reporting requirements would allow to achieve effective reporting consistency and reporting entities effort reduction.</w:t>
      </w:r>
    </w:p>
    <w:p w14:paraId="138ECA36"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SIX Group favours an ambitious integration of the reporting requirements across the different frameworks currently in place as the means to achieve effective simplification and cost reductions for supervisory authorities, obliged firms and reporting infrastructure providers.  </w:t>
      </w:r>
    </w:p>
    <w:p w14:paraId="67F029CB" w14:textId="77777777" w:rsidR="00E464C1"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In this regard, a report once expanded builds upon the simplification benefits that option 2a puts forward and extend it into additional reporting requirements derived from reporting frameworks to which many of the obliged entities under MiFIR, EMIR or SFTR are also subject.   </w:t>
      </w:r>
    </w:p>
    <w:p w14:paraId="03804916" w14:textId="77777777" w:rsidR="00E464C1" w:rsidRPr="006B196C" w:rsidRDefault="00E464C1" w:rsidP="00E464C1">
      <w:pPr>
        <w:spacing w:before="240"/>
        <w:jc w:val="both"/>
        <w:rPr>
          <w:rFonts w:ascii="Calibri" w:hAnsi="Calibri" w:cs="Calibri"/>
          <w:sz w:val="20"/>
          <w:szCs w:val="20"/>
        </w:rPr>
      </w:pPr>
      <w:r w:rsidRPr="00B35A8F">
        <w:rPr>
          <w:rFonts w:ascii="Calibri" w:hAnsi="Calibri" w:cs="Calibri"/>
          <w:sz w:val="20"/>
          <w:szCs w:val="20"/>
        </w:rPr>
        <w:lastRenderedPageBreak/>
        <w:t>While</w:t>
      </w:r>
      <w:r w:rsidRPr="00F81856">
        <w:rPr>
          <w:rFonts w:ascii="Calibri" w:hAnsi="Calibri" w:cs="Calibri"/>
          <w:sz w:val="20"/>
          <w:szCs w:val="20"/>
        </w:rPr>
        <w:t xml:space="preserve"> the </w:t>
      </w:r>
      <w:r w:rsidRPr="00B35A8F">
        <w:rPr>
          <w:rFonts w:ascii="Calibri" w:hAnsi="Calibri" w:cs="Calibri"/>
          <w:sz w:val="20"/>
          <w:szCs w:val="20"/>
        </w:rPr>
        <w:t>inclusion</w:t>
      </w:r>
      <w:r w:rsidRPr="00F81856">
        <w:rPr>
          <w:rFonts w:ascii="Calibri" w:hAnsi="Calibri" w:cs="Calibri"/>
          <w:sz w:val="20"/>
          <w:szCs w:val="20"/>
        </w:rPr>
        <w:t xml:space="preserve"> of further regimes into the report-once model </w:t>
      </w:r>
      <w:r w:rsidRPr="00B35A8F">
        <w:rPr>
          <w:rFonts w:ascii="Calibri" w:hAnsi="Calibri" w:cs="Calibri"/>
          <w:sz w:val="20"/>
          <w:szCs w:val="20"/>
        </w:rPr>
        <w:t xml:space="preserve">offers long-term potential, we believe this </w:t>
      </w:r>
      <w:r w:rsidRPr="00F81856">
        <w:rPr>
          <w:rFonts w:ascii="Calibri" w:hAnsi="Calibri" w:cs="Calibri"/>
          <w:sz w:val="20"/>
          <w:szCs w:val="20"/>
        </w:rPr>
        <w:t xml:space="preserve">should be analysed </w:t>
      </w:r>
      <w:r w:rsidRPr="00B35A8F">
        <w:rPr>
          <w:rFonts w:ascii="Calibri" w:hAnsi="Calibri" w:cs="Calibri"/>
          <w:sz w:val="20"/>
          <w:szCs w:val="20"/>
        </w:rPr>
        <w:t>at</w:t>
      </w:r>
      <w:r w:rsidRPr="00F81856">
        <w:rPr>
          <w:rFonts w:ascii="Calibri" w:hAnsi="Calibri" w:cs="Calibri"/>
          <w:sz w:val="20"/>
          <w:szCs w:val="20"/>
        </w:rPr>
        <w:t xml:space="preserve"> a later stage</w:t>
      </w:r>
      <w:r w:rsidRPr="00B35A8F">
        <w:rPr>
          <w:rFonts w:ascii="Calibri" w:hAnsi="Calibri" w:cs="Calibri"/>
          <w:sz w:val="20"/>
          <w:szCs w:val="20"/>
        </w:rPr>
        <w:t>. Introducing additional frameworks from the outset</w:t>
      </w:r>
      <w:r w:rsidRPr="00F81856">
        <w:rPr>
          <w:rFonts w:ascii="Calibri" w:hAnsi="Calibri" w:cs="Calibri"/>
          <w:sz w:val="20"/>
          <w:szCs w:val="20"/>
        </w:rPr>
        <w:t xml:space="preserve"> might overcomplicate the initial implementation</w:t>
      </w:r>
      <w:r w:rsidRPr="00B35A8F">
        <w:rPr>
          <w:rFonts w:ascii="Calibri" w:hAnsi="Calibri" w:cs="Calibri"/>
          <w:sz w:val="20"/>
          <w:szCs w:val="20"/>
        </w:rPr>
        <w:t>.</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026C7038" w14:textId="77777777" w:rsidR="00E464C1" w:rsidRPr="006B196C" w:rsidRDefault="00E464C1" w:rsidP="00E464C1">
      <w:pPr>
        <w:jc w:val="both"/>
        <w:rPr>
          <w:rFonts w:ascii="Calibri" w:hAnsi="Calibri" w:cs="Calibri"/>
          <w:sz w:val="20"/>
          <w:szCs w:val="20"/>
          <w:lang w:val="en-US"/>
        </w:rPr>
      </w:pPr>
      <w:permStart w:id="1489376342" w:edGrp="everyone"/>
      <w:r>
        <w:rPr>
          <w:rFonts w:ascii="Calibri" w:hAnsi="Calibri" w:cs="Calibri"/>
          <w:sz w:val="20"/>
          <w:szCs w:val="20"/>
          <w:lang w:val="en-US"/>
        </w:rPr>
        <w:t>As mentioned in response to Q12, t</w:t>
      </w:r>
      <w:r w:rsidRPr="006B196C">
        <w:rPr>
          <w:rFonts w:ascii="Calibri" w:hAnsi="Calibri" w:cs="Calibri"/>
          <w:sz w:val="20"/>
          <w:szCs w:val="20"/>
          <w:lang w:val="en-US"/>
        </w:rPr>
        <w:t>rying to fit all use cases from multiple regulations into the same reporting template may create such reporting unnecessarily complex or costly to implement in a first instance.</w:t>
      </w:r>
      <w:r>
        <w:rPr>
          <w:rFonts w:ascii="Calibri" w:hAnsi="Calibri" w:cs="Calibri"/>
          <w:sz w:val="20"/>
          <w:szCs w:val="20"/>
          <w:lang w:val="en-US"/>
        </w:rPr>
        <w:t xml:space="preserve"> </w:t>
      </w:r>
      <w:r>
        <w:rPr>
          <w:rFonts w:ascii="Calibri" w:hAnsi="Calibri" w:cs="Calibri"/>
          <w:sz w:val="20"/>
          <w:szCs w:val="20"/>
        </w:rPr>
        <w:t>Please refer also to</w:t>
      </w:r>
      <w:r w:rsidRPr="006B196C">
        <w:rPr>
          <w:rFonts w:ascii="Calibri" w:hAnsi="Calibri" w:cs="Calibri"/>
          <w:sz w:val="20"/>
          <w:szCs w:val="20"/>
        </w:rPr>
        <w:t xml:space="preserve"> response to Q10</w:t>
      </w:r>
      <w:r>
        <w:rPr>
          <w:rFonts w:ascii="Calibri" w:hAnsi="Calibri" w:cs="Calibri"/>
          <w:sz w:val="20"/>
          <w:szCs w:val="20"/>
        </w:rPr>
        <w:t xml:space="preserve"> for further details</w:t>
      </w:r>
      <w:r w:rsidRPr="006B196C">
        <w:rPr>
          <w:rFonts w:ascii="Calibri" w:hAnsi="Calibri" w:cs="Calibri"/>
          <w:sz w:val="20"/>
          <w:szCs w:val="20"/>
        </w:rPr>
        <w:t>.</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101BBC81" w14:textId="77777777" w:rsidR="00E464C1" w:rsidRPr="006B196C" w:rsidRDefault="00E464C1" w:rsidP="00E464C1">
      <w:pPr>
        <w:jc w:val="both"/>
        <w:rPr>
          <w:rFonts w:ascii="Calibri" w:hAnsi="Calibri" w:cs="Calibri"/>
          <w:sz w:val="20"/>
          <w:szCs w:val="20"/>
        </w:rPr>
      </w:pPr>
      <w:permStart w:id="1849847968" w:edGrp="everyone"/>
      <w:r w:rsidRPr="006B196C">
        <w:rPr>
          <w:rFonts w:ascii="Calibri" w:hAnsi="Calibri" w:cs="Calibri"/>
          <w:sz w:val="20"/>
          <w:szCs w:val="20"/>
        </w:rPr>
        <w:t>Whereas the implementation of the single template might be too complex at a first stage, there are other simplification aspects that could be achieved in the meantime for other regulations. For example, even if maintaining the existing reports, reporting to the ‘common’ infrastructures, i.e., TRs not only EMIR, SFTR and MiFIR but also other regulations such as REMIT may:</w:t>
      </w:r>
    </w:p>
    <w:p w14:paraId="131B589D" w14:textId="77777777" w:rsidR="00E464C1" w:rsidRPr="006B196C" w:rsidRDefault="00E464C1" w:rsidP="00E464C1">
      <w:pPr>
        <w:jc w:val="both"/>
        <w:rPr>
          <w:rFonts w:ascii="Calibri" w:hAnsi="Calibri" w:cs="Calibri"/>
          <w:sz w:val="20"/>
          <w:szCs w:val="20"/>
        </w:rPr>
      </w:pPr>
    </w:p>
    <w:p w14:paraId="1B2337E9"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Reduce costs by reusing the same reporting channels for all services</w:t>
      </w:r>
      <w:r>
        <w:rPr>
          <w:rFonts w:ascii="Calibri" w:hAnsi="Calibri" w:cs="Calibri"/>
          <w:sz w:val="20"/>
          <w:szCs w:val="20"/>
        </w:rPr>
        <w:t>.</w:t>
      </w:r>
    </w:p>
    <w:p w14:paraId="312493F4" w14:textId="77777777" w:rsidR="00E464C1" w:rsidRPr="006B196C" w:rsidRDefault="00E464C1" w:rsidP="00E464C1">
      <w:pPr>
        <w:pStyle w:val="Prrafodelista"/>
        <w:numPr>
          <w:ilvl w:val="0"/>
          <w:numId w:val="0"/>
        </w:numPr>
        <w:ind w:left="1068"/>
        <w:rPr>
          <w:rFonts w:ascii="Calibri" w:hAnsi="Calibri" w:cs="Calibri"/>
          <w:sz w:val="20"/>
          <w:szCs w:val="20"/>
        </w:rPr>
      </w:pPr>
    </w:p>
    <w:p w14:paraId="634CB4DB"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Reduce the duplication on IT systems</w:t>
      </w:r>
      <w:r>
        <w:rPr>
          <w:rFonts w:ascii="Calibri" w:hAnsi="Calibri" w:cs="Calibri"/>
          <w:sz w:val="20"/>
          <w:szCs w:val="20"/>
        </w:rPr>
        <w:t>.</w:t>
      </w:r>
    </w:p>
    <w:p w14:paraId="10C31EC3" w14:textId="77777777" w:rsidR="00E464C1" w:rsidRPr="00A60B20" w:rsidRDefault="00E464C1" w:rsidP="00E464C1">
      <w:pPr>
        <w:rPr>
          <w:rFonts w:ascii="Calibri" w:hAnsi="Calibri" w:cs="Calibri"/>
          <w:sz w:val="20"/>
          <w:szCs w:val="20"/>
          <w:lang w:val="en-US"/>
        </w:rPr>
      </w:pPr>
    </w:p>
    <w:p w14:paraId="287FD337"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006B196C">
        <w:rPr>
          <w:rFonts w:ascii="Calibri" w:hAnsi="Calibri" w:cs="Calibri"/>
          <w:sz w:val="20"/>
          <w:szCs w:val="20"/>
        </w:rPr>
        <w:t>Reduce the administrative costs of engaging with different infrastructures for the compliance with different regulatory requirements</w:t>
      </w:r>
      <w:r>
        <w:rPr>
          <w:rFonts w:ascii="Calibri" w:hAnsi="Calibri" w:cs="Calibri"/>
          <w:sz w:val="20"/>
          <w:szCs w:val="20"/>
        </w:rPr>
        <w:t>.</w:t>
      </w:r>
    </w:p>
    <w:p w14:paraId="4AD6BD8C" w14:textId="77777777" w:rsidR="00E464C1" w:rsidRPr="006B196C" w:rsidRDefault="00E464C1" w:rsidP="00E464C1">
      <w:pPr>
        <w:spacing w:before="240"/>
        <w:jc w:val="both"/>
        <w:rPr>
          <w:rFonts w:ascii="Calibri" w:hAnsi="Calibri" w:cs="Calibri"/>
          <w:sz w:val="20"/>
          <w:szCs w:val="20"/>
        </w:rPr>
      </w:pPr>
      <w:r>
        <w:rPr>
          <w:rFonts w:ascii="Calibri" w:hAnsi="Calibri" w:cs="Calibri"/>
          <w:sz w:val="20"/>
          <w:szCs w:val="20"/>
        </w:rPr>
        <w:t>Please refer to</w:t>
      </w:r>
      <w:r w:rsidRPr="006B196C">
        <w:rPr>
          <w:rFonts w:ascii="Calibri" w:hAnsi="Calibri" w:cs="Calibri"/>
          <w:sz w:val="20"/>
          <w:szCs w:val="20"/>
        </w:rPr>
        <w:t xml:space="preserve"> response to Q1</w:t>
      </w:r>
      <w:r>
        <w:rPr>
          <w:rFonts w:ascii="Calibri" w:hAnsi="Calibri" w:cs="Calibri"/>
          <w:sz w:val="20"/>
          <w:szCs w:val="20"/>
        </w:rPr>
        <w:t>1 for further details</w:t>
      </w:r>
      <w:r w:rsidRPr="006B196C">
        <w:rPr>
          <w:rFonts w:ascii="Calibri" w:hAnsi="Calibri" w:cs="Calibri"/>
          <w:sz w:val="20"/>
          <w:szCs w:val="20"/>
        </w:rPr>
        <w:t>.</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0522BCE0" w14:textId="77777777" w:rsidR="00E464C1" w:rsidRPr="006B196C" w:rsidRDefault="00E464C1" w:rsidP="00E464C1">
      <w:pPr>
        <w:spacing w:before="240"/>
        <w:jc w:val="both"/>
        <w:rPr>
          <w:rFonts w:ascii="Calibri" w:hAnsi="Calibri" w:cs="Calibri"/>
          <w:sz w:val="20"/>
          <w:szCs w:val="20"/>
        </w:rPr>
      </w:pPr>
      <w:permStart w:id="695482675" w:edGrp="everyone"/>
      <w:r w:rsidRPr="006B196C">
        <w:rPr>
          <w:rFonts w:ascii="Calibri" w:hAnsi="Calibri" w:cs="Calibri"/>
          <w:sz w:val="20"/>
          <w:szCs w:val="20"/>
        </w:rPr>
        <w:t xml:space="preserve">Any of the sub-options of Option 2 aims to achieve a highly integrated reporting framework. While it might be more complex to implement due to interdependencies between layers of requirements, obliged entities, providers and supervisors, the report once approach looks like a desired point of arrival when thinking in terms of a user friendly and easy to use and comply framework. </w:t>
      </w:r>
    </w:p>
    <w:p w14:paraId="20B4A010"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The report once approach could allow central databases to be fed with and to store comprehensive data in a consolidated non-fragmented manner, increasing the value of the data collected, b</w:t>
      </w:r>
      <w:r>
        <w:rPr>
          <w:rFonts w:ascii="Calibri" w:hAnsi="Calibri" w:cs="Calibri"/>
          <w:sz w:val="20"/>
          <w:szCs w:val="20"/>
        </w:rPr>
        <w:t>y</w:t>
      </w:r>
      <w:r w:rsidRPr="006B196C">
        <w:rPr>
          <w:rFonts w:ascii="Calibri" w:hAnsi="Calibri" w:cs="Calibri"/>
          <w:sz w:val="20"/>
          <w:szCs w:val="20"/>
        </w:rPr>
        <w:t xml:space="preserve"> means of minimizing inefficiencies derived from duplications and incomplete data collection. </w:t>
      </w:r>
    </w:p>
    <w:p w14:paraId="4C6D529D" w14:textId="77777777" w:rsidR="00E464C1"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Based on these reasons, SIX Group favours Option 2. Ideally, more ambitious Option 2b would allow for a wider integration and comprehensiveness of the new regulatory reporting framework in financial markets. This </w:t>
      </w:r>
      <w:r w:rsidRPr="006B196C">
        <w:rPr>
          <w:rFonts w:ascii="Calibri" w:hAnsi="Calibri" w:cs="Calibri"/>
          <w:sz w:val="20"/>
          <w:szCs w:val="20"/>
        </w:rPr>
        <w:lastRenderedPageBreak/>
        <w:t xml:space="preserve">additional simplification would also imply reduction of the regulatory burden and compliance cost for obliged entities. Option 2a might deliver quicker results due to the limited scope (i.e., MiFIR, EMIR and SFTR) and could be designed as a first step towards full coverage that Option 2b provides. </w:t>
      </w:r>
    </w:p>
    <w:p w14:paraId="190731D8"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Reporting infrastructures would need to go through changes to their services offerings and technical platforms to cope with a wider and more ambitious scope of reporting under Option 2. SIX Group’s </w:t>
      </w:r>
      <w:r>
        <w:rPr>
          <w:rFonts w:ascii="Calibri" w:hAnsi="Calibri" w:cs="Calibri"/>
          <w:sz w:val="20"/>
          <w:szCs w:val="20"/>
        </w:rPr>
        <w:t>regulated</w:t>
      </w:r>
      <w:r w:rsidRPr="006B196C">
        <w:rPr>
          <w:rFonts w:ascii="Calibri" w:hAnsi="Calibri" w:cs="Calibri"/>
          <w:sz w:val="20"/>
          <w:szCs w:val="20"/>
        </w:rPr>
        <w:t xml:space="preserve"> reporting infrastructures can play an essential role in ensuring an effective delivery of the desired outcomes for supervisory authorities and obliged entities under the new framework. </w:t>
      </w:r>
    </w:p>
    <w:p w14:paraId="440FF905" w14:textId="77777777" w:rsidR="00E464C1" w:rsidRPr="006B196C" w:rsidRDefault="00E464C1" w:rsidP="00E464C1">
      <w:pPr>
        <w:spacing w:before="240"/>
        <w:jc w:val="both"/>
        <w:rPr>
          <w:rFonts w:ascii="Calibri" w:hAnsi="Calibri" w:cs="Calibri"/>
          <w:sz w:val="20"/>
          <w:szCs w:val="20"/>
        </w:rPr>
      </w:pPr>
      <w:r w:rsidRPr="00F3431D">
        <w:rPr>
          <w:rFonts w:ascii="Calibri" w:hAnsi="Calibri" w:cs="Calibri"/>
          <w:sz w:val="20"/>
          <w:szCs w:val="20"/>
        </w:rPr>
        <w:t xml:space="preserve">Therefore, a ‘report-once’ option should be prioritised as it brings cost reduction while preserving the scope of data supervised under EMIR and MiFIR (and ultimately, SFTR). </w:t>
      </w:r>
      <w:r w:rsidRPr="00536732">
        <w:rPr>
          <w:rFonts w:ascii="Calibri" w:hAnsi="Calibri" w:cs="Calibri"/>
          <w:sz w:val="20"/>
          <w:szCs w:val="20"/>
        </w:rPr>
        <w:t>However, this option could be implemented in a phased in approach as described in response to Q5 to further expand its benefits and simplify its implementation for firms.</w:t>
      </w:r>
    </w:p>
    <w:p w14:paraId="33D10E95"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As such we remain fully committed to contribute to the integrity and robustness of the EU financial market through streamlined and permanently up-to-date regulatory reporting offering. </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39B17F38" w14:textId="77777777" w:rsidR="00E464C1" w:rsidRPr="006B196C" w:rsidRDefault="00E464C1" w:rsidP="00E464C1">
      <w:pPr>
        <w:spacing w:before="240"/>
        <w:jc w:val="both"/>
        <w:rPr>
          <w:rFonts w:ascii="Calibri" w:hAnsi="Calibri" w:cs="Calibri"/>
          <w:sz w:val="20"/>
          <w:szCs w:val="20"/>
        </w:rPr>
      </w:pPr>
      <w:permStart w:id="1784418006" w:edGrp="everyone"/>
      <w:r w:rsidRPr="006B196C">
        <w:rPr>
          <w:rFonts w:ascii="Calibri" w:hAnsi="Calibri" w:cs="Calibri"/>
          <w:sz w:val="20"/>
          <w:szCs w:val="20"/>
        </w:rPr>
        <w:t>Although a phased approach might imply a lengthier process, moving from Option 1a into Option 2a first and then Option 2b under a predefined scheme of milestones might prove a softer approach. Progressive implementation of Option 2 could allow for a continuous assessment of progress and iterative adjustments and for minimization of operational disruption for any stakeholder involved through early identification of potential issues.</w:t>
      </w:r>
    </w:p>
    <w:p w14:paraId="696A4B14"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Any alternative option should be duly assessed considering the burden reduction and simplification focus underlined by the European Commission and on the ability to reduce cost of compliance for obliged entities.   </w:t>
      </w:r>
    </w:p>
    <w:p w14:paraId="2DCF1FE6" w14:textId="77777777" w:rsidR="00E464C1" w:rsidRDefault="00E464C1" w:rsidP="00E464C1">
      <w:pPr>
        <w:spacing w:before="240"/>
        <w:jc w:val="both"/>
        <w:rPr>
          <w:rFonts w:ascii="Calibri" w:hAnsi="Calibri" w:cs="Calibri"/>
          <w:sz w:val="20"/>
          <w:szCs w:val="20"/>
        </w:rPr>
      </w:pPr>
      <w:r w:rsidRPr="006B196C">
        <w:rPr>
          <w:rFonts w:ascii="Calibri" w:hAnsi="Calibri" w:cs="Calibri"/>
          <w:sz w:val="20"/>
          <w:szCs w:val="20"/>
        </w:rPr>
        <w:t>Hence, provided the impact that such a change into the existing reporting framework might imply, exhaustive impact and cost assessments are needed to ensure the new approach to regulatory reporting requirements in the EU financial markets is useful, comprehensive, cost-efficient and future proof.</w:t>
      </w:r>
    </w:p>
    <w:p w14:paraId="7E078807" w14:textId="77777777" w:rsidR="00E464C1" w:rsidRPr="006B196C" w:rsidRDefault="00E464C1" w:rsidP="00E464C1">
      <w:pPr>
        <w:spacing w:before="240"/>
        <w:jc w:val="both"/>
        <w:rPr>
          <w:rFonts w:ascii="Calibri" w:hAnsi="Calibri" w:cs="Calibri"/>
          <w:sz w:val="20"/>
          <w:szCs w:val="20"/>
        </w:rPr>
      </w:pPr>
      <w:r>
        <w:rPr>
          <w:rFonts w:ascii="Calibri" w:hAnsi="Calibri" w:cs="Calibri"/>
          <w:sz w:val="20"/>
          <w:szCs w:val="20"/>
        </w:rPr>
        <w:t>Please refer to response to Q17 for further details.</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C4323D5" w14:textId="77777777" w:rsidR="00E464C1" w:rsidRPr="006B196C" w:rsidRDefault="00E464C1" w:rsidP="00E464C1">
      <w:pPr>
        <w:spacing w:before="240"/>
        <w:jc w:val="both"/>
        <w:rPr>
          <w:rFonts w:ascii="Calibri" w:hAnsi="Calibri" w:cs="Calibri"/>
          <w:sz w:val="20"/>
          <w:szCs w:val="20"/>
        </w:rPr>
      </w:pPr>
      <w:permStart w:id="1438851636" w:edGrp="everyone"/>
      <w:r w:rsidRPr="006B196C">
        <w:rPr>
          <w:rFonts w:ascii="Calibri" w:hAnsi="Calibri" w:cs="Calibri"/>
          <w:sz w:val="20"/>
          <w:szCs w:val="20"/>
        </w:rPr>
        <w:t xml:space="preserve">Not necessarily. This question might be properly addressed under specific reporting framework reviewed scenarios. We would favour to focus initially on the target reporting framework to be adopted by the EU with a </w:t>
      </w:r>
      <w:r w:rsidRPr="006B196C">
        <w:rPr>
          <w:rFonts w:ascii="Calibri" w:hAnsi="Calibri" w:cs="Calibri"/>
          <w:sz w:val="20"/>
          <w:szCs w:val="20"/>
        </w:rPr>
        <w:lastRenderedPageBreak/>
        <w:t xml:space="preserve">view to ensure its competitiveness in the global financial </w:t>
      </w:r>
      <w:r w:rsidRPr="4396CCE2">
        <w:rPr>
          <w:rFonts w:ascii="Calibri" w:hAnsi="Calibri" w:cs="Calibri"/>
          <w:sz w:val="20"/>
          <w:szCs w:val="20"/>
        </w:rPr>
        <w:t>markets'</w:t>
      </w:r>
      <w:r w:rsidRPr="006B196C">
        <w:rPr>
          <w:rFonts w:ascii="Calibri" w:hAnsi="Calibri" w:cs="Calibri"/>
          <w:sz w:val="20"/>
          <w:szCs w:val="20"/>
        </w:rPr>
        <w:t xml:space="preserve"> context. Once the target framework is devised and agreed upon, a proper analysis on the reporting changes could be undertaken. </w:t>
      </w:r>
    </w:p>
    <w:p w14:paraId="66C2A1FB"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We would suggest not to prejudge or condition on the reshape of the reporting framework based on the reporting channels that might be most adequate in each case.   </w:t>
      </w:r>
    </w:p>
    <w:p w14:paraId="53CD00E9" w14:textId="77777777" w:rsidR="00E464C1" w:rsidRDefault="00E464C1" w:rsidP="00E464C1">
      <w:pPr>
        <w:spacing w:before="240"/>
        <w:jc w:val="both"/>
        <w:rPr>
          <w:rFonts w:ascii="Calibri" w:hAnsi="Calibri" w:cs="Calibri"/>
          <w:sz w:val="20"/>
          <w:szCs w:val="20"/>
        </w:rPr>
      </w:pPr>
      <w:r w:rsidRPr="006B196C">
        <w:rPr>
          <w:rFonts w:ascii="Calibri" w:hAnsi="Calibri" w:cs="Calibri"/>
          <w:sz w:val="20"/>
          <w:szCs w:val="20"/>
        </w:rPr>
        <w:t>In any case, a deep impact and cost analysis would be needed to design a regulatory reporting regime that contributes to improve EU financial markets transparency, integrity and robustness through a business-friendly approach that delivers a useful, comprehensive, cost-efficient and future proof reporting framework.</w:t>
      </w:r>
    </w:p>
    <w:p w14:paraId="7AA8C59B" w14:textId="77777777" w:rsidR="00E464C1" w:rsidRDefault="00E464C1" w:rsidP="00E464C1">
      <w:pPr>
        <w:jc w:val="both"/>
        <w:rPr>
          <w:rFonts w:ascii="Calibri" w:hAnsi="Calibri" w:cs="Calibri"/>
          <w:sz w:val="20"/>
          <w:szCs w:val="20"/>
          <w:lang w:val="en-US"/>
        </w:rPr>
      </w:pPr>
    </w:p>
    <w:p w14:paraId="37B1B8C8" w14:textId="77777777" w:rsidR="00E464C1" w:rsidRPr="006B196C" w:rsidRDefault="00E464C1" w:rsidP="00E464C1">
      <w:pPr>
        <w:jc w:val="both"/>
        <w:rPr>
          <w:rFonts w:ascii="Calibri" w:hAnsi="Calibri" w:cs="Calibri"/>
          <w:sz w:val="20"/>
          <w:szCs w:val="20"/>
          <w:lang w:val="en-US"/>
        </w:rPr>
      </w:pPr>
      <w:r w:rsidRPr="006B196C">
        <w:rPr>
          <w:rFonts w:ascii="Calibri" w:hAnsi="Calibri" w:cs="Calibri"/>
          <w:sz w:val="20"/>
          <w:szCs w:val="20"/>
          <w:lang w:val="en-US"/>
        </w:rPr>
        <w:t xml:space="preserve">A workable solution to smoothen the transition to a ‘report-once’ model, allowing flexibility to entities to adapt at their best convenience (during a transition period, or even permanently), and ensuring that data flows go through </w:t>
      </w:r>
      <w:r w:rsidRPr="00326C3B">
        <w:rPr>
          <w:rFonts w:ascii="Calibri" w:hAnsi="Calibri" w:cs="Calibri"/>
          <w:sz w:val="20"/>
          <w:szCs w:val="20"/>
        </w:rPr>
        <w:t>authorised</w:t>
      </w:r>
      <w:r w:rsidRPr="006B196C">
        <w:rPr>
          <w:rFonts w:ascii="Calibri" w:hAnsi="Calibri" w:cs="Calibri"/>
          <w:sz w:val="20"/>
          <w:szCs w:val="20"/>
          <w:lang w:val="en-US"/>
        </w:rPr>
        <w:t xml:space="preserve"> entities supervised by ESMA would be:</w:t>
      </w:r>
    </w:p>
    <w:p w14:paraId="380A92AB" w14:textId="77777777" w:rsidR="00E464C1" w:rsidRPr="006B196C" w:rsidRDefault="00E464C1" w:rsidP="00E464C1">
      <w:pPr>
        <w:jc w:val="both"/>
        <w:rPr>
          <w:rFonts w:ascii="Calibri" w:hAnsi="Calibri" w:cs="Calibri"/>
          <w:sz w:val="20"/>
          <w:szCs w:val="20"/>
          <w:lang w:val="en-US"/>
        </w:rPr>
      </w:pPr>
    </w:p>
    <w:p w14:paraId="08A984F0"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All transactions (EMIR, MiFIR and SFTR) are reported to </w:t>
      </w:r>
      <w:r w:rsidRPr="00B03B01">
        <w:rPr>
          <w:rFonts w:ascii="Calibri" w:hAnsi="Calibri" w:cs="Calibri"/>
          <w:sz w:val="20"/>
          <w:szCs w:val="20"/>
        </w:rPr>
        <w:t>regulated reporting infrastructures</w:t>
      </w:r>
      <w:r w:rsidRPr="006B196C">
        <w:rPr>
          <w:rFonts w:ascii="Calibri" w:hAnsi="Calibri" w:cs="Calibri"/>
          <w:sz w:val="20"/>
          <w:szCs w:val="20"/>
          <w:lang w:val="en-US"/>
        </w:rPr>
        <w:t xml:space="preserve">. </w:t>
      </w:r>
    </w:p>
    <w:p w14:paraId="6A5DA45B"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2577279A"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Entities can report to the regulated repositories the transactions that are reportable under EMIR and MiFIR, either using the current EMIR/MiFIR templates or using the ‘common template’. </w:t>
      </w:r>
    </w:p>
    <w:p w14:paraId="6737120A" w14:textId="77777777" w:rsidR="00E464C1" w:rsidRPr="006B196C" w:rsidRDefault="00E464C1" w:rsidP="00E464C1">
      <w:pPr>
        <w:pStyle w:val="Prrafodelista"/>
        <w:numPr>
          <w:ilvl w:val="0"/>
          <w:numId w:val="0"/>
        </w:numPr>
        <w:ind w:left="1068"/>
        <w:rPr>
          <w:rFonts w:ascii="Calibri" w:hAnsi="Calibri" w:cs="Calibri"/>
          <w:sz w:val="20"/>
          <w:szCs w:val="20"/>
          <w:lang w:val="en-US"/>
        </w:rPr>
      </w:pPr>
    </w:p>
    <w:p w14:paraId="46BBF455"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Regulated</w:t>
      </w:r>
      <w:r w:rsidRPr="006B196C" w:rsidDel="00D047F0">
        <w:rPr>
          <w:rFonts w:ascii="Calibri" w:hAnsi="Calibri" w:cs="Calibri"/>
          <w:sz w:val="20"/>
          <w:szCs w:val="20"/>
          <w:lang w:val="en-US"/>
        </w:rPr>
        <w:t xml:space="preserve"> </w:t>
      </w:r>
      <w:r>
        <w:rPr>
          <w:rFonts w:ascii="Calibri" w:hAnsi="Calibri" w:cs="Calibri"/>
          <w:sz w:val="20"/>
          <w:szCs w:val="20"/>
          <w:lang w:val="en-US"/>
        </w:rPr>
        <w:t>reporting infrastructures</w:t>
      </w:r>
      <w:r w:rsidRPr="006B196C">
        <w:rPr>
          <w:rFonts w:ascii="Calibri" w:hAnsi="Calibri" w:cs="Calibri"/>
          <w:sz w:val="20"/>
          <w:szCs w:val="20"/>
          <w:lang w:val="en-US"/>
        </w:rPr>
        <w:t xml:space="preserve"> validate data received, calculate trade states, positions, warnings, etc. Also, regulated repositories can reconcile EMIR, MiFIR and SFTR data subject to dual-sided reporting</w:t>
      </w:r>
      <w:r>
        <w:rPr>
          <w:rFonts w:ascii="Calibri" w:hAnsi="Calibri" w:cs="Calibri"/>
          <w:sz w:val="20"/>
          <w:szCs w:val="20"/>
          <w:lang w:val="en-US"/>
        </w:rPr>
        <w:t>.</w:t>
      </w:r>
    </w:p>
    <w:p w14:paraId="33992D88" w14:textId="77777777" w:rsidR="00E464C1" w:rsidRPr="00A60B20" w:rsidRDefault="00E464C1" w:rsidP="00E464C1">
      <w:pPr>
        <w:rPr>
          <w:rFonts w:ascii="Calibri" w:hAnsi="Calibri" w:cs="Calibri"/>
          <w:sz w:val="20"/>
          <w:szCs w:val="20"/>
          <w:lang w:val="en-US"/>
        </w:rPr>
      </w:pPr>
    </w:p>
    <w:p w14:paraId="16748D48"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Regulated </w:t>
      </w:r>
      <w:r>
        <w:rPr>
          <w:rFonts w:ascii="Calibri" w:hAnsi="Calibri" w:cs="Calibri"/>
          <w:sz w:val="20"/>
          <w:szCs w:val="20"/>
          <w:lang w:val="en-US"/>
        </w:rPr>
        <w:t>reporting infrastructures</w:t>
      </w:r>
      <w:r w:rsidRPr="006B196C">
        <w:rPr>
          <w:rFonts w:ascii="Calibri" w:hAnsi="Calibri" w:cs="Calibri"/>
          <w:sz w:val="20"/>
          <w:szCs w:val="20"/>
          <w:lang w:val="en-US"/>
        </w:rPr>
        <w:t xml:space="preserve"> can also become the single point for reporting other regulations, such as REMIT. In th</w:t>
      </w:r>
      <w:r>
        <w:rPr>
          <w:rFonts w:ascii="Calibri" w:hAnsi="Calibri" w:cs="Calibri"/>
          <w:sz w:val="20"/>
          <w:szCs w:val="20"/>
          <w:lang w:val="en-US"/>
        </w:rPr>
        <w:t>e</w:t>
      </w:r>
      <w:r w:rsidRPr="006B196C">
        <w:rPr>
          <w:rFonts w:ascii="Calibri" w:hAnsi="Calibri" w:cs="Calibri"/>
          <w:sz w:val="20"/>
          <w:szCs w:val="20"/>
          <w:lang w:val="en-US"/>
        </w:rPr>
        <w:t>s</w:t>
      </w:r>
      <w:r>
        <w:rPr>
          <w:rFonts w:ascii="Calibri" w:hAnsi="Calibri" w:cs="Calibri"/>
          <w:sz w:val="20"/>
          <w:szCs w:val="20"/>
          <w:lang w:val="en-US"/>
        </w:rPr>
        <w:t>e</w:t>
      </w:r>
      <w:r w:rsidRPr="006B196C">
        <w:rPr>
          <w:rFonts w:ascii="Calibri" w:hAnsi="Calibri" w:cs="Calibri"/>
          <w:sz w:val="20"/>
          <w:szCs w:val="20"/>
          <w:lang w:val="en-US"/>
        </w:rPr>
        <w:t xml:space="preserve"> cases, at a first stage the consolidation could be done only from a ‘reporting channel’ perspective and, in further stages, analyze the convenience of consolidating the formats. </w:t>
      </w:r>
    </w:p>
    <w:p w14:paraId="105CB297" w14:textId="77777777" w:rsidR="00E464C1" w:rsidRPr="00A60B20" w:rsidRDefault="00E464C1" w:rsidP="00E464C1">
      <w:pPr>
        <w:rPr>
          <w:rFonts w:ascii="Calibri" w:hAnsi="Calibri" w:cs="Calibri"/>
          <w:sz w:val="20"/>
          <w:szCs w:val="20"/>
          <w:lang w:val="en-US"/>
        </w:rPr>
      </w:pPr>
    </w:p>
    <w:p w14:paraId="4F3BFD82"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 xml:space="preserve">Regardless of the number of transactions reported by counterparties (two individual EMIR/MiFIR reports or a single report using the common template), repositories can consolidate this information into the common template to provide NCAs (via TRACE) the relevant information in a </w:t>
      </w:r>
      <w:proofErr w:type="spellStart"/>
      <w:r w:rsidRPr="006B196C">
        <w:rPr>
          <w:rFonts w:ascii="Calibri" w:hAnsi="Calibri" w:cs="Calibri"/>
          <w:sz w:val="20"/>
          <w:szCs w:val="20"/>
          <w:lang w:val="en-US"/>
        </w:rPr>
        <w:t>standardi</w:t>
      </w:r>
      <w:r>
        <w:rPr>
          <w:rFonts w:ascii="Calibri" w:hAnsi="Calibri" w:cs="Calibri"/>
          <w:sz w:val="20"/>
          <w:szCs w:val="20"/>
          <w:lang w:val="en-US"/>
        </w:rPr>
        <w:t>s</w:t>
      </w:r>
      <w:r w:rsidRPr="006B196C">
        <w:rPr>
          <w:rFonts w:ascii="Calibri" w:hAnsi="Calibri" w:cs="Calibri"/>
          <w:sz w:val="20"/>
          <w:szCs w:val="20"/>
          <w:lang w:val="en-US"/>
        </w:rPr>
        <w:t>ed</w:t>
      </w:r>
      <w:proofErr w:type="spellEnd"/>
      <w:r w:rsidRPr="006B196C">
        <w:rPr>
          <w:rFonts w:ascii="Calibri" w:hAnsi="Calibri" w:cs="Calibri"/>
          <w:sz w:val="20"/>
          <w:szCs w:val="20"/>
          <w:lang w:val="en-US"/>
        </w:rPr>
        <w:t xml:space="preserve"> manner.</w:t>
      </w:r>
    </w:p>
    <w:p w14:paraId="4B7935F9" w14:textId="77777777" w:rsidR="00E464C1" w:rsidRPr="0071679A" w:rsidRDefault="00E464C1" w:rsidP="00E464C1">
      <w:pPr>
        <w:rPr>
          <w:rFonts w:ascii="Calibri" w:hAnsi="Calibri" w:cs="Calibri"/>
          <w:sz w:val="20"/>
          <w:szCs w:val="20"/>
          <w:lang w:val="en-US"/>
        </w:rPr>
      </w:pPr>
    </w:p>
    <w:p w14:paraId="041871D2" w14:textId="77777777" w:rsidR="00E464C1" w:rsidRPr="006B196C" w:rsidRDefault="00E464C1" w:rsidP="00E464C1">
      <w:pPr>
        <w:pStyle w:val="Prrafodelista"/>
        <w:numPr>
          <w:ilvl w:val="0"/>
          <w:numId w:val="41"/>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901149">
        <w:rPr>
          <w:rFonts w:ascii="Calibri" w:hAnsi="Calibri" w:cs="Calibri"/>
          <w:sz w:val="20"/>
          <w:szCs w:val="20"/>
          <w:lang w:val="en-US"/>
        </w:rPr>
        <w:t>To further reduce reporting costs without compromising data quality, transactions under EMIR and SFTR where a single entity is responsible for reporting both legs (ERR) could be submitted as a single report. For other types of transactions</w:t>
      </w:r>
      <w:r w:rsidRPr="004A467D">
        <w:rPr>
          <w:rFonts w:ascii="Calibri" w:hAnsi="Calibri" w:cs="Calibri"/>
          <w:sz w:val="20"/>
          <w:szCs w:val="20"/>
          <w:lang w:val="en-US"/>
        </w:rPr>
        <w:t>, if single-sided reporting is implemented</w:t>
      </w:r>
      <w:r w:rsidRPr="00901149">
        <w:rPr>
          <w:rFonts w:ascii="Calibri" w:hAnsi="Calibri" w:cs="Calibri"/>
          <w:sz w:val="20"/>
          <w:szCs w:val="20"/>
          <w:lang w:val="en-US"/>
        </w:rPr>
        <w:t>, it remains important to retain mechanisms to ensure data accuracy and consistency, while avoiding undue operational burdens for reporting entities (e.g., complex reconciliation processes).</w:t>
      </w:r>
    </w:p>
    <w:p w14:paraId="38D32908" w14:textId="77777777" w:rsidR="00E464C1" w:rsidRPr="006B196C" w:rsidRDefault="00E464C1" w:rsidP="00E464C1">
      <w:pPr>
        <w:jc w:val="both"/>
        <w:rPr>
          <w:rFonts w:ascii="Calibri" w:hAnsi="Calibri" w:cs="Calibri"/>
          <w:sz w:val="20"/>
          <w:szCs w:val="20"/>
          <w:lang w:val="en-US"/>
        </w:rPr>
      </w:pPr>
    </w:p>
    <w:p w14:paraId="17D9E409" w14:textId="77777777" w:rsidR="00E464C1" w:rsidRDefault="00E464C1" w:rsidP="00E464C1">
      <w:pPr>
        <w:jc w:val="both"/>
        <w:rPr>
          <w:rFonts w:ascii="Calibri" w:hAnsi="Calibri" w:cs="Calibri"/>
          <w:sz w:val="20"/>
          <w:szCs w:val="20"/>
          <w:lang w:val="en-US"/>
        </w:rPr>
      </w:pPr>
      <w:r w:rsidRPr="006B196C">
        <w:rPr>
          <w:rFonts w:ascii="Calibri" w:hAnsi="Calibri" w:cs="Calibri"/>
          <w:sz w:val="20"/>
          <w:szCs w:val="20"/>
          <w:lang w:val="en-US"/>
        </w:rPr>
        <w:t xml:space="preserve">The ultimate evolution of this framework would be establishing a single point of access for both </w:t>
      </w:r>
      <w:r>
        <w:rPr>
          <w:rFonts w:ascii="Calibri" w:hAnsi="Calibri" w:cs="Calibri"/>
          <w:sz w:val="20"/>
          <w:szCs w:val="20"/>
          <w:lang w:val="en-US"/>
        </w:rPr>
        <w:t>m</w:t>
      </w:r>
      <w:r w:rsidRPr="006B196C">
        <w:rPr>
          <w:rFonts w:ascii="Calibri" w:hAnsi="Calibri" w:cs="Calibri"/>
          <w:sz w:val="20"/>
          <w:szCs w:val="20"/>
          <w:lang w:val="en-US"/>
        </w:rPr>
        <w:t>arket</w:t>
      </w:r>
      <w:r w:rsidRPr="006B196C" w:rsidDel="00B65F36">
        <w:rPr>
          <w:rFonts w:ascii="Calibri" w:hAnsi="Calibri" w:cs="Calibri"/>
          <w:sz w:val="20"/>
          <w:szCs w:val="20"/>
          <w:lang w:val="en-US"/>
        </w:rPr>
        <w:t xml:space="preserve"> </w:t>
      </w:r>
      <w:r>
        <w:rPr>
          <w:rFonts w:ascii="Calibri" w:hAnsi="Calibri" w:cs="Calibri"/>
          <w:sz w:val="20"/>
          <w:szCs w:val="20"/>
          <w:lang w:val="en-US"/>
        </w:rPr>
        <w:t>p</w:t>
      </w:r>
      <w:r w:rsidRPr="006B196C">
        <w:rPr>
          <w:rFonts w:ascii="Calibri" w:hAnsi="Calibri" w:cs="Calibri"/>
          <w:sz w:val="20"/>
          <w:szCs w:val="20"/>
          <w:lang w:val="en-US"/>
        </w:rPr>
        <w:t xml:space="preserve">articipants and </w:t>
      </w:r>
      <w:r>
        <w:rPr>
          <w:rFonts w:ascii="Calibri" w:hAnsi="Calibri" w:cs="Calibri"/>
          <w:sz w:val="20"/>
          <w:szCs w:val="20"/>
          <w:lang w:val="en-US"/>
        </w:rPr>
        <w:t>a</w:t>
      </w:r>
      <w:r w:rsidRPr="006B196C">
        <w:rPr>
          <w:rFonts w:ascii="Calibri" w:hAnsi="Calibri" w:cs="Calibri"/>
          <w:sz w:val="20"/>
          <w:szCs w:val="20"/>
          <w:lang w:val="en-US"/>
        </w:rPr>
        <w:t xml:space="preserve">uthorities, where </w:t>
      </w:r>
      <w:r>
        <w:rPr>
          <w:rFonts w:ascii="Calibri" w:hAnsi="Calibri" w:cs="Calibri"/>
          <w:sz w:val="20"/>
          <w:szCs w:val="20"/>
          <w:lang w:val="en-US"/>
        </w:rPr>
        <w:t>market participants</w:t>
      </w:r>
      <w:r w:rsidRPr="006B196C">
        <w:rPr>
          <w:rFonts w:ascii="Calibri" w:hAnsi="Calibri" w:cs="Calibri"/>
          <w:sz w:val="20"/>
          <w:szCs w:val="20"/>
          <w:lang w:val="en-US"/>
        </w:rPr>
        <w:t xml:space="preserve"> would report via their regulated </w:t>
      </w:r>
      <w:r>
        <w:rPr>
          <w:rFonts w:ascii="Calibri" w:hAnsi="Calibri" w:cs="Calibri"/>
          <w:sz w:val="20"/>
          <w:szCs w:val="20"/>
          <w:lang w:val="en-US"/>
        </w:rPr>
        <w:t xml:space="preserve">reporting infrastructure </w:t>
      </w:r>
      <w:r w:rsidRPr="006B196C">
        <w:rPr>
          <w:rFonts w:ascii="Calibri" w:hAnsi="Calibri" w:cs="Calibri"/>
          <w:sz w:val="20"/>
          <w:szCs w:val="20"/>
          <w:lang w:val="en-US"/>
        </w:rPr>
        <w:t>of choice and all authorities are receiving their data from the ESMA TRACE.</w:t>
      </w:r>
    </w:p>
    <w:p w14:paraId="45D561D0" w14:textId="1CFB256C" w:rsidR="00E464C1" w:rsidRDefault="00E464C1" w:rsidP="00E464C1">
      <w:pPr>
        <w:jc w:val="both"/>
        <w:rPr>
          <w:rFonts w:ascii="Calibri" w:hAnsi="Calibri" w:cs="Calibri"/>
          <w:sz w:val="20"/>
          <w:szCs w:val="20"/>
          <w:lang w:val="en-US"/>
        </w:rPr>
      </w:pPr>
      <w:r w:rsidRPr="006D3886">
        <w:rPr>
          <w:rFonts w:ascii="Calibri" w:hAnsi="Calibri" w:cs="Calibri"/>
          <w:noProof/>
          <w:sz w:val="20"/>
          <w:szCs w:val="20"/>
        </w:rPr>
        <w:lastRenderedPageBreak/>
        <w:drawing>
          <wp:inline distT="0" distB="0" distL="0" distR="0" wp14:anchorId="69D75A9A" wp14:editId="3B7D91A4">
            <wp:extent cx="5608320" cy="3019769"/>
            <wp:effectExtent l="0" t="0" r="0" b="9525"/>
            <wp:docPr id="968241025" name="Picture 2"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41025" name="Picture 2" descr="Interfaz de usuario gráfica&#10;&#10;El contenido generado por IA puede ser incorrect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6885" cy="3024381"/>
                    </a:xfrm>
                    <a:prstGeom prst="rect">
                      <a:avLst/>
                    </a:prstGeom>
                    <a:noFill/>
                    <a:ln>
                      <a:noFill/>
                    </a:ln>
                  </pic:spPr>
                </pic:pic>
              </a:graphicData>
            </a:graphic>
          </wp:inline>
        </w:drawing>
      </w:r>
    </w:p>
    <w:p w14:paraId="32B09356" w14:textId="77777777" w:rsidR="00E464C1" w:rsidRDefault="00E464C1" w:rsidP="00E464C1">
      <w:pPr>
        <w:jc w:val="both"/>
        <w:rPr>
          <w:rFonts w:ascii="Calibri" w:hAnsi="Calibri" w:cs="Calibri"/>
          <w:sz w:val="20"/>
          <w:szCs w:val="20"/>
          <w:lang w:val="en-US"/>
        </w:rPr>
      </w:pPr>
    </w:p>
    <w:p w14:paraId="6FDC4B08" w14:textId="77777777" w:rsidR="00E464C1" w:rsidRPr="006B196C" w:rsidRDefault="00E464C1" w:rsidP="00E464C1">
      <w:pPr>
        <w:jc w:val="both"/>
        <w:rPr>
          <w:rFonts w:ascii="Calibri" w:hAnsi="Calibri" w:cs="Calibri"/>
          <w:sz w:val="20"/>
          <w:szCs w:val="20"/>
          <w:lang w:val="en-US"/>
        </w:rPr>
      </w:pP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1405A37B" w14:textId="77777777" w:rsidR="00E464C1" w:rsidRDefault="00E464C1" w:rsidP="00E464C1">
      <w:pPr>
        <w:spacing w:before="240"/>
        <w:rPr>
          <w:rFonts w:ascii="Calibri" w:hAnsi="Calibri" w:cs="Calibri"/>
          <w:sz w:val="20"/>
          <w:szCs w:val="20"/>
        </w:rPr>
      </w:pPr>
      <w:permStart w:id="1962436404" w:edGrp="everyone"/>
      <w:r w:rsidRPr="006B196C">
        <w:rPr>
          <w:rFonts w:ascii="Calibri" w:hAnsi="Calibri" w:cs="Calibri"/>
          <w:sz w:val="20"/>
          <w:szCs w:val="20"/>
        </w:rPr>
        <w:t xml:space="preserve">In principle and </w:t>
      </w:r>
      <w:r>
        <w:rPr>
          <w:rFonts w:ascii="Calibri" w:hAnsi="Calibri" w:cs="Calibri"/>
          <w:sz w:val="20"/>
          <w:szCs w:val="20"/>
        </w:rPr>
        <w:t>in absence of</w:t>
      </w:r>
      <w:r w:rsidRPr="006B196C">
        <w:rPr>
          <w:rFonts w:ascii="Calibri" w:hAnsi="Calibri" w:cs="Calibri"/>
          <w:sz w:val="20"/>
          <w:szCs w:val="20"/>
        </w:rPr>
        <w:t xml:space="preserve"> a proper impact and cost assessment, we do not favour transferring the reporting obligation of on-venue transactions to trading venues.</w:t>
      </w:r>
    </w:p>
    <w:p w14:paraId="375D71AA" w14:textId="77777777" w:rsidR="00E464C1" w:rsidRDefault="00E464C1" w:rsidP="00E464C1">
      <w:pPr>
        <w:rPr>
          <w:rFonts w:ascii="Calibri" w:hAnsi="Calibri" w:cs="Calibri"/>
          <w:sz w:val="20"/>
          <w:szCs w:val="20"/>
        </w:rPr>
      </w:pPr>
    </w:p>
    <w:p w14:paraId="16DE4CC8" w14:textId="77777777" w:rsidR="00E464C1" w:rsidRPr="006B196C" w:rsidRDefault="00E464C1" w:rsidP="00E464C1">
      <w:pPr>
        <w:rPr>
          <w:rFonts w:ascii="Calibri" w:hAnsi="Calibri" w:cs="Calibri"/>
          <w:sz w:val="20"/>
          <w:szCs w:val="20"/>
        </w:rPr>
      </w:pPr>
      <w:r w:rsidRPr="006B196C">
        <w:rPr>
          <w:rFonts w:ascii="Calibri" w:hAnsi="Calibri" w:cs="Calibri"/>
          <w:sz w:val="20"/>
          <w:szCs w:val="20"/>
        </w:rPr>
        <w:t>In our view, the order book requirements for trading venues are entirely independent and different from the transactions reporting flows under MiFIR and EMIR</w:t>
      </w:r>
      <w:r>
        <w:rPr>
          <w:rFonts w:ascii="Calibri" w:hAnsi="Calibri" w:cs="Calibri"/>
          <w:sz w:val="20"/>
          <w:szCs w:val="20"/>
        </w:rPr>
        <w:t>.</w:t>
      </w:r>
    </w:p>
    <w:p w14:paraId="6934517F" w14:textId="77777777" w:rsidR="00E464C1" w:rsidRPr="006B196C" w:rsidRDefault="00E464C1" w:rsidP="00E464C1">
      <w:pPr>
        <w:spacing w:before="240"/>
        <w:rPr>
          <w:rFonts w:ascii="Calibri" w:hAnsi="Calibri" w:cs="Calibri"/>
          <w:sz w:val="20"/>
          <w:szCs w:val="20"/>
        </w:rPr>
      </w:pPr>
      <w:r w:rsidRPr="006B196C">
        <w:rPr>
          <w:rFonts w:ascii="Calibri" w:hAnsi="Calibri" w:cs="Calibri"/>
          <w:sz w:val="20"/>
          <w:szCs w:val="20"/>
        </w:rPr>
        <w:t>While the intention to streamline reporting and reduce duplication is understandable, transferring the reporting of on-venue transactions under MiFIR and EMIR to trading venues might put unnecessary burden onto trading venues amongst other drawbacks that, in our view, outweigh the potential benefits:</w:t>
      </w:r>
    </w:p>
    <w:p w14:paraId="172761DC" w14:textId="77777777" w:rsidR="00E464C1" w:rsidRDefault="00E464C1" w:rsidP="00E464C1">
      <w:pPr>
        <w:rPr>
          <w:rFonts w:ascii="Calibri" w:hAnsi="Calibri" w:cs="Calibri"/>
          <w:sz w:val="20"/>
          <w:szCs w:val="20"/>
        </w:rPr>
      </w:pPr>
    </w:p>
    <w:p w14:paraId="5CE1FDE7" w14:textId="77777777" w:rsidR="00E464C1" w:rsidRPr="006B196C" w:rsidRDefault="00E464C1" w:rsidP="00E464C1">
      <w:pPr>
        <w:pStyle w:val="Prrafodelista"/>
        <w:numPr>
          <w:ilvl w:val="0"/>
          <w:numId w:val="48"/>
        </w:numPr>
        <w:tabs>
          <w:tab w:val="clear" w:pos="0"/>
          <w:tab w:val="clear" w:pos="142"/>
          <w:tab w:val="clear" w:pos="284"/>
          <w:tab w:val="clear" w:pos="567"/>
        </w:tabs>
        <w:autoSpaceDE/>
        <w:autoSpaceDN/>
        <w:adjustRightInd/>
        <w:spacing w:line="240" w:lineRule="auto"/>
        <w:contextualSpacing/>
        <w:jc w:val="left"/>
        <w:rPr>
          <w:rFonts w:ascii="Calibri" w:hAnsi="Calibri" w:cs="Calibri"/>
          <w:sz w:val="20"/>
          <w:szCs w:val="20"/>
        </w:rPr>
      </w:pPr>
      <w:r w:rsidRPr="009C54C9">
        <w:rPr>
          <w:rFonts w:ascii="Calibri" w:hAnsi="Calibri" w:cs="Calibri"/>
          <w:b/>
          <w:sz w:val="20"/>
          <w:szCs w:val="20"/>
        </w:rPr>
        <w:t>Limited impact on overall reporting burden</w:t>
      </w:r>
    </w:p>
    <w:p w14:paraId="64D65D9C" w14:textId="77777777" w:rsidR="00E464C1" w:rsidRPr="009C54C9" w:rsidRDefault="00E464C1" w:rsidP="00E464C1">
      <w:pPr>
        <w:pStyle w:val="Prrafodelista"/>
        <w:numPr>
          <w:ilvl w:val="0"/>
          <w:numId w:val="0"/>
        </w:numPr>
        <w:ind w:left="1068"/>
        <w:jc w:val="left"/>
        <w:rPr>
          <w:rFonts w:ascii="Calibri" w:hAnsi="Calibri" w:cs="Calibri"/>
          <w:sz w:val="20"/>
          <w:szCs w:val="20"/>
        </w:rPr>
      </w:pPr>
    </w:p>
    <w:p w14:paraId="0ED20995" w14:textId="77777777" w:rsidR="00E464C1" w:rsidRPr="00097608"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rFonts w:ascii="Calibri" w:hAnsi="Calibri" w:cs="Calibri"/>
          <w:sz w:val="20"/>
          <w:szCs w:val="20"/>
        </w:rPr>
      </w:pPr>
      <w:r w:rsidRPr="00097608">
        <w:rPr>
          <w:rFonts w:ascii="Calibri" w:hAnsi="Calibri" w:cs="Calibri"/>
          <w:sz w:val="20"/>
          <w:szCs w:val="20"/>
        </w:rPr>
        <w:t xml:space="preserve">Transferring the responsibility for on-venue transactions would only address a subset of the total </w:t>
      </w:r>
      <w:r>
        <w:rPr>
          <w:rFonts w:ascii="Calibri" w:hAnsi="Calibri" w:cs="Calibri"/>
          <w:sz w:val="20"/>
          <w:szCs w:val="20"/>
        </w:rPr>
        <w:t>of transactions to be reported</w:t>
      </w:r>
      <w:r w:rsidRPr="00097608">
        <w:rPr>
          <w:rFonts w:ascii="Calibri" w:hAnsi="Calibri" w:cs="Calibri"/>
          <w:sz w:val="20"/>
          <w:szCs w:val="20"/>
        </w:rPr>
        <w:t>.</w:t>
      </w:r>
    </w:p>
    <w:p w14:paraId="2AC65FCA" w14:textId="77777777" w:rsidR="00E464C1" w:rsidRPr="00097608" w:rsidRDefault="00E464C1" w:rsidP="00E464C1">
      <w:pPr>
        <w:pStyle w:val="Prrafodelista"/>
        <w:numPr>
          <w:ilvl w:val="0"/>
          <w:numId w:val="0"/>
        </w:numPr>
        <w:ind w:left="1068"/>
        <w:jc w:val="left"/>
        <w:rPr>
          <w:rFonts w:ascii="Calibri" w:hAnsi="Calibri" w:cs="Calibri"/>
          <w:sz w:val="20"/>
          <w:szCs w:val="20"/>
        </w:rPr>
      </w:pPr>
    </w:p>
    <w:p w14:paraId="175586E0" w14:textId="77777777" w:rsidR="00E464C1" w:rsidRPr="00BE31C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rFonts w:ascii="Calibri" w:hAnsi="Calibri" w:cs="Calibri"/>
          <w:sz w:val="20"/>
          <w:szCs w:val="20"/>
        </w:rPr>
      </w:pPr>
      <w:r>
        <w:rPr>
          <w:rFonts w:ascii="Calibri" w:hAnsi="Calibri" w:cs="Calibri"/>
          <w:sz w:val="20"/>
          <w:szCs w:val="20"/>
        </w:rPr>
        <w:t>O</w:t>
      </w:r>
      <w:r w:rsidRPr="00BE31CC">
        <w:rPr>
          <w:rFonts w:ascii="Calibri" w:hAnsi="Calibri" w:cs="Calibri"/>
          <w:sz w:val="20"/>
          <w:szCs w:val="20"/>
        </w:rPr>
        <w:t>ff-venue transactions</w:t>
      </w:r>
      <w:r>
        <w:rPr>
          <w:rFonts w:ascii="Calibri" w:hAnsi="Calibri" w:cs="Calibri"/>
          <w:sz w:val="20"/>
          <w:szCs w:val="20"/>
        </w:rPr>
        <w:t xml:space="preserve"> and </w:t>
      </w:r>
      <w:r w:rsidRPr="00BE31CC">
        <w:rPr>
          <w:rFonts w:ascii="Calibri" w:hAnsi="Calibri" w:cs="Calibri"/>
          <w:sz w:val="20"/>
          <w:szCs w:val="20"/>
        </w:rPr>
        <w:t>post-trade lifecycle events</w:t>
      </w:r>
      <w:r>
        <w:rPr>
          <w:rFonts w:ascii="Calibri" w:hAnsi="Calibri" w:cs="Calibri"/>
          <w:sz w:val="20"/>
          <w:szCs w:val="20"/>
        </w:rPr>
        <w:t xml:space="preserve"> would still need to be reported</w:t>
      </w:r>
      <w:r w:rsidRPr="00BE31CC">
        <w:rPr>
          <w:rFonts w:ascii="Calibri" w:hAnsi="Calibri" w:cs="Calibri"/>
          <w:sz w:val="20"/>
          <w:szCs w:val="20"/>
        </w:rPr>
        <w:t>.</w:t>
      </w:r>
    </w:p>
    <w:p w14:paraId="47240595" w14:textId="77777777" w:rsidR="00E464C1" w:rsidRPr="009C54C9" w:rsidRDefault="00E464C1" w:rsidP="00E464C1">
      <w:pPr>
        <w:ind w:left="348"/>
        <w:rPr>
          <w:rFonts w:ascii="Calibri" w:hAnsi="Calibri" w:cs="Calibri"/>
          <w:sz w:val="20"/>
          <w:szCs w:val="20"/>
          <w:lang w:val="en-US"/>
        </w:rPr>
      </w:pPr>
    </w:p>
    <w:p w14:paraId="4BF70689" w14:textId="77777777" w:rsidR="00E464C1" w:rsidRPr="00BE31C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rFonts w:ascii="Calibri" w:hAnsi="Calibri" w:cs="Calibri"/>
          <w:sz w:val="20"/>
          <w:szCs w:val="20"/>
        </w:rPr>
      </w:pPr>
      <w:r>
        <w:rPr>
          <w:rFonts w:ascii="Calibri" w:hAnsi="Calibri" w:cs="Calibri"/>
          <w:sz w:val="20"/>
          <w:szCs w:val="20"/>
        </w:rPr>
        <w:t xml:space="preserve">Hence, </w:t>
      </w:r>
      <w:r w:rsidRPr="00BE31CC">
        <w:rPr>
          <w:rFonts w:ascii="Calibri" w:hAnsi="Calibri" w:cs="Calibri"/>
          <w:sz w:val="20"/>
          <w:szCs w:val="20"/>
        </w:rPr>
        <w:t>the overall reporting infrastructure and processes would still need to be maintained, limiting any meaningful reduction in operational burden or cost.</w:t>
      </w:r>
    </w:p>
    <w:p w14:paraId="5EC294B4" w14:textId="77777777" w:rsidR="00E464C1" w:rsidRPr="009C54C9" w:rsidRDefault="00E464C1" w:rsidP="00E464C1">
      <w:pPr>
        <w:pStyle w:val="Prrafodelista"/>
        <w:numPr>
          <w:ilvl w:val="0"/>
          <w:numId w:val="0"/>
        </w:numPr>
        <w:ind w:left="1068"/>
        <w:jc w:val="left"/>
        <w:rPr>
          <w:rFonts w:ascii="Calibri" w:hAnsi="Calibri" w:cs="Calibri"/>
          <w:sz w:val="20"/>
          <w:szCs w:val="20"/>
        </w:rPr>
      </w:pPr>
    </w:p>
    <w:p w14:paraId="69CF9C8C" w14:textId="77777777" w:rsidR="00E464C1" w:rsidRPr="006B196C" w:rsidRDefault="00E464C1" w:rsidP="00E464C1">
      <w:pPr>
        <w:pStyle w:val="Prrafodelista"/>
        <w:numPr>
          <w:ilvl w:val="0"/>
          <w:numId w:val="48"/>
        </w:numPr>
        <w:tabs>
          <w:tab w:val="clear" w:pos="0"/>
          <w:tab w:val="clear" w:pos="142"/>
          <w:tab w:val="clear" w:pos="284"/>
          <w:tab w:val="clear" w:pos="567"/>
        </w:tabs>
        <w:autoSpaceDE/>
        <w:autoSpaceDN/>
        <w:adjustRightInd/>
        <w:spacing w:line="240" w:lineRule="auto"/>
        <w:contextualSpacing/>
        <w:jc w:val="left"/>
        <w:rPr>
          <w:rFonts w:ascii="Calibri" w:hAnsi="Calibri" w:cs="Calibri"/>
          <w:sz w:val="20"/>
          <w:szCs w:val="20"/>
        </w:rPr>
      </w:pPr>
      <w:r w:rsidRPr="001F18B5">
        <w:rPr>
          <w:rFonts w:ascii="Calibri" w:hAnsi="Calibri" w:cs="Calibri"/>
          <w:b/>
          <w:sz w:val="20"/>
          <w:szCs w:val="20"/>
        </w:rPr>
        <w:lastRenderedPageBreak/>
        <w:t>Shifting the burden, instead of reducing it</w:t>
      </w:r>
      <w:r>
        <w:rPr>
          <w:rFonts w:ascii="Calibri" w:hAnsi="Calibri" w:cs="Calibri"/>
          <w:sz w:val="20"/>
          <w:szCs w:val="20"/>
        </w:rPr>
        <w:t>:</w:t>
      </w:r>
    </w:p>
    <w:p w14:paraId="5CB59AEC" w14:textId="77777777" w:rsidR="00E464C1" w:rsidRPr="009C54C9" w:rsidRDefault="00E464C1" w:rsidP="00E464C1">
      <w:pPr>
        <w:pStyle w:val="Prrafodelista"/>
        <w:numPr>
          <w:ilvl w:val="0"/>
          <w:numId w:val="0"/>
        </w:numPr>
        <w:ind w:left="1068"/>
        <w:jc w:val="left"/>
        <w:rPr>
          <w:rFonts w:ascii="Calibri" w:hAnsi="Calibri" w:cs="Calibri"/>
          <w:b/>
          <w:bCs/>
          <w:sz w:val="20"/>
          <w:szCs w:val="20"/>
        </w:rPr>
      </w:pPr>
    </w:p>
    <w:p w14:paraId="3E053770" w14:textId="77777777" w:rsidR="00E464C1"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rFonts w:ascii="Calibri" w:hAnsi="Calibri" w:cs="Calibri"/>
          <w:sz w:val="20"/>
          <w:szCs w:val="20"/>
        </w:rPr>
      </w:pPr>
      <w:r w:rsidRPr="00BE31CC">
        <w:rPr>
          <w:rFonts w:ascii="Calibri" w:hAnsi="Calibri" w:cs="Calibri"/>
          <w:sz w:val="20"/>
          <w:szCs w:val="20"/>
        </w:rPr>
        <w:t>The</w:t>
      </w:r>
      <w:r>
        <w:rPr>
          <w:rFonts w:ascii="Calibri" w:hAnsi="Calibri" w:cs="Calibri"/>
          <w:sz w:val="20"/>
          <w:szCs w:val="20"/>
        </w:rPr>
        <w:t xml:space="preserve"> transfer </w:t>
      </w:r>
      <w:r w:rsidRPr="00BE31CC">
        <w:rPr>
          <w:rFonts w:ascii="Calibri" w:hAnsi="Calibri" w:cs="Calibri"/>
          <w:sz w:val="20"/>
          <w:szCs w:val="20"/>
        </w:rPr>
        <w:t>would shift the compliance and operational burden from firms to trading venues,</w:t>
      </w:r>
      <w:r>
        <w:rPr>
          <w:rFonts w:ascii="Calibri" w:hAnsi="Calibri" w:cs="Calibri"/>
          <w:sz w:val="20"/>
          <w:szCs w:val="20"/>
        </w:rPr>
        <w:t xml:space="preserve"> while some of the latter might not currently be active players nor have the infrastructure to deal with reporting requirements at such potential scale. </w:t>
      </w:r>
    </w:p>
    <w:p w14:paraId="692C8626" w14:textId="77777777" w:rsidR="00E464C1" w:rsidRDefault="00E464C1" w:rsidP="00E464C1">
      <w:pPr>
        <w:pStyle w:val="Prrafodelista"/>
        <w:numPr>
          <w:ilvl w:val="0"/>
          <w:numId w:val="0"/>
        </w:numPr>
        <w:ind w:left="1068"/>
        <w:jc w:val="left"/>
        <w:rPr>
          <w:rFonts w:ascii="Calibri" w:hAnsi="Calibri" w:cs="Calibri"/>
          <w:sz w:val="20"/>
          <w:szCs w:val="20"/>
        </w:rPr>
      </w:pPr>
    </w:p>
    <w:p w14:paraId="6C233E10" w14:textId="77777777" w:rsidR="00E464C1" w:rsidRPr="00BE31C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rFonts w:ascii="Calibri" w:hAnsi="Calibri" w:cs="Calibri"/>
          <w:sz w:val="20"/>
          <w:szCs w:val="20"/>
        </w:rPr>
      </w:pPr>
      <w:r>
        <w:rPr>
          <w:rFonts w:ascii="Calibri" w:hAnsi="Calibri" w:cs="Calibri"/>
          <w:sz w:val="20"/>
          <w:szCs w:val="20"/>
        </w:rPr>
        <w:t>It would raise c</w:t>
      </w:r>
      <w:r w:rsidRPr="00BE31CC">
        <w:rPr>
          <w:rFonts w:ascii="Calibri" w:hAnsi="Calibri" w:cs="Calibri"/>
          <w:sz w:val="20"/>
          <w:szCs w:val="20"/>
        </w:rPr>
        <w:t xml:space="preserve">osts for trading venues, which </w:t>
      </w:r>
      <w:r>
        <w:rPr>
          <w:rFonts w:ascii="Calibri" w:hAnsi="Calibri" w:cs="Calibri"/>
          <w:sz w:val="20"/>
          <w:szCs w:val="20"/>
        </w:rPr>
        <w:t xml:space="preserve">might end up </w:t>
      </w:r>
      <w:r w:rsidRPr="00BE31CC">
        <w:rPr>
          <w:rFonts w:ascii="Calibri" w:hAnsi="Calibri" w:cs="Calibri"/>
          <w:sz w:val="20"/>
          <w:szCs w:val="20"/>
        </w:rPr>
        <w:t>be</w:t>
      </w:r>
      <w:r>
        <w:rPr>
          <w:rFonts w:ascii="Calibri" w:hAnsi="Calibri" w:cs="Calibri"/>
          <w:sz w:val="20"/>
          <w:szCs w:val="20"/>
        </w:rPr>
        <w:t xml:space="preserve">ing </w:t>
      </w:r>
      <w:r w:rsidRPr="00BE31CC">
        <w:rPr>
          <w:rFonts w:ascii="Calibri" w:hAnsi="Calibri" w:cs="Calibri"/>
          <w:sz w:val="20"/>
          <w:szCs w:val="20"/>
        </w:rPr>
        <w:t>passed back to market participants through higher fees or reduced service levels.</w:t>
      </w:r>
    </w:p>
    <w:p w14:paraId="1F10D8FC" w14:textId="77777777" w:rsidR="00E464C1" w:rsidRPr="009C54C9" w:rsidRDefault="00E464C1" w:rsidP="00E464C1">
      <w:pPr>
        <w:rPr>
          <w:rFonts w:ascii="Calibri" w:hAnsi="Calibri" w:cs="Calibri"/>
          <w:sz w:val="20"/>
          <w:szCs w:val="20"/>
          <w:lang w:val="en-US"/>
        </w:rPr>
      </w:pPr>
    </w:p>
    <w:p w14:paraId="6461080C" w14:textId="77777777" w:rsidR="00E464C1" w:rsidRPr="00BE31C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rFonts w:ascii="Calibri" w:hAnsi="Calibri" w:cs="Calibri"/>
          <w:sz w:val="20"/>
          <w:szCs w:val="20"/>
        </w:rPr>
      </w:pPr>
      <w:r w:rsidRPr="00BE31CC">
        <w:rPr>
          <w:rFonts w:ascii="Calibri" w:hAnsi="Calibri" w:cs="Calibri"/>
          <w:sz w:val="20"/>
          <w:szCs w:val="20"/>
        </w:rPr>
        <w:t>It may also distort the competitive landscape, particularly disadvantaging smaller or regional venues with fewer resources.</w:t>
      </w:r>
    </w:p>
    <w:p w14:paraId="797E9FA7" w14:textId="77777777" w:rsidR="00E464C1" w:rsidRPr="006B196C" w:rsidRDefault="00E464C1" w:rsidP="00E464C1">
      <w:pPr>
        <w:rPr>
          <w:rFonts w:ascii="Calibri" w:hAnsi="Calibri" w:cs="Calibri"/>
          <w:sz w:val="20"/>
          <w:szCs w:val="20"/>
          <w:lang w:val="en-US"/>
        </w:rPr>
      </w:pPr>
    </w:p>
    <w:p w14:paraId="09BFCE12" w14:textId="77777777" w:rsidR="00E464C1" w:rsidRDefault="00E464C1" w:rsidP="00E464C1">
      <w:pPr>
        <w:pStyle w:val="Prrafodelista"/>
        <w:numPr>
          <w:ilvl w:val="0"/>
          <w:numId w:val="48"/>
        </w:numPr>
        <w:tabs>
          <w:tab w:val="clear" w:pos="0"/>
          <w:tab w:val="clear" w:pos="142"/>
          <w:tab w:val="clear" w:pos="284"/>
          <w:tab w:val="clear" w:pos="567"/>
        </w:tabs>
        <w:autoSpaceDE/>
        <w:autoSpaceDN/>
        <w:adjustRightInd/>
        <w:spacing w:line="240" w:lineRule="auto"/>
        <w:contextualSpacing/>
        <w:jc w:val="left"/>
        <w:rPr>
          <w:rFonts w:ascii="Calibri" w:hAnsi="Calibri" w:cs="Calibri"/>
          <w:b/>
          <w:sz w:val="20"/>
          <w:szCs w:val="20"/>
        </w:rPr>
      </w:pPr>
      <w:r w:rsidRPr="009C54C9">
        <w:rPr>
          <w:rFonts w:ascii="Calibri" w:hAnsi="Calibri" w:cs="Calibri"/>
          <w:b/>
          <w:sz w:val="20"/>
          <w:szCs w:val="20"/>
        </w:rPr>
        <w:t>Better alternatives exist</w:t>
      </w:r>
    </w:p>
    <w:p w14:paraId="1E513A85" w14:textId="77777777" w:rsidR="00E464C1" w:rsidRPr="009C54C9" w:rsidRDefault="00E464C1" w:rsidP="00E464C1">
      <w:pPr>
        <w:pStyle w:val="Prrafodelista"/>
        <w:numPr>
          <w:ilvl w:val="0"/>
          <w:numId w:val="0"/>
        </w:numPr>
        <w:ind w:left="1068"/>
        <w:jc w:val="left"/>
        <w:rPr>
          <w:rFonts w:ascii="Calibri" w:hAnsi="Calibri" w:cs="Calibri"/>
          <w:b/>
          <w:bCs/>
          <w:sz w:val="20"/>
          <w:szCs w:val="20"/>
        </w:rPr>
      </w:pPr>
    </w:p>
    <w:p w14:paraId="2D3EB9B7" w14:textId="77777777" w:rsidR="00E464C1" w:rsidRPr="00A11529"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jc w:val="left"/>
        <w:rPr>
          <w:sz w:val="20"/>
          <w:szCs w:val="20"/>
        </w:rPr>
      </w:pPr>
      <w:r w:rsidRPr="0098108F">
        <w:rPr>
          <w:rFonts w:ascii="Calibri" w:hAnsi="Calibri" w:cs="Calibri"/>
          <w:sz w:val="20"/>
          <w:szCs w:val="20"/>
        </w:rPr>
        <w:t xml:space="preserve">Rather than transferring obligations, we would favour an approach based on greater standardisation of reporting formats and validation rules; improved frameworks where firms can </w:t>
      </w:r>
      <w:r w:rsidRPr="7F557D13">
        <w:rPr>
          <w:rFonts w:ascii="Calibri" w:hAnsi="Calibri" w:cs="Calibri"/>
          <w:sz w:val="20"/>
          <w:szCs w:val="20"/>
        </w:rPr>
        <w:t>choose to</w:t>
      </w:r>
      <w:r w:rsidRPr="7FD242A0">
        <w:rPr>
          <w:rFonts w:ascii="Calibri" w:hAnsi="Calibri" w:cs="Calibri"/>
          <w:sz w:val="20"/>
          <w:szCs w:val="20"/>
        </w:rPr>
        <w:t xml:space="preserve"> </w:t>
      </w:r>
      <w:r w:rsidRPr="2A571AEF">
        <w:rPr>
          <w:rFonts w:ascii="Calibri" w:hAnsi="Calibri" w:cs="Calibri"/>
          <w:sz w:val="20"/>
          <w:szCs w:val="20"/>
        </w:rPr>
        <w:t>report through</w:t>
      </w:r>
      <w:r w:rsidRPr="0C35E9EC">
        <w:rPr>
          <w:rFonts w:ascii="Calibri" w:hAnsi="Calibri" w:cs="Calibri"/>
          <w:sz w:val="20"/>
          <w:szCs w:val="20"/>
        </w:rPr>
        <w:t xml:space="preserve"> </w:t>
      </w:r>
      <w:r w:rsidRPr="0098108F" w:rsidDel="005E069E">
        <w:rPr>
          <w:rFonts w:ascii="Calibri" w:hAnsi="Calibri" w:cs="Calibri"/>
          <w:sz w:val="20"/>
          <w:szCs w:val="20"/>
        </w:rPr>
        <w:t xml:space="preserve">ARMs or </w:t>
      </w:r>
      <w:r w:rsidRPr="0098108F">
        <w:rPr>
          <w:rFonts w:ascii="Calibri" w:hAnsi="Calibri" w:cs="Calibri"/>
          <w:sz w:val="20"/>
          <w:szCs w:val="20"/>
        </w:rPr>
        <w:t>venues under clear contractual terms; and/or centralised data access models, where regulators retrieve data from a common hub, regardless of who submitted it.</w:t>
      </w:r>
    </w:p>
    <w:p w14:paraId="5A675A33" w14:textId="77777777" w:rsidR="00E464C1" w:rsidRPr="004C6D8C" w:rsidRDefault="00E464C1" w:rsidP="00E464C1">
      <w:pPr>
        <w:pStyle w:val="Prrafodelista"/>
        <w:numPr>
          <w:ilvl w:val="0"/>
          <w:numId w:val="0"/>
        </w:numPr>
        <w:ind w:left="1068"/>
        <w:jc w:val="left"/>
        <w:rPr>
          <w:sz w:val="20"/>
          <w:szCs w:val="20"/>
        </w:rPr>
      </w:pPr>
    </w:p>
    <w:p w14:paraId="49FC439F" w14:textId="77777777" w:rsidR="00E464C1" w:rsidRPr="006B196C" w:rsidRDefault="00E464C1" w:rsidP="00E464C1">
      <w:pPr>
        <w:rPr>
          <w:rFonts w:ascii="Calibri" w:hAnsi="Calibri" w:cs="Calibri"/>
          <w:sz w:val="20"/>
          <w:szCs w:val="20"/>
        </w:rPr>
      </w:pPr>
      <w:r w:rsidRPr="006B196C">
        <w:rPr>
          <w:rFonts w:ascii="Calibri" w:hAnsi="Calibri" w:cs="Calibri"/>
          <w:sz w:val="20"/>
          <w:szCs w:val="20"/>
        </w:rPr>
        <w:t xml:space="preserve">Because of these gaps, we do not support the transfer of the reporting transactions </w:t>
      </w:r>
      <w:r>
        <w:rPr>
          <w:rFonts w:ascii="Calibri" w:hAnsi="Calibri" w:cs="Calibri"/>
          <w:sz w:val="20"/>
          <w:szCs w:val="20"/>
        </w:rPr>
        <w:t>on</w:t>
      </w:r>
      <w:r w:rsidRPr="006B196C">
        <w:rPr>
          <w:rFonts w:ascii="Calibri" w:hAnsi="Calibri" w:cs="Calibri"/>
          <w:sz w:val="20"/>
          <w:szCs w:val="20"/>
        </w:rPr>
        <w:t>to trading venues</w:t>
      </w:r>
      <w:r>
        <w:rPr>
          <w:rFonts w:ascii="Calibri" w:hAnsi="Calibri" w:cs="Calibri"/>
          <w:sz w:val="20"/>
          <w:szCs w:val="20"/>
        </w:rPr>
        <w:t xml:space="preserve"> by default</w:t>
      </w:r>
      <w:r w:rsidRPr="006B196C">
        <w:rPr>
          <w:rFonts w:ascii="Calibri" w:hAnsi="Calibri" w:cs="Calibri"/>
          <w:sz w:val="20"/>
          <w:szCs w:val="20"/>
        </w:rPr>
        <w:t>, as it will bring huge adaptation costs with limited benefit</w:t>
      </w:r>
      <w:r>
        <w:rPr>
          <w:rFonts w:ascii="Calibri" w:hAnsi="Calibri" w:cs="Calibri"/>
          <w:sz w:val="20"/>
          <w:szCs w:val="20"/>
        </w:rPr>
        <w:t xml:space="preserve"> and would significantly reduce the choices available to firms today. Also, such a solution would not be comprehensive as OTC transactions would still need to be reported while venues could not undertake such task. </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52724542" w14:textId="77777777" w:rsidR="00E464C1" w:rsidRDefault="00E464C1" w:rsidP="00E464C1">
      <w:pPr>
        <w:jc w:val="both"/>
        <w:rPr>
          <w:rFonts w:ascii="Calibri" w:hAnsi="Calibri" w:cs="Calibri"/>
          <w:sz w:val="20"/>
          <w:szCs w:val="20"/>
        </w:rPr>
      </w:pPr>
      <w:permStart w:id="105197077" w:edGrp="everyone"/>
      <w:r w:rsidRPr="006B196C">
        <w:rPr>
          <w:rFonts w:ascii="Calibri" w:hAnsi="Calibri" w:cs="Calibri"/>
          <w:sz w:val="20"/>
          <w:szCs w:val="20"/>
        </w:rPr>
        <w:t>We do not favour the idea of requiring all reporting entities to report directly to ESMA. While the intention to centralise data collection is understandable, this approach would likely not result in a meaningful reduction in costs or complexity for reporting entities and could introduce new operational and supervisory challenges.</w:t>
      </w:r>
      <w:r>
        <w:rPr>
          <w:rFonts w:ascii="Calibri" w:hAnsi="Calibri" w:cs="Calibri"/>
          <w:sz w:val="20"/>
          <w:szCs w:val="20"/>
        </w:rPr>
        <w:t xml:space="preserve"> </w:t>
      </w:r>
    </w:p>
    <w:p w14:paraId="04D7D4D0" w14:textId="77777777" w:rsidR="00E464C1" w:rsidRDefault="00E464C1" w:rsidP="00E464C1">
      <w:pPr>
        <w:jc w:val="both"/>
        <w:rPr>
          <w:rFonts w:ascii="Calibri" w:hAnsi="Calibri" w:cs="Calibri"/>
          <w:sz w:val="20"/>
          <w:szCs w:val="20"/>
        </w:rPr>
      </w:pPr>
    </w:p>
    <w:p w14:paraId="670BEF40" w14:textId="77777777" w:rsidR="00E464C1" w:rsidRPr="00D803A3" w:rsidRDefault="00E464C1" w:rsidP="00E464C1">
      <w:pPr>
        <w:jc w:val="both"/>
        <w:rPr>
          <w:rFonts w:ascii="Calibri" w:hAnsi="Calibri" w:cs="Calibri"/>
          <w:sz w:val="20"/>
          <w:szCs w:val="20"/>
        </w:rPr>
      </w:pPr>
      <w:r w:rsidRPr="00D803A3">
        <w:rPr>
          <w:rFonts w:ascii="Calibri" w:hAnsi="Calibri" w:cs="Calibri"/>
          <w:sz w:val="20"/>
          <w:szCs w:val="20"/>
        </w:rPr>
        <w:t xml:space="preserve">Instead, we support the continued use of private infrastructures to perform this function—particularly regulated reporting infrastructures such as </w:t>
      </w:r>
      <w:r>
        <w:rPr>
          <w:rFonts w:ascii="Calibri" w:hAnsi="Calibri" w:cs="Calibri"/>
          <w:sz w:val="20"/>
          <w:szCs w:val="20"/>
        </w:rPr>
        <w:t>ARMS and TRs</w:t>
      </w:r>
      <w:r w:rsidRPr="00D803A3">
        <w:rPr>
          <w:rFonts w:ascii="Calibri" w:hAnsi="Calibri" w:cs="Calibri"/>
          <w:sz w:val="20"/>
          <w:szCs w:val="20"/>
        </w:rPr>
        <w:t xml:space="preserve">. </w:t>
      </w:r>
      <w:proofErr w:type="gramStart"/>
      <w:r>
        <w:rPr>
          <w:rFonts w:ascii="Calibri" w:hAnsi="Calibri" w:cs="Calibri"/>
          <w:sz w:val="20"/>
          <w:szCs w:val="20"/>
        </w:rPr>
        <w:t>I</w:t>
      </w:r>
      <w:r w:rsidRPr="00D803A3">
        <w:rPr>
          <w:rFonts w:ascii="Calibri" w:hAnsi="Calibri" w:cs="Calibri"/>
          <w:sz w:val="20"/>
          <w:szCs w:val="20"/>
        </w:rPr>
        <w:t xml:space="preserve">n particular, </w:t>
      </w:r>
      <w:r>
        <w:rPr>
          <w:rFonts w:ascii="Calibri" w:hAnsi="Calibri" w:cs="Calibri"/>
          <w:sz w:val="20"/>
          <w:szCs w:val="20"/>
        </w:rPr>
        <w:t>TRs</w:t>
      </w:r>
      <w:proofErr w:type="gramEnd"/>
      <w:r>
        <w:rPr>
          <w:rFonts w:ascii="Calibri" w:hAnsi="Calibri" w:cs="Calibri"/>
          <w:sz w:val="20"/>
          <w:szCs w:val="20"/>
        </w:rPr>
        <w:t xml:space="preserve"> </w:t>
      </w:r>
      <w:r w:rsidRPr="00D803A3">
        <w:rPr>
          <w:rFonts w:ascii="Calibri" w:hAnsi="Calibri" w:cs="Calibri"/>
          <w:sz w:val="20"/>
          <w:szCs w:val="20"/>
        </w:rPr>
        <w:t>are well-positioned to add value to the industry by promoting best practices and ensuring that the needs of reporting entities are effectively addressed.</w:t>
      </w:r>
    </w:p>
    <w:p w14:paraId="4FE65339" w14:textId="77777777" w:rsidR="00E464C1" w:rsidRDefault="00E464C1" w:rsidP="00E464C1">
      <w:pPr>
        <w:jc w:val="both"/>
        <w:rPr>
          <w:rFonts w:ascii="Calibri" w:hAnsi="Calibri" w:cs="Calibri"/>
          <w:sz w:val="20"/>
          <w:szCs w:val="20"/>
        </w:rPr>
      </w:pPr>
    </w:p>
    <w:p w14:paraId="52139DE7" w14:textId="77777777" w:rsidR="00E464C1" w:rsidRDefault="00E464C1" w:rsidP="00E464C1">
      <w:pPr>
        <w:jc w:val="both"/>
        <w:rPr>
          <w:rFonts w:ascii="Calibri" w:hAnsi="Calibri" w:cs="Calibri"/>
          <w:sz w:val="20"/>
          <w:szCs w:val="20"/>
          <w:lang w:val="en-US"/>
        </w:rPr>
      </w:pPr>
      <w:r w:rsidRPr="006B196C">
        <w:rPr>
          <w:rFonts w:ascii="Calibri" w:hAnsi="Calibri" w:cs="Calibri"/>
          <w:sz w:val="20"/>
          <w:szCs w:val="20"/>
          <w:lang w:val="en-US"/>
        </w:rPr>
        <w:t>Reporting directly to ESMA would entail the following implications:</w:t>
      </w:r>
    </w:p>
    <w:p w14:paraId="559D8BD8" w14:textId="77777777" w:rsidR="00E464C1" w:rsidRDefault="00E464C1" w:rsidP="00E464C1">
      <w:pPr>
        <w:jc w:val="both"/>
        <w:rPr>
          <w:rFonts w:ascii="Calibri" w:hAnsi="Calibri" w:cs="Calibri"/>
          <w:sz w:val="20"/>
          <w:szCs w:val="20"/>
        </w:rPr>
      </w:pPr>
    </w:p>
    <w:p w14:paraId="180AD103" w14:textId="77777777" w:rsidR="00E464C1" w:rsidRPr="00D803A3" w:rsidRDefault="00E464C1" w:rsidP="00E464C1">
      <w:pPr>
        <w:pStyle w:val="Prrafodelista"/>
        <w:numPr>
          <w:ilvl w:val="0"/>
          <w:numId w:val="49"/>
        </w:numPr>
        <w:tabs>
          <w:tab w:val="clear" w:pos="0"/>
          <w:tab w:val="clear" w:pos="142"/>
          <w:tab w:val="clear" w:pos="284"/>
          <w:tab w:val="clear" w:pos="567"/>
        </w:tabs>
        <w:autoSpaceDE/>
        <w:autoSpaceDN/>
        <w:adjustRightInd/>
        <w:spacing w:line="240" w:lineRule="auto"/>
        <w:contextualSpacing/>
        <w:rPr>
          <w:rFonts w:ascii="Calibri" w:hAnsi="Calibri" w:cs="Calibri"/>
          <w:b/>
          <w:bCs/>
          <w:sz w:val="20"/>
          <w:szCs w:val="20"/>
        </w:rPr>
      </w:pPr>
      <w:r w:rsidRPr="00D803A3">
        <w:rPr>
          <w:rFonts w:ascii="Calibri" w:hAnsi="Calibri" w:cs="Calibri"/>
          <w:b/>
          <w:bCs/>
          <w:sz w:val="20"/>
          <w:szCs w:val="20"/>
        </w:rPr>
        <w:t>Limited cost reduction for reporting entities</w:t>
      </w:r>
    </w:p>
    <w:p w14:paraId="72011702" w14:textId="77777777" w:rsidR="00E464C1" w:rsidRDefault="00E464C1" w:rsidP="00E464C1">
      <w:pPr>
        <w:pStyle w:val="Prrafodelista"/>
        <w:numPr>
          <w:ilvl w:val="0"/>
          <w:numId w:val="0"/>
        </w:numPr>
        <w:ind w:left="360"/>
        <w:rPr>
          <w:rFonts w:ascii="Calibri" w:hAnsi="Calibri" w:cs="Calibri"/>
          <w:sz w:val="20"/>
          <w:szCs w:val="20"/>
        </w:rPr>
      </w:pPr>
    </w:p>
    <w:p w14:paraId="62F4FDB1" w14:textId="5E41028F" w:rsidR="00E464C1" w:rsidRPr="00E464C1" w:rsidRDefault="00E464C1" w:rsidP="00E464C1">
      <w:pPr>
        <w:rPr>
          <w:rFonts w:ascii="Calibri" w:hAnsi="Calibri" w:cs="Calibri"/>
          <w:sz w:val="20"/>
          <w:szCs w:val="20"/>
        </w:rPr>
      </w:pPr>
      <w:r w:rsidRPr="00E464C1">
        <w:rPr>
          <w:rFonts w:ascii="Calibri" w:hAnsi="Calibri" w:cs="Calibri"/>
          <w:sz w:val="20"/>
          <w:szCs w:val="20"/>
        </w:rPr>
        <w:t>Even under a direct reporting model, many entities would still require third-party services to</w:t>
      </w:r>
    </w:p>
    <w:p w14:paraId="6BB54EC2" w14:textId="77777777" w:rsidR="00E464C1" w:rsidRPr="006B196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Extract data from internal systems.</w:t>
      </w:r>
    </w:p>
    <w:p w14:paraId="259B520D" w14:textId="77777777" w:rsidR="00E464C1" w:rsidRPr="00E464C1" w:rsidRDefault="00E464C1" w:rsidP="00E464C1">
      <w:pPr>
        <w:rPr>
          <w:rFonts w:ascii="Calibri" w:hAnsi="Calibri" w:cs="Calibri"/>
          <w:sz w:val="20"/>
          <w:szCs w:val="20"/>
        </w:rPr>
      </w:pPr>
    </w:p>
    <w:p w14:paraId="52A79403" w14:textId="77777777" w:rsidR="00E464C1" w:rsidRPr="006B196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Normalise and validate it against regulatory schemas.</w:t>
      </w:r>
    </w:p>
    <w:p w14:paraId="01E62863" w14:textId="77777777" w:rsidR="00E464C1" w:rsidRPr="00E464C1" w:rsidRDefault="00E464C1" w:rsidP="00E464C1">
      <w:pPr>
        <w:rPr>
          <w:rFonts w:ascii="Calibri" w:hAnsi="Calibri" w:cs="Calibri"/>
          <w:sz w:val="20"/>
          <w:szCs w:val="20"/>
        </w:rPr>
      </w:pPr>
    </w:p>
    <w:p w14:paraId="75A803A7" w14:textId="77777777" w:rsidR="00E464C1" w:rsidRPr="006B196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Ensure timely and accurate submission.</w:t>
      </w:r>
    </w:p>
    <w:p w14:paraId="49A10585" w14:textId="77777777" w:rsidR="00E464C1" w:rsidRDefault="00E464C1" w:rsidP="00E464C1">
      <w:pPr>
        <w:ind w:left="360"/>
        <w:jc w:val="both"/>
        <w:rPr>
          <w:rFonts w:ascii="Calibri" w:hAnsi="Calibri" w:cs="Calibri"/>
          <w:sz w:val="20"/>
          <w:szCs w:val="20"/>
        </w:rPr>
      </w:pPr>
    </w:p>
    <w:p w14:paraId="415DA6CB" w14:textId="77777777" w:rsidR="00E464C1" w:rsidRPr="006B196C" w:rsidRDefault="00E464C1" w:rsidP="00E464C1">
      <w:pPr>
        <w:ind w:left="360"/>
        <w:jc w:val="both"/>
        <w:rPr>
          <w:rFonts w:ascii="Calibri" w:hAnsi="Calibri" w:cs="Calibri"/>
          <w:sz w:val="20"/>
          <w:szCs w:val="20"/>
        </w:rPr>
      </w:pPr>
      <w:r w:rsidRPr="006B196C">
        <w:rPr>
          <w:rFonts w:ascii="Calibri" w:hAnsi="Calibri" w:cs="Calibri"/>
          <w:sz w:val="20"/>
          <w:szCs w:val="20"/>
        </w:rPr>
        <w:t>These services represent a significant portion of the reporting cost, which would remain unchanged regardless of the recipient (ESMA vs. NCA/TR/ARM).</w:t>
      </w:r>
    </w:p>
    <w:p w14:paraId="40D48DAB" w14:textId="77777777" w:rsidR="00E464C1" w:rsidRPr="00E464C1" w:rsidRDefault="00E464C1" w:rsidP="00E464C1">
      <w:pPr>
        <w:ind w:left="1068" w:hanging="360"/>
        <w:rPr>
          <w:rFonts w:ascii="Calibri" w:hAnsi="Calibri" w:cs="Calibri"/>
          <w:sz w:val="20"/>
          <w:szCs w:val="20"/>
        </w:rPr>
      </w:pPr>
    </w:p>
    <w:p w14:paraId="354B9D62" w14:textId="77777777" w:rsidR="00E464C1" w:rsidRDefault="00E464C1" w:rsidP="00E464C1">
      <w:pPr>
        <w:pStyle w:val="Prrafodelista"/>
        <w:numPr>
          <w:ilvl w:val="0"/>
          <w:numId w:val="49"/>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rPr>
      </w:pPr>
      <w:r w:rsidRPr="00D803A3">
        <w:rPr>
          <w:rFonts w:ascii="Calibri" w:hAnsi="Calibri" w:cs="Calibri"/>
          <w:b/>
          <w:bCs/>
          <w:sz w:val="20"/>
          <w:szCs w:val="20"/>
        </w:rPr>
        <w:t>Scalability and supervisory feasibility</w:t>
      </w:r>
    </w:p>
    <w:p w14:paraId="30E17E49" w14:textId="77777777" w:rsidR="00E464C1" w:rsidRPr="00E464C1" w:rsidRDefault="00E464C1" w:rsidP="00E464C1">
      <w:pPr>
        <w:ind w:left="1068" w:hanging="360"/>
        <w:rPr>
          <w:rFonts w:ascii="Calibri" w:hAnsi="Calibri" w:cs="Calibri"/>
          <w:b/>
          <w:bCs/>
          <w:sz w:val="20"/>
          <w:szCs w:val="20"/>
        </w:rPr>
      </w:pPr>
    </w:p>
    <w:p w14:paraId="575FB002" w14:textId="09E6AF45" w:rsidR="00E464C1" w:rsidRPr="00E464C1"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There are approximately 6,000 investment firms in the EU, in addition to thousands of financial and non-financial counterparties subject to EMIR and SFTR.</w:t>
      </w:r>
      <w:r>
        <w:rPr>
          <w:rFonts w:ascii="Calibri" w:hAnsi="Calibri" w:cs="Calibri"/>
          <w:sz w:val="20"/>
          <w:szCs w:val="20"/>
        </w:rPr>
        <w:t xml:space="preserve"> </w:t>
      </w:r>
      <w:r w:rsidRPr="00CD6BDE">
        <w:rPr>
          <w:rFonts w:ascii="Calibri" w:hAnsi="Calibri" w:cs="Calibri"/>
          <w:sz w:val="20"/>
          <w:szCs w:val="20"/>
        </w:rPr>
        <w:t>Expecting ESMA to manage direct relationships with all these entities—including onboarding, support, error handling, and data quality assurance—would be operationally overwhelming and could impact supervisors’ capacity to focus on their core functions. All entities involved in the reporting process (counterparties, service providers, vendors) would need to be onboarded with ESMA.</w:t>
      </w:r>
    </w:p>
    <w:p w14:paraId="0CF01944" w14:textId="77777777" w:rsidR="00E464C1" w:rsidRPr="006B196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This centralisation could lead to bottlenecks, delays, and reduced responsiveness, ultimately undermining the quality and timeliness of supervisory data.</w:t>
      </w:r>
    </w:p>
    <w:p w14:paraId="720605B0" w14:textId="77777777" w:rsidR="00E464C1" w:rsidRPr="006B196C" w:rsidRDefault="00E464C1" w:rsidP="00E464C1">
      <w:pPr>
        <w:ind w:left="360"/>
        <w:jc w:val="both"/>
        <w:rPr>
          <w:rFonts w:ascii="Calibri" w:hAnsi="Calibri" w:cs="Calibri"/>
          <w:sz w:val="20"/>
          <w:szCs w:val="20"/>
        </w:rPr>
      </w:pPr>
    </w:p>
    <w:p w14:paraId="6C1535C8" w14:textId="77777777" w:rsidR="00E464C1" w:rsidRDefault="00E464C1" w:rsidP="00E464C1">
      <w:pPr>
        <w:pStyle w:val="Prrafodelista"/>
        <w:numPr>
          <w:ilvl w:val="0"/>
          <w:numId w:val="49"/>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rPr>
      </w:pPr>
      <w:r w:rsidRPr="00D803A3">
        <w:rPr>
          <w:rFonts w:ascii="Calibri" w:hAnsi="Calibri" w:cs="Calibri"/>
          <w:b/>
          <w:bCs/>
          <w:sz w:val="20"/>
          <w:szCs w:val="20"/>
        </w:rPr>
        <w:t>Critical role of regulated reporting infrastructures</w:t>
      </w:r>
    </w:p>
    <w:p w14:paraId="04BD3BD0" w14:textId="77777777" w:rsidR="00E464C1" w:rsidRPr="00E464C1" w:rsidRDefault="00E464C1" w:rsidP="00E464C1">
      <w:pPr>
        <w:ind w:left="1068" w:hanging="360"/>
        <w:rPr>
          <w:rFonts w:ascii="Calibri" w:hAnsi="Calibri" w:cs="Calibri"/>
          <w:b/>
          <w:bCs/>
          <w:sz w:val="20"/>
          <w:szCs w:val="20"/>
        </w:rPr>
      </w:pPr>
    </w:p>
    <w:p w14:paraId="6AAC3B4E" w14:textId="77777777" w:rsidR="00E464C1" w:rsidRPr="006B196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ARMs and TRs currently act as buffers between firms and regulators, providing amongst others: first-level validation and enrichment; error feedback and reconciliation support; aggregation and formatting aligned with regulatory expectations.</w:t>
      </w:r>
    </w:p>
    <w:p w14:paraId="6C6C07A2" w14:textId="77777777" w:rsidR="00E464C1" w:rsidRPr="006B196C" w:rsidRDefault="00E464C1" w:rsidP="00E464C1">
      <w:pPr>
        <w:pStyle w:val="Prrafodelista"/>
        <w:numPr>
          <w:ilvl w:val="0"/>
          <w:numId w:val="0"/>
        </w:numPr>
        <w:ind w:left="1068"/>
        <w:rPr>
          <w:rFonts w:ascii="Calibri" w:hAnsi="Calibri" w:cs="Calibri"/>
          <w:sz w:val="20"/>
          <w:szCs w:val="20"/>
        </w:rPr>
      </w:pPr>
    </w:p>
    <w:p w14:paraId="076DCC10" w14:textId="77777777" w:rsidR="00E464C1" w:rsidRPr="00A11529"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ARMs and TRs have been operational for over a decade with proven operational infrastructure and have established: technical capabilities for high-volume data ingestion and validation; connectivity with thousands of market participants; processes for reconciliation, error feedback, and data enrichment.</w:t>
      </w:r>
      <w:r>
        <w:rPr>
          <w:rFonts w:ascii="Calibri" w:hAnsi="Calibri" w:cs="Calibri"/>
          <w:sz w:val="20"/>
          <w:szCs w:val="20"/>
        </w:rPr>
        <w:t xml:space="preserve"> </w:t>
      </w:r>
      <w:r w:rsidRPr="00CD6BDE">
        <w:rPr>
          <w:rFonts w:ascii="Calibri" w:hAnsi="Calibri" w:cs="Calibri"/>
          <w:sz w:val="20"/>
          <w:szCs w:val="20"/>
        </w:rPr>
        <w:t>Depending on the fees defined by ESMA, this solution might entail more costs for reporting entities, considering that they would need to cover the fees currently paid by TRs in addition to the reporting fees that they already pay to their ARM/TRs.</w:t>
      </w:r>
    </w:p>
    <w:p w14:paraId="1A3A3F2E" w14:textId="77777777" w:rsidR="00E464C1" w:rsidRPr="006B196C" w:rsidRDefault="00E464C1" w:rsidP="00E464C1">
      <w:pPr>
        <w:pStyle w:val="Prrafodelista"/>
        <w:numPr>
          <w:ilvl w:val="0"/>
          <w:numId w:val="0"/>
        </w:numPr>
        <w:ind w:left="1068"/>
        <w:rPr>
          <w:rFonts w:ascii="Calibri" w:hAnsi="Calibri" w:cs="Calibri"/>
          <w:sz w:val="20"/>
          <w:szCs w:val="20"/>
        </w:rPr>
      </w:pPr>
    </w:p>
    <w:p w14:paraId="4796987C" w14:textId="77777777" w:rsidR="00E464C1" w:rsidRPr="00122CF3"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lang w:val="en-US"/>
        </w:rPr>
      </w:pPr>
      <w:r w:rsidRPr="4396CCE2">
        <w:rPr>
          <w:rFonts w:ascii="Calibri" w:hAnsi="Calibri" w:cs="Calibri"/>
          <w:sz w:val="20"/>
          <w:szCs w:val="20"/>
        </w:rPr>
        <w:t xml:space="preserve">Regulated </w:t>
      </w:r>
      <w:r w:rsidRPr="006B196C">
        <w:rPr>
          <w:rFonts w:ascii="Calibri" w:hAnsi="Calibri" w:cs="Calibri"/>
          <w:sz w:val="20"/>
          <w:szCs w:val="20"/>
        </w:rPr>
        <w:t>reporting infrastructures providers contribute to data quality and supervision: ESMA has highlighted</w:t>
      </w:r>
      <w:r>
        <w:rPr>
          <w:rFonts w:ascii="Calibri" w:hAnsi="Calibri" w:cs="Calibri"/>
          <w:sz w:val="20"/>
          <w:szCs w:val="20"/>
        </w:rPr>
        <w:t xml:space="preserve"> (</w:t>
      </w:r>
      <w:hyperlink r:id="rId22" w:history="1">
        <w:r w:rsidRPr="004A467D">
          <w:rPr>
            <w:rStyle w:val="Hipervnculo"/>
          </w:rPr>
          <w:t>2024 Report on Quality and Use of Data</w:t>
        </w:r>
      </w:hyperlink>
      <w:r w:rsidRPr="004A467D">
        <w:rPr>
          <w:rFonts w:ascii="Calibri" w:hAnsi="Calibri" w:cs="Calibri"/>
          <w:sz w:val="20"/>
          <w:szCs w:val="20"/>
        </w:rPr>
        <w:t>)</w:t>
      </w:r>
      <w:r w:rsidRPr="006B196C">
        <w:rPr>
          <w:rFonts w:ascii="Calibri" w:hAnsi="Calibri" w:cs="Calibri"/>
          <w:sz w:val="20"/>
          <w:szCs w:val="20"/>
        </w:rPr>
        <w:t xml:space="preserve"> the progressive improvement in data quality thanks to the role of TRs. These infrastructures: perform first-level validation of reports; facilitate reconciliation between counterparties and provide aggregated data to NCAs and ESMA for systemic risk monitoring.</w:t>
      </w:r>
      <w:r>
        <w:rPr>
          <w:rFonts w:ascii="Calibri" w:hAnsi="Calibri" w:cs="Calibri"/>
          <w:sz w:val="20"/>
          <w:szCs w:val="20"/>
        </w:rPr>
        <w:t xml:space="preserve"> </w:t>
      </w:r>
      <w:r w:rsidRPr="006B196C">
        <w:rPr>
          <w:rFonts w:ascii="Calibri" w:hAnsi="Calibri" w:cs="Calibri"/>
          <w:sz w:val="20"/>
          <w:szCs w:val="20"/>
          <w:lang w:val="en-US"/>
        </w:rPr>
        <w:t>Entities would no longer have access to functionalities/services currently provided by TRs that facilitate the reporting, data access, and the resolution of reporting issues. For example, standard functionalities provided by TRs include live searches and ad-hoc reports, data quality assessments, statistical information, or bilateral support.</w:t>
      </w:r>
    </w:p>
    <w:p w14:paraId="77649F8A" w14:textId="77777777" w:rsidR="00E464C1" w:rsidRPr="00D803A3" w:rsidRDefault="00E464C1" w:rsidP="00E464C1">
      <w:pPr>
        <w:ind w:left="360"/>
        <w:rPr>
          <w:rFonts w:ascii="Calibri" w:hAnsi="Calibri" w:cs="Calibri"/>
          <w:sz w:val="20"/>
          <w:szCs w:val="20"/>
          <w:lang w:val="en-US"/>
        </w:rPr>
      </w:pPr>
    </w:p>
    <w:p w14:paraId="6A4970CF" w14:textId="77777777" w:rsidR="00E464C1" w:rsidRPr="00A11529"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rPr>
      </w:pPr>
      <w:r w:rsidRPr="006B196C">
        <w:rPr>
          <w:rFonts w:ascii="Calibri" w:hAnsi="Calibri" w:cs="Calibri"/>
          <w:sz w:val="20"/>
          <w:szCs w:val="20"/>
        </w:rPr>
        <w:t>The maturity of</w:t>
      </w:r>
      <w:r w:rsidRPr="4396CCE2" w:rsidDel="466AF38A">
        <w:rPr>
          <w:rFonts w:ascii="Calibri" w:hAnsi="Calibri" w:cs="Calibri"/>
          <w:sz w:val="20"/>
          <w:szCs w:val="20"/>
        </w:rPr>
        <w:t xml:space="preserve"> </w:t>
      </w:r>
      <w:r w:rsidRPr="4396CCE2">
        <w:rPr>
          <w:rFonts w:ascii="Calibri" w:hAnsi="Calibri" w:cs="Calibri"/>
          <w:sz w:val="20"/>
          <w:szCs w:val="20"/>
        </w:rPr>
        <w:t>regulated</w:t>
      </w:r>
      <w:r w:rsidRPr="006B196C">
        <w:rPr>
          <w:rFonts w:ascii="Calibri" w:hAnsi="Calibri" w:cs="Calibri"/>
          <w:sz w:val="20"/>
          <w:szCs w:val="20"/>
        </w:rPr>
        <w:t xml:space="preserve"> reporting infrastructure providers reduces the risk of disruption and ensures continuity in regulatory oversight.</w:t>
      </w:r>
      <w:r>
        <w:rPr>
          <w:rFonts w:ascii="Calibri" w:hAnsi="Calibri" w:cs="Calibri"/>
          <w:sz w:val="20"/>
          <w:szCs w:val="20"/>
        </w:rPr>
        <w:t xml:space="preserve"> </w:t>
      </w:r>
      <w:r w:rsidRPr="006B196C">
        <w:rPr>
          <w:rFonts w:ascii="Calibri" w:hAnsi="Calibri" w:cs="Calibri"/>
          <w:sz w:val="20"/>
          <w:szCs w:val="20"/>
          <w:lang w:val="en-US"/>
        </w:rPr>
        <w:t>ESMA would need to replicate all processes currently implemented by TRs. For example, ESMA would need to start validating reports from counterparties, verifying permissions from third parties, calculating latest state of derivatives, reconciling internally all data, calculating outliers, aggregating data for position calculation and public data purposes, performing LEI Updates, or filtering all reports for each NCA/NCB</w:t>
      </w:r>
      <w:r>
        <w:rPr>
          <w:rFonts w:ascii="Calibri" w:hAnsi="Calibri" w:cs="Calibri"/>
          <w:sz w:val="20"/>
          <w:szCs w:val="20"/>
          <w:lang w:val="en-US"/>
        </w:rPr>
        <w:t>. Moreover, w</w:t>
      </w:r>
      <w:r w:rsidRPr="006B196C">
        <w:rPr>
          <w:rFonts w:ascii="Calibri" w:hAnsi="Calibri" w:cs="Calibri"/>
          <w:sz w:val="20"/>
          <w:szCs w:val="20"/>
          <w:lang w:val="en-US"/>
        </w:rPr>
        <w:t>ith the dismantling of TRs, all data currently record-kept and stored by them (including legacy data) would need to be transferred to ESMA to ensure continuity of the reporting. For example, while ESMA receives from TRs the latest state of outstanding derivatives, only TRs currently have the latest state of non-outstanding derivatives, as well as intermediate states that are relevant for the calculation of historical updates/corrections for counterparties</w:t>
      </w:r>
      <w:r>
        <w:rPr>
          <w:rFonts w:ascii="Calibri" w:hAnsi="Calibri" w:cs="Calibri"/>
          <w:sz w:val="20"/>
          <w:szCs w:val="20"/>
          <w:lang w:val="en-US"/>
        </w:rPr>
        <w:t>.</w:t>
      </w:r>
    </w:p>
    <w:p w14:paraId="1E79A2D2" w14:textId="77777777" w:rsidR="00E464C1" w:rsidRPr="006B196C" w:rsidRDefault="00E464C1" w:rsidP="00E464C1">
      <w:pPr>
        <w:ind w:left="360"/>
        <w:jc w:val="both"/>
        <w:rPr>
          <w:rFonts w:ascii="Calibri" w:hAnsi="Calibri" w:cs="Calibri"/>
          <w:sz w:val="20"/>
          <w:szCs w:val="20"/>
        </w:rPr>
      </w:pPr>
    </w:p>
    <w:p w14:paraId="3B68222A" w14:textId="77777777" w:rsidR="00E464C1" w:rsidRPr="00A11529"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In terms of cost efficiency and market familiarity, replacing ARMs and TRs with a new centralised system would require significant investment in new infrastructure; impose transition costs on both regulators and market participants, or risk data loss or inconsistency during migration. Retaining existing infrastructures avoids these costs while leveraging systems that market participants already understand and use.</w:t>
      </w:r>
      <w:r>
        <w:rPr>
          <w:rFonts w:ascii="Calibri" w:hAnsi="Calibri" w:cs="Calibri"/>
          <w:sz w:val="20"/>
          <w:szCs w:val="20"/>
        </w:rPr>
        <w:t xml:space="preserve"> </w:t>
      </w:r>
      <w:r w:rsidRPr="00122CF3">
        <w:rPr>
          <w:rFonts w:ascii="Calibri" w:hAnsi="Calibri" w:cs="Calibri"/>
          <w:sz w:val="20"/>
          <w:szCs w:val="20"/>
        </w:rPr>
        <w:t xml:space="preserve">The current model, where </w:t>
      </w:r>
      <w:r>
        <w:rPr>
          <w:rFonts w:ascii="Calibri" w:hAnsi="Calibri" w:cs="Calibri"/>
          <w:sz w:val="20"/>
          <w:szCs w:val="20"/>
        </w:rPr>
        <w:t>TRs/ARMs</w:t>
      </w:r>
      <w:r w:rsidRPr="00122CF3" w:rsidDel="0044639C">
        <w:rPr>
          <w:rFonts w:ascii="Calibri" w:hAnsi="Calibri" w:cs="Calibri"/>
          <w:sz w:val="20"/>
          <w:szCs w:val="20"/>
        </w:rPr>
        <w:t xml:space="preserve"> </w:t>
      </w:r>
      <w:r w:rsidRPr="00122CF3">
        <w:rPr>
          <w:rFonts w:ascii="Calibri" w:hAnsi="Calibri" w:cs="Calibri"/>
          <w:sz w:val="20"/>
          <w:szCs w:val="20"/>
        </w:rPr>
        <w:t xml:space="preserve">function as </w:t>
      </w:r>
      <w:r>
        <w:rPr>
          <w:rFonts w:ascii="Calibri" w:hAnsi="Calibri" w:cs="Calibri"/>
          <w:sz w:val="20"/>
          <w:szCs w:val="20"/>
        </w:rPr>
        <w:t>m</w:t>
      </w:r>
      <w:r w:rsidRPr="00122CF3">
        <w:rPr>
          <w:rFonts w:ascii="Calibri" w:hAnsi="Calibri" w:cs="Calibri"/>
          <w:sz w:val="20"/>
          <w:szCs w:val="20"/>
        </w:rPr>
        <w:t xml:space="preserve">arket </w:t>
      </w:r>
      <w:r w:rsidRPr="00D803A3" w:rsidDel="0044639C">
        <w:rPr>
          <w:rFonts w:ascii="Calibri" w:hAnsi="Calibri" w:cs="Calibri"/>
          <w:sz w:val="20"/>
          <w:szCs w:val="20"/>
        </w:rPr>
        <w:t xml:space="preserve">infrastructures </w:t>
      </w:r>
      <w:r w:rsidRPr="00D803A3">
        <w:rPr>
          <w:rFonts w:ascii="Calibri" w:hAnsi="Calibri" w:cs="Calibri"/>
          <w:sz w:val="20"/>
          <w:szCs w:val="20"/>
        </w:rPr>
        <w:t>and ESMA as a supervisory authority, has been progress</w:t>
      </w:r>
      <w:r w:rsidRPr="00122CF3">
        <w:rPr>
          <w:rFonts w:ascii="Calibri" w:hAnsi="Calibri" w:cs="Calibri"/>
          <w:sz w:val="20"/>
          <w:szCs w:val="20"/>
        </w:rPr>
        <w:t xml:space="preserve">ively refined and strengthened over the years. This maturity brings operational stability and regulatory familiarity, which would be lost if a new data hub model were built from scratch. In addition, </w:t>
      </w:r>
      <w:r>
        <w:rPr>
          <w:rFonts w:ascii="Calibri" w:hAnsi="Calibri" w:cs="Calibri"/>
          <w:sz w:val="20"/>
          <w:szCs w:val="20"/>
        </w:rPr>
        <w:t>l</w:t>
      </w:r>
      <w:proofErr w:type="spellStart"/>
      <w:r w:rsidRPr="006B196C">
        <w:rPr>
          <w:rFonts w:ascii="Calibri" w:hAnsi="Calibri" w:cs="Calibri"/>
          <w:sz w:val="20"/>
          <w:szCs w:val="20"/>
          <w:lang w:val="en-US"/>
        </w:rPr>
        <w:t>everaging</w:t>
      </w:r>
      <w:proofErr w:type="spellEnd"/>
      <w:r w:rsidRPr="006B196C">
        <w:rPr>
          <w:rFonts w:ascii="Calibri" w:hAnsi="Calibri" w:cs="Calibri"/>
          <w:sz w:val="20"/>
          <w:szCs w:val="20"/>
          <w:lang w:val="en-US"/>
        </w:rPr>
        <w:t xml:space="preserve"> existing TR infrastructure avoids the significant costs and complexities associated with developing a new </w:t>
      </w:r>
      <w:proofErr w:type="spellStart"/>
      <w:r w:rsidRPr="006B196C">
        <w:rPr>
          <w:rFonts w:ascii="Calibri" w:hAnsi="Calibri" w:cs="Calibri"/>
          <w:sz w:val="20"/>
          <w:szCs w:val="20"/>
          <w:lang w:val="en-US"/>
        </w:rPr>
        <w:t>centrali</w:t>
      </w:r>
      <w:r>
        <w:rPr>
          <w:rFonts w:ascii="Calibri" w:hAnsi="Calibri" w:cs="Calibri"/>
          <w:sz w:val="20"/>
          <w:szCs w:val="20"/>
          <w:lang w:val="en-US"/>
        </w:rPr>
        <w:t>s</w:t>
      </w:r>
      <w:r w:rsidRPr="006B196C">
        <w:rPr>
          <w:rFonts w:ascii="Calibri" w:hAnsi="Calibri" w:cs="Calibri"/>
          <w:sz w:val="20"/>
          <w:szCs w:val="20"/>
          <w:lang w:val="en-US"/>
        </w:rPr>
        <w:t>ed</w:t>
      </w:r>
      <w:proofErr w:type="spellEnd"/>
      <w:r w:rsidRPr="006B196C">
        <w:rPr>
          <w:rFonts w:ascii="Calibri" w:hAnsi="Calibri" w:cs="Calibri"/>
          <w:sz w:val="20"/>
          <w:szCs w:val="20"/>
          <w:lang w:val="en-US"/>
        </w:rPr>
        <w:t xml:space="preserve"> data hub. Replacing TRs</w:t>
      </w:r>
      <w:r>
        <w:rPr>
          <w:rFonts w:ascii="Calibri" w:hAnsi="Calibri" w:cs="Calibri"/>
          <w:sz w:val="20"/>
          <w:szCs w:val="20"/>
          <w:lang w:val="en-US"/>
        </w:rPr>
        <w:t xml:space="preserve"> and ARMs</w:t>
      </w:r>
      <w:r w:rsidRPr="006B196C">
        <w:rPr>
          <w:rFonts w:ascii="Calibri" w:hAnsi="Calibri" w:cs="Calibri"/>
          <w:sz w:val="20"/>
          <w:szCs w:val="20"/>
          <w:lang w:val="en-US"/>
        </w:rPr>
        <w:t xml:space="preserve"> with ESMA as the sole data processor could result in duplication of efforts and increased financial burden for both regulators and market participants</w:t>
      </w:r>
      <w:r>
        <w:rPr>
          <w:rFonts w:ascii="Calibri" w:hAnsi="Calibri" w:cs="Calibri"/>
          <w:sz w:val="20"/>
          <w:szCs w:val="20"/>
          <w:lang w:val="en-US"/>
        </w:rPr>
        <w:t>.</w:t>
      </w:r>
    </w:p>
    <w:p w14:paraId="24F370DD" w14:textId="77777777" w:rsidR="00E464C1" w:rsidRPr="006B196C" w:rsidRDefault="00E464C1" w:rsidP="00E464C1">
      <w:pPr>
        <w:jc w:val="both"/>
        <w:rPr>
          <w:rFonts w:ascii="Calibri" w:hAnsi="Calibri" w:cs="Calibri"/>
          <w:sz w:val="20"/>
          <w:szCs w:val="20"/>
        </w:rPr>
      </w:pPr>
    </w:p>
    <w:p w14:paraId="2A3D8C54" w14:textId="77777777" w:rsidR="00E464C1"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6B196C">
        <w:rPr>
          <w:rFonts w:ascii="Calibri" w:hAnsi="Calibri" w:cs="Calibri"/>
          <w:sz w:val="20"/>
          <w:szCs w:val="20"/>
        </w:rPr>
        <w:t>In terms of regulatory oversight and accountability, ARMs and TRs are supervised entities, subject to ESMA registration and ongoing compliance obligations. This ensures accountability for data quality and operational resilience; transparency in how data is handled and shared; and alignment with evolving regulatory requirements.</w:t>
      </w:r>
    </w:p>
    <w:p w14:paraId="163D3548" w14:textId="77777777" w:rsidR="00E464C1" w:rsidRDefault="00E464C1" w:rsidP="00E464C1">
      <w:pPr>
        <w:jc w:val="both"/>
        <w:rPr>
          <w:rFonts w:ascii="Calibri" w:hAnsi="Calibri" w:cs="Calibri"/>
          <w:sz w:val="20"/>
          <w:szCs w:val="20"/>
        </w:rPr>
      </w:pPr>
    </w:p>
    <w:p w14:paraId="4531B890" w14:textId="77777777" w:rsidR="00E464C1" w:rsidRPr="00A11529"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lang w:val="en-US"/>
        </w:rPr>
      </w:pPr>
      <w:r w:rsidRPr="005B4607">
        <w:rPr>
          <w:rFonts w:ascii="Calibri" w:hAnsi="Calibri" w:cs="Calibri"/>
          <w:sz w:val="20"/>
          <w:szCs w:val="20"/>
        </w:rPr>
        <w:t xml:space="preserve">Removing regulated reporting infrastructure providers would place full technical and compliance burden on firms, some of which lack the internal capacity to manage this directly. In addition, removing the data quality control arrangements, validations and enrichment delivered by </w:t>
      </w:r>
      <w:r>
        <w:rPr>
          <w:rFonts w:ascii="Calibri" w:hAnsi="Calibri" w:cs="Calibri"/>
          <w:sz w:val="20"/>
          <w:szCs w:val="20"/>
        </w:rPr>
        <w:t>regulated</w:t>
      </w:r>
      <w:r w:rsidRPr="005B4607">
        <w:rPr>
          <w:rFonts w:ascii="Calibri" w:hAnsi="Calibri" w:cs="Calibri"/>
          <w:sz w:val="20"/>
          <w:szCs w:val="20"/>
        </w:rPr>
        <w:t xml:space="preserve"> reporting infrastructure providers might have a detrimental effect on data quality, accuracy and timeliness.</w:t>
      </w:r>
    </w:p>
    <w:p w14:paraId="1F824900" w14:textId="77777777" w:rsidR="00E464C1" w:rsidRPr="005B4607" w:rsidRDefault="00E464C1" w:rsidP="00E464C1">
      <w:pPr>
        <w:jc w:val="both"/>
        <w:rPr>
          <w:rFonts w:ascii="Calibri" w:hAnsi="Calibri" w:cs="Calibri"/>
          <w:sz w:val="20"/>
          <w:szCs w:val="20"/>
          <w:lang w:val="en-US"/>
        </w:rPr>
      </w:pPr>
    </w:p>
    <w:p w14:paraId="643752EC" w14:textId="77777777" w:rsidR="00E464C1" w:rsidRDefault="00E464C1" w:rsidP="00E464C1">
      <w:pPr>
        <w:pStyle w:val="Prrafodelista"/>
        <w:numPr>
          <w:ilvl w:val="0"/>
          <w:numId w:val="49"/>
        </w:numPr>
        <w:tabs>
          <w:tab w:val="clear" w:pos="0"/>
          <w:tab w:val="clear" w:pos="142"/>
          <w:tab w:val="clear" w:pos="284"/>
          <w:tab w:val="clear" w:pos="567"/>
        </w:tabs>
        <w:autoSpaceDE/>
        <w:autoSpaceDN/>
        <w:adjustRightInd/>
        <w:spacing w:line="240" w:lineRule="auto"/>
        <w:contextualSpacing/>
        <w:rPr>
          <w:rFonts w:ascii="Calibri" w:hAnsi="Calibri" w:cs="Calibri"/>
          <w:b/>
          <w:sz w:val="20"/>
          <w:szCs w:val="20"/>
        </w:rPr>
      </w:pPr>
      <w:r w:rsidRPr="00D803A3">
        <w:rPr>
          <w:rFonts w:ascii="Calibri" w:hAnsi="Calibri" w:cs="Calibri"/>
          <w:b/>
          <w:sz w:val="20"/>
          <w:szCs w:val="20"/>
        </w:rPr>
        <w:t>Global vs. EU reporting channel</w:t>
      </w:r>
    </w:p>
    <w:p w14:paraId="39752457" w14:textId="77777777" w:rsidR="00E464C1" w:rsidRPr="00E464C1" w:rsidRDefault="00E464C1" w:rsidP="00E464C1">
      <w:pPr>
        <w:ind w:left="1068" w:hanging="360"/>
        <w:rPr>
          <w:rFonts w:ascii="Calibri" w:hAnsi="Calibri" w:cs="Calibri"/>
          <w:b/>
          <w:bCs/>
          <w:sz w:val="20"/>
          <w:szCs w:val="20"/>
        </w:rPr>
      </w:pPr>
    </w:p>
    <w:p w14:paraId="5DFFFA11" w14:textId="77777777" w:rsidR="00E464C1" w:rsidRPr="006B196C" w:rsidRDefault="00E464C1" w:rsidP="00E464C1">
      <w:pPr>
        <w:pStyle w:val="Prrafodelista"/>
        <w:numPr>
          <w:ilvl w:val="0"/>
          <w:numId w:val="47"/>
        </w:numPr>
        <w:tabs>
          <w:tab w:val="clear" w:pos="0"/>
          <w:tab w:val="clear" w:pos="142"/>
          <w:tab w:val="clear" w:pos="284"/>
          <w:tab w:val="clear" w:pos="567"/>
        </w:tabs>
        <w:autoSpaceDE/>
        <w:autoSpaceDN/>
        <w:adjustRightInd/>
        <w:spacing w:after="80" w:line="240" w:lineRule="auto"/>
        <w:ind w:left="1068"/>
        <w:contextualSpacing/>
        <w:rPr>
          <w:rFonts w:ascii="Calibri" w:hAnsi="Calibri" w:cs="Calibri"/>
          <w:sz w:val="20"/>
          <w:szCs w:val="20"/>
        </w:rPr>
      </w:pPr>
      <w:r w:rsidRPr="00C967E2">
        <w:rPr>
          <w:rFonts w:ascii="Calibri" w:hAnsi="Calibri" w:cs="Calibri"/>
          <w:sz w:val="20"/>
          <w:szCs w:val="20"/>
        </w:rPr>
        <w:t xml:space="preserve">While reporting directly to ESMA would address the issue of a “single reporting channel” within the EU, it would not resolve the challenge for entities with global reporting obligations. For example, entities may still need to report derivative data to a UK TR of their choice, making the ESMA channel an additional reporting route rather than a consolidated one. </w:t>
      </w:r>
    </w:p>
    <w:p w14:paraId="40293D8F" w14:textId="77777777" w:rsidR="00E464C1" w:rsidRPr="006B196C" w:rsidRDefault="00E464C1" w:rsidP="00E464C1">
      <w:pPr>
        <w:tabs>
          <w:tab w:val="left" w:pos="1052"/>
        </w:tabs>
        <w:jc w:val="both"/>
        <w:rPr>
          <w:rFonts w:ascii="Calibri" w:hAnsi="Calibri" w:cs="Calibri"/>
          <w:sz w:val="20"/>
          <w:szCs w:val="20"/>
          <w:lang w:val="en-US"/>
        </w:rPr>
      </w:pPr>
    </w:p>
    <w:p w14:paraId="092B798F" w14:textId="77777777" w:rsidR="00E464C1" w:rsidRPr="006B196C" w:rsidRDefault="00E464C1" w:rsidP="00E464C1">
      <w:pPr>
        <w:tabs>
          <w:tab w:val="left" w:pos="1052"/>
        </w:tabs>
        <w:jc w:val="both"/>
        <w:rPr>
          <w:rFonts w:ascii="Calibri" w:hAnsi="Calibri" w:cs="Calibri"/>
          <w:sz w:val="20"/>
          <w:szCs w:val="20"/>
          <w:lang w:val="en-US"/>
        </w:rPr>
      </w:pPr>
      <w:r w:rsidRPr="006B196C">
        <w:rPr>
          <w:rFonts w:ascii="Calibri" w:hAnsi="Calibri" w:cs="Calibri"/>
          <w:sz w:val="20"/>
          <w:szCs w:val="20"/>
          <w:lang w:val="en-US"/>
        </w:rPr>
        <w:t>Therefore, whereas we find the consolidation of reporting channels</w:t>
      </w:r>
      <w:r w:rsidRPr="4396CCE2">
        <w:rPr>
          <w:rFonts w:ascii="Calibri" w:hAnsi="Calibri" w:cs="Calibri"/>
          <w:sz w:val="20"/>
          <w:szCs w:val="20"/>
          <w:lang w:val="en-US"/>
        </w:rPr>
        <w:t xml:space="preserve"> beneficial</w:t>
      </w:r>
      <w:r w:rsidRPr="006B196C">
        <w:rPr>
          <w:rFonts w:ascii="Calibri" w:hAnsi="Calibri" w:cs="Calibri"/>
          <w:sz w:val="20"/>
          <w:szCs w:val="20"/>
          <w:lang w:val="en-US"/>
        </w:rPr>
        <w:t>, entities should report</w:t>
      </w:r>
      <w:r>
        <w:rPr>
          <w:rFonts w:ascii="Calibri" w:hAnsi="Calibri" w:cs="Calibri"/>
          <w:sz w:val="20"/>
          <w:szCs w:val="20"/>
          <w:lang w:val="en-US"/>
        </w:rPr>
        <w:t xml:space="preserve"> </w:t>
      </w:r>
      <w:r w:rsidRPr="006B196C">
        <w:rPr>
          <w:rFonts w:ascii="Calibri" w:hAnsi="Calibri" w:cs="Calibri"/>
          <w:sz w:val="20"/>
          <w:szCs w:val="20"/>
          <w:lang w:val="en-US"/>
        </w:rPr>
        <w:t xml:space="preserve">(MiFIR/EMIR and SFTR) to </w:t>
      </w:r>
      <w:r w:rsidRPr="005B4607">
        <w:rPr>
          <w:rFonts w:ascii="Calibri" w:hAnsi="Calibri" w:cs="Calibri"/>
          <w:sz w:val="20"/>
          <w:szCs w:val="20"/>
        </w:rPr>
        <w:t>regulated reporting infrastructures</w:t>
      </w:r>
      <w:r w:rsidRPr="007A47BC">
        <w:rPr>
          <w:rFonts w:ascii="Calibri" w:hAnsi="Calibri" w:cs="Calibri"/>
          <w:sz w:val="20"/>
          <w:szCs w:val="20"/>
          <w:lang w:val="en-US"/>
        </w:rPr>
        <w:t xml:space="preserve"> </w:t>
      </w:r>
      <w:r w:rsidRPr="006B196C">
        <w:rPr>
          <w:rFonts w:ascii="Calibri" w:hAnsi="Calibri" w:cs="Calibri"/>
          <w:sz w:val="20"/>
          <w:szCs w:val="20"/>
          <w:lang w:val="en-US"/>
        </w:rPr>
        <w:t>and NCAs access to this data from ESMA’s TRACE hub as their single point of access.</w:t>
      </w:r>
    </w:p>
    <w:p w14:paraId="63E317EC" w14:textId="77777777" w:rsidR="00E464C1" w:rsidRPr="006B196C" w:rsidRDefault="00E464C1" w:rsidP="00E464C1">
      <w:pPr>
        <w:jc w:val="both"/>
        <w:rPr>
          <w:sz w:val="20"/>
          <w:szCs w:val="20"/>
          <w:lang w:val="en-US"/>
        </w:rPr>
      </w:pPr>
    </w:p>
    <w:p w14:paraId="1A19A2B0" w14:textId="77777777" w:rsidR="00E464C1" w:rsidRPr="00122CF3" w:rsidRDefault="00E464C1" w:rsidP="00E464C1">
      <w:pPr>
        <w:jc w:val="both"/>
        <w:rPr>
          <w:rFonts w:ascii="Calibri" w:hAnsi="Calibri" w:cs="Calibri"/>
          <w:sz w:val="20"/>
          <w:szCs w:val="20"/>
        </w:rPr>
      </w:pPr>
      <w:r w:rsidRPr="00122CF3">
        <w:rPr>
          <w:rFonts w:ascii="Calibri" w:hAnsi="Calibri" w:cs="Calibri"/>
          <w:sz w:val="20"/>
          <w:szCs w:val="20"/>
        </w:rPr>
        <w:t>In summary, it is worth considering whether this responsibility might be better placed outside ESMA, allowing the authority to remain focused on its core regulatory mandate. In this context, ESMA’s role could be more effectively directed toward overseeing outcomes rather than managing delivery processes.</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5919B9C" w14:textId="77777777" w:rsidR="00E464C1" w:rsidRPr="006B196C" w:rsidRDefault="00E464C1" w:rsidP="00E464C1">
      <w:pPr>
        <w:jc w:val="both"/>
        <w:rPr>
          <w:rFonts w:ascii="Calibri" w:hAnsi="Calibri" w:cs="Calibri"/>
          <w:sz w:val="20"/>
          <w:szCs w:val="20"/>
        </w:rPr>
      </w:pPr>
      <w:permStart w:id="817709938" w:edGrp="everyone"/>
      <w:r w:rsidRPr="008D3F8F">
        <w:rPr>
          <w:rFonts w:ascii="Calibri" w:hAnsi="Calibri" w:cs="Calibri"/>
          <w:sz w:val="20"/>
          <w:szCs w:val="20"/>
        </w:rPr>
        <w:t>Centralisation of reporting through a reduction in reporting channels can contribute to cost efficiencies for the industry</w:t>
      </w:r>
      <w:r w:rsidRPr="006B196C">
        <w:rPr>
          <w:rFonts w:ascii="Calibri" w:hAnsi="Calibri" w:cs="Calibri"/>
          <w:sz w:val="20"/>
          <w:szCs w:val="20"/>
        </w:rPr>
        <w:t>. However, this centrali</w:t>
      </w:r>
      <w:r>
        <w:rPr>
          <w:rFonts w:ascii="Calibri" w:hAnsi="Calibri" w:cs="Calibri"/>
          <w:sz w:val="20"/>
          <w:szCs w:val="20"/>
        </w:rPr>
        <w:t>s</w:t>
      </w:r>
      <w:r w:rsidRPr="006B196C">
        <w:rPr>
          <w:rFonts w:ascii="Calibri" w:hAnsi="Calibri" w:cs="Calibri"/>
          <w:sz w:val="20"/>
          <w:szCs w:val="20"/>
        </w:rPr>
        <w:t xml:space="preserve">ation should be understood as the possibility (not </w:t>
      </w:r>
      <w:r>
        <w:rPr>
          <w:rFonts w:ascii="Calibri" w:hAnsi="Calibri" w:cs="Calibri"/>
          <w:sz w:val="20"/>
          <w:szCs w:val="20"/>
        </w:rPr>
        <w:t>an</w:t>
      </w:r>
      <w:r w:rsidRPr="006B196C">
        <w:rPr>
          <w:rFonts w:ascii="Calibri" w:hAnsi="Calibri" w:cs="Calibri"/>
          <w:sz w:val="20"/>
          <w:szCs w:val="20"/>
        </w:rPr>
        <w:t xml:space="preserve"> obligation), for a given entity to report all their flows to a given </w:t>
      </w:r>
      <w:r>
        <w:rPr>
          <w:rFonts w:ascii="Calibri" w:hAnsi="Calibri" w:cs="Calibri"/>
          <w:sz w:val="20"/>
          <w:szCs w:val="20"/>
        </w:rPr>
        <w:t>regulated reporting infrastructure</w:t>
      </w:r>
      <w:r w:rsidRPr="006B196C">
        <w:rPr>
          <w:rFonts w:ascii="Calibri" w:hAnsi="Calibri" w:cs="Calibri"/>
          <w:sz w:val="20"/>
          <w:szCs w:val="20"/>
        </w:rPr>
        <w:t xml:space="preserve">. In this regard, maintaining multiple </w:t>
      </w:r>
      <w:r>
        <w:rPr>
          <w:rFonts w:ascii="Calibri" w:hAnsi="Calibri" w:cs="Calibri"/>
          <w:sz w:val="20"/>
          <w:szCs w:val="20"/>
        </w:rPr>
        <w:t>regulated reporting infrastructures</w:t>
      </w:r>
      <w:r w:rsidRPr="006B196C">
        <w:rPr>
          <w:rFonts w:ascii="Calibri" w:hAnsi="Calibri" w:cs="Calibri"/>
          <w:sz w:val="20"/>
          <w:szCs w:val="20"/>
        </w:rPr>
        <w:t xml:space="preserve"> that offer the reporting of all three (EMIR, SFTR, MiFIR) reporting will give a </w:t>
      </w:r>
      <w:r w:rsidRPr="006B196C">
        <w:rPr>
          <w:rFonts w:ascii="Calibri" w:hAnsi="Calibri" w:cs="Calibri"/>
          <w:sz w:val="20"/>
          <w:szCs w:val="20"/>
        </w:rPr>
        <w:lastRenderedPageBreak/>
        <w:t xml:space="preserve">choice to counterparties, benefit entities from a competitive advantage – leading to </w:t>
      </w:r>
      <w:r>
        <w:rPr>
          <w:rFonts w:ascii="Calibri" w:hAnsi="Calibri" w:cs="Calibri"/>
          <w:sz w:val="20"/>
          <w:szCs w:val="20"/>
        </w:rPr>
        <w:t>improved data quality</w:t>
      </w:r>
      <w:r w:rsidRPr="006B196C">
        <w:rPr>
          <w:rFonts w:ascii="Calibri" w:hAnsi="Calibri" w:cs="Calibri"/>
          <w:sz w:val="20"/>
          <w:szCs w:val="20"/>
        </w:rPr>
        <w:t xml:space="preserve"> and lower fees – without becoming vulnerable to external geopolitical pressures.</w:t>
      </w:r>
    </w:p>
    <w:p w14:paraId="0E0B712A" w14:textId="77777777" w:rsidR="00E464C1" w:rsidRPr="006B196C" w:rsidRDefault="00E464C1" w:rsidP="00E464C1">
      <w:pPr>
        <w:jc w:val="both"/>
        <w:rPr>
          <w:rFonts w:ascii="Calibri" w:hAnsi="Calibri" w:cs="Calibri"/>
          <w:sz w:val="20"/>
          <w:szCs w:val="20"/>
        </w:rPr>
      </w:pPr>
    </w:p>
    <w:p w14:paraId="6801024A" w14:textId="77777777" w:rsidR="00E464C1" w:rsidRDefault="00E464C1" w:rsidP="00E464C1">
      <w:pPr>
        <w:jc w:val="both"/>
        <w:rPr>
          <w:rFonts w:ascii="Calibri" w:hAnsi="Calibri" w:cs="Calibri"/>
          <w:sz w:val="20"/>
          <w:szCs w:val="20"/>
        </w:rPr>
      </w:pPr>
      <w:r>
        <w:rPr>
          <w:rFonts w:ascii="Calibri" w:hAnsi="Calibri" w:cs="Calibri"/>
          <w:sz w:val="20"/>
          <w:szCs w:val="20"/>
        </w:rPr>
        <w:t xml:space="preserve">Additional challenges of centralisation entail </w:t>
      </w:r>
      <w:r w:rsidRPr="00BC1816">
        <w:rPr>
          <w:rFonts w:ascii="Calibri" w:hAnsi="Calibri" w:cs="Calibri"/>
          <w:sz w:val="20"/>
          <w:szCs w:val="20"/>
        </w:rPr>
        <w:t>increased administrative complexity, higher operational costs, and the difficulty of managing a broader ecosystem with more stakeholders.</w:t>
      </w:r>
      <w:r>
        <w:rPr>
          <w:rFonts w:ascii="Calibri" w:hAnsi="Calibri" w:cs="Calibri"/>
          <w:sz w:val="20"/>
          <w:szCs w:val="20"/>
        </w:rPr>
        <w:t xml:space="preserve"> Moreover,</w:t>
      </w:r>
      <w:r w:rsidRPr="00122CF3">
        <w:rPr>
          <w:rFonts w:ascii="Calibri" w:hAnsi="Calibri" w:cs="Calibri"/>
          <w:sz w:val="20"/>
          <w:szCs w:val="20"/>
        </w:rPr>
        <w:t xml:space="preserve"> it may slow down the implementation of changes</w:t>
      </w:r>
      <w:r>
        <w:rPr>
          <w:rFonts w:ascii="Calibri" w:hAnsi="Calibri" w:cs="Calibri"/>
          <w:sz w:val="20"/>
          <w:szCs w:val="20"/>
        </w:rPr>
        <w:t xml:space="preserve"> </w:t>
      </w:r>
      <w:r w:rsidRPr="00122CF3">
        <w:rPr>
          <w:rFonts w:ascii="Calibri" w:hAnsi="Calibri" w:cs="Calibri"/>
          <w:sz w:val="20"/>
          <w:szCs w:val="20"/>
        </w:rPr>
        <w:t>and amplify the consequences of any technical failures.</w:t>
      </w:r>
      <w:r>
        <w:rPr>
          <w:rFonts w:ascii="Calibri" w:hAnsi="Calibri" w:cs="Calibri"/>
          <w:sz w:val="20"/>
          <w:szCs w:val="20"/>
        </w:rPr>
        <w:t xml:space="preserve"> </w:t>
      </w:r>
    </w:p>
    <w:p w14:paraId="09C1CD44" w14:textId="77777777" w:rsidR="00E464C1" w:rsidRDefault="00E464C1" w:rsidP="00E464C1">
      <w:pPr>
        <w:jc w:val="both"/>
        <w:rPr>
          <w:rFonts w:ascii="Calibri" w:hAnsi="Calibri" w:cs="Calibri"/>
          <w:sz w:val="20"/>
          <w:szCs w:val="20"/>
        </w:rPr>
      </w:pPr>
    </w:p>
    <w:p w14:paraId="6AEC7142" w14:textId="77777777" w:rsidR="00E464C1" w:rsidRPr="006B196C" w:rsidRDefault="00E464C1" w:rsidP="00E464C1">
      <w:pPr>
        <w:jc w:val="both"/>
        <w:rPr>
          <w:rFonts w:ascii="Calibri" w:hAnsi="Calibri" w:cs="Calibri"/>
          <w:sz w:val="20"/>
          <w:szCs w:val="20"/>
        </w:rPr>
      </w:pPr>
      <w:r w:rsidRPr="008D3F8F">
        <w:rPr>
          <w:rFonts w:ascii="Calibri" w:hAnsi="Calibri" w:cs="Calibri"/>
          <w:sz w:val="20"/>
          <w:szCs w:val="20"/>
        </w:rPr>
        <w:t xml:space="preserve">For further details on the implications of centralised reporting and the role of regulated </w:t>
      </w:r>
      <w:r>
        <w:rPr>
          <w:rFonts w:ascii="Calibri" w:hAnsi="Calibri" w:cs="Calibri"/>
          <w:sz w:val="20"/>
          <w:szCs w:val="20"/>
        </w:rPr>
        <w:t xml:space="preserve">reporting </w:t>
      </w:r>
      <w:r w:rsidRPr="008D3F8F">
        <w:rPr>
          <w:rFonts w:ascii="Calibri" w:hAnsi="Calibri" w:cs="Calibri"/>
          <w:sz w:val="20"/>
          <w:szCs w:val="20"/>
        </w:rPr>
        <w:t>infrastructures, please refer to our response to Q19.</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02FFD993" w14:textId="77777777" w:rsidR="00E464C1" w:rsidRPr="006B196C" w:rsidRDefault="00E464C1" w:rsidP="00E464C1">
      <w:pPr>
        <w:jc w:val="both"/>
        <w:rPr>
          <w:rFonts w:ascii="Calibri" w:hAnsi="Calibri" w:cs="Calibri"/>
          <w:sz w:val="20"/>
          <w:szCs w:val="20"/>
        </w:rPr>
      </w:pPr>
      <w:permStart w:id="993723206" w:edGrp="everyone"/>
      <w:r w:rsidRPr="006B196C">
        <w:rPr>
          <w:rFonts w:ascii="Calibri" w:hAnsi="Calibri" w:cs="Calibri"/>
          <w:sz w:val="20"/>
          <w:szCs w:val="20"/>
        </w:rPr>
        <w:t>We do not believe that the use of technologies such as Distributed Ledger Technology (DLT) and smart contracts would significantly reduce the reporting burden or simplify the reporting process in the current regulatory context.</w:t>
      </w:r>
    </w:p>
    <w:p w14:paraId="2C4A7BB9" w14:textId="77777777" w:rsidR="00E464C1" w:rsidRPr="006B196C" w:rsidRDefault="00E464C1" w:rsidP="00E464C1">
      <w:pPr>
        <w:jc w:val="both"/>
        <w:rPr>
          <w:rFonts w:ascii="Calibri" w:hAnsi="Calibri" w:cs="Calibri"/>
          <w:sz w:val="20"/>
          <w:szCs w:val="20"/>
        </w:rPr>
      </w:pPr>
    </w:p>
    <w:p w14:paraId="40793F34"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Most reporting obligations under MiFIR, EMIR, and SFTR are based on post-trade data extraction, transformation, and submission, which are not inherently simplified using DLT or smart contracts as these technologies do not eliminate the need for data standardisation and validation, reconciliation across systems or regulatory interpretation and compliance logic.</w:t>
      </w:r>
    </w:p>
    <w:p w14:paraId="067A73F4" w14:textId="77777777" w:rsidR="00E464C1" w:rsidRPr="006B196C" w:rsidRDefault="00E464C1" w:rsidP="00E464C1">
      <w:pPr>
        <w:jc w:val="both"/>
        <w:rPr>
          <w:rFonts w:ascii="Calibri" w:hAnsi="Calibri" w:cs="Calibri"/>
          <w:sz w:val="20"/>
          <w:szCs w:val="20"/>
        </w:rPr>
      </w:pPr>
    </w:p>
    <w:p w14:paraId="22BF04C0"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Promoting the use of DLT could introduce further complexity and technological fragmentation, as different market participants may adopt incompatible platforms or standards. Such development could increase the burden on firms needing to interface with multiple systems, rather than reduce it. Also, forcing their use in regulatory reporting could divert resources from more impactful improvements.</w:t>
      </w:r>
    </w:p>
    <w:p w14:paraId="1525FA91" w14:textId="77777777" w:rsidR="00E464C1" w:rsidRPr="006B196C" w:rsidRDefault="00E464C1" w:rsidP="00E464C1">
      <w:pPr>
        <w:jc w:val="both"/>
        <w:rPr>
          <w:rFonts w:ascii="Calibri" w:hAnsi="Calibri" w:cs="Calibri"/>
          <w:sz w:val="20"/>
          <w:szCs w:val="20"/>
        </w:rPr>
      </w:pPr>
    </w:p>
    <w:p w14:paraId="6D0A44B8" w14:textId="77777777" w:rsidR="00E464C1" w:rsidRPr="006B196C" w:rsidRDefault="00E464C1" w:rsidP="00E464C1">
      <w:pPr>
        <w:jc w:val="both"/>
        <w:rPr>
          <w:rFonts w:ascii="Calibri" w:hAnsi="Calibri" w:cs="Calibri"/>
          <w:sz w:val="20"/>
          <w:szCs w:val="20"/>
        </w:rPr>
      </w:pPr>
      <w:r w:rsidRPr="006B196C">
        <w:rPr>
          <w:rFonts w:ascii="Calibri" w:hAnsi="Calibri" w:cs="Calibri"/>
          <w:sz w:val="20"/>
          <w:szCs w:val="20"/>
        </w:rPr>
        <w:t>Therefore, while these technologies may offer business value in specific contexts, we believe that their adoption should remain voluntary, driven by market incentives and operational needs, not regulation, which should be IT agnostic.</w:t>
      </w:r>
    </w:p>
    <w:p w14:paraId="3DFB41F4" w14:textId="77777777" w:rsidR="00E464C1" w:rsidRPr="006B196C" w:rsidRDefault="00E464C1" w:rsidP="00E464C1">
      <w:pPr>
        <w:jc w:val="both"/>
        <w:rPr>
          <w:rFonts w:ascii="Calibri" w:hAnsi="Calibri" w:cs="Calibri"/>
          <w:sz w:val="20"/>
          <w:szCs w:val="20"/>
        </w:rPr>
      </w:pPr>
    </w:p>
    <w:p w14:paraId="6B1DF1E6" w14:textId="77777777" w:rsidR="00E464C1" w:rsidRPr="00F638F8" w:rsidRDefault="00E464C1" w:rsidP="00E464C1">
      <w:pPr>
        <w:jc w:val="both"/>
        <w:rPr>
          <w:rFonts w:ascii="Calibri" w:hAnsi="Calibri" w:cs="Calibri"/>
          <w:sz w:val="20"/>
          <w:szCs w:val="20"/>
        </w:rPr>
      </w:pPr>
      <w:r w:rsidRPr="00122CF3">
        <w:rPr>
          <w:rFonts w:ascii="Calibri" w:hAnsi="Calibri" w:cs="Calibri"/>
          <w:sz w:val="20"/>
          <w:szCs w:val="20"/>
        </w:rPr>
        <w:t>However, to provide a more informed opinion, it would be helpful if ESMA could clarify its vision for how distributed ledger technology might support reporting processes.</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7A0B8A3B" w14:textId="77777777" w:rsidR="00E464C1" w:rsidRDefault="00E464C1" w:rsidP="00E464C1">
      <w:pPr>
        <w:jc w:val="both"/>
        <w:rPr>
          <w:rFonts w:ascii="Calibri" w:hAnsi="Calibri" w:cs="Calibri"/>
          <w:sz w:val="20"/>
          <w:szCs w:val="20"/>
        </w:rPr>
      </w:pPr>
      <w:permStart w:id="1652326327" w:edGrp="everyone"/>
      <w:r w:rsidRPr="006B196C">
        <w:rPr>
          <w:rFonts w:ascii="Calibri" w:hAnsi="Calibri" w:cs="Calibri"/>
          <w:sz w:val="20"/>
          <w:szCs w:val="20"/>
          <w:lang w:val="en-US"/>
        </w:rPr>
        <w:t xml:space="preserve">The cost </w:t>
      </w:r>
      <w:r w:rsidRPr="008D3F8F">
        <w:rPr>
          <w:rFonts w:ascii="Calibri" w:hAnsi="Calibri" w:cs="Calibri"/>
          <w:sz w:val="20"/>
          <w:szCs w:val="20"/>
        </w:rPr>
        <w:t>associated with single- or dual-sided reporting can be broken down into several components:</w:t>
      </w:r>
    </w:p>
    <w:p w14:paraId="27C2EE19" w14:textId="77777777" w:rsidR="00E464C1" w:rsidRPr="00BF2AC8" w:rsidRDefault="00E464C1" w:rsidP="00E464C1">
      <w:pPr>
        <w:jc w:val="both"/>
        <w:rPr>
          <w:rFonts w:ascii="Calibri" w:hAnsi="Calibri" w:cs="Calibri"/>
          <w:sz w:val="20"/>
          <w:szCs w:val="20"/>
        </w:rPr>
      </w:pPr>
    </w:p>
    <w:p w14:paraId="7C3507E0" w14:textId="77777777" w:rsidR="00E464C1" w:rsidRPr="008D3F8F" w:rsidRDefault="00E464C1" w:rsidP="00E464C1">
      <w:pPr>
        <w:pStyle w:val="Prrafodelista"/>
        <w:numPr>
          <w:ilvl w:val="0"/>
          <w:numId w:val="5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Pr>
          <w:rFonts w:ascii="Calibri" w:hAnsi="Calibri" w:cs="Calibri"/>
          <w:sz w:val="20"/>
          <w:szCs w:val="20"/>
          <w:lang w:val="en-US"/>
        </w:rPr>
        <w:lastRenderedPageBreak/>
        <w:t>R</w:t>
      </w:r>
      <w:r w:rsidRPr="006B196C">
        <w:rPr>
          <w:rFonts w:ascii="Calibri" w:hAnsi="Calibri" w:cs="Calibri"/>
          <w:sz w:val="20"/>
          <w:szCs w:val="20"/>
          <w:lang w:val="en-US"/>
        </w:rPr>
        <w:t>eporting both sides of the trade</w:t>
      </w:r>
    </w:p>
    <w:p w14:paraId="197C1191" w14:textId="77777777" w:rsidR="00E464C1" w:rsidRPr="00E464C1" w:rsidRDefault="00E464C1" w:rsidP="00E464C1">
      <w:pPr>
        <w:ind w:left="1068" w:hanging="360"/>
        <w:rPr>
          <w:rFonts w:ascii="Calibri" w:hAnsi="Calibri" w:cs="Calibri"/>
          <w:sz w:val="20"/>
          <w:szCs w:val="20"/>
          <w:lang w:val="en-US"/>
        </w:rPr>
      </w:pPr>
    </w:p>
    <w:p w14:paraId="47BA9E73" w14:textId="77777777" w:rsidR="00E464C1" w:rsidRPr="008D3F8F" w:rsidRDefault="00E464C1" w:rsidP="00E464C1">
      <w:pPr>
        <w:pStyle w:val="Prrafodelista"/>
        <w:numPr>
          <w:ilvl w:val="0"/>
          <w:numId w:val="5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Timely transmitting specific counterparty information to the entity responsible for reporting (in case of single-sided reporting)</w:t>
      </w:r>
    </w:p>
    <w:p w14:paraId="5D5D7326" w14:textId="77777777" w:rsidR="00E464C1" w:rsidRPr="00BF2AC8" w:rsidRDefault="00E464C1" w:rsidP="00E464C1">
      <w:pPr>
        <w:rPr>
          <w:rFonts w:ascii="Calibri" w:hAnsi="Calibri" w:cs="Calibri"/>
          <w:sz w:val="20"/>
          <w:szCs w:val="20"/>
          <w:lang w:val="en-US"/>
        </w:rPr>
      </w:pPr>
    </w:p>
    <w:p w14:paraId="65175CAF" w14:textId="77777777" w:rsidR="00E464C1" w:rsidRPr="008D3F8F" w:rsidRDefault="00E464C1" w:rsidP="00E464C1">
      <w:pPr>
        <w:pStyle w:val="Prrafodelista"/>
        <w:numPr>
          <w:ilvl w:val="0"/>
          <w:numId w:val="5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lang w:val="en-US"/>
        </w:rPr>
      </w:pPr>
      <w:r w:rsidRPr="006B196C">
        <w:rPr>
          <w:rFonts w:ascii="Calibri" w:hAnsi="Calibri" w:cs="Calibri"/>
          <w:sz w:val="20"/>
          <w:szCs w:val="20"/>
          <w:lang w:val="en-US"/>
        </w:rPr>
        <w:t>The</w:t>
      </w:r>
      <w:r>
        <w:rPr>
          <w:rFonts w:ascii="Calibri" w:hAnsi="Calibri" w:cs="Calibri"/>
          <w:sz w:val="20"/>
          <w:szCs w:val="20"/>
          <w:lang w:val="en-US"/>
        </w:rPr>
        <w:t xml:space="preserve"> </w:t>
      </w:r>
      <w:r w:rsidRPr="006B196C">
        <w:rPr>
          <w:rFonts w:ascii="Calibri" w:hAnsi="Calibri" w:cs="Calibri"/>
          <w:sz w:val="20"/>
          <w:szCs w:val="20"/>
          <w:lang w:val="en-US"/>
        </w:rPr>
        <w:t>reconciliation process</w:t>
      </w:r>
    </w:p>
    <w:p w14:paraId="4C4B8448" w14:textId="77777777" w:rsidR="00E464C1" w:rsidRPr="00BF2AC8" w:rsidRDefault="00E464C1" w:rsidP="00E464C1">
      <w:pPr>
        <w:rPr>
          <w:rFonts w:ascii="Calibri" w:hAnsi="Calibri" w:cs="Calibri"/>
          <w:sz w:val="20"/>
          <w:szCs w:val="20"/>
          <w:lang w:val="en-US"/>
        </w:rPr>
      </w:pPr>
    </w:p>
    <w:p w14:paraId="081EAEC7" w14:textId="77777777" w:rsidR="00E464C1" w:rsidRPr="006B196C" w:rsidRDefault="00E464C1" w:rsidP="00E464C1">
      <w:pPr>
        <w:pStyle w:val="Prrafodelista"/>
        <w:numPr>
          <w:ilvl w:val="0"/>
          <w:numId w:val="50"/>
        </w:numPr>
        <w:tabs>
          <w:tab w:val="clear" w:pos="0"/>
          <w:tab w:val="clear" w:pos="142"/>
          <w:tab w:val="clear" w:pos="284"/>
          <w:tab w:val="clear" w:pos="567"/>
        </w:tabs>
        <w:autoSpaceDE/>
        <w:autoSpaceDN/>
        <w:adjustRightInd/>
        <w:spacing w:line="240" w:lineRule="auto"/>
        <w:contextualSpacing/>
        <w:rPr>
          <w:rFonts w:ascii="Calibri" w:hAnsi="Calibri" w:cs="Calibri"/>
          <w:sz w:val="20"/>
          <w:szCs w:val="20"/>
        </w:rPr>
      </w:pPr>
      <w:r w:rsidRPr="2FE8F33B">
        <w:rPr>
          <w:rFonts w:ascii="Calibri" w:hAnsi="Calibri" w:cs="Calibri"/>
          <w:sz w:val="20"/>
          <w:szCs w:val="20"/>
        </w:rPr>
        <w:t>Implementation of alternative controls by counterparties, TRs and NCAs, which might be required in the absence of reconciliation. This includes the cost of data remediation if issues are detected late, given that at the time being one of the main sources of identification of issues is the outcome of the pairing and matching processes.</w:t>
      </w:r>
    </w:p>
    <w:p w14:paraId="1C23BBFF" w14:textId="77777777" w:rsidR="00E464C1" w:rsidRDefault="00E464C1" w:rsidP="00E464C1">
      <w:pPr>
        <w:jc w:val="both"/>
        <w:rPr>
          <w:rFonts w:ascii="Calibri" w:hAnsi="Calibri" w:cs="Calibri"/>
          <w:sz w:val="20"/>
          <w:szCs w:val="20"/>
          <w:lang w:val="en-US"/>
        </w:rPr>
      </w:pPr>
    </w:p>
    <w:p w14:paraId="21EFE5DA" w14:textId="77777777" w:rsidR="00E464C1" w:rsidRDefault="00E464C1" w:rsidP="00E464C1">
      <w:pPr>
        <w:jc w:val="both"/>
        <w:rPr>
          <w:rFonts w:ascii="Calibri" w:hAnsi="Calibri" w:cs="Calibri"/>
          <w:sz w:val="20"/>
          <w:szCs w:val="20"/>
          <w:lang w:val="en-US"/>
        </w:rPr>
      </w:pPr>
      <w:r>
        <w:rPr>
          <w:rFonts w:ascii="Calibri" w:hAnsi="Calibri" w:cs="Calibri"/>
          <w:sz w:val="20"/>
          <w:szCs w:val="20"/>
          <w:lang w:val="en-US"/>
        </w:rPr>
        <w:t>While</w:t>
      </w:r>
      <w:r w:rsidRPr="006B196C">
        <w:rPr>
          <w:rFonts w:ascii="Calibri" w:hAnsi="Calibri" w:cs="Calibri"/>
          <w:sz w:val="20"/>
          <w:szCs w:val="20"/>
          <w:lang w:val="en-US"/>
        </w:rPr>
        <w:t xml:space="preserve"> dual-sided reporting increase</w:t>
      </w:r>
      <w:r>
        <w:rPr>
          <w:rFonts w:ascii="Calibri" w:hAnsi="Calibri" w:cs="Calibri"/>
          <w:sz w:val="20"/>
          <w:szCs w:val="20"/>
          <w:lang w:val="en-US"/>
        </w:rPr>
        <w:t>s</w:t>
      </w:r>
      <w:r w:rsidRPr="006B196C">
        <w:rPr>
          <w:rFonts w:ascii="Calibri" w:hAnsi="Calibri" w:cs="Calibri"/>
          <w:sz w:val="20"/>
          <w:szCs w:val="20"/>
          <w:lang w:val="en-US"/>
        </w:rPr>
        <w:t xml:space="preserve"> the volume of reported trades and associated costs, the cost-benefit analysis should be performed from a holistic perspective </w:t>
      </w:r>
      <w:proofErr w:type="gramStart"/>
      <w:r w:rsidRPr="006B196C">
        <w:rPr>
          <w:rFonts w:ascii="Calibri" w:hAnsi="Calibri" w:cs="Calibri"/>
          <w:sz w:val="20"/>
          <w:szCs w:val="20"/>
          <w:lang w:val="en-US"/>
        </w:rPr>
        <w:t>and also</w:t>
      </w:r>
      <w:proofErr w:type="gramEnd"/>
      <w:r w:rsidRPr="006B196C">
        <w:rPr>
          <w:rFonts w:ascii="Calibri" w:hAnsi="Calibri" w:cs="Calibri"/>
          <w:sz w:val="20"/>
          <w:szCs w:val="20"/>
          <w:lang w:val="en-US"/>
        </w:rPr>
        <w:t xml:space="preserve"> exploring the costs of implementing </w:t>
      </w:r>
      <w:r>
        <w:rPr>
          <w:rFonts w:ascii="Calibri" w:hAnsi="Calibri" w:cs="Calibri"/>
          <w:sz w:val="20"/>
          <w:szCs w:val="20"/>
          <w:lang w:val="en-US"/>
        </w:rPr>
        <w:t>other</w:t>
      </w:r>
      <w:r w:rsidRPr="006B196C">
        <w:rPr>
          <w:rFonts w:ascii="Calibri" w:hAnsi="Calibri" w:cs="Calibri"/>
          <w:sz w:val="20"/>
          <w:szCs w:val="20"/>
          <w:lang w:val="en-US"/>
        </w:rPr>
        <w:t xml:space="preserve"> measures that </w:t>
      </w:r>
      <w:r>
        <w:rPr>
          <w:rFonts w:ascii="Calibri" w:hAnsi="Calibri" w:cs="Calibri"/>
          <w:sz w:val="20"/>
          <w:szCs w:val="20"/>
          <w:lang w:val="en-US"/>
        </w:rPr>
        <w:t>may</w:t>
      </w:r>
      <w:r w:rsidRPr="006B196C">
        <w:rPr>
          <w:rFonts w:ascii="Calibri" w:hAnsi="Calibri" w:cs="Calibri"/>
          <w:sz w:val="20"/>
          <w:szCs w:val="20"/>
          <w:lang w:val="en-US"/>
        </w:rPr>
        <w:t xml:space="preserve"> reduce the operational costs at first </w:t>
      </w:r>
      <w:r w:rsidRPr="009444D9">
        <w:rPr>
          <w:rFonts w:ascii="Calibri" w:hAnsi="Calibri" w:cs="Calibri"/>
          <w:sz w:val="20"/>
          <w:szCs w:val="20"/>
        </w:rPr>
        <w:t>but could ultimately lead to lower data quality and increased costs related to control mechanisms and remediation of long-standing, unidentified issues</w:t>
      </w:r>
      <w:r w:rsidRPr="006B196C">
        <w:rPr>
          <w:rFonts w:ascii="Calibri" w:hAnsi="Calibri" w:cs="Calibri"/>
          <w:sz w:val="20"/>
          <w:szCs w:val="20"/>
          <w:lang w:val="en-US"/>
        </w:rPr>
        <w:t>.</w:t>
      </w:r>
    </w:p>
    <w:p w14:paraId="0B51A93A" w14:textId="77777777" w:rsidR="00E464C1" w:rsidRPr="00BF2AC8" w:rsidRDefault="00E464C1" w:rsidP="00E464C1">
      <w:pPr>
        <w:jc w:val="both"/>
        <w:rPr>
          <w:rFonts w:ascii="Calibri" w:hAnsi="Calibri" w:cs="Calibri"/>
          <w:sz w:val="20"/>
          <w:szCs w:val="20"/>
        </w:rPr>
      </w:pPr>
    </w:p>
    <w:p w14:paraId="56D5BF0E" w14:textId="77777777" w:rsidR="00E464C1" w:rsidRPr="00BF2AC8" w:rsidRDefault="00E464C1" w:rsidP="00E464C1">
      <w:pPr>
        <w:jc w:val="both"/>
        <w:rPr>
          <w:rFonts w:ascii="Calibri" w:hAnsi="Calibri" w:cs="Calibri"/>
          <w:sz w:val="20"/>
          <w:szCs w:val="20"/>
        </w:rPr>
      </w:pPr>
      <w:r w:rsidRPr="00BF2AC8">
        <w:rPr>
          <w:rFonts w:ascii="Calibri" w:hAnsi="Calibri" w:cs="Calibri"/>
          <w:sz w:val="20"/>
          <w:szCs w:val="20"/>
        </w:rPr>
        <w:t>Also, i</w:t>
      </w:r>
      <w:r w:rsidRPr="009444D9">
        <w:rPr>
          <w:rFonts w:ascii="Calibri" w:hAnsi="Calibri" w:cs="Calibri"/>
          <w:sz w:val="20"/>
          <w:szCs w:val="20"/>
        </w:rPr>
        <w:t>t is important to note that</w:t>
      </w:r>
      <w:r>
        <w:rPr>
          <w:rFonts w:ascii="Calibri" w:hAnsi="Calibri" w:cs="Calibri"/>
          <w:sz w:val="20"/>
          <w:szCs w:val="20"/>
        </w:rPr>
        <w:t>,</w:t>
      </w:r>
      <w:r w:rsidRPr="009444D9">
        <w:rPr>
          <w:rFonts w:ascii="Calibri" w:hAnsi="Calibri" w:cs="Calibri"/>
          <w:sz w:val="20"/>
          <w:szCs w:val="20"/>
        </w:rPr>
        <w:t xml:space="preserve"> </w:t>
      </w:r>
      <w:r w:rsidRPr="00BF2AC8">
        <w:rPr>
          <w:rFonts w:ascii="Calibri" w:hAnsi="Calibri" w:cs="Calibri"/>
          <w:sz w:val="20"/>
          <w:szCs w:val="20"/>
        </w:rPr>
        <w:t>while removing dual</w:t>
      </w:r>
      <w:r>
        <w:rPr>
          <w:rFonts w:ascii="Calibri" w:hAnsi="Calibri" w:cs="Calibri"/>
          <w:sz w:val="20"/>
          <w:szCs w:val="20"/>
        </w:rPr>
        <w:t>-</w:t>
      </w:r>
      <w:r w:rsidRPr="00BF2AC8">
        <w:rPr>
          <w:rFonts w:ascii="Calibri" w:hAnsi="Calibri" w:cs="Calibri"/>
          <w:sz w:val="20"/>
          <w:szCs w:val="20"/>
        </w:rPr>
        <w:t>sided reporting would imply reducing the amount of data to be reported</w:t>
      </w:r>
      <w:r>
        <w:rPr>
          <w:rFonts w:ascii="Calibri" w:hAnsi="Calibri" w:cs="Calibri"/>
          <w:sz w:val="20"/>
          <w:szCs w:val="20"/>
        </w:rPr>
        <w:t xml:space="preserve">, </w:t>
      </w:r>
      <w:r w:rsidRPr="00BF2AC8">
        <w:rPr>
          <w:rFonts w:ascii="Calibri" w:hAnsi="Calibri" w:cs="Calibri"/>
          <w:sz w:val="20"/>
          <w:szCs w:val="20"/>
        </w:rPr>
        <w:t xml:space="preserve">it would not </w:t>
      </w:r>
      <w:r>
        <w:rPr>
          <w:rFonts w:ascii="Calibri" w:hAnsi="Calibri" w:cs="Calibri"/>
          <w:sz w:val="20"/>
          <w:szCs w:val="20"/>
        </w:rPr>
        <w:t>mean</w:t>
      </w:r>
      <w:r w:rsidRPr="00BF2AC8">
        <w:rPr>
          <w:rFonts w:ascii="Calibri" w:hAnsi="Calibri" w:cs="Calibri"/>
          <w:sz w:val="20"/>
          <w:szCs w:val="20"/>
        </w:rPr>
        <w:t xml:space="preserve"> that firms will not be obliged to report, </w:t>
      </w:r>
      <w:r>
        <w:rPr>
          <w:rFonts w:ascii="Calibri" w:hAnsi="Calibri" w:cs="Calibri"/>
          <w:sz w:val="20"/>
          <w:szCs w:val="20"/>
        </w:rPr>
        <w:t>therefore</w:t>
      </w:r>
      <w:r w:rsidRPr="00BF2AC8">
        <w:rPr>
          <w:rFonts w:ascii="Calibri" w:hAnsi="Calibri" w:cs="Calibri"/>
          <w:sz w:val="20"/>
          <w:szCs w:val="20"/>
        </w:rPr>
        <w:t>, it would not remove the need to have in place arrangements and resources to be able to report whe</w:t>
      </w:r>
      <w:r>
        <w:rPr>
          <w:rFonts w:ascii="Calibri" w:hAnsi="Calibri" w:cs="Calibri"/>
          <w:sz w:val="20"/>
          <w:szCs w:val="20"/>
        </w:rPr>
        <w:t>n</w:t>
      </w:r>
      <w:r w:rsidRPr="00BF2AC8">
        <w:rPr>
          <w:rFonts w:ascii="Calibri" w:hAnsi="Calibri" w:cs="Calibri"/>
          <w:sz w:val="20"/>
          <w:szCs w:val="20"/>
        </w:rPr>
        <w:t xml:space="preserve"> needed</w:t>
      </w:r>
      <w:r w:rsidRPr="3BF3DEF3">
        <w:rPr>
          <w:rFonts w:ascii="Calibri" w:hAnsi="Calibri" w:cs="Calibri"/>
          <w:sz w:val="20"/>
          <w:szCs w:val="20"/>
        </w:rPr>
        <w:t xml:space="preserve"> </w:t>
      </w:r>
      <w:r w:rsidRPr="3F077F98">
        <w:rPr>
          <w:rFonts w:ascii="Calibri" w:hAnsi="Calibri" w:cs="Calibri"/>
          <w:sz w:val="20"/>
          <w:szCs w:val="20"/>
        </w:rPr>
        <w:t xml:space="preserve">(e.g., </w:t>
      </w:r>
      <w:r w:rsidRPr="1C7AD07F">
        <w:rPr>
          <w:rFonts w:ascii="Calibri" w:hAnsi="Calibri" w:cs="Calibri"/>
          <w:sz w:val="20"/>
          <w:szCs w:val="20"/>
        </w:rPr>
        <w:t xml:space="preserve">databases, </w:t>
      </w:r>
      <w:r w:rsidRPr="05E6017D">
        <w:rPr>
          <w:rFonts w:ascii="Calibri" w:hAnsi="Calibri" w:cs="Calibri"/>
          <w:sz w:val="20"/>
          <w:szCs w:val="20"/>
        </w:rPr>
        <w:t xml:space="preserve">controls and </w:t>
      </w:r>
      <w:r w:rsidRPr="14E95912">
        <w:rPr>
          <w:rFonts w:ascii="Calibri" w:hAnsi="Calibri" w:cs="Calibri"/>
          <w:sz w:val="20"/>
          <w:szCs w:val="20"/>
        </w:rPr>
        <w:t xml:space="preserve">quality checks, compliance </w:t>
      </w:r>
      <w:r w:rsidRPr="050F59DB">
        <w:rPr>
          <w:rFonts w:ascii="Calibri" w:hAnsi="Calibri" w:cs="Calibri"/>
          <w:sz w:val="20"/>
          <w:szCs w:val="20"/>
        </w:rPr>
        <w:t>costs, etc)</w:t>
      </w:r>
      <w:r w:rsidRPr="00BF2AC8">
        <w:rPr>
          <w:rFonts w:ascii="Calibri" w:hAnsi="Calibri" w:cs="Calibri"/>
          <w:sz w:val="20"/>
          <w:szCs w:val="20"/>
        </w:rPr>
        <w:t>. This could only be achieved by modifying the scope of the regulation.</w:t>
      </w:r>
    </w:p>
    <w:p w14:paraId="610F63A3" w14:textId="77777777" w:rsidR="00E464C1" w:rsidRDefault="00E464C1" w:rsidP="00E464C1">
      <w:pPr>
        <w:jc w:val="both"/>
        <w:rPr>
          <w:rFonts w:ascii="Calibri" w:hAnsi="Calibri" w:cs="Calibri"/>
          <w:sz w:val="20"/>
          <w:szCs w:val="20"/>
          <w:lang w:val="en-US"/>
        </w:rPr>
      </w:pPr>
    </w:p>
    <w:p w14:paraId="266E3F1B" w14:textId="77777777" w:rsidR="00E464C1" w:rsidRPr="009444D9" w:rsidRDefault="00E464C1" w:rsidP="00E464C1">
      <w:pPr>
        <w:jc w:val="both"/>
        <w:rPr>
          <w:rFonts w:ascii="Calibri" w:hAnsi="Calibri" w:cs="Calibri"/>
          <w:sz w:val="20"/>
          <w:szCs w:val="20"/>
          <w:lang w:val="en-US"/>
        </w:rPr>
      </w:pPr>
    </w:p>
    <w:p w14:paraId="6E77AEF2" w14:textId="77777777" w:rsidR="00E464C1" w:rsidRDefault="00E464C1" w:rsidP="00E464C1">
      <w:pPr>
        <w:jc w:val="both"/>
        <w:rPr>
          <w:rFonts w:ascii="Calibri" w:hAnsi="Calibri" w:cs="Calibri"/>
          <w:sz w:val="20"/>
          <w:szCs w:val="20"/>
        </w:rPr>
      </w:pPr>
      <w:r>
        <w:rPr>
          <w:rFonts w:ascii="Calibri" w:hAnsi="Calibri" w:cs="Calibri"/>
          <w:sz w:val="20"/>
          <w:szCs w:val="20"/>
        </w:rPr>
        <w:t xml:space="preserve">On the other hand, the elimination </w:t>
      </w:r>
      <w:r w:rsidRPr="00B90771">
        <w:rPr>
          <w:rFonts w:ascii="Calibri" w:hAnsi="Calibri" w:cs="Calibri"/>
          <w:sz w:val="20"/>
          <w:szCs w:val="20"/>
        </w:rPr>
        <w:t>of dual-sided reporting under both EMIR and SFTR</w:t>
      </w:r>
      <w:r>
        <w:rPr>
          <w:rFonts w:ascii="Calibri" w:hAnsi="Calibri" w:cs="Calibri"/>
          <w:sz w:val="20"/>
          <w:szCs w:val="20"/>
        </w:rPr>
        <w:t xml:space="preserve"> could potentially help delivering the objective of simplifying the reporting frameworks and addressing the </w:t>
      </w:r>
      <w:r w:rsidRPr="00122CF3">
        <w:rPr>
          <w:rFonts w:ascii="Calibri" w:hAnsi="Calibri" w:cs="Calibri"/>
          <w:sz w:val="20"/>
          <w:szCs w:val="20"/>
        </w:rPr>
        <w:t xml:space="preserve">operational and data quality challenges </w:t>
      </w:r>
      <w:r>
        <w:rPr>
          <w:rFonts w:ascii="Calibri" w:hAnsi="Calibri" w:cs="Calibri"/>
          <w:sz w:val="20"/>
          <w:szCs w:val="20"/>
        </w:rPr>
        <w:t xml:space="preserve">associated with </w:t>
      </w:r>
      <w:r w:rsidRPr="00122CF3">
        <w:rPr>
          <w:rFonts w:ascii="Calibri" w:hAnsi="Calibri" w:cs="Calibri"/>
          <w:sz w:val="20"/>
          <w:szCs w:val="20"/>
        </w:rPr>
        <w:t>dual-sided reporting.</w:t>
      </w:r>
    </w:p>
    <w:p w14:paraId="007F6657" w14:textId="77777777" w:rsidR="00E464C1" w:rsidRDefault="00E464C1" w:rsidP="00E464C1">
      <w:pPr>
        <w:jc w:val="both"/>
        <w:rPr>
          <w:rFonts w:ascii="Calibri" w:hAnsi="Calibri" w:cs="Calibri"/>
          <w:sz w:val="20"/>
          <w:szCs w:val="20"/>
        </w:rPr>
      </w:pPr>
    </w:p>
    <w:p w14:paraId="3285C4CA" w14:textId="77777777" w:rsidR="00E464C1" w:rsidRDefault="00E464C1" w:rsidP="00E464C1">
      <w:pPr>
        <w:jc w:val="both"/>
        <w:rPr>
          <w:rFonts w:ascii="Calibri" w:hAnsi="Calibri" w:cs="Calibri"/>
          <w:sz w:val="20"/>
          <w:szCs w:val="20"/>
        </w:rPr>
      </w:pPr>
      <w:r>
        <w:rPr>
          <w:rFonts w:ascii="Calibri" w:hAnsi="Calibri" w:cs="Calibri"/>
          <w:sz w:val="20"/>
          <w:szCs w:val="20"/>
        </w:rPr>
        <w:t xml:space="preserve">Should </w:t>
      </w:r>
      <w:r w:rsidRPr="002C728D">
        <w:rPr>
          <w:rFonts w:ascii="Calibri" w:hAnsi="Calibri" w:cs="Calibri"/>
          <w:sz w:val="20"/>
          <w:szCs w:val="20"/>
        </w:rPr>
        <w:t xml:space="preserve">a shift towards a single-sided reporting model </w:t>
      </w:r>
      <w:r>
        <w:rPr>
          <w:rFonts w:ascii="Calibri" w:hAnsi="Calibri" w:cs="Calibri"/>
          <w:sz w:val="20"/>
          <w:szCs w:val="20"/>
        </w:rPr>
        <w:t>take place</w:t>
      </w:r>
      <w:r w:rsidRPr="002C728D">
        <w:rPr>
          <w:rFonts w:ascii="Calibri" w:hAnsi="Calibri" w:cs="Calibri"/>
          <w:sz w:val="20"/>
          <w:szCs w:val="20"/>
        </w:rPr>
        <w:t xml:space="preserve">, it </w:t>
      </w:r>
      <w:r>
        <w:rPr>
          <w:rFonts w:ascii="Calibri" w:hAnsi="Calibri" w:cs="Calibri"/>
          <w:sz w:val="20"/>
          <w:szCs w:val="20"/>
        </w:rPr>
        <w:t>should</w:t>
      </w:r>
      <w:r w:rsidRPr="002C728D">
        <w:rPr>
          <w:rFonts w:ascii="Calibri" w:hAnsi="Calibri" w:cs="Calibri"/>
          <w:sz w:val="20"/>
          <w:szCs w:val="20"/>
        </w:rPr>
        <w:t xml:space="preserve"> align with what we </w:t>
      </w:r>
      <w:r>
        <w:rPr>
          <w:rFonts w:ascii="Calibri" w:hAnsi="Calibri" w:cs="Calibri"/>
          <w:sz w:val="20"/>
          <w:szCs w:val="20"/>
        </w:rPr>
        <w:t xml:space="preserve">consider </w:t>
      </w:r>
      <w:r w:rsidRPr="002C728D">
        <w:rPr>
          <w:rFonts w:ascii="Calibri" w:hAnsi="Calibri" w:cs="Calibri"/>
          <w:sz w:val="20"/>
          <w:szCs w:val="20"/>
        </w:rPr>
        <w:t>to be industry best</w:t>
      </w:r>
      <w:r>
        <w:rPr>
          <w:rFonts w:ascii="Calibri" w:hAnsi="Calibri" w:cs="Calibri"/>
          <w:sz w:val="20"/>
          <w:szCs w:val="20"/>
        </w:rPr>
        <w:t>-</w:t>
      </w:r>
      <w:r w:rsidRPr="002C728D">
        <w:rPr>
          <w:rFonts w:ascii="Calibri" w:hAnsi="Calibri" w:cs="Calibri"/>
          <w:sz w:val="20"/>
          <w:szCs w:val="20"/>
        </w:rPr>
        <w:t xml:space="preserve">practices and </w:t>
      </w:r>
      <w:r>
        <w:rPr>
          <w:rFonts w:ascii="Calibri" w:hAnsi="Calibri" w:cs="Calibri"/>
          <w:sz w:val="20"/>
          <w:szCs w:val="20"/>
        </w:rPr>
        <w:t xml:space="preserve">foster a </w:t>
      </w:r>
      <w:r w:rsidRPr="002C728D">
        <w:rPr>
          <w:rFonts w:ascii="Calibri" w:hAnsi="Calibri" w:cs="Calibri"/>
          <w:sz w:val="20"/>
          <w:szCs w:val="20"/>
        </w:rPr>
        <w:t>cost-effective compliance environment</w:t>
      </w:r>
      <w:r>
        <w:rPr>
          <w:rFonts w:ascii="Calibri" w:hAnsi="Calibri" w:cs="Calibri"/>
          <w:sz w:val="20"/>
          <w:szCs w:val="20"/>
        </w:rPr>
        <w:t>, enhancing da</w:t>
      </w:r>
      <w:r w:rsidRPr="00B90771">
        <w:rPr>
          <w:rFonts w:ascii="Calibri" w:hAnsi="Calibri" w:cs="Calibri"/>
          <w:sz w:val="20"/>
          <w:szCs w:val="20"/>
        </w:rPr>
        <w:t xml:space="preserve">ta quality, reducing operational burdens, and </w:t>
      </w:r>
      <w:r>
        <w:rPr>
          <w:rFonts w:ascii="Calibri" w:hAnsi="Calibri" w:cs="Calibri"/>
          <w:sz w:val="20"/>
          <w:szCs w:val="20"/>
        </w:rPr>
        <w:t xml:space="preserve">improving </w:t>
      </w:r>
      <w:r w:rsidRPr="00B90771">
        <w:rPr>
          <w:rFonts w:ascii="Calibri" w:hAnsi="Calibri" w:cs="Calibri"/>
          <w:sz w:val="20"/>
          <w:szCs w:val="20"/>
        </w:rPr>
        <w:t xml:space="preserve">overall regulatory efficiency. </w:t>
      </w:r>
      <w:r>
        <w:rPr>
          <w:rFonts w:ascii="Calibri" w:hAnsi="Calibri" w:cs="Calibri"/>
          <w:sz w:val="20"/>
          <w:szCs w:val="20"/>
        </w:rPr>
        <w:t>Other</w:t>
      </w:r>
      <w:r w:rsidRPr="00B5770C">
        <w:rPr>
          <w:rFonts w:ascii="Calibri" w:hAnsi="Calibri" w:cs="Calibri"/>
          <w:sz w:val="20"/>
          <w:szCs w:val="20"/>
        </w:rPr>
        <w:t xml:space="preserve"> viable alternatives to dual-sided reporting and reconciliation </w:t>
      </w:r>
      <w:r>
        <w:rPr>
          <w:rFonts w:ascii="Calibri" w:hAnsi="Calibri" w:cs="Calibri"/>
          <w:sz w:val="20"/>
          <w:szCs w:val="20"/>
        </w:rPr>
        <w:t>could be explored, with the goal to achieve</w:t>
      </w:r>
      <w:r w:rsidRPr="00B5770C">
        <w:rPr>
          <w:rFonts w:ascii="Calibri" w:hAnsi="Calibri" w:cs="Calibri"/>
          <w:sz w:val="20"/>
          <w:szCs w:val="20"/>
        </w:rPr>
        <w:t xml:space="preserve"> meaningful improvements in reporting quality and regulatory efficiency.</w:t>
      </w:r>
    </w:p>
    <w:p w14:paraId="50DB412A" w14:textId="77777777" w:rsidR="00E464C1" w:rsidRDefault="00E464C1" w:rsidP="00E464C1">
      <w:pPr>
        <w:jc w:val="both"/>
        <w:rPr>
          <w:rFonts w:ascii="Calibri" w:hAnsi="Calibri" w:cs="Calibri"/>
          <w:sz w:val="20"/>
          <w:szCs w:val="20"/>
        </w:rPr>
      </w:pPr>
    </w:p>
    <w:p w14:paraId="065FCE0D" w14:textId="77777777" w:rsidR="00E464C1" w:rsidRPr="006B196C" w:rsidRDefault="00E464C1" w:rsidP="00E464C1">
      <w:pPr>
        <w:jc w:val="both"/>
        <w:rPr>
          <w:rFonts w:ascii="Calibri" w:hAnsi="Calibri" w:cs="Calibri"/>
          <w:sz w:val="20"/>
          <w:szCs w:val="20"/>
        </w:rPr>
      </w:pPr>
      <w:r w:rsidRPr="00B5770C">
        <w:rPr>
          <w:rFonts w:ascii="Calibri" w:hAnsi="Calibri" w:cs="Calibri"/>
          <w:sz w:val="20"/>
          <w:szCs w:val="20"/>
        </w:rPr>
        <w:t>Approaches such as targeted audits</w:t>
      </w:r>
      <w:r>
        <w:rPr>
          <w:rFonts w:ascii="Calibri" w:hAnsi="Calibri" w:cs="Calibri"/>
          <w:sz w:val="20"/>
          <w:szCs w:val="20"/>
        </w:rPr>
        <w:t>, a</w:t>
      </w:r>
      <w:r w:rsidRPr="00B5770C">
        <w:rPr>
          <w:rFonts w:ascii="Calibri" w:hAnsi="Calibri" w:cs="Calibri"/>
          <w:sz w:val="20"/>
          <w:szCs w:val="20"/>
        </w:rPr>
        <w:t>s highlighted by ESMA in this call for evidence and already implemented in jurisdictions like the US</w:t>
      </w:r>
      <w:r>
        <w:rPr>
          <w:rFonts w:ascii="Calibri" w:hAnsi="Calibri" w:cs="Calibri"/>
          <w:sz w:val="20"/>
          <w:szCs w:val="20"/>
        </w:rPr>
        <w:t xml:space="preserve">, </w:t>
      </w:r>
      <w:r w:rsidRPr="00B5770C">
        <w:rPr>
          <w:rFonts w:ascii="Calibri" w:hAnsi="Calibri" w:cs="Calibri"/>
          <w:sz w:val="20"/>
          <w:szCs w:val="20"/>
        </w:rPr>
        <w:t xml:space="preserve">along with clearer data definitions and improved guidance, </w:t>
      </w:r>
      <w:r>
        <w:rPr>
          <w:rFonts w:ascii="Calibri" w:hAnsi="Calibri" w:cs="Calibri"/>
          <w:sz w:val="20"/>
          <w:szCs w:val="20"/>
        </w:rPr>
        <w:t>could be an alternative to effective</w:t>
      </w:r>
      <w:r w:rsidRPr="00B5770C">
        <w:rPr>
          <w:rFonts w:ascii="Calibri" w:hAnsi="Calibri" w:cs="Calibri"/>
          <w:sz w:val="20"/>
          <w:szCs w:val="20"/>
        </w:rPr>
        <w:t xml:space="preserve"> compliance. </w:t>
      </w:r>
      <w:r>
        <w:rPr>
          <w:rFonts w:ascii="Calibri" w:hAnsi="Calibri" w:cs="Calibri"/>
          <w:sz w:val="20"/>
          <w:szCs w:val="20"/>
        </w:rPr>
        <w:t xml:space="preserve">However, they could also trigger additional layers of controls and costs that should be carefully assessed. </w:t>
      </w:r>
      <w:r w:rsidRPr="00B5770C">
        <w:rPr>
          <w:rFonts w:ascii="Calibri" w:hAnsi="Calibri" w:cs="Calibri"/>
          <w:sz w:val="20"/>
          <w:szCs w:val="20"/>
        </w:rPr>
        <w:t>The ongoing shift in trading volumes from the EU to the US observed in recent years is driven by multiple factors, one of the most significant being the heavy regulatory burden in the EU. A partial reduction of this burden could serve as a catalyst to reverse this trend.</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260E7073" w14:textId="77777777" w:rsidR="00E464C1" w:rsidRPr="006B196C" w:rsidRDefault="00E464C1" w:rsidP="00E464C1">
      <w:pPr>
        <w:spacing w:before="240"/>
        <w:jc w:val="both"/>
        <w:rPr>
          <w:rFonts w:ascii="Calibri" w:hAnsi="Calibri" w:cs="Calibri"/>
          <w:sz w:val="20"/>
          <w:szCs w:val="20"/>
        </w:rPr>
      </w:pPr>
      <w:permStart w:id="806124853" w:edGrp="everyone"/>
      <w:r w:rsidRPr="006B196C">
        <w:rPr>
          <w:rFonts w:ascii="Calibri" w:hAnsi="Calibri" w:cs="Calibri"/>
          <w:sz w:val="20"/>
          <w:szCs w:val="20"/>
        </w:rPr>
        <w:t xml:space="preserve">We do not </w:t>
      </w:r>
      <w:r>
        <w:rPr>
          <w:rFonts w:ascii="Calibri" w:hAnsi="Calibri" w:cs="Calibri"/>
          <w:sz w:val="20"/>
          <w:szCs w:val="20"/>
        </w:rPr>
        <w:t>have</w:t>
      </w:r>
      <w:r w:rsidRPr="006B196C">
        <w:rPr>
          <w:rFonts w:ascii="Calibri" w:hAnsi="Calibri" w:cs="Calibri"/>
          <w:sz w:val="20"/>
          <w:szCs w:val="20"/>
        </w:rPr>
        <w:t xml:space="preserve"> a strong position on the modification of reporting frequency. However, we do believe that any such decision should be preceded by a thorough impact assessment and guided by the principle of proportionality, without introducing unnecessary complexity into the reporting framework derived from building a regime upon a set of cumulative exceptions. </w:t>
      </w:r>
    </w:p>
    <w:p w14:paraId="12FCA181" w14:textId="77777777" w:rsidR="00E464C1" w:rsidRDefault="00E464C1" w:rsidP="00E464C1">
      <w:pPr>
        <w:spacing w:before="240"/>
        <w:jc w:val="both"/>
        <w:rPr>
          <w:rFonts w:ascii="Calibri" w:hAnsi="Calibri" w:cs="Calibri"/>
          <w:sz w:val="20"/>
          <w:szCs w:val="20"/>
        </w:rPr>
      </w:pPr>
      <w:r w:rsidRPr="006B196C">
        <w:rPr>
          <w:rFonts w:ascii="Calibri" w:hAnsi="Calibri" w:cs="Calibri"/>
          <w:sz w:val="20"/>
          <w:szCs w:val="20"/>
        </w:rPr>
        <w:lastRenderedPageBreak/>
        <w:t>While exemptions may appear to reduce burden, they often introduce new layers of complexity (e.g., implementing exception-handling logic in reporting systems). This can lead to increased compliance risk, especially for firms operating across multiple jurisdictions or reporting regimes.</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1C4180B0" w14:textId="77777777" w:rsidR="00E464C1" w:rsidRPr="006B196C" w:rsidRDefault="00E464C1" w:rsidP="00E464C1">
      <w:pPr>
        <w:spacing w:before="240"/>
        <w:jc w:val="both"/>
        <w:rPr>
          <w:rFonts w:ascii="Calibri" w:hAnsi="Calibri" w:cs="Calibri"/>
          <w:sz w:val="20"/>
          <w:szCs w:val="20"/>
        </w:rPr>
      </w:pPr>
      <w:permStart w:id="1360161894" w:edGrp="everyone"/>
      <w:r w:rsidRPr="006B196C">
        <w:rPr>
          <w:rFonts w:ascii="Calibri" w:hAnsi="Calibri" w:cs="Calibri"/>
          <w:sz w:val="20"/>
          <w:szCs w:val="20"/>
        </w:rPr>
        <w:t xml:space="preserve">While burden reduction and compliance cost should guide EU regulatory action, we believe that comprehensive and consistent data collection cannot be achieved through a fragmented approach as it would lead to differentiated reporting requirements across entities. </w:t>
      </w:r>
    </w:p>
    <w:p w14:paraId="17F2AB2B"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Given that regulatory reporting serves as the basis for market surveillance and risk monitoring, the introduction of proportionality measures (e.g., through exemptions) might lead to gaps in data coverage and thus hinder the supervisor ability to deliver on their tasks.</w:t>
      </w:r>
    </w:p>
    <w:p w14:paraId="539D522F"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Differentiated requirements also introduce interpretative challenges and operational complexity which does not contribute to burden reduction and simplification. </w:t>
      </w:r>
    </w:p>
    <w:p w14:paraId="5566AC71" w14:textId="77777777"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 xml:space="preserve">Hence, while proportionality is a valid principle in many regulatory contexts, it is not well-suited to transaction reporting, where consistency and completeness are paramount. </w:t>
      </w:r>
    </w:p>
    <w:p w14:paraId="5EF23CF2" w14:textId="6EFFCBC2" w:rsidR="00E464C1" w:rsidRPr="006B196C" w:rsidRDefault="00E464C1" w:rsidP="00E464C1">
      <w:pPr>
        <w:spacing w:before="240"/>
        <w:jc w:val="both"/>
        <w:rPr>
          <w:rFonts w:ascii="Calibri" w:hAnsi="Calibri" w:cs="Calibri"/>
          <w:sz w:val="20"/>
          <w:szCs w:val="20"/>
        </w:rPr>
      </w:pPr>
      <w:r w:rsidRPr="006B196C">
        <w:rPr>
          <w:rFonts w:ascii="Calibri" w:hAnsi="Calibri" w:cs="Calibri"/>
          <w:sz w:val="20"/>
          <w:szCs w:val="20"/>
        </w:rPr>
        <w:t>As previously pointed out, a</w:t>
      </w:r>
      <w:r>
        <w:rPr>
          <w:rFonts w:ascii="Calibri" w:hAnsi="Calibri" w:cs="Calibri"/>
          <w:sz w:val="20"/>
          <w:szCs w:val="20"/>
        </w:rPr>
        <w:t>n</w:t>
      </w:r>
      <w:r w:rsidRPr="006B196C">
        <w:rPr>
          <w:rFonts w:ascii="Calibri" w:hAnsi="Calibri" w:cs="Calibri"/>
          <w:sz w:val="20"/>
          <w:szCs w:val="20"/>
        </w:rPr>
        <w:t xml:space="preserve"> in</w:t>
      </w:r>
      <w:r>
        <w:rPr>
          <w:rFonts w:ascii="Calibri" w:hAnsi="Calibri" w:cs="Calibri"/>
          <w:sz w:val="20"/>
          <w:szCs w:val="20"/>
        </w:rPr>
        <w:t>-</w:t>
      </w:r>
      <w:r w:rsidRPr="006B196C">
        <w:rPr>
          <w:rFonts w:ascii="Calibri" w:hAnsi="Calibri" w:cs="Calibri"/>
          <w:sz w:val="20"/>
          <w:szCs w:val="20"/>
        </w:rPr>
        <w:t>depth assessment might be needed to evaluate the need for currently required fields and pieces of data for regulator. Where data is considered as necessary for effective supervisory purposes, not collecting that data because of proportionality might hinder supervisors’ ability to perform its duties in an effective manner. Should some data not be needed, a bold decision to stop collecting them should be promoted.</w:t>
      </w:r>
    </w:p>
    <w:p w14:paraId="0E18FE36" w14:textId="77777777" w:rsidR="00E464C1" w:rsidRDefault="00E464C1" w:rsidP="00E464C1">
      <w:pPr>
        <w:spacing w:before="240"/>
        <w:jc w:val="both"/>
        <w:rPr>
          <w:rFonts w:ascii="Calibri" w:hAnsi="Calibri" w:cs="Calibri"/>
          <w:sz w:val="20"/>
          <w:szCs w:val="20"/>
        </w:rPr>
      </w:pPr>
      <w:r>
        <w:rPr>
          <w:rFonts w:ascii="Calibri" w:hAnsi="Calibri" w:cs="Calibri"/>
          <w:sz w:val="20"/>
          <w:szCs w:val="20"/>
        </w:rPr>
        <w:t>In this regard, it is important to ensure that the scope and intensity of reporting obligations are aligned with the actual level of systemic risk being monitored, the operational burden placed on reporting entities, and the extent to which the data is actively used by supervisory authorities.</w:t>
      </w:r>
    </w:p>
    <w:p w14:paraId="6FDD1F7A" w14:textId="77777777" w:rsidR="00E464C1" w:rsidRPr="006B196C" w:rsidRDefault="00E464C1" w:rsidP="00E464C1">
      <w:pPr>
        <w:spacing w:before="240"/>
        <w:jc w:val="both"/>
        <w:rPr>
          <w:rFonts w:ascii="Calibri" w:hAnsi="Calibri" w:cs="Calibri"/>
          <w:sz w:val="20"/>
          <w:szCs w:val="20"/>
        </w:rPr>
      </w:pPr>
      <w:r>
        <w:rPr>
          <w:rFonts w:ascii="Calibri" w:hAnsi="Calibri" w:cs="Calibri"/>
          <w:sz w:val="20"/>
          <w:szCs w:val="20"/>
        </w:rPr>
        <w:t>As examples, the current level of granularity required under EMIR or SFTR does not appear to be proportionate to the systemic risk posed by ETDs centrally cleared or repo markets, which is more closely linked to transaction volumes than to their structural details., particularly when some of this information can be inferred from other reported data or obtained from official sources</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lastRenderedPageBreak/>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lastRenderedPageBreak/>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3"/>
      <w:footerReference w:type="even" r:id="rId24"/>
      <w:footerReference w:type="default" r:id="rId25"/>
      <w:footerReference w:type="first" r:id="rId2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5A288" w14:textId="77777777" w:rsidR="000D196D" w:rsidRDefault="000D196D" w:rsidP="007E7997">
      <w:r>
        <w:separator/>
      </w:r>
    </w:p>
  </w:endnote>
  <w:endnote w:type="continuationSeparator" w:id="0">
    <w:p w14:paraId="0C002D05" w14:textId="77777777" w:rsidR="000D196D" w:rsidRDefault="000D196D" w:rsidP="007E7997">
      <w:r>
        <w:continuationSeparator/>
      </w:r>
    </w:p>
  </w:endnote>
  <w:endnote w:type="continuationNotice" w:id="1">
    <w:p w14:paraId="0E6EEAAA" w14:textId="77777777" w:rsidR="000D196D" w:rsidRDefault="000D1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6E4D" w14:textId="77777777" w:rsidR="00457BC3" w:rsidRDefault="00457BC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Piedepgina"/>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Piedepgina"/>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A250" w14:textId="77777777" w:rsidR="00457BC3" w:rsidRDefault="00457BC3">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Piedepgina"/>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edepgina"/>
      <w:jc w:val="right"/>
    </w:pPr>
  </w:p>
  <w:p w14:paraId="12C756E7" w14:textId="77777777" w:rsidR="00C97F9B" w:rsidRDefault="00C97F9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5CCA" w14:textId="77777777" w:rsidR="00457BC3" w:rsidRDefault="00457B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E523" w14:textId="77777777" w:rsidR="000D196D" w:rsidRDefault="000D196D" w:rsidP="007E7997">
      <w:r>
        <w:separator/>
      </w:r>
    </w:p>
  </w:footnote>
  <w:footnote w:type="continuationSeparator" w:id="0">
    <w:p w14:paraId="15F58EAF" w14:textId="77777777" w:rsidR="000D196D" w:rsidRDefault="000D196D" w:rsidP="007E7997">
      <w:r>
        <w:continuationSeparator/>
      </w:r>
    </w:p>
  </w:footnote>
  <w:footnote w:type="continuationNotice" w:id="1">
    <w:p w14:paraId="3CA3DD20" w14:textId="77777777" w:rsidR="000D196D" w:rsidRDefault="000D196D"/>
  </w:footnote>
  <w:footnote w:id="2">
    <w:p w14:paraId="1856F193" w14:textId="77777777" w:rsidR="00E464C1" w:rsidRPr="007D0F4E" w:rsidRDefault="00E464C1" w:rsidP="00E464C1">
      <w:pPr>
        <w:pStyle w:val="Textonotapie"/>
      </w:pPr>
      <w:r>
        <w:rPr>
          <w:rStyle w:val="Refdenotaalpie"/>
        </w:rPr>
        <w:footnoteRef/>
      </w:r>
      <w:r w:rsidRPr="007D0F4E">
        <w:t xml:space="preserve"> </w:t>
      </w:r>
      <w:r w:rsidRPr="007D0F4E">
        <w:rPr>
          <w:sz w:val="18"/>
          <w:szCs w:val="18"/>
        </w:rPr>
        <w:t xml:space="preserve">TRACE </w:t>
      </w:r>
      <w:r>
        <w:rPr>
          <w:sz w:val="18"/>
          <w:szCs w:val="18"/>
        </w:rPr>
        <w:t xml:space="preserve">(ESMA’s hub) </w:t>
      </w:r>
      <w:r w:rsidRPr="007D0F4E">
        <w:rPr>
          <w:sz w:val="18"/>
          <w:szCs w:val="18"/>
        </w:rPr>
        <w:t>is the current ESMA system for single access to TR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Encabezado"/>
    </w:pPr>
  </w:p>
  <w:p w14:paraId="59FA3C9D" w14:textId="77777777" w:rsidR="00E36813" w:rsidRDefault="00E368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Encabezado"/>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Encabezado"/>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Encabezado"/>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Encabezado"/>
      <w:jc w:val="right"/>
      <w:rPr>
        <w:rFonts w:asciiTheme="minorHAnsi" w:hAnsiTheme="minorHAnsi" w:cstheme="minorHAnsi"/>
        <w:color w:val="2F5496" w:themeColor="accent5" w:themeShade="BF"/>
        <w:sz w:val="20"/>
      </w:rPr>
    </w:pPr>
  </w:p>
  <w:p w14:paraId="3E983FE8" w14:textId="71D87355" w:rsidR="00FA64BE" w:rsidRDefault="00FA64BE" w:rsidP="00FA64BE">
    <w:pPr>
      <w:pStyle w:val="Encabezado"/>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Encabezado"/>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Encabezado"/>
      <w:jc w:val="right"/>
      <w:rPr>
        <w:color w:val="2F5496" w:themeColor="accent5" w:themeShade="BF"/>
        <w:sz w:val="20"/>
      </w:rPr>
    </w:pPr>
  </w:p>
  <w:p w14:paraId="5EAB6EC6" w14:textId="77777777" w:rsidR="00E36813" w:rsidRPr="00B50534" w:rsidRDefault="00E36813" w:rsidP="00B50534">
    <w:pPr>
      <w:pStyle w:val="Encabezado"/>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BE332A"/>
    <w:multiLevelType w:val="hybridMultilevel"/>
    <w:tmpl w:val="6182216A"/>
    <w:lvl w:ilvl="0" w:tplc="66E2566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0056EF"/>
    <w:multiLevelType w:val="hybridMultilevel"/>
    <w:tmpl w:val="31FE31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E356D6"/>
    <w:multiLevelType w:val="hybridMultilevel"/>
    <w:tmpl w:val="7C240012"/>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FD2238"/>
    <w:multiLevelType w:val="hybridMultilevel"/>
    <w:tmpl w:val="93721BE0"/>
    <w:lvl w:ilvl="0" w:tplc="FFFFFFFF">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0C0A001B">
      <w:start w:val="1"/>
      <w:numFmt w:val="lowerRoman"/>
      <w:lvlText w:val="%3."/>
      <w:lvlJc w:val="righ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E32680"/>
    <w:multiLevelType w:val="hybridMultilevel"/>
    <w:tmpl w:val="5D86616E"/>
    <w:lvl w:ilvl="0" w:tplc="8D4C2546">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B9E089E"/>
    <w:multiLevelType w:val="hybridMultilevel"/>
    <w:tmpl w:val="87960D64"/>
    <w:lvl w:ilvl="0" w:tplc="4F30587E">
      <w:start w:val="1"/>
      <w:numFmt w:val="lowerLetter"/>
      <w:pStyle w:val="Ttu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CB2FBA"/>
    <w:multiLevelType w:val="hybridMultilevel"/>
    <w:tmpl w:val="675EF53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181D69"/>
    <w:multiLevelType w:val="hybridMultilevel"/>
    <w:tmpl w:val="0A189E10"/>
    <w:lvl w:ilvl="0" w:tplc="52DE78C0">
      <w:start w:val="1"/>
      <w:numFmt w:val="upperLetter"/>
      <w:pStyle w:val="Prrafodelista"/>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2" w15:restartNumberingAfterBreak="0">
    <w:nsid w:val="300E4E36"/>
    <w:multiLevelType w:val="hybridMultilevel"/>
    <w:tmpl w:val="54966B2E"/>
    <w:lvl w:ilvl="0" w:tplc="7AACB46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46D94632"/>
    <w:multiLevelType w:val="hybridMultilevel"/>
    <w:tmpl w:val="B84A75E8"/>
    <w:lvl w:ilvl="0" w:tplc="DEEEF11C">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5D4594"/>
    <w:multiLevelType w:val="hybridMultilevel"/>
    <w:tmpl w:val="C1685718"/>
    <w:lvl w:ilvl="0" w:tplc="0C20864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A0E1DAD"/>
    <w:multiLevelType w:val="hybridMultilevel"/>
    <w:tmpl w:val="E3FCF9E0"/>
    <w:lvl w:ilvl="0" w:tplc="EA0C7426">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326F3A"/>
    <w:multiLevelType w:val="hybridMultilevel"/>
    <w:tmpl w:val="B44E82A4"/>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F813574"/>
    <w:multiLevelType w:val="hybridMultilevel"/>
    <w:tmpl w:val="C51E9722"/>
    <w:lvl w:ilvl="0" w:tplc="FFFFFFFF">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440" w:hanging="360"/>
      </w:pPr>
      <w:rPr>
        <w:rFonts w:ascii="Courier New" w:hAnsi="Courier New" w:cs="Courier New" w:hint="default"/>
      </w:rPr>
    </w:lvl>
    <w:lvl w:ilvl="2" w:tplc="0C0A001B">
      <w:start w:val="1"/>
      <w:numFmt w:val="lowerRoman"/>
      <w:lvlText w:val="%3."/>
      <w:lvlJc w:val="righ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AD1101"/>
    <w:multiLevelType w:val="multilevel"/>
    <w:tmpl w:val="766C753E"/>
    <w:lvl w:ilvl="0">
      <w:start w:val="1"/>
      <w:numFmt w:val="upperRoman"/>
      <w:pStyle w:val="Ttulo1"/>
      <w:lvlText w:val="%1."/>
      <w:lvlJc w:val="righ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7"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B0A0EE0"/>
    <w:multiLevelType w:val="hybridMultilevel"/>
    <w:tmpl w:val="31FE31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E9B5084"/>
    <w:multiLevelType w:val="hybridMultilevel"/>
    <w:tmpl w:val="94D05F0C"/>
    <w:lvl w:ilvl="0" w:tplc="0C208644">
      <w:start w:val="1"/>
      <w:numFmt w:val="bullet"/>
      <w:lvlText w:val=""/>
      <w:lvlJc w:val="left"/>
      <w:pPr>
        <w:ind w:left="720" w:hanging="360"/>
      </w:pPr>
      <w:rPr>
        <w:rFonts w:ascii="Symbol" w:hAnsi="Symbol" w:hint="default"/>
      </w:rPr>
    </w:lvl>
    <w:lvl w:ilvl="1" w:tplc="0C20864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975619">
    <w:abstractNumId w:val="7"/>
  </w:num>
  <w:num w:numId="2" w16cid:durableId="1495532731">
    <w:abstractNumId w:val="7"/>
  </w:num>
  <w:num w:numId="3" w16cid:durableId="994409496">
    <w:abstractNumId w:val="36"/>
  </w:num>
  <w:num w:numId="4" w16cid:durableId="1880320868">
    <w:abstractNumId w:val="8"/>
  </w:num>
  <w:num w:numId="5" w16cid:durableId="290864581">
    <w:abstractNumId w:val="20"/>
  </w:num>
  <w:num w:numId="6" w16cid:durableId="952590553">
    <w:abstractNumId w:val="38"/>
  </w:num>
  <w:num w:numId="7" w16cid:durableId="1159686949">
    <w:abstractNumId w:val="19"/>
  </w:num>
  <w:num w:numId="8" w16cid:durableId="765269892">
    <w:abstractNumId w:val="11"/>
  </w:num>
  <w:num w:numId="9" w16cid:durableId="1301960395">
    <w:abstractNumId w:val="15"/>
  </w:num>
  <w:num w:numId="10" w16cid:durableId="1228616548">
    <w:abstractNumId w:val="14"/>
  </w:num>
  <w:num w:numId="11" w16cid:durableId="2051027016">
    <w:abstractNumId w:val="13"/>
  </w:num>
  <w:num w:numId="12" w16cid:durableId="83380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9"/>
  </w:num>
  <w:num w:numId="15" w16cid:durableId="986476960">
    <w:abstractNumId w:val="33"/>
  </w:num>
  <w:num w:numId="16" w16cid:durableId="398749299">
    <w:abstractNumId w:val="37"/>
  </w:num>
  <w:num w:numId="17" w16cid:durableId="14076118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34"/>
  </w:num>
  <w:num w:numId="19" w16cid:durableId="558588771">
    <w:abstractNumId w:val="38"/>
  </w:num>
  <w:num w:numId="20" w16cid:durableId="1306933315">
    <w:abstractNumId w:val="17"/>
  </w:num>
  <w:num w:numId="21" w16cid:durableId="1623876054">
    <w:abstractNumId w:val="35"/>
  </w:num>
  <w:num w:numId="22" w16cid:durableId="783383837">
    <w:abstractNumId w:val="22"/>
  </w:num>
  <w:num w:numId="23" w16cid:durableId="2112964618">
    <w:abstractNumId w:val="30"/>
  </w:num>
  <w:num w:numId="24" w16cid:durableId="1958565453">
    <w:abstractNumId w:val="0"/>
  </w:num>
  <w:num w:numId="25" w16cid:durableId="1372725395">
    <w:abstractNumId w:val="28"/>
  </w:num>
  <w:num w:numId="26" w16cid:durableId="1686445133">
    <w:abstractNumId w:val="25"/>
  </w:num>
  <w:num w:numId="27" w16cid:durableId="1247768697">
    <w:abstractNumId w:val="16"/>
  </w:num>
  <w:num w:numId="28" w16cid:durableId="954170948">
    <w:abstractNumId w:val="4"/>
  </w:num>
  <w:num w:numId="29" w16cid:durableId="837424337">
    <w:abstractNumId w:val="26"/>
  </w:num>
  <w:num w:numId="30" w16cid:durableId="299657983">
    <w:abstractNumId w:val="9"/>
  </w:num>
  <w:num w:numId="31" w16cid:durableId="699822250">
    <w:abstractNumId w:val="24"/>
  </w:num>
  <w:num w:numId="32" w16cid:durableId="730466929">
    <w:abstractNumId w:val="18"/>
    <w:lvlOverride w:ilvl="0">
      <w:startOverride w:val="1"/>
    </w:lvlOverride>
  </w:num>
  <w:num w:numId="33" w16cid:durableId="552498262">
    <w:abstractNumId w:val="29"/>
  </w:num>
  <w:num w:numId="34" w16cid:durableId="1829132647">
    <w:abstractNumId w:val="18"/>
    <w:lvlOverride w:ilvl="0">
      <w:startOverride w:val="1"/>
    </w:lvlOverride>
  </w:num>
  <w:num w:numId="35" w16cid:durableId="1915964461">
    <w:abstractNumId w:val="18"/>
    <w:lvlOverride w:ilvl="0">
      <w:startOverride w:val="1"/>
    </w:lvlOverride>
  </w:num>
  <w:num w:numId="36" w16cid:durableId="1385182617">
    <w:abstractNumId w:val="18"/>
    <w:lvlOverride w:ilvl="0">
      <w:startOverride w:val="1"/>
    </w:lvlOverride>
  </w:num>
  <w:num w:numId="37" w16cid:durableId="1441680980">
    <w:abstractNumId w:val="10"/>
  </w:num>
  <w:num w:numId="38" w16cid:durableId="793796061">
    <w:abstractNumId w:val="12"/>
  </w:num>
  <w:num w:numId="39" w16cid:durableId="856698743">
    <w:abstractNumId w:val="1"/>
  </w:num>
  <w:num w:numId="40" w16cid:durableId="1430079984">
    <w:abstractNumId w:val="3"/>
  </w:num>
  <w:num w:numId="41" w16cid:durableId="138571254">
    <w:abstractNumId w:val="6"/>
  </w:num>
  <w:num w:numId="42" w16cid:durableId="1998416040">
    <w:abstractNumId w:val="5"/>
  </w:num>
  <w:num w:numId="43" w16cid:durableId="1756434077">
    <w:abstractNumId w:val="32"/>
  </w:num>
  <w:num w:numId="44" w16cid:durableId="2087458405">
    <w:abstractNumId w:val="21"/>
  </w:num>
  <w:num w:numId="45" w16cid:durableId="1106772540">
    <w:abstractNumId w:val="31"/>
  </w:num>
  <w:num w:numId="46" w16cid:durableId="1174957266">
    <w:abstractNumId w:val="41"/>
  </w:num>
  <w:num w:numId="47" w16cid:durableId="259920592">
    <w:abstractNumId w:val="27"/>
  </w:num>
  <w:num w:numId="48" w16cid:durableId="129590642">
    <w:abstractNumId w:val="2"/>
  </w:num>
  <w:num w:numId="49" w16cid:durableId="1466393443">
    <w:abstractNumId w:val="40"/>
  </w:num>
  <w:num w:numId="50" w16cid:durableId="341400370">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196D"/>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57BC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2F18"/>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0BEF"/>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6C2"/>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464C1"/>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tulo1">
    <w:name w:val="heading 1"/>
    <w:basedOn w:val="Normal"/>
    <w:next w:val="Normal"/>
    <w:link w:val="Ttulo1C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tulo2">
    <w:name w:val="heading 2"/>
    <w:basedOn w:val="Normal"/>
    <w:next w:val="Normal"/>
    <w:link w:val="Ttulo2C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tulo3">
    <w:name w:val="heading 3"/>
    <w:basedOn w:val="Normal"/>
    <w:next w:val="Normal"/>
    <w:link w:val="Ttulo3C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tulo4">
    <w:name w:val="heading 4"/>
    <w:basedOn w:val="Normal"/>
    <w:next w:val="Normal"/>
    <w:link w:val="Ttulo4C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tulo5">
    <w:name w:val="heading 5"/>
    <w:basedOn w:val="Normal"/>
    <w:next w:val="Normal"/>
    <w:link w:val="Ttulo5C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tulo6">
    <w:name w:val="heading 6"/>
    <w:basedOn w:val="Normal"/>
    <w:next w:val="Normal"/>
    <w:link w:val="Ttulo6C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tulo7">
    <w:name w:val="heading 7"/>
    <w:basedOn w:val="Normal"/>
    <w:next w:val="Normal"/>
    <w:link w:val="Ttulo7C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tulo8">
    <w:name w:val="heading 8"/>
    <w:basedOn w:val="Normal"/>
    <w:next w:val="Normal"/>
    <w:link w:val="Ttulo8C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tulo9">
    <w:name w:val="heading 9"/>
    <w:basedOn w:val="Normal"/>
    <w:next w:val="Normal"/>
    <w:link w:val="Ttulo9C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B6B12"/>
    <w:pPr>
      <w:spacing w:after="0" w:line="240" w:lineRule="auto"/>
    </w:pPr>
    <w:rPr>
      <w:lang w:val="en-GB"/>
    </w:rPr>
  </w:style>
  <w:style w:type="character" w:customStyle="1" w:styleId="Ttulo4Car">
    <w:name w:val="Título 4 Car"/>
    <w:basedOn w:val="Fuentedeprrafopredeter"/>
    <w:link w:val="Ttulo4"/>
    <w:rsid w:val="00020300"/>
    <w:rPr>
      <w:rFonts w:asciiTheme="majorHAnsi" w:eastAsiaTheme="majorEastAsia" w:hAnsiTheme="majorHAnsi" w:cstheme="majorBidi"/>
      <w:sz w:val="24"/>
      <w:szCs w:val="22"/>
      <w:lang w:val="en-GB" w:eastAsia="en-GB"/>
    </w:rPr>
  </w:style>
  <w:style w:type="character" w:customStyle="1" w:styleId="Ttulo3Car">
    <w:name w:val="Título 3 Car"/>
    <w:basedOn w:val="Fuentedeprrafopredeter"/>
    <w:link w:val="Ttulo3"/>
    <w:rsid w:val="00020300"/>
    <w:rPr>
      <w:rFonts w:asciiTheme="majorHAnsi" w:eastAsiaTheme="majorEastAsia" w:hAnsiTheme="majorHAnsi" w:cstheme="majorBidi"/>
      <w:sz w:val="24"/>
      <w:szCs w:val="24"/>
      <w:lang w:val="en-GB" w:eastAsia="en-GB"/>
    </w:rPr>
  </w:style>
  <w:style w:type="character" w:customStyle="1" w:styleId="Ttulo1Car">
    <w:name w:val="Título 1 Car"/>
    <w:basedOn w:val="Fuentedeprrafopredeter"/>
    <w:link w:val="Ttulo1"/>
    <w:rsid w:val="00FE0BD8"/>
    <w:rPr>
      <w:rFonts w:asciiTheme="majorHAnsi" w:eastAsiaTheme="majorEastAsia" w:hAnsiTheme="majorHAnsi" w:cstheme="majorBidi"/>
      <w:b/>
      <w:sz w:val="32"/>
      <w:szCs w:val="32"/>
      <w:lang w:val="en-GB" w:eastAsia="en-GB"/>
    </w:rPr>
  </w:style>
  <w:style w:type="character" w:customStyle="1" w:styleId="Ttulo2Car">
    <w:name w:val="Título 2 Car"/>
    <w:basedOn w:val="Fuentedeprrafopredeter"/>
    <w:link w:val="Ttulo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Fuentedeprrafopredeter"/>
    <w:link w:val="Subtitle1"/>
    <w:rsid w:val="003C4EB5"/>
    <w:rPr>
      <w:rFonts w:cs="Times New Roman"/>
      <w:b/>
      <w:sz w:val="20"/>
      <w:szCs w:val="24"/>
      <w:lang w:val="en-GB" w:eastAsia="de-DE"/>
    </w:rPr>
  </w:style>
  <w:style w:type="paragraph" w:customStyle="1" w:styleId="Title1">
    <w:name w:val="Title 1"/>
    <w:basedOn w:val="Prrafodelista"/>
    <w:link w:val="Title1Char"/>
    <w:autoRedefine/>
    <w:rsid w:val="002574D1"/>
    <w:pPr>
      <w:numPr>
        <w:numId w:val="2"/>
      </w:numPr>
    </w:pPr>
    <w:rPr>
      <w:b/>
      <w:sz w:val="28"/>
    </w:rPr>
  </w:style>
  <w:style w:type="character" w:customStyle="1" w:styleId="Title1Char">
    <w:name w:val="Title 1 Char"/>
    <w:basedOn w:val="Fuentedeprrafopredeter"/>
    <w:link w:val="Title1"/>
    <w:rsid w:val="003C4EB5"/>
    <w:rPr>
      <w:rFonts w:eastAsiaTheme="majorEastAsia" w:cstheme="minorHAnsi"/>
      <w:b/>
      <w:sz w:val="28"/>
      <w:szCs w:val="22"/>
      <w:lang w:val="en-GB" w:eastAsia="en-GB"/>
    </w:rPr>
  </w:style>
  <w:style w:type="paragraph" w:styleId="Prrafodelista">
    <w:name w:val="List Paragraph"/>
    <w:aliases w:val="Paragraphe EI,Paragraphe de liste1,EC,Paragraphe de liste,Normal Nivel 1,List Paragraph Main,List first level,List Paragraph_Sections"/>
    <w:basedOn w:val="Normal"/>
    <w:link w:val="PrrafodelistaC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Prrafodelista"/>
    <w:link w:val="Title3Char"/>
    <w:autoRedefine/>
    <w:rsid w:val="002574D1"/>
    <w:pPr>
      <w:numPr>
        <w:ilvl w:val="3"/>
        <w:numId w:val="2"/>
      </w:numPr>
    </w:pPr>
  </w:style>
  <w:style w:type="character" w:customStyle="1" w:styleId="Title3Char">
    <w:name w:val="Title 3 Char"/>
    <w:basedOn w:val="Fuentedeprrafopredeter"/>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Fuentedeprrafopredeter"/>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Fuentedeprrafopredeter"/>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Fuentedeprrafopredeter"/>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Fuentedeprrafopredeter"/>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Fuentedeprrafopredeter"/>
    <w:link w:val="Introductionheading"/>
    <w:rsid w:val="00044C5A"/>
    <w:rPr>
      <w:rFonts w:ascii="Arial" w:eastAsia="Times New Roman" w:hAnsi="Arial" w:cs="Times New Roman"/>
      <w:b/>
      <w:sz w:val="28"/>
      <w:szCs w:val="24"/>
      <w:lang w:val="en-GB" w:eastAsia="de-DE"/>
    </w:rPr>
  </w:style>
  <w:style w:type="character" w:customStyle="1" w:styleId="Ttulo5Car">
    <w:name w:val="Título 5 Car"/>
    <w:basedOn w:val="Fuentedeprrafopredeter"/>
    <w:link w:val="Ttulo5"/>
    <w:uiPriority w:val="9"/>
    <w:rsid w:val="007E7997"/>
    <w:rPr>
      <w:rFonts w:asciiTheme="majorHAnsi" w:eastAsiaTheme="majorEastAsia" w:hAnsiTheme="majorHAnsi" w:cstheme="majorBidi"/>
      <w:sz w:val="24"/>
      <w:szCs w:val="22"/>
      <w:lang w:val="en-GB" w:eastAsia="en-GB"/>
    </w:rPr>
  </w:style>
  <w:style w:type="paragraph" w:styleId="Textoindependiente">
    <w:name w:val="Body Text"/>
    <w:basedOn w:val="Normal"/>
    <w:link w:val="TextoindependienteCar"/>
    <w:uiPriority w:val="99"/>
    <w:semiHidden/>
    <w:unhideWhenUsed/>
    <w:rsid w:val="00044C5A"/>
  </w:style>
  <w:style w:type="character" w:customStyle="1" w:styleId="TextoindependienteCar">
    <w:name w:val="Texto independiente Car"/>
    <w:basedOn w:val="Fuentedeprrafopredeter"/>
    <w:link w:val="Textoindependiente"/>
    <w:uiPriority w:val="99"/>
    <w:semiHidden/>
    <w:rsid w:val="00044C5A"/>
    <w:rPr>
      <w:rFonts w:ascii="Arial" w:eastAsiaTheme="minorEastAsia" w:hAnsi="Arial"/>
    </w:rPr>
  </w:style>
  <w:style w:type="paragraph" w:styleId="Textoindependienteprimerasangra">
    <w:name w:val="Body Text First Indent"/>
    <w:basedOn w:val="Textoindependiente"/>
    <w:link w:val="TextoindependienteprimerasangraCar"/>
    <w:uiPriority w:val="99"/>
    <w:semiHidden/>
    <w:unhideWhenUsed/>
    <w:rsid w:val="00044C5A"/>
    <w:pPr>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044C5A"/>
    <w:rPr>
      <w:rFonts w:ascii="Arial" w:eastAsiaTheme="minorEastAsia" w:hAnsi="Arial"/>
    </w:rPr>
  </w:style>
  <w:style w:type="character" w:customStyle="1" w:styleId="Ttulo6Car">
    <w:name w:val="Título 6 Car"/>
    <w:basedOn w:val="Fuentedeprrafopredeter"/>
    <w:link w:val="Ttulo6"/>
    <w:rsid w:val="00AA054E"/>
    <w:rPr>
      <w:rFonts w:asciiTheme="majorHAnsi" w:eastAsiaTheme="majorEastAsia" w:hAnsiTheme="majorHAnsi" w:cstheme="majorBidi"/>
      <w:i/>
      <w:iCs/>
      <w:color w:val="44546A" w:themeColor="text2"/>
      <w:sz w:val="21"/>
      <w:szCs w:val="21"/>
      <w:lang w:val="en-GB" w:eastAsia="en-GB"/>
    </w:rPr>
  </w:style>
  <w:style w:type="paragraph" w:styleId="Ttulo">
    <w:name w:val="Title"/>
    <w:basedOn w:val="Normal"/>
    <w:next w:val="Normal"/>
    <w:link w:val="TtuloC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tuloCar">
    <w:name w:val="Título Car"/>
    <w:basedOn w:val="Fuentedeprrafopredeter"/>
    <w:link w:val="Ttulo"/>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tulo">
    <w:name w:val="Subtitle"/>
    <w:basedOn w:val="Normal"/>
    <w:next w:val="Normal"/>
    <w:link w:val="SubttuloCar"/>
    <w:uiPriority w:val="11"/>
    <w:qFormat/>
    <w:rsid w:val="00366D42"/>
    <w:pPr>
      <w:numPr>
        <w:ilvl w:val="1"/>
      </w:numPr>
    </w:pPr>
    <w:rPr>
      <w:rFonts w:asciiTheme="majorHAnsi" w:eastAsiaTheme="majorEastAsia" w:hAnsiTheme="majorHAnsi" w:cstheme="majorBidi"/>
      <w:b/>
      <w:sz w:val="28"/>
    </w:rPr>
  </w:style>
  <w:style w:type="character" w:customStyle="1" w:styleId="SubttuloCar">
    <w:name w:val="Subtítulo Car"/>
    <w:basedOn w:val="Fuentedeprrafopredeter"/>
    <w:link w:val="Subttulo"/>
    <w:uiPriority w:val="11"/>
    <w:rsid w:val="00366D42"/>
    <w:rPr>
      <w:rFonts w:asciiTheme="majorHAnsi" w:eastAsiaTheme="majorEastAsia" w:hAnsiTheme="majorHAnsi" w:cstheme="majorBidi"/>
      <w:b/>
      <w:sz w:val="28"/>
      <w:szCs w:val="24"/>
      <w:lang w:val="en-GB"/>
    </w:rPr>
  </w:style>
  <w:style w:type="character" w:customStyle="1" w:styleId="Ttulo7Car">
    <w:name w:val="Título 7 Car"/>
    <w:basedOn w:val="Fuentedeprrafopredeter"/>
    <w:link w:val="Ttulo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tulo8Car">
    <w:name w:val="Título 8 Car"/>
    <w:basedOn w:val="Fuentedeprrafopredeter"/>
    <w:link w:val="Ttulo8"/>
    <w:rsid w:val="00AA054E"/>
    <w:rPr>
      <w:rFonts w:asciiTheme="majorHAnsi" w:eastAsiaTheme="majorEastAsia" w:hAnsiTheme="majorHAnsi" w:cstheme="majorBidi"/>
      <w:b/>
      <w:bCs/>
      <w:color w:val="44546A" w:themeColor="text2"/>
      <w:sz w:val="24"/>
      <w:szCs w:val="24"/>
      <w:lang w:val="en-GB" w:eastAsia="en-GB"/>
    </w:rPr>
  </w:style>
  <w:style w:type="character" w:customStyle="1" w:styleId="Ttulo9Car">
    <w:name w:val="Título 9 Car"/>
    <w:basedOn w:val="Fuentedeprrafopredeter"/>
    <w:link w:val="Ttulo9"/>
    <w:rsid w:val="00AA054E"/>
    <w:rPr>
      <w:rFonts w:asciiTheme="majorHAnsi" w:eastAsiaTheme="majorEastAsia" w:hAnsiTheme="majorHAnsi" w:cstheme="majorBidi"/>
      <w:b/>
      <w:bCs/>
      <w:i/>
      <w:iCs/>
      <w:color w:val="44546A" w:themeColor="text2"/>
      <w:sz w:val="24"/>
      <w:szCs w:val="24"/>
      <w:lang w:val="en-GB" w:eastAsia="en-GB"/>
    </w:rPr>
  </w:style>
  <w:style w:type="paragraph" w:styleId="Descripcin">
    <w:name w:val="caption"/>
    <w:basedOn w:val="Normal"/>
    <w:next w:val="Normal"/>
    <w:uiPriority w:val="35"/>
    <w:semiHidden/>
    <w:unhideWhenUsed/>
    <w:qFormat/>
    <w:rsid w:val="00AA054E"/>
    <w:rPr>
      <w:b/>
      <w:bCs/>
      <w:smallCaps/>
      <w:color w:val="595959" w:themeColor="text1" w:themeTint="A6"/>
      <w:spacing w:val="6"/>
    </w:rPr>
  </w:style>
  <w:style w:type="character" w:styleId="Textoennegrita">
    <w:name w:val="Strong"/>
    <w:basedOn w:val="Fuentedeprrafopredeter"/>
    <w:uiPriority w:val="22"/>
    <w:qFormat/>
    <w:rsid w:val="00AA054E"/>
    <w:rPr>
      <w:b/>
      <w:bCs/>
    </w:rPr>
  </w:style>
  <w:style w:type="character" w:styleId="nfasis">
    <w:name w:val="Emphasis"/>
    <w:basedOn w:val="Fuentedeprrafopredeter"/>
    <w:uiPriority w:val="20"/>
    <w:qFormat/>
    <w:rsid w:val="00AA054E"/>
    <w:rPr>
      <w:i/>
      <w:iCs/>
    </w:rPr>
  </w:style>
  <w:style w:type="paragraph" w:styleId="Cita">
    <w:name w:val="Quote"/>
    <w:basedOn w:val="Normal"/>
    <w:next w:val="Normal"/>
    <w:link w:val="CitaCar"/>
    <w:uiPriority w:val="29"/>
    <w:qFormat/>
    <w:rsid w:val="00AA054E"/>
    <w:pPr>
      <w:spacing w:before="160"/>
      <w:ind w:left="720" w:right="720"/>
    </w:pPr>
    <w:rPr>
      <w:i/>
      <w:iCs/>
      <w:color w:val="404040" w:themeColor="text1" w:themeTint="BF"/>
    </w:rPr>
  </w:style>
  <w:style w:type="character" w:customStyle="1" w:styleId="CitaCar">
    <w:name w:val="Cita Car"/>
    <w:basedOn w:val="Fuentedeprrafopredeter"/>
    <w:link w:val="Cita"/>
    <w:uiPriority w:val="29"/>
    <w:rsid w:val="00AA054E"/>
    <w:rPr>
      <w:i/>
      <w:iCs/>
      <w:color w:val="404040" w:themeColor="text1" w:themeTint="BF"/>
    </w:rPr>
  </w:style>
  <w:style w:type="paragraph" w:styleId="Citadestacada">
    <w:name w:val="Intense Quote"/>
    <w:basedOn w:val="Normal"/>
    <w:next w:val="Normal"/>
    <w:link w:val="CitadestacadaC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destacadaCar">
    <w:name w:val="Cita destacada Car"/>
    <w:basedOn w:val="Fuentedeprrafopredeter"/>
    <w:link w:val="Citadestacada"/>
    <w:uiPriority w:val="30"/>
    <w:rsid w:val="00AA054E"/>
    <w:rPr>
      <w:rFonts w:asciiTheme="majorHAnsi" w:eastAsiaTheme="majorEastAsia" w:hAnsiTheme="majorHAnsi" w:cstheme="majorBidi"/>
      <w:color w:val="5B9BD5" w:themeColor="accent1"/>
      <w:sz w:val="28"/>
      <w:szCs w:val="28"/>
    </w:rPr>
  </w:style>
  <w:style w:type="character" w:styleId="nfasissutil">
    <w:name w:val="Subtle Emphasis"/>
    <w:aliases w:val="Text,Emphase pâle,Diskret betoning"/>
    <w:basedOn w:val="Fuentedeprrafopredeter"/>
    <w:uiPriority w:val="19"/>
    <w:qFormat/>
    <w:rsid w:val="00287C8F"/>
    <w:rPr>
      <w:rFonts w:asciiTheme="majorHAnsi" w:hAnsiTheme="majorHAnsi"/>
      <w:i/>
      <w:iCs/>
      <w:color w:val="auto"/>
      <w:sz w:val="22"/>
    </w:rPr>
  </w:style>
  <w:style w:type="character" w:styleId="nfasisintenso">
    <w:name w:val="Intense Emphasis"/>
    <w:basedOn w:val="Fuentedeprrafopredeter"/>
    <w:uiPriority w:val="21"/>
    <w:qFormat/>
    <w:rsid w:val="00AA054E"/>
    <w:rPr>
      <w:b/>
      <w:bCs/>
      <w:i/>
      <w:iCs/>
    </w:rPr>
  </w:style>
  <w:style w:type="character" w:styleId="Referenciasutil">
    <w:name w:val="Subtle Reference"/>
    <w:basedOn w:val="Fuentedeprrafopredeter"/>
    <w:uiPriority w:val="31"/>
    <w:qFormat/>
    <w:rsid w:val="00AA054E"/>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AA054E"/>
    <w:rPr>
      <w:b/>
      <w:bCs/>
      <w:smallCaps/>
      <w:spacing w:val="5"/>
      <w:u w:val="single"/>
    </w:rPr>
  </w:style>
  <w:style w:type="character" w:styleId="Ttulodellibro">
    <w:name w:val="Book Title"/>
    <w:basedOn w:val="Fuentedeprrafopredeter"/>
    <w:uiPriority w:val="33"/>
    <w:qFormat/>
    <w:rsid w:val="00AA054E"/>
    <w:rPr>
      <w:b/>
      <w:bCs/>
      <w:smallCaps/>
    </w:rPr>
  </w:style>
  <w:style w:type="paragraph" w:styleId="TtuloTDC">
    <w:name w:val="TOC Heading"/>
    <w:basedOn w:val="Ttulo1"/>
    <w:next w:val="Normal"/>
    <w:uiPriority w:val="39"/>
    <w:unhideWhenUsed/>
    <w:qFormat/>
    <w:rsid w:val="00AA054E"/>
    <w:pPr>
      <w:outlineLvl w:val="9"/>
    </w:pPr>
  </w:style>
  <w:style w:type="character" w:customStyle="1" w:styleId="SinespaciadoCar">
    <w:name w:val="Sin espaciado Car"/>
    <w:basedOn w:val="Fuentedeprrafopredeter"/>
    <w:link w:val="Sinespaciado"/>
    <w:uiPriority w:val="1"/>
    <w:rsid w:val="005B6B12"/>
    <w:rPr>
      <w:lang w:val="en-GB"/>
    </w:rPr>
  </w:style>
  <w:style w:type="paragraph" w:styleId="Encabezado">
    <w:name w:val="header"/>
    <w:basedOn w:val="Normal"/>
    <w:link w:val="EncabezadoCar"/>
    <w:unhideWhenUsed/>
    <w:qFormat/>
    <w:rsid w:val="007E7997"/>
    <w:pPr>
      <w:tabs>
        <w:tab w:val="center" w:pos="4536"/>
        <w:tab w:val="right" w:pos="9072"/>
      </w:tabs>
    </w:pPr>
  </w:style>
  <w:style w:type="character" w:customStyle="1" w:styleId="EncabezadoCar">
    <w:name w:val="Encabezado Car"/>
    <w:basedOn w:val="Fuentedeprrafopredeter"/>
    <w:link w:val="Encabezado"/>
    <w:rsid w:val="007E7997"/>
    <w:rPr>
      <w:sz w:val="22"/>
    </w:rPr>
  </w:style>
  <w:style w:type="paragraph" w:styleId="Piedepgina">
    <w:name w:val="footer"/>
    <w:basedOn w:val="Normal"/>
    <w:link w:val="PiedepginaCar"/>
    <w:uiPriority w:val="99"/>
    <w:unhideWhenUsed/>
    <w:rsid w:val="007E7997"/>
    <w:pPr>
      <w:tabs>
        <w:tab w:val="center" w:pos="4536"/>
        <w:tab w:val="right" w:pos="9072"/>
      </w:tabs>
    </w:pPr>
  </w:style>
  <w:style w:type="character" w:customStyle="1" w:styleId="PiedepginaCar">
    <w:name w:val="Pie de página Car"/>
    <w:basedOn w:val="Fuentedeprrafopredeter"/>
    <w:link w:val="Piedepgina"/>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DC1">
    <w:name w:val="toc 1"/>
    <w:basedOn w:val="Normal"/>
    <w:next w:val="Normal"/>
    <w:autoRedefine/>
    <w:uiPriority w:val="39"/>
    <w:unhideWhenUsed/>
    <w:rsid w:val="00B81A44"/>
    <w:pPr>
      <w:tabs>
        <w:tab w:val="left" w:pos="440"/>
        <w:tab w:val="right" w:leader="dot" w:pos="9062"/>
      </w:tabs>
      <w:spacing w:after="100"/>
    </w:pPr>
  </w:style>
  <w:style w:type="paragraph" w:styleId="TDC2">
    <w:name w:val="toc 2"/>
    <w:basedOn w:val="Normal"/>
    <w:next w:val="Normal"/>
    <w:autoRedefine/>
    <w:uiPriority w:val="39"/>
    <w:unhideWhenUsed/>
    <w:rsid w:val="00BC422A"/>
    <w:pPr>
      <w:spacing w:after="100"/>
      <w:ind w:left="220"/>
    </w:pPr>
  </w:style>
  <w:style w:type="paragraph" w:styleId="TDC3">
    <w:name w:val="toc 3"/>
    <w:basedOn w:val="Normal"/>
    <w:next w:val="Normal"/>
    <w:autoRedefine/>
    <w:uiPriority w:val="39"/>
    <w:unhideWhenUsed/>
    <w:rsid w:val="00BC422A"/>
    <w:pPr>
      <w:spacing w:after="100"/>
      <w:ind w:left="440"/>
    </w:pPr>
  </w:style>
  <w:style w:type="character" w:styleId="Hipervnculo">
    <w:name w:val="Hyperlink"/>
    <w:basedOn w:val="Fuentedeprrafopredeter"/>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Fuentedeprrafopredeter"/>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Fuentedeprrafopredeter"/>
    <w:link w:val="Listing2"/>
    <w:rsid w:val="00DF3785"/>
    <w:rPr>
      <w:lang w:val="en-GB"/>
    </w:rPr>
  </w:style>
  <w:style w:type="table" w:styleId="Tablaconcuadrcula">
    <w:name w:val="Table Grid"/>
    <w:basedOn w:val="Tabla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B50534"/>
  </w:style>
  <w:style w:type="character" w:customStyle="1" w:styleId="TextonotaalfinalCar">
    <w:name w:val="Texto nota al final Car"/>
    <w:basedOn w:val="Fuentedeprrafopredeter"/>
    <w:link w:val="Textonotaalfinal"/>
    <w:uiPriority w:val="99"/>
    <w:semiHidden/>
    <w:rsid w:val="00B50534"/>
    <w:rPr>
      <w:lang w:val="en-GB"/>
    </w:rPr>
  </w:style>
  <w:style w:type="character" w:styleId="Refdenotaalfinal">
    <w:name w:val="endnote reference"/>
    <w:basedOn w:val="Fuentedeprrafopredeter"/>
    <w:uiPriority w:val="99"/>
    <w:semiHidden/>
    <w:unhideWhenUsed/>
    <w:rsid w:val="00B50534"/>
    <w:rPr>
      <w:vertAlign w:val="superscript"/>
    </w:rPr>
  </w:style>
  <w:style w:type="paragraph" w:styleId="Textonotapie">
    <w:name w:val="footnote text"/>
    <w:basedOn w:val="Normal"/>
    <w:link w:val="TextonotapieCar"/>
    <w:autoRedefine/>
    <w:uiPriority w:val="99"/>
    <w:semiHidden/>
    <w:unhideWhenUsed/>
    <w:qFormat/>
    <w:rsid w:val="006F53E8"/>
    <w:rPr>
      <w:sz w:val="16"/>
    </w:rPr>
  </w:style>
  <w:style w:type="character" w:customStyle="1" w:styleId="TextonotapieCar">
    <w:name w:val="Texto nota pie Car"/>
    <w:basedOn w:val="Fuentedeprrafopredeter"/>
    <w:link w:val="Textonotapie"/>
    <w:uiPriority w:val="99"/>
    <w:semiHidden/>
    <w:rsid w:val="006F53E8"/>
    <w:rPr>
      <w:sz w:val="16"/>
      <w:lang w:val="en-GB"/>
    </w:rPr>
  </w:style>
  <w:style w:type="character" w:styleId="Refdenotaalpie">
    <w:name w:val="footnote reference"/>
    <w:aliases w:val="SUPERS,Footnote reference number,Footnote symbol,note TESI,-E Fußnotenzeichen,number,BVI fnr,Footnote Reference Superscript,(Footnote Reference),EN Footnote Reference,Voetnootverwijzing,Times 10 Point,Exposant 3 Poi,16 Point, BVI fnr"/>
    <w:basedOn w:val="Fuentedeprrafopredeter"/>
    <w:uiPriority w:val="99"/>
    <w:unhideWhenUsed/>
    <w:qFormat/>
    <w:rsid w:val="00A91D91"/>
    <w:rPr>
      <w:rFonts w:asciiTheme="majorHAnsi" w:hAnsiTheme="majorHAnsi"/>
      <w:sz w:val="16"/>
      <w:vertAlign w:val="superscript"/>
    </w:rPr>
  </w:style>
  <w:style w:type="paragraph" w:customStyle="1" w:styleId="Footnote">
    <w:name w:val="Footnote"/>
    <w:basedOn w:val="Textonotapie"/>
    <w:link w:val="FootnoteChar"/>
    <w:rsid w:val="00B50534"/>
    <w:rPr>
      <w:lang w:val="nl-BE"/>
    </w:rPr>
  </w:style>
  <w:style w:type="character" w:customStyle="1" w:styleId="FootnoteChar">
    <w:name w:val="Footnote Char"/>
    <w:basedOn w:val="TextonotapieCar"/>
    <w:link w:val="Footnote"/>
    <w:rsid w:val="00B50534"/>
    <w:rPr>
      <w:sz w:val="16"/>
      <w:lang w:val="en-GB"/>
    </w:rPr>
  </w:style>
  <w:style w:type="table" w:customStyle="1" w:styleId="GridTable4-Accent11">
    <w:name w:val="Grid Table 4 - Accent 11"/>
    <w:basedOn w:val="Tabla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Textodeglobo">
    <w:name w:val="Balloon Text"/>
    <w:basedOn w:val="Normal"/>
    <w:link w:val="TextodegloboCar"/>
    <w:uiPriority w:val="99"/>
    <w:semiHidden/>
    <w:unhideWhenUsed/>
    <w:rsid w:val="003C167E"/>
    <w:rPr>
      <w:rFonts w:ascii="Tahoma" w:hAnsi="Tahoma" w:cs="Tahoma"/>
      <w:sz w:val="16"/>
      <w:szCs w:val="16"/>
    </w:rPr>
  </w:style>
  <w:style w:type="character" w:customStyle="1" w:styleId="TextodegloboCar">
    <w:name w:val="Texto de globo Car"/>
    <w:basedOn w:val="Fuentedeprrafopredeter"/>
    <w:link w:val="Textodeglobo"/>
    <w:uiPriority w:val="99"/>
    <w:semiHidden/>
    <w:rsid w:val="003C167E"/>
    <w:rPr>
      <w:rFonts w:ascii="Tahoma" w:hAnsi="Tahoma" w:cs="Tahoma"/>
      <w:sz w:val="16"/>
      <w:szCs w:val="16"/>
      <w:lang w:val="en-GB"/>
    </w:rPr>
  </w:style>
  <w:style w:type="character" w:styleId="Refdecomentario">
    <w:name w:val="annotation reference"/>
    <w:basedOn w:val="Fuentedeprrafopredeter"/>
    <w:uiPriority w:val="99"/>
    <w:semiHidden/>
    <w:unhideWhenUsed/>
    <w:rsid w:val="00FA2400"/>
    <w:rPr>
      <w:sz w:val="16"/>
      <w:szCs w:val="16"/>
    </w:rPr>
  </w:style>
  <w:style w:type="paragraph" w:styleId="Textocomentario">
    <w:name w:val="annotation text"/>
    <w:basedOn w:val="Normal"/>
    <w:link w:val="TextocomentarioCar"/>
    <w:uiPriority w:val="99"/>
    <w:unhideWhenUsed/>
    <w:rsid w:val="00FA2400"/>
    <w:rPr>
      <w:sz w:val="20"/>
    </w:rPr>
  </w:style>
  <w:style w:type="character" w:customStyle="1" w:styleId="TextocomentarioCar">
    <w:name w:val="Texto comentario Car"/>
    <w:basedOn w:val="Fuentedeprrafopredeter"/>
    <w:link w:val="Textocomentario"/>
    <w:uiPriority w:val="99"/>
    <w:rsid w:val="00FA2400"/>
    <w:rPr>
      <w:lang w:val="en-GB"/>
    </w:rPr>
  </w:style>
  <w:style w:type="paragraph" w:styleId="Asuntodelcomentario">
    <w:name w:val="annotation subject"/>
    <w:basedOn w:val="Textocomentario"/>
    <w:next w:val="Textocomentario"/>
    <w:link w:val="AsuntodelcomentarioCar"/>
    <w:uiPriority w:val="99"/>
    <w:semiHidden/>
    <w:unhideWhenUsed/>
    <w:rsid w:val="00FA2400"/>
    <w:rPr>
      <w:b/>
      <w:bCs/>
    </w:rPr>
  </w:style>
  <w:style w:type="character" w:customStyle="1" w:styleId="AsuntodelcomentarioCar">
    <w:name w:val="Asunto del comentario Car"/>
    <w:basedOn w:val="TextocomentarioCar"/>
    <w:link w:val="Asuntodelcomentario"/>
    <w:uiPriority w:val="99"/>
    <w:semiHidden/>
    <w:rsid w:val="00FA2400"/>
    <w:rPr>
      <w:b/>
      <w:bCs/>
      <w:lang w:val="en-GB"/>
    </w:rPr>
  </w:style>
  <w:style w:type="paragraph" w:styleId="Revisi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Hipervnculovisitado">
    <w:name w:val="FollowedHyperlink"/>
    <w:basedOn w:val="Fuentedeprrafopredeter"/>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Fuentedeprrafopredeter"/>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anormal"/>
    <w:next w:val="Tablaconcuadrcu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Paragraphe EI Car,Paragraphe de liste1 Car,EC Car,Paragraphe de liste Car,Normal Nivel 1 Car,List Paragraph Main Car,List first level Car,List Paragraph_Sections Car"/>
    <w:basedOn w:val="Fuentedeprrafopredeter"/>
    <w:link w:val="Prrafodelista"/>
    <w:uiPriority w:val="34"/>
    <w:rsid w:val="00695AF2"/>
    <w:rPr>
      <w:rFonts w:eastAsiaTheme="majorEastAsia" w:cstheme="minorHAnsi"/>
      <w:sz w:val="22"/>
      <w:szCs w:val="22"/>
      <w:lang w:val="en-GB" w:eastAsia="en-GB"/>
    </w:rPr>
  </w:style>
  <w:style w:type="table" w:customStyle="1" w:styleId="TableGrid3">
    <w:name w:val="Table Grid3"/>
    <w:basedOn w:val="Tabla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Textoennegrita"/>
    <w:uiPriority w:val="1"/>
    <w:qFormat/>
    <w:rsid w:val="00FA64BE"/>
    <w:rPr>
      <w:b w:val="0"/>
      <w:bCs/>
      <w:caps/>
      <w:smallCaps w:val="0"/>
      <w:color w:val="70AD47" w:themeColor="accent6"/>
      <w:sz w:val="22"/>
    </w:rPr>
  </w:style>
  <w:style w:type="paragraph" w:customStyle="1" w:styleId="Paragraph">
    <w:name w:val="Paragraph"/>
    <w:basedOn w:val="Prrafodelista"/>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Fuentedeprrafopredeter"/>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jp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sma.europa.eu/legal-noti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esma.europa.eu/sites/default/files/2025-04/ESMA12-1209242288-856_Report_on_Quality_and_Use_of_Data_2024.pdf" TargetMode="Externa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TotalTime>
  <Pages>29</Pages>
  <Words>11956</Words>
  <Characters>65761</Characters>
  <Application>Microsoft Office Word</Application>
  <DocSecurity>8</DocSecurity>
  <Lines>548</Lines>
  <Paragraphs>155</Paragraphs>
  <ScaleCrop>false</ScaleCrop>
  <HeadingPairs>
    <vt:vector size="2" baseType="variant">
      <vt:variant>
        <vt:lpstr>Título</vt:lpstr>
      </vt:variant>
      <vt:variant>
        <vt:i4>1</vt:i4>
      </vt:variant>
    </vt:vector>
  </HeadingPairs>
  <TitlesOfParts>
    <vt:vector size="1" baseType="lpstr">
      <vt:lpstr/>
    </vt:vector>
  </TitlesOfParts>
  <Company>ESMA</Company>
  <LinksUpToDate>false</LinksUpToDate>
  <CharactersWithSpaces>77562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Martinez Martinez, Pilar</cp:lastModifiedBy>
  <cp:revision>2</cp:revision>
  <cp:lastPrinted>2017-07-24T14:47:00Z</cp:lastPrinted>
  <dcterms:created xsi:type="dcterms:W3CDTF">2025-09-17T08:33:00Z</dcterms:created>
  <dcterms:modified xsi:type="dcterms:W3CDTF">2025-09-17T08:33:00Z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4da52270-6ed3-4abe-ba7c-b9255dadcdf9_Enabled">
    <vt:lpwstr>true</vt:lpwstr>
  </property>
  <property fmtid="{D5CDD505-2E9C-101B-9397-08002B2CF9AE}" pid="29" name="MSIP_Label_4da52270-6ed3-4abe-ba7c-b9255dadcdf9_SetDate">
    <vt:lpwstr>2025-09-17T08:31:22Z</vt:lpwstr>
  </property>
  <property fmtid="{D5CDD505-2E9C-101B-9397-08002B2CF9AE}" pid="30" name="MSIP_Label_4da52270-6ed3-4abe-ba7c-b9255dadcdf9_Method">
    <vt:lpwstr>Standard</vt:lpwstr>
  </property>
  <property fmtid="{D5CDD505-2E9C-101B-9397-08002B2CF9AE}" pid="31" name="MSIP_Label_4da52270-6ed3-4abe-ba7c-b9255dadcdf9_Name">
    <vt:lpwstr>4da52270-6ed3-4abe-ba7c-b9255dadcdf9</vt:lpwstr>
  </property>
  <property fmtid="{D5CDD505-2E9C-101B-9397-08002B2CF9AE}" pid="32" name="MSIP_Label_4da52270-6ed3-4abe-ba7c-b9255dadcdf9_SiteId">
    <vt:lpwstr>46e04f2b-093e-4ad0-a99f-0331aa506e12</vt:lpwstr>
  </property>
  <property fmtid="{D5CDD505-2E9C-101B-9397-08002B2CF9AE}" pid="33" name="MSIP_Label_4da52270-6ed3-4abe-ba7c-b9255dadcdf9_ActionId">
    <vt:lpwstr>82ec4749-5628-47d4-8a99-e75161a611a3</vt:lpwstr>
  </property>
  <property fmtid="{D5CDD505-2E9C-101B-9397-08002B2CF9AE}" pid="34" name="MSIP_Label_4da52270-6ed3-4abe-ba7c-b9255dadcdf9_ContentBits">
    <vt:lpwstr>2</vt:lpwstr>
  </property>
  <property fmtid="{D5CDD505-2E9C-101B-9397-08002B2CF9AE}" pid="35" name="MSIP_Label_4da52270-6ed3-4abe-ba7c-b9255dadcdf9_Tag">
    <vt:lpwstr>10, 3, 0, 1</vt:lpwstr>
  </property>
</Properties>
</file>