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berschrift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berschrift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3882042D" w:rsidR="00C85C8B" w:rsidRPr="00B16706" w:rsidRDefault="00832FF9" w:rsidP="00C85C8B">
                <w:pPr>
                  <w:rPr>
                    <w:rFonts w:ascii="Arial" w:hAnsi="Arial" w:cs="Arial"/>
                    <w:color w:val="808080"/>
                    <w:sz w:val="16"/>
                    <w:szCs w:val="20"/>
                    <w:lang w:eastAsia="de-DE"/>
                  </w:rPr>
                </w:pPr>
                <w:r w:rsidRPr="00832FF9">
                  <w:rPr>
                    <w:rFonts w:ascii="Arial" w:hAnsi="Arial" w:cs="Arial"/>
                    <w:color w:val="808080"/>
                    <w:sz w:val="16"/>
                    <w:szCs w:val="20"/>
                    <w:lang w:eastAsia="de-DE"/>
                  </w:rPr>
                  <w:t xml:space="preserve">DZ BANK AG Deutsche Zentral-Genossenschaftsbank, Frankfurt am Main </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67CAB239" w:rsidR="00C85C8B" w:rsidRPr="00B16706" w:rsidRDefault="006E0ACD"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32FF9">
                  <w:rPr>
                    <w:rFonts w:ascii="Arial" w:hAnsi="Arial" w:cs="Arial"/>
                    <w:sz w:val="16"/>
                    <w:szCs w:val="20"/>
                    <w:lang w:eastAsia="de-DE"/>
                  </w:rPr>
                  <w:t>Banking sector</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6C4423E1" w14:textId="4DB3F816" w:rsidR="00C85C8B" w:rsidRPr="00B16706" w:rsidRDefault="00585FC9"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192859A1" w:rsidR="00C85C8B" w:rsidRPr="00B16706" w:rsidRDefault="00585FC9"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355872E8" w14:textId="2D605DEB" w:rsidR="00CE12F1" w:rsidRDefault="00832FF9" w:rsidP="00CE12F1">
      <w:permStart w:id="785210304" w:edGrp="everyone"/>
      <w:r>
        <w:t>DZ BANK AG</w:t>
      </w:r>
      <w:r w:rsidR="00CE12F1">
        <w:t xml:space="preserve"> see</w:t>
      </w:r>
      <w:r>
        <w:t>s</w:t>
      </w:r>
      <w:r w:rsidR="00CE12F1">
        <w:t xml:space="preserve"> the following three as the most significant cost drivers:</w:t>
      </w:r>
    </w:p>
    <w:p w14:paraId="4221AC4E" w14:textId="77777777" w:rsidR="00832FF9" w:rsidRDefault="00832FF9" w:rsidP="00CE12F1"/>
    <w:p w14:paraId="1E7D07F4" w14:textId="77777777" w:rsidR="00CE12F1" w:rsidRDefault="00CE12F1" w:rsidP="00CE12F1">
      <w:r>
        <w:t>1.</w:t>
      </w:r>
      <w:r>
        <w:tab/>
        <w:t>Frequent regulatory changes (Issue 1): These lead to continuous IT adjustments, staff training, and compliance reviews, creating high operational costs.</w:t>
      </w:r>
    </w:p>
    <w:p w14:paraId="19C79375" w14:textId="77777777" w:rsidR="00832FF9" w:rsidRDefault="00832FF9" w:rsidP="00CE12F1"/>
    <w:p w14:paraId="4A815285" w14:textId="7AE0D857" w:rsidR="00CE12F1" w:rsidRDefault="00CE12F1" w:rsidP="00CE12F1">
      <w:r>
        <w:t>2.</w:t>
      </w:r>
      <w:r>
        <w:tab/>
        <w:t>Duplicative reporting obligations (Issue 2 and 5): Especially the overlap between EMIR and MiFIR for derivatives, and the dual-sided reporting requirement under EMIR</w:t>
      </w:r>
      <w:r w:rsidR="00FA0A00">
        <w:t xml:space="preserve"> and SFTR</w:t>
      </w:r>
      <w:r>
        <w:t>, are major cost drivers.</w:t>
      </w:r>
    </w:p>
    <w:p w14:paraId="380EBBFB" w14:textId="77777777" w:rsidR="00832FF9" w:rsidRDefault="00832FF9" w:rsidP="00CE12F1"/>
    <w:p w14:paraId="5E4785B7" w14:textId="1870BCFC" w:rsidR="00CE12F1" w:rsidRDefault="00CE12F1" w:rsidP="00CE12F1">
      <w:r>
        <w:t>3.</w:t>
      </w:r>
      <w:r>
        <w:tab/>
        <w:t>Multiple reporting channels and systems (Issue 8 and 9): The fragmentation of reporting infrastructures and the need to maintain parallel systems for EMIR, MiFIR and SFTR significantly increase complexity and cost.</w:t>
      </w:r>
    </w:p>
    <w:p w14:paraId="4777F4A0" w14:textId="77777777" w:rsidR="00CE12F1" w:rsidRDefault="00CE12F1" w:rsidP="00CE12F1"/>
    <w:p w14:paraId="118F100F" w14:textId="46C047A8" w:rsidR="00926BDA" w:rsidRDefault="00832FF9" w:rsidP="00CE12F1">
      <w:r>
        <w:t>DZ BANK AG</w:t>
      </w:r>
      <w:r w:rsidR="00CE12F1">
        <w:t xml:space="preserve"> also note</w:t>
      </w:r>
      <w:r>
        <w:t>s</w:t>
      </w:r>
      <w:r w:rsidR="00CE12F1">
        <w:t xml:space="preserve"> that the lack of harmonised definitions and data dictionaries (Issue 3) further complicates implementation and reconciliation efforts.</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A1A0BF9" w14:textId="2BE994A7" w:rsidR="00CE12F1" w:rsidRDefault="00CE12F1" w:rsidP="00CE12F1">
      <w:permStart w:id="545925079" w:edGrp="everyone"/>
      <w:r>
        <w:t xml:space="preserve">Designing the system with foresight is of critical importance. A forward-thinking approach during the planning and development phases helps to anticipate future requirements and challenges, thereby minimizing the need for ongoing adjustments and reactive modifications. The continued changes in the capital market reporting regimes not only disrupt operations </w:t>
      </w:r>
      <w:r w:rsidR="00832FF9">
        <w:t xml:space="preserve">activities in DZ BANK AG </w:t>
      </w:r>
      <w:r>
        <w:t>but also lead to significant costs over time. By investing in a well-thought-out, sustainable system architecture from the outset, costly rework can be avoided, long-term efficiency ensured and limited budgets and resources will not be overstrained.</w:t>
      </w:r>
    </w:p>
    <w:p w14:paraId="744A1836" w14:textId="77777777" w:rsidR="00CE12F1" w:rsidRDefault="00CE12F1" w:rsidP="00CE12F1"/>
    <w:p w14:paraId="598FB7C4" w14:textId="35FFDC96" w:rsidR="00CE12F1" w:rsidRDefault="00832FF9" w:rsidP="00CE12F1">
      <w:r>
        <w:t xml:space="preserve">DZ BANK AG would like to </w:t>
      </w:r>
      <w:r w:rsidR="00CE12F1">
        <w:t xml:space="preserve">stress that the principle of preserving information scope (especially as clarified in footnote 29) must be applied proportionally. A critical review of which data fields are truly necessary for supervisory purposes is essential. </w:t>
      </w:r>
    </w:p>
    <w:p w14:paraId="7989C69F" w14:textId="77777777" w:rsidR="00CE12F1" w:rsidRDefault="00CE12F1" w:rsidP="00CE12F1"/>
    <w:p w14:paraId="348CEEA8" w14:textId="77777777" w:rsidR="008F36CE" w:rsidRDefault="00832FF9" w:rsidP="00CE12F1">
      <w:r>
        <w:t>DZ BANK AG</w:t>
      </w:r>
      <w:r w:rsidR="00CE12F1">
        <w:t xml:space="preserve"> support</w:t>
      </w:r>
      <w:r>
        <w:t>s</w:t>
      </w:r>
      <w:r w:rsidR="00CE12F1">
        <w:t xml:space="preserve"> both European harmonisation and global alignment of reporting standards. However, European harmonisation must be prioritised. A coherent and consistent </w:t>
      </w:r>
      <w:r w:rsidR="00CE12F1">
        <w:lastRenderedPageBreak/>
        <w:t xml:space="preserve">EU framework is the necessary </w:t>
      </w:r>
      <w:r w:rsidR="004A14FA">
        <w:t xml:space="preserve">contribution (and </w:t>
      </w:r>
      <w:r w:rsidR="00CE12F1">
        <w:t>foundation</w:t>
      </w:r>
      <w:r w:rsidR="004A14FA">
        <w:t>)</w:t>
      </w:r>
      <w:r w:rsidR="00CE12F1">
        <w:t xml:space="preserve"> for any meaningful international convergence. </w:t>
      </w:r>
    </w:p>
    <w:p w14:paraId="79B2F18C" w14:textId="77777777" w:rsidR="008F36CE" w:rsidRDefault="008F36CE" w:rsidP="00CE12F1"/>
    <w:p w14:paraId="1B5E1A7E" w14:textId="1DAC6532" w:rsidR="00926BDA" w:rsidRDefault="00CE12F1" w:rsidP="00CE12F1">
      <w:r>
        <w:t>During the development of a new reporting system</w:t>
      </w:r>
      <w:r w:rsidR="004A14FA">
        <w:t xml:space="preserve"> (i.e. the years to come)</w:t>
      </w:r>
      <w:r>
        <w:t xml:space="preserve">, and for a defined period thereafter, there needs to be a </w:t>
      </w:r>
      <w:r w:rsidRPr="00CB578E">
        <w:rPr>
          <w:u w:val="single"/>
        </w:rPr>
        <w:t>moratorium on further changes</w:t>
      </w:r>
      <w:r>
        <w:t xml:space="preserve"> to the running systems to ensure stability and avoid costly, repeated adjustments.</w:t>
      </w:r>
    </w:p>
    <w:p w14:paraId="4EFB9B94" w14:textId="77777777" w:rsidR="00CB578E" w:rsidRDefault="00CB578E" w:rsidP="00CE12F1"/>
    <w:p w14:paraId="4CD6C22F" w14:textId="3FAC45B9" w:rsidR="008F36CE" w:rsidRDefault="008F36CE" w:rsidP="00CE12F1">
      <w:r w:rsidRPr="008F36CE">
        <w:t xml:space="preserve">Irrespective of the option that will be taken forward, in the intermediate period, no new reporting requirements should be introduced, also requirements that are already introduced but that are not yet effective and/or still require further elaboration on level 2 should be withdrawn. For example, the reporting requirements related to articles </w:t>
      </w:r>
      <w:proofErr w:type="spellStart"/>
      <w:r w:rsidRPr="008F36CE">
        <w:t>7a</w:t>
      </w:r>
      <w:proofErr w:type="spellEnd"/>
      <w:r w:rsidRPr="008F36CE">
        <w:t xml:space="preserve">, </w:t>
      </w:r>
      <w:proofErr w:type="spellStart"/>
      <w:r w:rsidRPr="008F36CE">
        <w:t>7b</w:t>
      </w:r>
      <w:proofErr w:type="spellEnd"/>
      <w:r w:rsidRPr="008F36CE">
        <w:t xml:space="preserve">, </w:t>
      </w:r>
      <w:proofErr w:type="spellStart"/>
      <w:r w:rsidRPr="008F36CE">
        <w:t>7d</w:t>
      </w:r>
      <w:proofErr w:type="spellEnd"/>
      <w:r w:rsidRPr="008F36CE">
        <w:t xml:space="preserve"> EMIR, and as further elaborated in ESMA’s final report on Conditions of the Active Account Requirement, particularly in articles 7,  8, 9 and 10 of the draft RTS on the active account requirement. This approach would also minimize potential duplicative efforts on ESMAs side to first fit requirements in current frameworks, which later on may need to reassessed or optimised.</w:t>
      </w:r>
    </w:p>
    <w:p w14:paraId="04841A78" w14:textId="77777777" w:rsidR="00CB578E" w:rsidRDefault="00CB578E" w:rsidP="00CE12F1"/>
    <w:p w14:paraId="09F9EB23" w14:textId="273C455A" w:rsidR="00CB578E" w:rsidRDefault="00CB578E" w:rsidP="00CE12F1">
      <w:r>
        <w:t>Whatever</w:t>
      </w:r>
      <w:r w:rsidRPr="00CB578E">
        <w:t xml:space="preserve"> option will </w:t>
      </w:r>
      <w:r>
        <w:t xml:space="preserve">finally </w:t>
      </w:r>
      <w:r w:rsidRPr="00CB578E">
        <w:t xml:space="preserve">be </w:t>
      </w:r>
      <w:r>
        <w:t>chosen</w:t>
      </w:r>
      <w:r w:rsidRPr="00CB578E">
        <w:t xml:space="preserve">, a key principle when rolling out </w:t>
      </w:r>
      <w:r>
        <w:t xml:space="preserve">the </w:t>
      </w:r>
      <w:r w:rsidRPr="00CB578E">
        <w:t xml:space="preserve">new reporting requirements, or </w:t>
      </w:r>
      <w:r>
        <w:t xml:space="preserve">substantial </w:t>
      </w:r>
      <w:r w:rsidRPr="00CB578E">
        <w:t>amendments to existing requirements is regulatory clarity, whereby it should be ensured that level 1 does not become effective prior to the level 2 requirements and accompanying further level 3 guidance. Consideration should be given to expected implementation efforts when determining a time period of delayed application for new requirements.</w:t>
      </w:r>
    </w:p>
    <w:p w14:paraId="69D9BE12" w14:textId="77777777" w:rsidR="00CB578E" w:rsidRDefault="00CB578E" w:rsidP="00CE12F1"/>
    <w:p w14:paraId="5ABEA647" w14:textId="5760F6EF" w:rsidR="00CB578E" w:rsidRDefault="00CB578E" w:rsidP="00CE12F1">
      <w:r w:rsidRPr="00CB578E">
        <w:t xml:space="preserve">Where data is available to </w:t>
      </w:r>
      <w:proofErr w:type="spellStart"/>
      <w:r w:rsidRPr="00CB578E">
        <w:t>NCAs</w:t>
      </w:r>
      <w:proofErr w:type="spellEnd"/>
      <w:r w:rsidRPr="00CB578E">
        <w:t xml:space="preserve"> or ESMA, either directly or indirectly (e.g. through a TR or databases like </w:t>
      </w:r>
      <w:proofErr w:type="spellStart"/>
      <w:r w:rsidRPr="00CB578E">
        <w:t>GLEIF</w:t>
      </w:r>
      <w:proofErr w:type="spellEnd"/>
      <w:r w:rsidRPr="00CB578E">
        <w:t xml:space="preserve">, ANNA </w:t>
      </w:r>
      <w:proofErr w:type="spellStart"/>
      <w:r w:rsidRPr="00CB578E">
        <w:t>DSB</w:t>
      </w:r>
      <w:proofErr w:type="spellEnd"/>
      <w:r w:rsidRPr="00CB578E">
        <w:t xml:space="preserve"> etc.), and in situations where such input from various data sources (albeit with some refinement effort) can be combined, market participants should not be required to make duplicative reporting efforts to provide their NCA or ESMA such data in a more structured manner.</w:t>
      </w:r>
    </w:p>
    <w:p w14:paraId="237139B8" w14:textId="77777777" w:rsidR="00060A19" w:rsidRDefault="00060A19" w:rsidP="00CE12F1"/>
    <w:p w14:paraId="7B6625C9" w14:textId="77777777" w:rsidR="006E0ACD" w:rsidRDefault="006E0ACD" w:rsidP="006E0ACD">
      <w:r>
        <w:t xml:space="preserve">Regardless of the option, ESMA finally chooses after this Call for evidence, DZ BANK AG proposes that </w:t>
      </w:r>
      <w:r w:rsidRPr="00025925">
        <w:t xml:space="preserve">guidelines, validation rules and also the technical documentation of the </w:t>
      </w:r>
      <w:r>
        <w:t>ultimate reporting infrastructure</w:t>
      </w:r>
      <w:r w:rsidRPr="00025925">
        <w:t xml:space="preserve"> </w:t>
      </w:r>
      <w:r>
        <w:t xml:space="preserve">(TR?) </w:t>
      </w:r>
      <w:r w:rsidRPr="00025925">
        <w:t xml:space="preserve">must be ready 12 months before go-live so that </w:t>
      </w:r>
      <w:r>
        <w:t>market participants obliged to report under a harmonized regime</w:t>
      </w:r>
      <w:r w:rsidRPr="00025925">
        <w:t xml:space="preserve"> can start connecting and testing. Meaning, the </w:t>
      </w:r>
      <w:r>
        <w:t>TR</w:t>
      </w:r>
      <w:r w:rsidRPr="00025925">
        <w:t xml:space="preserve">s must have finished their implementation 12 month before go life for the reporting </w:t>
      </w:r>
      <w:r>
        <w:t>counterpartie</w:t>
      </w:r>
      <w:r w:rsidRPr="00025925">
        <w:t xml:space="preserve">s. </w:t>
      </w:r>
    </w:p>
    <w:p w14:paraId="18C49505" w14:textId="77777777" w:rsidR="006E0ACD" w:rsidRDefault="006E0ACD" w:rsidP="006E0ACD"/>
    <w:p w14:paraId="4895A42D" w14:textId="655669D4" w:rsidR="006E0ACD" w:rsidRPr="00CB2250" w:rsidRDefault="006E0ACD" w:rsidP="006E0ACD">
      <w:r w:rsidRPr="00025925">
        <w:t xml:space="preserve">The initial testing phase should be followed by a six-month feedback phase plus another testing period. There must be a definite compliance date for the </w:t>
      </w:r>
      <w:r>
        <w:t>TR</w:t>
      </w:r>
      <w:r w:rsidRPr="00025925">
        <w:t xml:space="preserve">s, and ESMA </w:t>
      </w:r>
      <w:r>
        <w:t xml:space="preserve">should </w:t>
      </w:r>
      <w:r w:rsidRPr="00025925">
        <w:t xml:space="preserve">monitor the </w:t>
      </w:r>
      <w:r>
        <w:t>TR</w:t>
      </w:r>
      <w:r w:rsidRPr="00025925">
        <w:t xml:space="preserve">s accordingly. The implementation period for the </w:t>
      </w:r>
      <w:r>
        <w:t>TR</w:t>
      </w:r>
      <w:r w:rsidRPr="00025925">
        <w:t xml:space="preserve">s will probably take another 12-18 months. The </w:t>
      </w:r>
      <w:r w:rsidRPr="00025925">
        <w:t>12-month</w:t>
      </w:r>
      <w:r w:rsidRPr="00025925">
        <w:t xml:space="preserve"> implementation period for the industry should not start before the </w:t>
      </w:r>
      <w:r>
        <w:t>TR</w:t>
      </w:r>
      <w:r w:rsidRPr="00025925">
        <w:t>s are ready. The dependency on the</w:t>
      </w:r>
      <w:r>
        <w:t>se</w:t>
      </w:r>
      <w:r w:rsidRPr="00025925">
        <w:t xml:space="preserve"> </w:t>
      </w:r>
      <w:r>
        <w:t xml:space="preserve">and any other </w:t>
      </w:r>
      <w:r w:rsidRPr="00025925">
        <w:t xml:space="preserve">reporting service providers was grossly underestimated under </w:t>
      </w:r>
      <w:r>
        <w:t xml:space="preserve">previous implementation timelines (most notably recent </w:t>
      </w:r>
      <w:r w:rsidRPr="00025925">
        <w:t>the EMIR</w:t>
      </w:r>
      <w:r>
        <w:t xml:space="preserve"> </w:t>
      </w:r>
      <w:r w:rsidRPr="00025925">
        <w:t xml:space="preserve">Refit) and led to the fact that even 6 months after the applicability of the new rules, no reliable feedback on many of their reports </w:t>
      </w:r>
      <w:r>
        <w:t>was</w:t>
      </w:r>
      <w:r w:rsidRPr="00025925">
        <w:t xml:space="preserve"> available to the reporting parties and in some cases, reporting </w:t>
      </w:r>
      <w:r>
        <w:t>wa</w:t>
      </w:r>
      <w:r w:rsidRPr="00025925">
        <w:t>s not yet possible at all.</w:t>
      </w:r>
    </w:p>
    <w:permEnd w:id="545925079"/>
    <w:p w14:paraId="042B0F0C" w14:textId="77777777" w:rsidR="00926BDA" w:rsidRDefault="00926BDA" w:rsidP="00926BDA">
      <w:r>
        <w:lastRenderedPageBreak/>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6F37E7E3" w14:textId="77777777" w:rsidR="00CE12F1" w:rsidRDefault="00CE12F1" w:rsidP="00CE12F1">
      <w:permStart w:id="666895774" w:edGrp="everyone"/>
      <w:r>
        <w:t>Option 1a may offer limited operational relief by reducing selected duplications and aligning certain data points. However, these effects remain incremental and do not address the structural fragmentation across EMIR, MiFIR and SFTR</w:t>
      </w:r>
    </w:p>
    <w:p w14:paraId="4EC7E062" w14:textId="77777777" w:rsidR="00CE12F1" w:rsidRDefault="00CE12F1" w:rsidP="00CE12F1"/>
    <w:p w14:paraId="6EE2000E" w14:textId="77777777" w:rsidR="004A14FA" w:rsidRDefault="00CE12F1" w:rsidP="00CE12F1">
      <w:r>
        <w:t xml:space="preserve">It would be a missed opportunity not to implement meaningful change. The capital markets reporting framework should be fundamentally redesigned. </w:t>
      </w:r>
    </w:p>
    <w:p w14:paraId="1201D427" w14:textId="77777777" w:rsidR="004A14FA" w:rsidRDefault="004A14FA" w:rsidP="00CE12F1"/>
    <w:p w14:paraId="10B78F54" w14:textId="6F28F9BE" w:rsidR="00926BDA" w:rsidRDefault="00CE12F1" w:rsidP="00CE12F1">
      <w:r>
        <w:t>While Option 1a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p>
    <w:p w14:paraId="18378DE3" w14:textId="233A59C5" w:rsidR="00CB578E" w:rsidRDefault="00CB578E" w:rsidP="00CE12F1">
      <w:r w:rsidRPr="00CB578E">
        <w:t>Clients also face additional administrative burdens resulting from the current treatment. Particularly, because article 9 EMIR is scoped on derivatives (so both OTC and ETD) and the mandatory delegation of transaction reporting by NFC- to FC is scoped on OTC derivatives. This requires FCs and their NFC- clients to make alternative arrangements for delegated reporting of ETDs (e.g. retail equity options). This does not only provide a reporting burden on FCs but also an administrative burden at retail clients. The difference in treatment has e.g. resulted in clients needing to actively inform the TR of their FC that the FC is delegated to report on their behalf ETD transactions, while TRs assume this delegation to be in place for OTC transactions. Where the client does not do this, ETD transactions reported by the FC on behalf of the NFC- client are rejected by the TR leading to unnecessary data issues.</w:t>
      </w:r>
    </w:p>
    <w:p w14:paraId="647969F9" w14:textId="77777777" w:rsidR="00CB578E" w:rsidRDefault="00CB578E" w:rsidP="00CE12F1"/>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6874491A" w14:textId="137184CD" w:rsidR="00CE12F1" w:rsidRDefault="00CE12F1" w:rsidP="00CE12F1">
      <w:permStart w:id="1901729855" w:edGrp="everyone"/>
      <w:r>
        <w:t xml:space="preserve">Even if all current overlaps were now eliminated, experience has shown that it cannot be ruled out that new overlaps will emerge over time. Regulatory frameworks evolve, reporting requirements shift (and broaden), and different use cases often lead to conflicting or additional data needs. Therefore, any system that is not designed with clear boundaries and long-term maintainability in mind runs the risk of becoming inconsistent and redundant again. </w:t>
      </w:r>
    </w:p>
    <w:p w14:paraId="5025669A" w14:textId="77777777" w:rsidR="00CE12F1" w:rsidRDefault="00CE12F1" w:rsidP="00CE12F1"/>
    <w:p w14:paraId="271C2CA6" w14:textId="5E91E9CE" w:rsidR="00926BDA" w:rsidRDefault="00CE12F1" w:rsidP="00CE12F1">
      <w:r>
        <w:t>Furthermore, expanding the EMIR template to serve additional purposes -such as market abuse surveillance - introduces immediate complexity. It blurs the original</w:t>
      </w:r>
      <w:r w:rsidR="004A14FA">
        <w:t xml:space="preserve"> legislator’s</w:t>
      </w:r>
      <w:r>
        <w:t xml:space="preserve"> intent of the reporting structure and imposes additional data requirements that may not align with the system’s core objectives. This kind of functional overloading inevitably leads to </w:t>
      </w:r>
      <w:r>
        <w:lastRenderedPageBreak/>
        <w:t>inefficiencies, as well as again higher complexities and compliance costs. Instead of simplifying and streamlining reporting, such a move could reintroduce the very issues to be solved.</w:t>
      </w:r>
    </w:p>
    <w:p w14:paraId="08B5AB44" w14:textId="0148315C" w:rsidR="00CB578E" w:rsidRDefault="00CB578E" w:rsidP="00CE12F1">
      <w:r w:rsidRPr="00CB578E">
        <w:t xml:space="preserve">This option would require additional reporting fields in EMIR reporting, which would increase the reporting burden relatively soon after implementing the REFIT changes </w:t>
      </w:r>
      <w:r>
        <w:t>–</w:t>
      </w:r>
      <w:r w:rsidRPr="00CB578E">
        <w:t xml:space="preserve"> </w:t>
      </w:r>
      <w:r>
        <w:t xml:space="preserve">to </w:t>
      </w:r>
      <w:r w:rsidRPr="00CB578E">
        <w:t xml:space="preserve">which </w:t>
      </w:r>
      <w:r>
        <w:t xml:space="preserve">(not only) </w:t>
      </w:r>
      <w:r w:rsidRPr="00CB578E">
        <w:t>the industry is still adjusting.</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6986A188" w14:textId="4B268267" w:rsidR="00CE12F1" w:rsidRDefault="004A14FA" w:rsidP="00CE12F1">
      <w:permStart w:id="1034637762" w:edGrp="everyone"/>
      <w:r>
        <w:t>A</w:t>
      </w:r>
      <w:r w:rsidR="00CE12F1">
        <w:t>dapting EMIR to capture data that is currently reported under MiFIR appears highly inefficient, both from a technical and regulatory standpoint. EMIR and MiFIR were designed with different objectives and data models in mind; merging their scopes risks undermining both clarity and compliance effectiveness.</w:t>
      </w:r>
    </w:p>
    <w:p w14:paraId="6CEFBEC3" w14:textId="77777777" w:rsidR="00CE12F1" w:rsidRDefault="00CE12F1" w:rsidP="00CE12F1"/>
    <w:p w14:paraId="1F27D03C" w14:textId="763F6088" w:rsidR="00926BDA" w:rsidRDefault="00CE12F1" w:rsidP="00CE12F1">
      <w:r>
        <w:t>Adapting EMIR to encompass MiFIR data would effectively represent the first step toward reintroducing the very overlaps and duplications that this approach seeks to eliminate. Rather than achieving simplification, this would likely result in a more complex, fragmented reporting landscape. From a long-term perspective, there is a risk of increasing operational burdens and regulatory uncertainty, rather than delivering the intended efficiencies.</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28292CF1" w14:textId="1552222D" w:rsidR="00CE12F1" w:rsidRDefault="004A14FA" w:rsidP="00CE12F1">
      <w:permStart w:id="276758894" w:edGrp="everyone"/>
      <w:r>
        <w:t>O</w:t>
      </w:r>
      <w:r w:rsidR="00CE12F1">
        <w:t xml:space="preserve">ption </w:t>
      </w:r>
      <w:proofErr w:type="spellStart"/>
      <w:r w:rsidR="00CE12F1">
        <w:t>1b</w:t>
      </w:r>
      <w:proofErr w:type="spellEnd"/>
      <w:r w:rsidR="00CE12F1">
        <w:t xml:space="preserve"> may offer limited operational relief by reducing selected duplications and aligning certain data points. However, these effects remain incremental and do not address the structural fragmentation across EMIR, MiFIR and SFTR</w:t>
      </w:r>
    </w:p>
    <w:p w14:paraId="4EADD2DF" w14:textId="77777777" w:rsidR="00CE12F1" w:rsidRDefault="00CE12F1" w:rsidP="00CE12F1"/>
    <w:p w14:paraId="1FA6E054" w14:textId="143FBC51" w:rsidR="00926BDA" w:rsidRDefault="00CE12F1" w:rsidP="00CE12F1">
      <w:r>
        <w:t xml:space="preserve">It would be a missed opportunity not to implement meaningful change. The capital markets reporting framework should be fundamentally redesigned. While Option </w:t>
      </w:r>
      <w:proofErr w:type="spellStart"/>
      <w:r>
        <w:t>1</w:t>
      </w:r>
      <w:r w:rsidR="004A14FA">
        <w:t>b</w:t>
      </w:r>
      <w:proofErr w:type="spellEnd"/>
      <w:r>
        <w:t xml:space="preserve">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5F2DBD61" w:rsidR="00926BDA" w:rsidRDefault="00CE12F1" w:rsidP="00926BDA">
      <w:permStart w:id="1327239170" w:edGrp="everyone"/>
      <w:r w:rsidRPr="00CE12F1">
        <w:t>Currently, reporting events reflect what actually happens with the financial instrument in question (life-cycle events). However, this does not always align with the concept of post-</w:t>
      </w:r>
      <w:r w:rsidRPr="00CE12F1">
        <w:lastRenderedPageBreak/>
        <w:t xml:space="preserve">trade events as defined in existing regulatory frameworks. Hence, the current content and structure of reports does presumably not accurately capture the relevant information on post trade events. As a result, </w:t>
      </w:r>
      <w:r w:rsidR="004A14FA">
        <w:t>DZ BANK AG</w:t>
      </w:r>
      <w:r w:rsidRPr="00CE12F1">
        <w:t xml:space="preserve"> expect</w:t>
      </w:r>
      <w:r w:rsidR="004A14FA">
        <w:t>s</w:t>
      </w:r>
      <w:r w:rsidRPr="00CE12F1">
        <w:t xml:space="preserve"> to incur very high implementation costs to adapt the current reports, which are based on life-cycle events, to post-trade events and to eliminate possible inconsistencies. </w:t>
      </w:r>
      <w:r w:rsidR="004A14FA">
        <w:t>DZ BANK AG</w:t>
      </w:r>
      <w:r w:rsidR="004A14FA" w:rsidRPr="00CE12F1">
        <w:t xml:space="preserve"> </w:t>
      </w:r>
      <w:r w:rsidR="004A14FA">
        <w:t>therefore, i</w:t>
      </w:r>
      <w:r w:rsidRPr="00CE12F1">
        <w:t xml:space="preserve">n consequence, cannot identify any cost savings in option </w:t>
      </w:r>
      <w:proofErr w:type="spellStart"/>
      <w:r w:rsidRPr="00CE12F1">
        <w:t>1b</w:t>
      </w:r>
      <w:proofErr w:type="spellEnd"/>
      <w:r w:rsidRPr="00CE12F1">
        <w:t>. On the contrary. It would require a profound and fundamental restructuring of the capital markets reporting structure which has no equivalent in the current set-up and therefore be complex, radical, and costly without providing clear added value for anyone.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3E2998A7" w14:textId="74CD4985" w:rsidR="00CE12F1" w:rsidRDefault="00CE12F1" w:rsidP="00CE12F1">
      <w:permStart w:id="1249454344" w:edGrp="everyone"/>
      <w:r>
        <w:t xml:space="preserve">From </w:t>
      </w:r>
      <w:r w:rsidR="004A14FA">
        <w:t>DZ BANK AG’s</w:t>
      </w:r>
      <w:r>
        <w:t xml:space="preserve"> perspective, option </w:t>
      </w:r>
      <w:proofErr w:type="spellStart"/>
      <w:r>
        <w:t>2a</w:t>
      </w:r>
      <w:proofErr w:type="spellEnd"/>
      <w:r>
        <w:t xml:space="preserve"> </w:t>
      </w:r>
      <w:r w:rsidR="002A4614">
        <w:t xml:space="preserve">(the “reporting revolution”) </w:t>
      </w:r>
      <w:r>
        <w:t>is the only approach that is truly future-oriented and sustainable</w:t>
      </w:r>
      <w:r w:rsidR="004A14FA">
        <w:t>: I</w:t>
      </w:r>
      <w:r>
        <w:t xml:space="preserve">t offers the best foundation for a coherent and efficient reporting system in the long term. </w:t>
      </w:r>
    </w:p>
    <w:p w14:paraId="5CD21476" w14:textId="77777777" w:rsidR="00CE12F1" w:rsidRDefault="00CE12F1" w:rsidP="00CE12F1"/>
    <w:p w14:paraId="0267CBE3" w14:textId="07471391" w:rsidR="00CE12F1" w:rsidRDefault="00CE12F1" w:rsidP="00CE12F1">
      <w:r>
        <w:t xml:space="preserve">The reporting system should be structured around the origin of data, assigning reporting responsibilities to the </w:t>
      </w:r>
      <w:r w:rsidR="004A14FA">
        <w:t xml:space="preserve">market participant, market infrastructures and </w:t>
      </w:r>
      <w:r>
        <w:t xml:space="preserve">entities </w:t>
      </w:r>
      <w:r w:rsidR="004A14FA">
        <w:t xml:space="preserve">alike (in need or ability to report) </w:t>
      </w:r>
      <w:r>
        <w:t>that generate the respective information, for example:</w:t>
      </w:r>
    </w:p>
    <w:p w14:paraId="716137F5" w14:textId="77777777" w:rsidR="004A14FA" w:rsidRDefault="004A14FA" w:rsidP="00CE12F1"/>
    <w:p w14:paraId="63056ED9" w14:textId="77777777" w:rsidR="00CE12F1" w:rsidRDefault="00CE12F1" w:rsidP="00CE12F1">
      <w:r>
        <w:t>-</w:t>
      </w:r>
      <w:r>
        <w:tab/>
        <w:t>Trading venues report transaction-level data;</w:t>
      </w:r>
    </w:p>
    <w:p w14:paraId="627A5B31" w14:textId="15889BBE" w:rsidR="00CE12F1" w:rsidRDefault="00CE12F1" w:rsidP="00CE12F1">
      <w:r>
        <w:t>-</w:t>
      </w:r>
      <w:r>
        <w:tab/>
        <w:t>CCPs report position-level data</w:t>
      </w:r>
      <w:r w:rsidR="004A14FA">
        <w:t>;</w:t>
      </w:r>
    </w:p>
    <w:p w14:paraId="2D3E1B0B" w14:textId="34CB9114" w:rsidR="004A14FA" w:rsidRDefault="004A14FA" w:rsidP="00CE12F1">
      <w:r>
        <w:t xml:space="preserve">- </w:t>
      </w:r>
      <w:r>
        <w:tab/>
      </w:r>
      <w:proofErr w:type="spellStart"/>
      <w:r>
        <w:t>PTRR</w:t>
      </w:r>
      <w:proofErr w:type="spellEnd"/>
      <w:r>
        <w:t xml:space="preserve"> infrastructures report compressed trades data;</w:t>
      </w:r>
    </w:p>
    <w:p w14:paraId="0B0947E9" w14:textId="39AC9788" w:rsidR="00CE12F1" w:rsidRDefault="00CE12F1" w:rsidP="00CE12F1">
      <w:r>
        <w:t>-</w:t>
      </w:r>
      <w:r>
        <w:tab/>
        <w:t>Clearing members report client-related data;</w:t>
      </w:r>
    </w:p>
    <w:p w14:paraId="377D24E3" w14:textId="79DF7A43" w:rsidR="004A14FA" w:rsidRDefault="004A14FA" w:rsidP="00CE12F1">
      <w:r>
        <w:t xml:space="preserve">- </w:t>
      </w:r>
      <w:r>
        <w:tab/>
      </w:r>
      <w:r w:rsidR="00FC2A92">
        <w:t xml:space="preserve">(“larger”) </w:t>
      </w:r>
      <w:r>
        <w:t>FCs report delegated</w:t>
      </w:r>
      <w:r w:rsidR="00592AB2">
        <w:t xml:space="preserve">/outsourced </w:t>
      </w:r>
      <w:r>
        <w:t xml:space="preserve">data </w:t>
      </w:r>
      <w:r w:rsidR="00FC2A92">
        <w:t>(for “smaller” FCs); group approach</w:t>
      </w:r>
    </w:p>
    <w:p w14:paraId="7B70BAF5" w14:textId="77777777" w:rsidR="000E33ED" w:rsidRDefault="000E33ED" w:rsidP="00CE12F1"/>
    <w:p w14:paraId="7A398BCF" w14:textId="734AE1C3" w:rsidR="000E33ED" w:rsidRDefault="00CE12F1" w:rsidP="00CE12F1">
      <w:r>
        <w:t>This source-based approach enables a coherent “report once” regime. It ensures that each data stream is reported by the party with operational control and direct access, thereby enhancing accuracy, reducing reconciliation burdens, and improving supervisory usability. Unlike delegation models, this structure establishes a clear and systemic allocation of responsibilities, avoiding ambiguity and ensuring accountability.</w:t>
      </w:r>
      <w:r w:rsidR="000E33ED">
        <w:t xml:space="preserve"> </w:t>
      </w:r>
      <w:r>
        <w:t>Th</w:t>
      </w:r>
      <w:r w:rsidR="000E33ED">
        <w:t xml:space="preserve">is approach </w:t>
      </w:r>
      <w:r>
        <w:t>supports scalability and long-term maintainability</w:t>
      </w:r>
      <w:r w:rsidR="000E33ED">
        <w:t xml:space="preserve"> since it </w:t>
      </w:r>
      <w:r>
        <w:t>reflects the structure of financial markets</w:t>
      </w:r>
      <w:r w:rsidR="000E33ED">
        <w:t>.</w:t>
      </w:r>
      <w:r w:rsidR="000E33ED" w:rsidRPr="000E33ED">
        <w:t xml:space="preserve"> </w:t>
      </w:r>
      <w:r w:rsidR="000E33ED">
        <w:t>It also enables targeted supervisory use without imposing unnecessary complexity on reporting entities.</w:t>
      </w:r>
    </w:p>
    <w:p w14:paraId="2B0CB083" w14:textId="77777777" w:rsidR="000E33ED" w:rsidRDefault="000E33ED" w:rsidP="00CE12F1"/>
    <w:p w14:paraId="5A8801BA" w14:textId="3977BC55" w:rsidR="00926BDA" w:rsidRDefault="00CE12F1" w:rsidP="00CE12F1">
      <w:r>
        <w:lastRenderedPageBreak/>
        <w:t xml:space="preserve">In addition, </w:t>
      </w:r>
      <w:r w:rsidR="00234203">
        <w:t>DZ BANK AG</w:t>
      </w:r>
      <w:r>
        <w:t xml:space="preserve"> suggest</w:t>
      </w:r>
      <w:r w:rsidR="00234203">
        <w:t>s</w:t>
      </w:r>
      <w:r>
        <w:t xml:space="preserve"> separating general and product-specific data. </w:t>
      </w:r>
      <w:r w:rsidR="000E33ED">
        <w:t xml:space="preserve">This avoids the inefficiencies of forcing heterogeneous data into unified templates. </w:t>
      </w:r>
      <w:r>
        <w:t>As regards the content of the reports, it should be made sure that the data fields remain fit for purpose and aligned with the actual characteristics of the respective financial products. For example, derivative-related information should not be forced into templates primarily designed for securities — a practice that is conceptually flawed and often leads to inconsistencies and inefficiencies. Such a structure would prevent overlaps between reports, since each product type would be reported in a targeted and appropriate way.</w:t>
      </w:r>
      <w:r w:rsidR="000E33ED" w:rsidRPr="000E33ED">
        <w:t xml:space="preserve"> </w:t>
      </w:r>
      <w:r w:rsidR="000E33ED">
        <w:t>It would promote clarity, reduce operational burden for reporting entities, and support better data quality and supervisory outcomes.</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4E5FF6DF" w14:textId="57089096" w:rsidR="00592AB2" w:rsidRDefault="00380060" w:rsidP="00926BDA">
      <w:permStart w:id="199837036" w:edGrp="everyone"/>
      <w:r w:rsidRPr="00380060">
        <w:t xml:space="preserve">There is a significant risk that the reporting framework will not be fundamentally </w:t>
      </w:r>
      <w:r w:rsidR="0022791D" w:rsidRPr="00380060">
        <w:t>re</w:t>
      </w:r>
      <w:r w:rsidR="0022791D">
        <w:t>-</w:t>
      </w:r>
      <w:r w:rsidR="0022791D" w:rsidRPr="00380060">
        <w:t>thought but</w:t>
      </w:r>
      <w:r w:rsidRPr="00380060">
        <w:t xml:space="preserve"> rather extended by linking existing systems. Such an approach would likely result in high implementation costs without delivering meaningful burden reduction. Simply merging legacy structures increases complexity and operational risk, while failing to address the root causes of inefficiency. A sustainable solution requires a clean architectural break and a source-based reporting model. </w:t>
      </w:r>
    </w:p>
    <w:p w14:paraId="436C697D" w14:textId="77777777" w:rsidR="00592AB2" w:rsidRDefault="00592AB2" w:rsidP="00926BDA"/>
    <w:p w14:paraId="56C38C26" w14:textId="528E980F" w:rsidR="00926BDA" w:rsidRDefault="00380060" w:rsidP="00926BDA">
      <w:r w:rsidRPr="00380060">
        <w:t>Only a system designed from first principles can achieve long-term simplification and cost efficiency.</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2D54A72E" w14:textId="38B2AC09" w:rsidR="00F67E1C" w:rsidRDefault="00380060" w:rsidP="00380060">
      <w:permStart w:id="2123508368" w:edGrp="everyone"/>
      <w:r>
        <w:t xml:space="preserve">The implementation of Option </w:t>
      </w:r>
      <w:proofErr w:type="spellStart"/>
      <w:r>
        <w:t>2a</w:t>
      </w:r>
      <w:proofErr w:type="spellEnd"/>
      <w:r>
        <w:t xml:space="preserve"> </w:t>
      </w:r>
      <w:r w:rsidR="00234203">
        <w:t>–</w:t>
      </w:r>
      <w:r>
        <w:t xml:space="preserve"> a</w:t>
      </w:r>
      <w:r w:rsidR="00234203">
        <w:t xml:space="preserve"> </w:t>
      </w:r>
      <w:r>
        <w:t xml:space="preserve">fully integrated “report once” regime across MiFIR, EMIR and SFTR </w:t>
      </w:r>
      <w:r w:rsidR="00234203">
        <w:t>–</w:t>
      </w:r>
      <w:r>
        <w:t xml:space="preserve"> must</w:t>
      </w:r>
      <w:r w:rsidR="00234203">
        <w:t xml:space="preserve"> </w:t>
      </w:r>
      <w:r>
        <w:t xml:space="preserve">be approached as a structured, transparent and collaborative transformation process. </w:t>
      </w:r>
    </w:p>
    <w:p w14:paraId="0ABDAC04" w14:textId="77777777" w:rsidR="00F67E1C" w:rsidRDefault="00F67E1C" w:rsidP="00380060"/>
    <w:p w14:paraId="758DEC86" w14:textId="239E4B5B" w:rsidR="00380060" w:rsidRDefault="00380060" w:rsidP="00380060">
      <w:r>
        <w:t>This process should actively involve the reporting industry throughout the entire journey toward the new regime.</w:t>
      </w:r>
    </w:p>
    <w:p w14:paraId="554316B7" w14:textId="77777777" w:rsidR="00380060" w:rsidRDefault="00380060" w:rsidP="00380060"/>
    <w:p w14:paraId="0567199F" w14:textId="0D54DBDB" w:rsidR="00F67E1C" w:rsidRDefault="00380060" w:rsidP="00380060">
      <w:r>
        <w:t xml:space="preserve">To ensure that the resulting framework is effective, proportionate and operationally viable, </w:t>
      </w:r>
      <w:r w:rsidR="00F67E1C">
        <w:t xml:space="preserve">DZ BANK AG </w:t>
      </w:r>
      <w:r>
        <w:t>strongly recommend</w:t>
      </w:r>
      <w:r w:rsidR="00F67E1C">
        <w:t>s</w:t>
      </w:r>
      <w:r>
        <w:t xml:space="preserve"> establishing a dedicated</w:t>
      </w:r>
      <w:r w:rsidR="00234203">
        <w:t>, ongoing and more or less permanent</w:t>
      </w:r>
      <w:r>
        <w:t xml:space="preserve"> supervisory-industry dialogue that </w:t>
      </w:r>
      <w:r w:rsidR="00F67E1C">
        <w:t xml:space="preserve">explicitly </w:t>
      </w:r>
      <w:r>
        <w:t xml:space="preserve">goes beyond </w:t>
      </w:r>
      <w:r w:rsidR="00F67E1C">
        <w:t xml:space="preserve">any </w:t>
      </w:r>
      <w:r>
        <w:t>existing consultation format</w:t>
      </w:r>
      <w:r w:rsidR="00F67E1C">
        <w:t xml:space="preserve"> </w:t>
      </w:r>
      <w:proofErr w:type="gramStart"/>
      <w:r w:rsidR="00F67E1C">
        <w:t>ESMA</w:t>
      </w:r>
      <w:proofErr w:type="gramEnd"/>
      <w:r w:rsidR="00F67E1C">
        <w:t xml:space="preserve"> or the EU Commission presently envisages</w:t>
      </w:r>
      <w:r>
        <w:t xml:space="preserve">. </w:t>
      </w:r>
    </w:p>
    <w:p w14:paraId="64AA4EE4" w14:textId="77777777" w:rsidR="00F67E1C" w:rsidRDefault="00F67E1C" w:rsidP="00380060"/>
    <w:p w14:paraId="60B7B934" w14:textId="5F4E94AB" w:rsidR="00380060" w:rsidRDefault="00380060" w:rsidP="00380060">
      <w:r>
        <w:t>This process should:</w:t>
      </w:r>
    </w:p>
    <w:p w14:paraId="0348E8B8" w14:textId="37399B30" w:rsidR="00380060" w:rsidRPr="00380060" w:rsidRDefault="00380060" w:rsidP="00380060">
      <w:pPr>
        <w:pStyle w:val="Listenabsatz"/>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380060">
        <w:rPr>
          <w:rFonts w:ascii="Times New Roman" w:eastAsia="Times New Roman" w:hAnsi="Times New Roman" w:cs="Times New Roman"/>
          <w:sz w:val="24"/>
          <w:szCs w:val="24"/>
        </w:rPr>
        <w:t>e goal-driven, with supervisory objectives clearly defined and communicated from the outset</w:t>
      </w:r>
      <w:r w:rsidR="00F67E1C">
        <w:rPr>
          <w:rFonts w:ascii="Times New Roman" w:eastAsia="Times New Roman" w:hAnsi="Times New Roman" w:cs="Times New Roman"/>
          <w:sz w:val="24"/>
          <w:szCs w:val="24"/>
        </w:rPr>
        <w:t>;</w:t>
      </w:r>
    </w:p>
    <w:p w14:paraId="1F1492BE" w14:textId="73BF468F" w:rsidR="00380060" w:rsidRPr="00380060" w:rsidRDefault="00380060" w:rsidP="00380060">
      <w:pPr>
        <w:pStyle w:val="Listenabsatz"/>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w:t>
      </w:r>
      <w:r w:rsidRPr="00380060">
        <w:rPr>
          <w:rFonts w:ascii="Times New Roman" w:eastAsia="Times New Roman" w:hAnsi="Times New Roman" w:cs="Times New Roman"/>
          <w:sz w:val="24"/>
          <w:szCs w:val="24"/>
        </w:rPr>
        <w:t xml:space="preserve">nable iterative and structured engagement with market participants </w:t>
      </w:r>
      <w:r>
        <w:rPr>
          <w:rFonts w:ascii="Times New Roman" w:eastAsia="Times New Roman" w:hAnsi="Times New Roman" w:cs="Times New Roman"/>
          <w:sz w:val="24"/>
          <w:szCs w:val="24"/>
        </w:rPr>
        <w:t xml:space="preserve">- </w:t>
      </w:r>
      <w:r w:rsidRPr="00380060">
        <w:rPr>
          <w:rFonts w:ascii="Times New Roman" w:eastAsia="Times New Roman" w:hAnsi="Times New Roman" w:cs="Times New Roman"/>
          <w:sz w:val="24"/>
          <w:szCs w:val="24"/>
        </w:rPr>
        <w:t xml:space="preserve">not only through written consultations, but also via </w:t>
      </w:r>
      <w:r w:rsidR="00F67E1C">
        <w:rPr>
          <w:rFonts w:ascii="Times New Roman" w:eastAsia="Times New Roman" w:hAnsi="Times New Roman" w:cs="Times New Roman"/>
          <w:sz w:val="24"/>
          <w:szCs w:val="24"/>
        </w:rPr>
        <w:t xml:space="preserve">in-person </w:t>
      </w:r>
      <w:r w:rsidRPr="00380060">
        <w:rPr>
          <w:rFonts w:ascii="Times New Roman" w:eastAsia="Times New Roman" w:hAnsi="Times New Roman" w:cs="Times New Roman"/>
          <w:sz w:val="24"/>
          <w:szCs w:val="24"/>
        </w:rPr>
        <w:t>working groups, technical workshops and bilateral exchanges</w:t>
      </w:r>
      <w:r w:rsidR="00F67E1C">
        <w:rPr>
          <w:rFonts w:ascii="Times New Roman" w:eastAsia="Times New Roman" w:hAnsi="Times New Roman" w:cs="Times New Roman"/>
          <w:sz w:val="24"/>
          <w:szCs w:val="24"/>
        </w:rPr>
        <w:t>;</w:t>
      </w:r>
    </w:p>
    <w:p w14:paraId="734E49D5" w14:textId="6060A868" w:rsidR="00380060" w:rsidRPr="00380060" w:rsidRDefault="00380060" w:rsidP="00380060">
      <w:pPr>
        <w:pStyle w:val="Listenabsatz"/>
        <w:rPr>
          <w:rFonts w:ascii="Times New Roman" w:eastAsia="Times New Roman" w:hAnsi="Times New Roman" w:cs="Times New Roman"/>
          <w:sz w:val="24"/>
          <w:szCs w:val="24"/>
        </w:rPr>
      </w:pPr>
      <w:r>
        <w:rPr>
          <w:rFonts w:ascii="Times New Roman" w:eastAsia="Times New Roman" w:hAnsi="Times New Roman" w:cs="Times New Roman"/>
          <w:sz w:val="24"/>
          <w:szCs w:val="24"/>
        </w:rPr>
        <w:t>fo</w:t>
      </w:r>
      <w:r w:rsidRPr="00380060">
        <w:rPr>
          <w:rFonts w:ascii="Times New Roman" w:eastAsia="Times New Roman" w:hAnsi="Times New Roman" w:cs="Times New Roman"/>
          <w:sz w:val="24"/>
          <w:szCs w:val="24"/>
        </w:rPr>
        <w:t>cus on jointly identifying critical data elements, assessing their actual supervisory use, and aligning them with what is realistically reportable in practice</w:t>
      </w:r>
      <w:r w:rsidR="00F67E1C">
        <w:rPr>
          <w:rFonts w:ascii="Times New Roman" w:eastAsia="Times New Roman" w:hAnsi="Times New Roman" w:cs="Times New Roman"/>
          <w:sz w:val="24"/>
          <w:szCs w:val="24"/>
        </w:rPr>
        <w:t>;</w:t>
      </w:r>
    </w:p>
    <w:p w14:paraId="1D7353D0" w14:textId="2146C217" w:rsidR="00380060" w:rsidRPr="00380060" w:rsidRDefault="00380060" w:rsidP="00380060">
      <w:pPr>
        <w:pStyle w:val="Listenabsatz"/>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380060">
        <w:rPr>
          <w:rFonts w:ascii="Times New Roman" w:eastAsia="Times New Roman" w:hAnsi="Times New Roman" w:cs="Times New Roman"/>
          <w:sz w:val="24"/>
          <w:szCs w:val="24"/>
        </w:rPr>
        <w:t>llow for phased implementation, with realistic timelines, transitional arrangements and early testing of reporting logic and infrastructure.</w:t>
      </w:r>
    </w:p>
    <w:p w14:paraId="71F458AD" w14:textId="77777777" w:rsidR="00380060" w:rsidRDefault="00380060" w:rsidP="00380060"/>
    <w:p w14:paraId="04BEB89B" w14:textId="15B812A6" w:rsidR="00926BDA" w:rsidRDefault="00380060" w:rsidP="00380060">
      <w:r>
        <w:t xml:space="preserve">Such a process is essential to ensure that the integrated reporting regime under Option </w:t>
      </w:r>
      <w:proofErr w:type="spellStart"/>
      <w:r>
        <w:t>2a</w:t>
      </w:r>
      <w:proofErr w:type="spellEnd"/>
      <w:r>
        <w:t xml:space="preserve"> delivers on its promise of real simplification, cost efficiency and regulatory effectiveness - while maintaining trust and alignment between supervisors and the reporting industry.</w:t>
      </w:r>
    </w:p>
    <w:p w14:paraId="0CD08115" w14:textId="77777777" w:rsidR="00F67E1C" w:rsidRDefault="00F67E1C" w:rsidP="00380060"/>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525C21AB" w14:textId="77777777" w:rsidR="00234203" w:rsidRDefault="00234203" w:rsidP="00926BDA">
      <w:permStart w:id="16780711" w:edGrp="everyone"/>
      <w:r>
        <w:t>DZ BANK AG is</w:t>
      </w:r>
      <w:r w:rsidR="005010BF" w:rsidRPr="005010BF">
        <w:t xml:space="preserve"> concerned that there may be too little overlap between the different reporting regimes and too many data fields that are irrelevant to the respective different transaction types or reporting entities. </w:t>
      </w:r>
    </w:p>
    <w:p w14:paraId="7AC65931" w14:textId="77777777" w:rsidR="00234203" w:rsidRDefault="00234203" w:rsidP="00926BDA"/>
    <w:p w14:paraId="766D4117" w14:textId="33846FEB" w:rsidR="00926BDA" w:rsidRDefault="005010BF" w:rsidP="00926BDA">
      <w:r w:rsidRPr="005010BF">
        <w:t>This well-intentioned idea has the potential to compromise the purpose of streamlining the reporting regimes. For example, Solvency is a reporting regime primarily designed for insurance companies, whereas EMIR, MiFIR, and SFTR are mainly relevant for investment firms.</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38F0C413" w14:textId="77777777" w:rsidR="002E7E36" w:rsidRDefault="002E7E36" w:rsidP="00926BDA">
      <w:pPr>
        <w:rPr>
          <w:lang w:val="en-US"/>
        </w:rPr>
      </w:pPr>
      <w:permStart w:id="1489376342" w:edGrp="everyone"/>
      <w:r>
        <w:t xml:space="preserve">DZ BANK AG believes that option </w:t>
      </w:r>
      <w:proofErr w:type="spellStart"/>
      <w:r>
        <w:t>2b</w:t>
      </w:r>
      <w:proofErr w:type="spellEnd"/>
      <w:r>
        <w:t xml:space="preserve"> would entail a significant increase in complexity due to the broadening of the scope. In fact, by enlarging the scope to include also REMIT and Solvency II the reporting regime would become unmanageable, requiring </w:t>
      </w:r>
      <w:r>
        <w:rPr>
          <w:lang w:val="en-US"/>
        </w:rPr>
        <w:t xml:space="preserve">wider cooperation across sectors to make sure that the requirements are suitable for the energy industry (for REMIT) and the insurance industry (for Solvency II), and consequently increasing the risk of misunderstandings and misalignments. </w:t>
      </w:r>
    </w:p>
    <w:p w14:paraId="4183663D" w14:textId="779666B7" w:rsidR="00926BDA" w:rsidRDefault="002E7E36" w:rsidP="00926BDA">
      <w:r>
        <w:rPr>
          <w:lang w:val="en-US"/>
        </w:rPr>
        <w:t>Additionally, implementation and maintenance costs would be significant.</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lastRenderedPageBreak/>
        <w:t>&lt;ESMA_QUESTION_CASR_14&gt;</w:t>
      </w:r>
    </w:p>
    <w:p w14:paraId="20464596" w14:textId="77777777" w:rsidR="002E7E36" w:rsidRDefault="002E7E36" w:rsidP="002E7E36">
      <w:permStart w:id="1849847968" w:edGrp="everyone"/>
      <w:r>
        <w:t xml:space="preserve">Option </w:t>
      </w:r>
      <w:proofErr w:type="spellStart"/>
      <w:r>
        <w:t>2b</w:t>
      </w:r>
      <w:proofErr w:type="spellEnd"/>
      <w:r>
        <w:t xml:space="preserve"> does not consider the following elements: </w:t>
      </w:r>
    </w:p>
    <w:p w14:paraId="511539B0" w14:textId="77777777" w:rsidR="002E7E36" w:rsidRDefault="002E7E36" w:rsidP="002E7E36"/>
    <w:p w14:paraId="42E8402B" w14:textId="0C19B3D9" w:rsidR="002E7E36" w:rsidRDefault="002E7E36" w:rsidP="002E7E36">
      <w:r>
        <w:t xml:space="preserve">The need to amend the definition of OTC derivative in article 2 paragraph 7 to exclude derivatives traded on </w:t>
      </w:r>
      <w:proofErr w:type="gramStart"/>
      <w:r>
        <w:t>a</w:t>
      </w:r>
      <w:proofErr w:type="gramEnd"/>
      <w:r>
        <w:t xml:space="preserve"> MTF, OTF and third country trading venue, as well as clarifying – in the new definition- that EMIR requirements are applicable only to OTC derivatives (cleared or non-cleared).</w:t>
      </w:r>
    </w:p>
    <w:p w14:paraId="4A11EA45" w14:textId="77777777" w:rsidR="002E7E36" w:rsidRDefault="002E7E36" w:rsidP="002E7E36"/>
    <w:p w14:paraId="197C1128" w14:textId="602016A7" w:rsidR="002E7E36" w:rsidRDefault="002E7E36" w:rsidP="002E7E36">
      <w:r>
        <w:t xml:space="preserve">Requiring market participants to report on venue and cleared transactions only if the necessary information </w:t>
      </w:r>
      <w:proofErr w:type="gramStart"/>
      <w:r>
        <w:t>are</w:t>
      </w:r>
      <w:proofErr w:type="gramEnd"/>
      <w:r>
        <w:t xml:space="preserve"> not available at trading venues and CCPs, being these entities the central sources of information (e.g. trading venues and CCPs should be the primary source of reporting for these transactions).</w:t>
      </w:r>
    </w:p>
    <w:permEnd w:id="1849847968"/>
    <w:p w14:paraId="754DFA86" w14:textId="1746FD9C"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03D8F0BE" w14:textId="5898D875" w:rsidR="00F67E1C" w:rsidRDefault="005010BF" w:rsidP="005010BF">
      <w:permStart w:id="695482675" w:edGrp="everyone"/>
      <w:r>
        <w:t xml:space="preserve">In </w:t>
      </w:r>
      <w:r w:rsidR="00234203">
        <w:t>the</w:t>
      </w:r>
      <w:r>
        <w:t xml:space="preserve"> view</w:t>
      </w:r>
      <w:r w:rsidR="00234203">
        <w:t xml:space="preserve"> of DZ BANK AG</w:t>
      </w:r>
      <w:r>
        <w:t xml:space="preserve">, the only way forward is merging EMIR, MiFIR and SFTR into one common framework. </w:t>
      </w:r>
    </w:p>
    <w:p w14:paraId="563DD3DC" w14:textId="77777777" w:rsidR="00F67E1C" w:rsidRDefault="00F67E1C" w:rsidP="005010BF"/>
    <w:p w14:paraId="623D442B" w14:textId="34986A96" w:rsidR="005010BF" w:rsidRDefault="005010BF" w:rsidP="005010BF">
      <w:r>
        <w:t xml:space="preserve">These regimes have developed side by side in an often-piecemeal fashion, and there is significant and growing duplication between them. Investment firms should be able to report a </w:t>
      </w:r>
      <w:r w:rsidRPr="00F67E1C">
        <w:rPr>
          <w:b/>
          <w:bCs/>
        </w:rPr>
        <w:t>superset of data</w:t>
      </w:r>
      <w:r>
        <w:t xml:space="preserve"> once across all EU regimes, to be used many times by various regulators for their respective purposes.</w:t>
      </w:r>
    </w:p>
    <w:p w14:paraId="636D1F61" w14:textId="77777777" w:rsidR="005010BF" w:rsidRDefault="005010BF" w:rsidP="005010BF"/>
    <w:p w14:paraId="6C59AC72" w14:textId="77777777" w:rsidR="005010BF" w:rsidRPr="005010BF" w:rsidRDefault="005010BF" w:rsidP="005010BF">
      <w:pPr>
        <w:rPr>
          <w:b/>
        </w:rPr>
      </w:pPr>
      <w:r w:rsidRPr="005010BF">
        <w:rPr>
          <w:b/>
        </w:rPr>
        <w:t>Simplification and focus</w:t>
      </w:r>
    </w:p>
    <w:p w14:paraId="473973F2" w14:textId="6CED4103" w:rsidR="005010BF" w:rsidRDefault="005010BF" w:rsidP="005010BF">
      <w:r>
        <w:t xml:space="preserve">The new regime must significantly reduce complexity. Often, each individual data field can be justified in isolation. But taken together, they create a system that is overly complex and burdensome. A cultural shift is needed—from justifying every possible field to questioning what is truly necessary. The differences between MiFIR (focused on market surveillance) and EMIR/SFTR (focused on financial stability) are not so big as to require entirely separate reporting infrastructures. Many current data fields are "nice to have" but do – from </w:t>
      </w:r>
      <w:r w:rsidR="00F67E1C">
        <w:t>DZ BANK AG’s</w:t>
      </w:r>
      <w:r>
        <w:t xml:space="preserve"> point of view </w:t>
      </w:r>
      <w:r w:rsidR="00F67E1C">
        <w:t>–</w:t>
      </w:r>
      <w:r>
        <w:t xml:space="preserve"> not</w:t>
      </w:r>
      <w:r w:rsidR="00F67E1C">
        <w:t xml:space="preserve"> </w:t>
      </w:r>
      <w:r>
        <w:t xml:space="preserve">meaningfully support supervisory objectives, in particular where the relevant data is already available through other sources. </w:t>
      </w:r>
      <w:r w:rsidRPr="00F67E1C">
        <w:rPr>
          <w:u w:val="single"/>
        </w:rPr>
        <w:t>Only fields that are truly necessary for effective oversight should be retained.</w:t>
      </w:r>
    </w:p>
    <w:p w14:paraId="0221DF5D" w14:textId="77777777" w:rsidR="005010BF" w:rsidRDefault="005010BF" w:rsidP="005010BF"/>
    <w:p w14:paraId="68829B18" w14:textId="118272FB" w:rsidR="005010BF" w:rsidRDefault="005010BF" w:rsidP="005010BF">
      <w:r>
        <w:t>It must absolutely be ensured that three reports containing a total of more than 400 fields do not get merged into a single report with 400 fields – that would only make things worse. Furthermore, it must be ensured that the report is not repeatedly “optimized” because each department within the supervisory authorities has its own interests.</w:t>
      </w:r>
    </w:p>
    <w:p w14:paraId="1CD8F8FE" w14:textId="77777777" w:rsidR="00F67E1C" w:rsidRDefault="00F67E1C" w:rsidP="005010BF"/>
    <w:p w14:paraId="7584DD48" w14:textId="77777777" w:rsidR="005010BF" w:rsidRDefault="005010BF" w:rsidP="005010BF">
      <w:r>
        <w:t>Complexity could be drastically reduced by leveraging existing registers. For example:</w:t>
      </w:r>
    </w:p>
    <w:p w14:paraId="052A03C7" w14:textId="07B819F0" w:rsidR="005010BF" w:rsidRPr="005010BF" w:rsidRDefault="005010BF" w:rsidP="005010BF">
      <w:pPr>
        <w:pStyle w:val="Listenabsatz"/>
        <w:numPr>
          <w:ilvl w:val="0"/>
          <w:numId w:val="39"/>
        </w:numPr>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t>Reporting of LEI is sufficient - ESMA can retrieve the related date from the LEI register.</w:t>
      </w:r>
    </w:p>
    <w:p w14:paraId="37DF9D12" w14:textId="443C8E73" w:rsidR="005010BF" w:rsidRPr="005010BF" w:rsidRDefault="005010BF" w:rsidP="005010BF">
      <w:pPr>
        <w:pStyle w:val="Listenabsatz"/>
        <w:numPr>
          <w:ilvl w:val="0"/>
          <w:numId w:val="39"/>
        </w:numPr>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lastRenderedPageBreak/>
        <w:t xml:space="preserve">Reporting of ISIN is sufficient - ESMA can obtain additional information from ANNA </w:t>
      </w:r>
      <w:proofErr w:type="spellStart"/>
      <w:r w:rsidRPr="005010BF">
        <w:rPr>
          <w:rFonts w:ascii="Times New Roman" w:eastAsia="Times New Roman" w:hAnsi="Times New Roman" w:cs="Times New Roman"/>
          <w:sz w:val="24"/>
          <w:szCs w:val="24"/>
        </w:rPr>
        <w:t>DSB</w:t>
      </w:r>
      <w:proofErr w:type="spellEnd"/>
      <w:r w:rsidRPr="005010BF">
        <w:rPr>
          <w:rFonts w:ascii="Times New Roman" w:eastAsia="Times New Roman" w:hAnsi="Times New Roman" w:cs="Times New Roman"/>
          <w:sz w:val="24"/>
          <w:szCs w:val="24"/>
        </w:rPr>
        <w:t>, making many detailed fields redundant.</w:t>
      </w:r>
    </w:p>
    <w:p w14:paraId="189982B9" w14:textId="204BB86F" w:rsidR="005010BF" w:rsidRPr="005010BF" w:rsidRDefault="005010BF" w:rsidP="005010BF">
      <w:pPr>
        <w:pStyle w:val="Listenabsatz"/>
        <w:numPr>
          <w:ilvl w:val="0"/>
          <w:numId w:val="39"/>
        </w:numPr>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t>Reporting of CFI is sufficient – fields such as Asset Class can then be omitted.</w:t>
      </w:r>
    </w:p>
    <w:p w14:paraId="64BCB260" w14:textId="77777777" w:rsidR="00F67E1C" w:rsidRDefault="00F67E1C" w:rsidP="005010BF"/>
    <w:p w14:paraId="5438BC1D" w14:textId="4AD4E75D" w:rsidR="005010BF" w:rsidRDefault="005010BF" w:rsidP="005010BF">
      <w:r>
        <w:t>It is highly inefficient for thousands of institutions across Europe to import data into their own systems solely for reporting purposes, when ESMA could perform this centrally. Only then can data quality truly be improved, and only then will the supervisory authorities genuinely benefit.</w:t>
      </w:r>
    </w:p>
    <w:p w14:paraId="1F957443" w14:textId="77777777" w:rsidR="005010BF" w:rsidRDefault="005010BF" w:rsidP="005010BF"/>
    <w:p w14:paraId="4399EC02" w14:textId="77777777" w:rsidR="005010BF" w:rsidRPr="005010BF" w:rsidRDefault="005010BF" w:rsidP="005010BF">
      <w:pPr>
        <w:rPr>
          <w:b/>
        </w:rPr>
      </w:pPr>
      <w:r w:rsidRPr="005010BF">
        <w:rPr>
          <w:b/>
        </w:rPr>
        <w:t>Eliminate unnecessary matching requirements</w:t>
      </w:r>
    </w:p>
    <w:p w14:paraId="02FFCF03" w14:textId="77777777" w:rsidR="005010BF" w:rsidRDefault="005010BF" w:rsidP="005010BF">
      <w:r>
        <w:t>Certain data points, like market valuations, are inherently institution-specific and will never match between counterparties. Forcing alignment in such areas creates inefficiencies without adding supervisory value. Each firm uses its own models and data sources; it would be unrealistic and operationally unfeasible to expect them to adjust their valuations to match those of a counterparty. The same applies to transaction types—e.g., whether to report two forwards or one swap. These kinds of reporting mismatches are a persistent challenge under EMIR and are unlikely to ever be resolved definitively, as no institution is technically "wrong," but the transactions still don’t reconcile.</w:t>
      </w:r>
    </w:p>
    <w:p w14:paraId="2AB5681A" w14:textId="77777777" w:rsidR="005010BF" w:rsidRDefault="005010BF" w:rsidP="005010BF"/>
    <w:p w14:paraId="0C678844" w14:textId="77777777" w:rsidR="005010BF" w:rsidRPr="005010BF" w:rsidRDefault="005010BF" w:rsidP="005010BF">
      <w:pPr>
        <w:rPr>
          <w:b/>
        </w:rPr>
      </w:pPr>
      <w:r w:rsidRPr="005010BF">
        <w:rPr>
          <w:b/>
        </w:rPr>
        <w:t>Built jointly by ESMA and the market</w:t>
      </w:r>
    </w:p>
    <w:p w14:paraId="367815C8" w14:textId="77777777" w:rsidR="00F67E1C" w:rsidRDefault="005010BF" w:rsidP="005010BF">
      <w:r w:rsidRPr="00F67E1C">
        <w:rPr>
          <w:u w:val="single"/>
        </w:rPr>
        <w:t>The new regime should be developed collaboratively by ESMA and market participants.</w:t>
      </w:r>
      <w:r>
        <w:t xml:space="preserve"> </w:t>
      </w:r>
    </w:p>
    <w:p w14:paraId="3FB4273D" w14:textId="77777777" w:rsidR="00F67E1C" w:rsidRDefault="00F67E1C" w:rsidP="005010BF"/>
    <w:p w14:paraId="6836E840" w14:textId="1D78D5F0" w:rsidR="00F67E1C" w:rsidRDefault="005010BF" w:rsidP="005010BF">
      <w:r>
        <w:t xml:space="preserve">It should be developed through a structured, transparent and </w:t>
      </w:r>
      <w:r w:rsidRPr="00F67E1C">
        <w:rPr>
          <w:u w:val="single"/>
        </w:rPr>
        <w:t>collaborative</w:t>
      </w:r>
      <w:r>
        <w:t xml:space="preserve"> process. </w:t>
      </w:r>
    </w:p>
    <w:p w14:paraId="51DC6F1D" w14:textId="77777777" w:rsidR="00F67E1C" w:rsidRDefault="00F67E1C" w:rsidP="005010BF"/>
    <w:p w14:paraId="547BB226" w14:textId="77777777" w:rsidR="00F67E1C" w:rsidRDefault="005010BF" w:rsidP="005010BF">
      <w:r>
        <w:t xml:space="preserve">This requires more than a one-time consultation — it calls for a dedicated and ongoing dialogue between supervisors and the reporting industry. </w:t>
      </w:r>
    </w:p>
    <w:p w14:paraId="0AAA0B4B" w14:textId="77777777" w:rsidR="00234203" w:rsidRDefault="00234203" w:rsidP="005010BF"/>
    <w:p w14:paraId="2654D4E4" w14:textId="7AB4F1B8" w:rsidR="00F67E1C" w:rsidRDefault="005010BF" w:rsidP="005010BF">
      <w:r>
        <w:t xml:space="preserve">Supervisory objectives must be clearly defined and translated into practical, proportionate solutions in close coordination with those who will implement them. </w:t>
      </w:r>
    </w:p>
    <w:p w14:paraId="53069A83" w14:textId="286E30DA" w:rsidR="00926BDA" w:rsidRDefault="005010BF" w:rsidP="005010BF">
      <w:r>
        <w:t>Only through such a joint design phase can the regime achieve both regulatory effectiveness and operational feasibility.</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lastRenderedPageBreak/>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2A5D0EA0" w:rsidR="00926BDA" w:rsidRDefault="005010BF" w:rsidP="00926BDA">
      <w:permStart w:id="1438851636" w:edGrp="everyone"/>
      <w:r w:rsidRPr="005010BF">
        <w:t>Yes, there should be only one reporting channel. Having a single reporting pathway would significantly reduce complexity, lower the risk of inconsistent data submissions, and ease the operational burden on reporting entities. Multiple reporting channels often lead to duplication of efforts and higher compliance costs.</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5A2822D8" w14:textId="77777777" w:rsidR="00F67E1C" w:rsidRDefault="005010BF" w:rsidP="005010BF">
      <w:permStart w:id="1962436404" w:edGrp="everyone"/>
      <w:r>
        <w:t xml:space="preserve">We support transferring the reporting obligation for on-venue transactions to the trading venues themselves. These venues already possess the relevant order and execution data, which ensures high data quality and avoids duplication. </w:t>
      </w:r>
    </w:p>
    <w:p w14:paraId="7C5E10BE" w14:textId="77777777" w:rsidR="00F67E1C" w:rsidRDefault="00F67E1C" w:rsidP="005010BF"/>
    <w:p w14:paraId="032F5966" w14:textId="50CDA5CA" w:rsidR="005010BF" w:rsidRDefault="005010BF" w:rsidP="005010BF">
      <w:r>
        <w:t>The same applies to cleared transactions, which should be reported exclusively by the CCP.</w:t>
      </w:r>
    </w:p>
    <w:p w14:paraId="4A85495D" w14:textId="77777777" w:rsidR="005010BF" w:rsidRDefault="005010BF" w:rsidP="005010BF"/>
    <w:p w14:paraId="33B78B8E" w14:textId="43E0702C" w:rsidR="00926BDA" w:rsidRDefault="005010BF" w:rsidP="005010BF">
      <w:r>
        <w:t xml:space="preserve">This shift would significantly reduce the operational burden on investment firms, </w:t>
      </w:r>
      <w:r w:rsidRPr="00F67E1C">
        <w:rPr>
          <w:u w:val="single"/>
        </w:rPr>
        <w:t>lower the overall volume of reported data</w:t>
      </w:r>
      <w:r>
        <w:t>, and streamline reporting processes.</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349BFA0D" w14:textId="30C29B97" w:rsidR="005010BF" w:rsidRDefault="005F35BE" w:rsidP="005010BF">
      <w:permStart w:id="105197077" w:edGrp="everyone"/>
      <w:r>
        <w:t>DZ BANK AG</w:t>
      </w:r>
      <w:r w:rsidR="005010BF">
        <w:t xml:space="preserve"> recognise</w:t>
      </w:r>
      <w:r>
        <w:t>s</w:t>
      </w:r>
      <w:r w:rsidR="005010BF">
        <w:t xml:space="preserve"> the potential benefits of centralising access to harmonised data for </w:t>
      </w:r>
      <w:proofErr w:type="spellStart"/>
      <w:r w:rsidR="005010BF">
        <w:t>NCAs</w:t>
      </w:r>
      <w:proofErr w:type="spellEnd"/>
      <w:r w:rsidR="005010BF">
        <w:t xml:space="preserve">. However, </w:t>
      </w:r>
      <w:r>
        <w:t xml:space="preserve">there are </w:t>
      </w:r>
      <w:r w:rsidR="005010BF">
        <w:t>concerns about ESMA taking on the role of a full-scale reporting hub.</w:t>
      </w:r>
    </w:p>
    <w:p w14:paraId="5ED49844" w14:textId="77777777" w:rsidR="005010BF" w:rsidRDefault="005010BF" w:rsidP="005010BF"/>
    <w:p w14:paraId="1CE256DA" w14:textId="77777777" w:rsidR="005010BF" w:rsidRDefault="005010BF" w:rsidP="005010BF">
      <w:r>
        <w:t>Currently, for example derivatives transactions are reported to trade repositories that are specifically designed and specialized to receive, validate and match such data reports. The experience with EMIR Refit has shown that even these technical entities – which operate in a competitive environment and have strong incentives to invest in robust infrastructure – were at times pushed to their limits in handling the increased complexity.</w:t>
      </w:r>
    </w:p>
    <w:p w14:paraId="322A9D1F" w14:textId="77777777" w:rsidR="005010BF" w:rsidRDefault="005010BF" w:rsidP="005010BF"/>
    <w:p w14:paraId="1A3BE8DE" w14:textId="3BD462B5" w:rsidR="00926BDA" w:rsidRDefault="005010BF" w:rsidP="005010BF">
      <w:r>
        <w:t xml:space="preserve">On the other hand, trade repositories already operate globally and are integrated into international reporting and oversight structures. A </w:t>
      </w:r>
      <w:r w:rsidRPr="005010BF">
        <w:t>purely Europe-focused</w:t>
      </w:r>
      <w:r>
        <w:t xml:space="preserve"> reporting model </w:t>
      </w:r>
      <w:r>
        <w:lastRenderedPageBreak/>
        <w:t>risks creating fragmentation and may lack the global reach and flexibility that existing infrastructures provide. It makes sense to leverage their expertise and global reach.</w:t>
      </w:r>
    </w:p>
    <w:p w14:paraId="291D43F0" w14:textId="77777777" w:rsidR="00F67E1C" w:rsidRDefault="00F67E1C" w:rsidP="005010BF"/>
    <w:p w14:paraId="27FD1674" w14:textId="42E8203A" w:rsidR="00F67E1C" w:rsidRDefault="00F67E1C" w:rsidP="005010BF">
      <w:r>
        <w:t xml:space="preserve">In addition to that the concept of ARM should be re-visited and re-evaluated; DZ BANK AG </w:t>
      </w:r>
      <w:r w:rsidR="00733D28">
        <w:t>is in favour of a TR-only approach that enhances global convergence and reduces market infrastructure specific extra-work.</w:t>
      </w:r>
    </w:p>
    <w:p w14:paraId="199F3B31" w14:textId="77777777" w:rsidR="002E7E36" w:rsidRDefault="002E7E36" w:rsidP="005010BF"/>
    <w:p w14:paraId="5FF1A0F3" w14:textId="77777777" w:rsidR="002E7E36" w:rsidRDefault="002E7E36" w:rsidP="005010BF"/>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440D6A09" w14:textId="18F6E605" w:rsidR="005010BF" w:rsidRDefault="00234203" w:rsidP="005010BF">
      <w:permStart w:id="817709938" w:edGrp="everyone"/>
      <w:r>
        <w:t>DZ BANK AG</w:t>
      </w:r>
      <w:r w:rsidR="005010BF">
        <w:t xml:space="preserve"> recognise</w:t>
      </w:r>
      <w:r>
        <w:t>s</w:t>
      </w:r>
      <w:r w:rsidR="005010BF">
        <w:t xml:space="preserve"> the potential benefits of centralising access to harmonised data for </w:t>
      </w:r>
      <w:proofErr w:type="spellStart"/>
      <w:r w:rsidR="005010BF">
        <w:t>NCAs</w:t>
      </w:r>
      <w:proofErr w:type="spellEnd"/>
      <w:r w:rsidR="005010BF">
        <w:t xml:space="preserve">. However, </w:t>
      </w:r>
      <w:r w:rsidR="005F35BE">
        <w:t>there are</w:t>
      </w:r>
      <w:r w:rsidR="005010BF">
        <w:t xml:space="preserve"> </w:t>
      </w:r>
      <w:r w:rsidR="00F22526">
        <w:t xml:space="preserve">(besides the unclear funding of such a “mega data lake”) </w:t>
      </w:r>
      <w:r w:rsidR="005010BF">
        <w:t>concerns about ESMA taking on the role of a full-scale reporting hub.</w:t>
      </w:r>
    </w:p>
    <w:p w14:paraId="51A9B076" w14:textId="77777777" w:rsidR="005010BF" w:rsidRDefault="005010BF" w:rsidP="005010BF"/>
    <w:p w14:paraId="75E38CDC" w14:textId="4C6C20F3" w:rsidR="005010BF" w:rsidRDefault="005010BF" w:rsidP="005010BF">
      <w:r>
        <w:t>Currently, for example derivatives transactions are reported to trade repositories that are specifically designed and specialized to receive, validate and match such data reports. The experience with EMIR Refit has shown that even these</w:t>
      </w:r>
      <w:r w:rsidR="00FC2A92">
        <w:t xml:space="preserve"> partly globally working</w:t>
      </w:r>
      <w:r>
        <w:t xml:space="preserve"> technical entities – which operate in a competitive environment and have strong incentives to invest in robust infrastructure – were at times pushed to their limits in handling the increased complexity.</w:t>
      </w:r>
    </w:p>
    <w:p w14:paraId="359FC6A3" w14:textId="77777777" w:rsidR="005010BF" w:rsidRDefault="005010BF" w:rsidP="005010BF"/>
    <w:p w14:paraId="18F148C1" w14:textId="0DD36C27" w:rsidR="00926BDA" w:rsidRDefault="005010BF" w:rsidP="005010BF">
      <w:r>
        <w:t xml:space="preserve">On the other hand, trade repositories already operate </w:t>
      </w:r>
      <w:r w:rsidR="00F22526">
        <w:t xml:space="preserve">10+ years </w:t>
      </w:r>
      <w:r w:rsidR="00FC2A92">
        <w:t>around the world</w:t>
      </w:r>
      <w:r>
        <w:t xml:space="preserve"> and are integrated into international reporting and oversight structures. A purely Europe-focused reporting model risks creating fragmentation and may lack the global reach and flexibility that existing infrastructures provide. It makes sense to leverage their </w:t>
      </w:r>
      <w:r w:rsidR="00F22526">
        <w:t xml:space="preserve">rich </w:t>
      </w:r>
      <w:r>
        <w:t>expertise and global reach.</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5C6A0282" w14:textId="202F6E4A" w:rsidR="002E7E36" w:rsidRDefault="002E7E36" w:rsidP="00926BDA">
      <w:permStart w:id="993723206" w:edGrp="everyone"/>
      <w:r>
        <w:t>DZ BANK</w:t>
      </w:r>
      <w:r w:rsidRPr="002E7E36">
        <w:t xml:space="preserve"> believe</w:t>
      </w:r>
      <w:r>
        <w:t>s</w:t>
      </w:r>
      <w:r w:rsidRPr="002E7E36">
        <w:t xml:space="preserve"> that technologies such as </w:t>
      </w:r>
      <w:proofErr w:type="spellStart"/>
      <w:r w:rsidRPr="002E7E36">
        <w:t>DLT</w:t>
      </w:r>
      <w:proofErr w:type="spellEnd"/>
      <w:r w:rsidRPr="002E7E36">
        <w:t xml:space="preserve"> or smart contracts should only be considered for reporting purposes</w:t>
      </w:r>
      <w:r w:rsidR="005F35BE">
        <w:t>,</w:t>
      </w:r>
      <w:r w:rsidRPr="002E7E36">
        <w:t xml:space="preserve"> once they are sufficiently developed for this type of application. </w:t>
      </w:r>
    </w:p>
    <w:p w14:paraId="1E85F6A9" w14:textId="50C97A6A" w:rsidR="00926BDA" w:rsidRDefault="002E7E36" w:rsidP="00926BDA">
      <w:r w:rsidRPr="002E7E36">
        <w:t>The reporting framework should not be used as a testing ground to experiment these solutions.</w:t>
      </w:r>
    </w:p>
    <w:p w14:paraId="13A32B08" w14:textId="2838A56F" w:rsidR="002E7E36" w:rsidRDefault="002E7E36" w:rsidP="00926BDA">
      <w:r>
        <w:t xml:space="preserve">In short, a regulatory requirement should not be more technologically advanced than the </w:t>
      </w:r>
      <w:r w:rsidR="005F35BE">
        <w:t xml:space="preserve">average </w:t>
      </w:r>
      <w:r>
        <w:t xml:space="preserve">industry </w:t>
      </w:r>
      <w:r w:rsidR="005F35BE">
        <w:t>and/or product set-up; rather the other way around</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D2EF501" w14:textId="77777777" w:rsidR="00733D28" w:rsidRDefault="005010BF" w:rsidP="005010BF">
      <w:permStart w:id="1652326327" w:edGrp="everyone"/>
      <w:r>
        <w:t xml:space="preserve">Dual-sided reporting imposes significant operational burdens, but the definition of “dual-sidedness” is not entirely clear. </w:t>
      </w:r>
    </w:p>
    <w:p w14:paraId="0E02A8D4" w14:textId="77777777" w:rsidR="00733D28" w:rsidRDefault="00733D28" w:rsidP="005010BF"/>
    <w:p w14:paraId="606A2BC1" w14:textId="52E31CDD" w:rsidR="00DE7150" w:rsidRDefault="00DE7150" w:rsidP="005010BF">
      <w:r>
        <w:t xml:space="preserve">DZ BANK AG </w:t>
      </w:r>
      <w:r w:rsidR="005010BF">
        <w:t>understand</w:t>
      </w:r>
      <w:r>
        <w:t>s</w:t>
      </w:r>
      <w:r w:rsidR="005010BF">
        <w:t xml:space="preserve"> it to mean mainly the reconciliation process under EMIR and SFTR, which is the most significant burden in reporting. In particular the reconciliation of institution-specific data </w:t>
      </w:r>
      <w:r>
        <w:t>–</w:t>
      </w:r>
      <w:r w:rsidR="005010BF">
        <w:t xml:space="preserve"> such</w:t>
      </w:r>
      <w:r>
        <w:t xml:space="preserve"> </w:t>
      </w:r>
      <w:r w:rsidR="005010BF">
        <w:t xml:space="preserve">as valuations or transaction classifications - has proven inefficient, time consuming, error-prone and very costly. </w:t>
      </w:r>
    </w:p>
    <w:p w14:paraId="57494FB7" w14:textId="77777777" w:rsidR="00DE7150" w:rsidRDefault="00DE7150" w:rsidP="005010BF"/>
    <w:p w14:paraId="7BD58EE6" w14:textId="641D68C6" w:rsidR="005010BF" w:rsidRDefault="005010BF" w:rsidP="005010BF">
      <w:r>
        <w:t xml:space="preserve">These mismatches are inherent to the fact that each counterparty uses its own calculation methods and data </w:t>
      </w:r>
      <w:proofErr w:type="spellStart"/>
      <w:r>
        <w:t>soucres</w:t>
      </w:r>
      <w:proofErr w:type="spellEnd"/>
      <w:r>
        <w:t xml:space="preserve"> and can, thus, not be resolved through forced alignment.</w:t>
      </w:r>
    </w:p>
    <w:p w14:paraId="0EEECEB6" w14:textId="77777777" w:rsidR="00DE7150" w:rsidRDefault="00DE7150" w:rsidP="005010BF"/>
    <w:p w14:paraId="4AD803DE" w14:textId="0B8B9054" w:rsidR="005010BF" w:rsidRDefault="005010BF" w:rsidP="005010BF">
      <w:r>
        <w:t xml:space="preserve">In addition, it might be advisable to identify where the focus of supervision and the suspected need for a reporting obligation for both sides of a transaction lies. From </w:t>
      </w:r>
      <w:r w:rsidR="00AA0C29">
        <w:t>DZ BANK AG’s</w:t>
      </w:r>
      <w:r>
        <w:t xml:space="preserve"> point of view, the reporting of the same transaction by both sides should be limited to cases where it is necessary from a supervisory perspective.</w:t>
      </w:r>
      <w:r w:rsidRPr="00404E7D">
        <w:t xml:space="preserve"> </w:t>
      </w:r>
      <w:r>
        <w:t xml:space="preserve">On the other hand, it should </w:t>
      </w:r>
      <w:proofErr w:type="gramStart"/>
      <w:r>
        <w:t>not</w:t>
      </w:r>
      <w:proofErr w:type="gramEnd"/>
      <w:r>
        <w:t xml:space="preserve"> necessary with regards to transactions that are not so relevant for the monitoring of financial and systemic stability (e.g., transactions arising from </w:t>
      </w:r>
      <w:proofErr w:type="spellStart"/>
      <w:r>
        <w:t>PTRR</w:t>
      </w:r>
      <w:proofErr w:type="spellEnd"/>
      <w:r>
        <w:t xml:space="preserve"> or those that are already concluded or cleared on market infrastructures and are therefore “public”).</w:t>
      </w:r>
    </w:p>
    <w:p w14:paraId="5C192E4B" w14:textId="77777777" w:rsidR="005010BF" w:rsidRDefault="005010BF" w:rsidP="005010BF"/>
    <w:p w14:paraId="4D11DA7F" w14:textId="0951415C" w:rsidR="005010BF" w:rsidRDefault="00DE7150" w:rsidP="005010BF">
      <w:r>
        <w:t>DZ BANK AG</w:t>
      </w:r>
      <w:r w:rsidR="005010BF">
        <w:t xml:space="preserve"> would generally propose a reporting system which is structured around the origin of </w:t>
      </w:r>
      <w:proofErr w:type="gramStart"/>
      <w:r w:rsidR="005010BF">
        <w:t>data</w:t>
      </w:r>
      <w:proofErr w:type="gramEnd"/>
      <w:r w:rsidR="005010BF">
        <w:t xml:space="preserve"> and which assigns reporting obligations to the entities that generate</w:t>
      </w:r>
      <w:r>
        <w:t xml:space="preserve"> and first-hand hold</w:t>
      </w:r>
      <w:r w:rsidR="005010BF">
        <w:t xml:space="preserve"> the respective information, for example:</w:t>
      </w:r>
    </w:p>
    <w:p w14:paraId="40F81F84" w14:textId="77777777" w:rsidR="005010BF" w:rsidRPr="005010BF" w:rsidRDefault="005010BF" w:rsidP="005010BF">
      <w:pPr>
        <w:pStyle w:val="Listenabsatz"/>
        <w:numPr>
          <w:ilvl w:val="0"/>
          <w:numId w:val="41"/>
        </w:numPr>
        <w:tabs>
          <w:tab w:val="clear" w:pos="0"/>
          <w:tab w:val="clear" w:pos="142"/>
          <w:tab w:val="clear" w:pos="284"/>
        </w:tabs>
        <w:autoSpaceDE/>
        <w:autoSpaceDN/>
        <w:adjustRightInd/>
        <w:spacing w:line="240" w:lineRule="auto"/>
        <w:contextualSpacing/>
        <w:jc w:val="left"/>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t xml:space="preserve">Trading venues (regulated markets, MTFs and </w:t>
      </w:r>
      <w:proofErr w:type="spellStart"/>
      <w:r w:rsidRPr="005010BF">
        <w:rPr>
          <w:rFonts w:ascii="Times New Roman" w:eastAsia="Times New Roman" w:hAnsi="Times New Roman" w:cs="Times New Roman"/>
          <w:sz w:val="24"/>
          <w:szCs w:val="24"/>
        </w:rPr>
        <w:t>OTFs</w:t>
      </w:r>
      <w:proofErr w:type="spellEnd"/>
      <w:r w:rsidRPr="005010BF">
        <w:rPr>
          <w:rFonts w:ascii="Times New Roman" w:eastAsia="Times New Roman" w:hAnsi="Times New Roman" w:cs="Times New Roman"/>
          <w:sz w:val="24"/>
          <w:szCs w:val="24"/>
        </w:rPr>
        <w:t>) report transaction-level data;</w:t>
      </w:r>
    </w:p>
    <w:p w14:paraId="09DDDB94" w14:textId="77777777" w:rsidR="005010BF" w:rsidRPr="005010BF" w:rsidRDefault="005010BF" w:rsidP="005010BF">
      <w:pPr>
        <w:pStyle w:val="Listenabsatz"/>
        <w:numPr>
          <w:ilvl w:val="0"/>
          <w:numId w:val="41"/>
        </w:numPr>
        <w:tabs>
          <w:tab w:val="clear" w:pos="0"/>
          <w:tab w:val="clear" w:pos="142"/>
          <w:tab w:val="clear" w:pos="284"/>
        </w:tabs>
        <w:autoSpaceDE/>
        <w:autoSpaceDN/>
        <w:adjustRightInd/>
        <w:spacing w:line="240" w:lineRule="auto"/>
        <w:contextualSpacing/>
        <w:jc w:val="left"/>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t>CCPs report position-level data.</w:t>
      </w:r>
    </w:p>
    <w:p w14:paraId="1F3D8154" w14:textId="77777777" w:rsidR="005010BF" w:rsidRPr="005010BF" w:rsidRDefault="005010BF" w:rsidP="005010BF">
      <w:pPr>
        <w:pStyle w:val="Listenabsatz"/>
        <w:numPr>
          <w:ilvl w:val="0"/>
          <w:numId w:val="41"/>
        </w:numPr>
        <w:tabs>
          <w:tab w:val="clear" w:pos="0"/>
          <w:tab w:val="clear" w:pos="142"/>
          <w:tab w:val="clear" w:pos="284"/>
        </w:tabs>
        <w:autoSpaceDE/>
        <w:autoSpaceDN/>
        <w:adjustRightInd/>
        <w:spacing w:line="240" w:lineRule="auto"/>
        <w:contextualSpacing/>
        <w:jc w:val="left"/>
        <w:rPr>
          <w:rFonts w:ascii="Times New Roman" w:eastAsia="Times New Roman" w:hAnsi="Times New Roman" w:cs="Times New Roman"/>
          <w:sz w:val="24"/>
          <w:szCs w:val="24"/>
        </w:rPr>
      </w:pPr>
      <w:r w:rsidRPr="005010BF">
        <w:rPr>
          <w:rFonts w:ascii="Times New Roman" w:eastAsia="Times New Roman" w:hAnsi="Times New Roman" w:cs="Times New Roman"/>
          <w:sz w:val="24"/>
          <w:szCs w:val="24"/>
        </w:rPr>
        <w:t>Clearing members report client-related data;</w:t>
      </w:r>
    </w:p>
    <w:p w14:paraId="15972EB6" w14:textId="1090B51D" w:rsidR="005010BF" w:rsidRDefault="005010BF" w:rsidP="005010BF">
      <w:r>
        <w:t xml:space="preserve">This concept applies in particular to trades entered into on market infrastructures. It ensures that each data stream is reported by the party with operational control and direct access, thereby enhancing accuracy, reducing reconciliation burdens, and improving supervisory usability. </w:t>
      </w:r>
      <w:r w:rsidR="00F22526">
        <w:t>T</w:t>
      </w:r>
      <w:r>
        <w:t xml:space="preserve">his structure establishes a clear and systemic allocation of responsibilities, avoiding ambiguity and ensuring </w:t>
      </w:r>
      <w:r w:rsidR="00F22526">
        <w:t xml:space="preserve">at least largely enhancing </w:t>
      </w:r>
      <w:r>
        <w:t>accountability.</w:t>
      </w:r>
    </w:p>
    <w:p w14:paraId="63E7C29F" w14:textId="77777777" w:rsidR="005010BF" w:rsidRDefault="005010BF" w:rsidP="005010BF"/>
    <w:p w14:paraId="4D224B0B" w14:textId="5F69DD92" w:rsidR="005010BF" w:rsidRDefault="005010BF" w:rsidP="005010BF">
      <w:r>
        <w:t xml:space="preserve">If these infrastructures were to report the trades entered into or cleared on their platforms, a lot of trades and data would already be captured and would not have to be reported by the counterparties entering into a transaction. In addition, </w:t>
      </w:r>
      <w:r w:rsidR="00F22526">
        <w:t>DZ BANK AG</w:t>
      </w:r>
      <w:r>
        <w:t xml:space="preserve"> would like to point out that factual dual-sided reporting under EMIR and SFTR, i.e. two distinct entities reporting the </w:t>
      </w:r>
      <w:r>
        <w:lastRenderedPageBreak/>
        <w:t>same transaction only for themselves, due to delegations does not occur as frequently as one might assume (</w:t>
      </w:r>
      <w:r w:rsidR="005F35BE">
        <w:t xml:space="preserve">our </w:t>
      </w:r>
      <w:r>
        <w:t>assum</w:t>
      </w:r>
      <w:r w:rsidR="005F35BE">
        <w:t>ption is</w:t>
      </w:r>
      <w:r>
        <w:t xml:space="preserve"> less than </w:t>
      </w:r>
      <w:r w:rsidR="00F22526">
        <w:t>25-</w:t>
      </w:r>
      <w:r>
        <w:t xml:space="preserve">30%; it should be possible to derive this data from the EMIR and SFTR reports). </w:t>
      </w:r>
      <w:r w:rsidRPr="0092712F">
        <w:t>As a result, much of the reporting today is already effectively handled by a single counterparty on behalf of both sides</w:t>
      </w:r>
      <w:r w:rsidR="00F22526">
        <w:t xml:space="preserve"> (mutatis mutandis fully mirrored with more or less with a 100% pairing and matching rate)</w:t>
      </w:r>
      <w:r>
        <w:t>.</w:t>
      </w:r>
      <w:r w:rsidRPr="00DF3C39">
        <w:t xml:space="preserve"> However, this double reporting of essentially the same facts</w:t>
      </w:r>
      <w:r>
        <w:t xml:space="preserve"> has little to no added </w:t>
      </w:r>
      <w:r w:rsidRPr="00DF3C39">
        <w:t>value in terms of content for the supervisory authority and consumes large amounts of data.</w:t>
      </w:r>
      <w:r>
        <w:t xml:space="preserve"> In order to easier identify those </w:t>
      </w:r>
      <w:proofErr w:type="gramStart"/>
      <w:r>
        <w:t>trades</w:t>
      </w:r>
      <w:proofErr w:type="gramEnd"/>
      <w:r>
        <w:t xml:space="preserve"> it might, therefore, make sense to introduce a flag for delegated reporting and in these circumstances require only one full data set to be reported.</w:t>
      </w:r>
    </w:p>
    <w:p w14:paraId="37A5B372" w14:textId="77777777" w:rsidR="005010BF" w:rsidRDefault="005010BF" w:rsidP="005010BF">
      <w:pPr>
        <w:rPr>
          <w:lang w:val="en-US"/>
        </w:rPr>
      </w:pPr>
    </w:p>
    <w:p w14:paraId="6E39AACB" w14:textId="5EC89821" w:rsidR="00926BDA" w:rsidRDefault="005010BF" w:rsidP="005010BF">
      <w:r>
        <w:t>As regards the remaining transactions, i.e. likely OTC-transactions between the larger market participants (</w:t>
      </w:r>
      <w:proofErr w:type="spellStart"/>
      <w:r>
        <w:t>i</w:t>
      </w:r>
      <w:proofErr w:type="spellEnd"/>
      <w:r>
        <w:t xml:space="preserve">. e. FC in the EMIR and MiFIR regimes) where both parties would have to report the data, </w:t>
      </w:r>
      <w:r w:rsidR="005F35BE">
        <w:t>DZ BANK AG</w:t>
      </w:r>
      <w:r>
        <w:t xml:space="preserve"> would like to raise attention to the above-mentioned reconciliation of data. This process should</w:t>
      </w:r>
      <w:r w:rsidR="00AA0C29">
        <w:t xml:space="preserve"> </w:t>
      </w:r>
      <w:r>
        <w:t>be abolished.</w:t>
      </w:r>
      <w:r>
        <w:rPr>
          <w:lang w:val="en-US"/>
        </w:rPr>
        <w:t xml:space="preserve"> </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7EE4B20A" w14:textId="2243698A" w:rsidR="00263F61" w:rsidRDefault="00AA0C29" w:rsidP="00263F61">
      <w:permStart w:id="806124853" w:edGrp="everyone"/>
      <w:r>
        <w:t>DZ BANK AG</w:t>
      </w:r>
      <w:r w:rsidR="00263F61" w:rsidRPr="004D3B0B">
        <w:t xml:space="preserve"> recommend</w:t>
      </w:r>
      <w:r>
        <w:t xml:space="preserve">s </w:t>
      </w:r>
      <w:proofErr w:type="gramStart"/>
      <w:r>
        <w:t xml:space="preserve">to </w:t>
      </w:r>
      <w:r w:rsidR="00263F61" w:rsidRPr="004D3B0B">
        <w:t>maintain</w:t>
      </w:r>
      <w:proofErr w:type="gramEnd"/>
      <w:r w:rsidR="00263F61" w:rsidRPr="004D3B0B">
        <w:t xml:space="preserve"> the current T+1 reporting frequency. Within the existing framework, </w:t>
      </w:r>
      <w:r>
        <w:t>DZ BANK AG</w:t>
      </w:r>
      <w:r w:rsidR="00263F61" w:rsidRPr="004D3B0B">
        <w:t xml:space="preserve"> do</w:t>
      </w:r>
      <w:r>
        <w:t>es</w:t>
      </w:r>
      <w:r w:rsidR="00263F61" w:rsidRPr="004D3B0B">
        <w:t xml:space="preserve"> not see any meaningful burden reduction from adjusting the</w:t>
      </w:r>
      <w:r w:rsidR="00263F61">
        <w:t xml:space="preserve"> reporting frequency</w:t>
      </w:r>
      <w:r w:rsidR="00263F61" w:rsidRPr="004D3B0B">
        <w:t>.</w:t>
      </w:r>
    </w:p>
    <w:p w14:paraId="162ABCEF" w14:textId="1D0C01B7" w:rsidR="00926BDA" w:rsidRDefault="00263F61" w:rsidP="00926BDA">
      <w:r w:rsidRPr="004D3B0B">
        <w:t xml:space="preserve">Changes to reporting </w:t>
      </w:r>
      <w:r>
        <w:t xml:space="preserve">frequency </w:t>
      </w:r>
      <w:r w:rsidR="00AA0C29">
        <w:t>could nevertheless</w:t>
      </w:r>
      <w:r w:rsidRPr="004D3B0B">
        <w:t xml:space="preserve"> be considered in the context of a structurally redesigned system</w:t>
      </w:r>
      <w:r w:rsidR="00AA0C29">
        <w:t>.</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22F9EDF4" w14:textId="77777777" w:rsidR="00AA0C29" w:rsidRDefault="00263F61" w:rsidP="00AA0C29">
      <w:permStart w:id="1181963014" w:edGrp="everyone"/>
      <w:r>
        <w:t>T</w:t>
      </w:r>
      <w:r w:rsidRPr="00C61263">
        <w:t xml:space="preserve">he constant adaptations are extremely expensive. </w:t>
      </w:r>
    </w:p>
    <w:p w14:paraId="19E13276" w14:textId="77777777" w:rsidR="00AA0C29" w:rsidRDefault="00AA0C29" w:rsidP="00AA0C29"/>
    <w:p w14:paraId="050F8018" w14:textId="77777777" w:rsidR="00FD7745" w:rsidRDefault="00263F61" w:rsidP="00AA0C29">
      <w:r w:rsidRPr="00C61263">
        <w:lastRenderedPageBreak/>
        <w:t xml:space="preserve">To illustrate this, </w:t>
      </w:r>
      <w:r w:rsidR="00AA0C29">
        <w:t>DZ BANK AG</w:t>
      </w:r>
      <w:r w:rsidRPr="00C61263">
        <w:t xml:space="preserve"> conducted a survey among </w:t>
      </w:r>
      <w:r w:rsidR="00AA0C29">
        <w:t xml:space="preserve">the fellow association </w:t>
      </w:r>
      <w:r w:rsidRPr="00C61263">
        <w:t xml:space="preserve">members </w:t>
      </w:r>
      <w:r w:rsidR="00AA0C29">
        <w:t>of “</w:t>
      </w:r>
      <w:r w:rsidR="00AA0C29" w:rsidRPr="00AA0C29">
        <w:t>The Association of German Public Banks</w:t>
      </w:r>
      <w:r w:rsidR="00AA0C29">
        <w:t>;</w:t>
      </w:r>
      <w:r w:rsidR="00AA0C29" w:rsidRPr="00AA0C29">
        <w:t xml:space="preserve"> (</w:t>
      </w:r>
      <w:proofErr w:type="spellStart"/>
      <w:r w:rsidR="00AA0C29" w:rsidRPr="00AA0C29">
        <w:t>VÖB</w:t>
      </w:r>
      <w:proofErr w:type="spellEnd"/>
      <w:r w:rsidR="00AA0C29" w:rsidRPr="00AA0C29">
        <w:t>)</w:t>
      </w:r>
      <w:r w:rsidR="00AA0C29">
        <w:t xml:space="preserve">” </w:t>
      </w:r>
    </w:p>
    <w:p w14:paraId="457211A8" w14:textId="77777777" w:rsidR="00FD7745" w:rsidRDefault="00FD7745" w:rsidP="00AA0C29"/>
    <w:p w14:paraId="7BFB6A77" w14:textId="3EB1C8D3" w:rsidR="00926BDA" w:rsidRPr="00263F61" w:rsidRDefault="00AA0C29" w:rsidP="00AA0C29">
      <w:r>
        <w:t xml:space="preserve">For aggregated data, DZ BANK AG refers to the compiled numbers in the </w:t>
      </w:r>
      <w:proofErr w:type="spellStart"/>
      <w:r>
        <w:t>VÖB</w:t>
      </w:r>
      <w:proofErr w:type="spellEnd"/>
      <w:r>
        <w:t xml:space="preserve"> answer to this </w:t>
      </w:r>
      <w:proofErr w:type="spellStart"/>
      <w:r>
        <w:t>CfE</w:t>
      </w:r>
      <w:proofErr w:type="spellEnd"/>
      <w:r>
        <w:t xml:space="preserve">. </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2FA917EE" w14:textId="1938D3E5" w:rsidR="00FD7745" w:rsidRDefault="00D31DE9" w:rsidP="00D31DE9">
      <w:permStart w:id="1620378332" w:edGrp="everyone"/>
      <w:r>
        <w:t xml:space="preserve">As regards </w:t>
      </w:r>
      <w:r w:rsidR="00060A19">
        <w:t xml:space="preserve">reporting under </w:t>
      </w:r>
      <w:r>
        <w:t xml:space="preserve">MiFIR, </w:t>
      </w:r>
      <w:r w:rsidR="00FD7745">
        <w:t>DZ BANK AG</w:t>
      </w:r>
      <w:r>
        <w:t xml:space="preserve"> would assume that roughly the same numbers </w:t>
      </w:r>
      <w:r w:rsidR="00FD7745">
        <w:t xml:space="preserve">(see our answer to </w:t>
      </w:r>
      <w:proofErr w:type="spellStart"/>
      <w:r w:rsidR="00FD7745">
        <w:t>Q25</w:t>
      </w:r>
      <w:proofErr w:type="spellEnd"/>
      <w:r w:rsidR="00FD7745">
        <w:t xml:space="preserve">) </w:t>
      </w:r>
      <w:r>
        <w:t xml:space="preserve">apply. The reporting regime itself might be less complex, however, there are many more transactions falling under the MiFIR-regime, than under EMIR. </w:t>
      </w:r>
    </w:p>
    <w:p w14:paraId="163FEA7D" w14:textId="77777777" w:rsidR="00FD7745" w:rsidRDefault="00FD7745" w:rsidP="00D31DE9"/>
    <w:p w14:paraId="1FB47DD6" w14:textId="2D138066" w:rsidR="00926BDA" w:rsidRDefault="00D31DE9" w:rsidP="00D31DE9">
      <w:r>
        <w:t>As regards reporting under SFTR, again, roughly the same amount can be taken as an estimate. Here, less transactions are covered but the regime itself is much more complex.</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lastRenderedPageBreak/>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7AEF3703" w14:textId="65964DBC" w:rsidR="00C06635" w:rsidRDefault="00FD7745" w:rsidP="00C06635">
      <w:permStart w:id="1172965324" w:edGrp="everyone"/>
      <w:r>
        <w:t>DZ BANK AG</w:t>
      </w:r>
      <w:r w:rsidR="00C06635">
        <w:t xml:space="preserve"> see</w:t>
      </w:r>
      <w:r>
        <w:t>s</w:t>
      </w:r>
      <w:r w:rsidR="00C06635">
        <w:t xml:space="preserve"> the following </w:t>
      </w:r>
      <w:r>
        <w:t>four</w:t>
      </w:r>
      <w:r w:rsidR="00C06635">
        <w:t xml:space="preserve"> as the most significant cost drivers:</w:t>
      </w:r>
    </w:p>
    <w:p w14:paraId="461E793B" w14:textId="1F647404" w:rsidR="00C06635" w:rsidRPr="00C06635" w:rsidRDefault="00C06635" w:rsidP="00C06635">
      <w:pPr>
        <w:pStyle w:val="Listenabsatz"/>
        <w:numPr>
          <w:ilvl w:val="0"/>
          <w:numId w:val="43"/>
        </w:numPr>
        <w:rPr>
          <w:rFonts w:ascii="Times New Roman" w:eastAsia="Times New Roman" w:hAnsi="Times New Roman" w:cs="Times New Roman"/>
          <w:sz w:val="24"/>
          <w:szCs w:val="24"/>
        </w:rPr>
      </w:pPr>
      <w:r w:rsidRPr="00C06635">
        <w:rPr>
          <w:rFonts w:ascii="Times New Roman" w:eastAsia="Times New Roman" w:hAnsi="Times New Roman" w:cs="Times New Roman"/>
          <w:sz w:val="24"/>
          <w:szCs w:val="24"/>
        </w:rPr>
        <w:t>Frequent regulatory changes: These lead to continuous IT adjustments, staff training, and compliance reviews, creating high operational costs.</w:t>
      </w:r>
    </w:p>
    <w:p w14:paraId="1A1DB21D" w14:textId="145D8151" w:rsidR="00C06635" w:rsidRPr="00C06635" w:rsidRDefault="00C06635" w:rsidP="00C06635">
      <w:pPr>
        <w:pStyle w:val="Listenabsatz"/>
        <w:numPr>
          <w:ilvl w:val="0"/>
          <w:numId w:val="43"/>
        </w:numPr>
        <w:rPr>
          <w:rFonts w:ascii="Times New Roman" w:eastAsia="Times New Roman" w:hAnsi="Times New Roman" w:cs="Times New Roman"/>
          <w:sz w:val="24"/>
          <w:szCs w:val="24"/>
        </w:rPr>
      </w:pPr>
      <w:r w:rsidRPr="00C06635">
        <w:rPr>
          <w:rFonts w:ascii="Times New Roman" w:eastAsia="Times New Roman" w:hAnsi="Times New Roman" w:cs="Times New Roman"/>
          <w:sz w:val="24"/>
          <w:szCs w:val="24"/>
        </w:rPr>
        <w:t>Multiple reporting channels and systems: The fragmentation of reporting infrastructures and the need to maintain parallel systems for EMIR</w:t>
      </w:r>
      <w:r w:rsidR="00FD7745">
        <w:rPr>
          <w:rFonts w:ascii="Times New Roman" w:eastAsia="Times New Roman" w:hAnsi="Times New Roman" w:cs="Times New Roman"/>
          <w:sz w:val="24"/>
          <w:szCs w:val="24"/>
        </w:rPr>
        <w:t xml:space="preserve">, </w:t>
      </w:r>
      <w:r w:rsidRPr="00C06635">
        <w:rPr>
          <w:rFonts w:ascii="Times New Roman" w:eastAsia="Times New Roman" w:hAnsi="Times New Roman" w:cs="Times New Roman"/>
          <w:sz w:val="24"/>
          <w:szCs w:val="24"/>
        </w:rPr>
        <w:t>MiFIR and SFTR significantly increase complexity and cost.</w:t>
      </w:r>
    </w:p>
    <w:p w14:paraId="0046C8AC" w14:textId="25DA07A0" w:rsidR="00C06635" w:rsidRPr="00C06635" w:rsidRDefault="00C06635" w:rsidP="00C06635">
      <w:pPr>
        <w:pStyle w:val="Listenabsatz"/>
        <w:numPr>
          <w:ilvl w:val="0"/>
          <w:numId w:val="43"/>
        </w:numPr>
        <w:rPr>
          <w:rFonts w:ascii="Times New Roman" w:eastAsia="Times New Roman" w:hAnsi="Times New Roman" w:cs="Times New Roman"/>
          <w:sz w:val="24"/>
          <w:szCs w:val="24"/>
        </w:rPr>
      </w:pPr>
      <w:r w:rsidRPr="00C06635">
        <w:rPr>
          <w:rFonts w:ascii="Times New Roman" w:eastAsia="Times New Roman" w:hAnsi="Times New Roman" w:cs="Times New Roman"/>
          <w:sz w:val="24"/>
          <w:szCs w:val="24"/>
        </w:rPr>
        <w:t>The lack of harmonised definitions and data dictionaries further complicates implementation and reconciliation efforts.</w:t>
      </w:r>
    </w:p>
    <w:p w14:paraId="0D39D81F" w14:textId="029820EC" w:rsidR="00926BDA" w:rsidRPr="00C06635" w:rsidRDefault="00C06635" w:rsidP="00C06635">
      <w:pPr>
        <w:pStyle w:val="Listenabsatz"/>
        <w:numPr>
          <w:ilvl w:val="0"/>
          <w:numId w:val="43"/>
        </w:numPr>
        <w:rPr>
          <w:rFonts w:ascii="Times New Roman" w:eastAsia="Times New Roman" w:hAnsi="Times New Roman" w:cs="Times New Roman"/>
          <w:sz w:val="24"/>
          <w:szCs w:val="24"/>
        </w:rPr>
      </w:pPr>
      <w:r w:rsidRPr="00C06635">
        <w:rPr>
          <w:rFonts w:ascii="Times New Roman" w:eastAsia="Times New Roman" w:hAnsi="Times New Roman" w:cs="Times New Roman"/>
          <w:sz w:val="24"/>
          <w:szCs w:val="24"/>
        </w:rPr>
        <w:t xml:space="preserve">Cost due to storage of data in particular under EMIR where there is a delegation arrangement in place and the same data </w:t>
      </w:r>
      <w:r w:rsidR="00FA0A00">
        <w:rPr>
          <w:rFonts w:ascii="Times New Roman" w:eastAsia="Times New Roman" w:hAnsi="Times New Roman" w:cs="Times New Roman"/>
          <w:sz w:val="24"/>
          <w:szCs w:val="24"/>
        </w:rPr>
        <w:t>must b</w:t>
      </w:r>
      <w:r w:rsidRPr="00C06635">
        <w:rPr>
          <w:rFonts w:ascii="Times New Roman" w:eastAsia="Times New Roman" w:hAnsi="Times New Roman" w:cs="Times New Roman"/>
          <w:sz w:val="24"/>
          <w:szCs w:val="24"/>
        </w:rPr>
        <w:t>e stored twice.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8256" w14:textId="77777777" w:rsidR="005E3669" w:rsidRDefault="005E3669" w:rsidP="007E7997">
      <w:r>
        <w:separator/>
      </w:r>
    </w:p>
  </w:endnote>
  <w:endnote w:type="continuationSeparator" w:id="0">
    <w:p w14:paraId="770C5C33" w14:textId="77777777" w:rsidR="005E3669" w:rsidRDefault="005E3669" w:rsidP="007E7997">
      <w:r>
        <w:continuationSeparator/>
      </w:r>
    </w:p>
  </w:endnote>
  <w:endnote w:type="continuationNotice" w:id="1">
    <w:p w14:paraId="3D6FF564" w14:textId="77777777" w:rsidR="005E3669" w:rsidRDefault="005E3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4026" w14:textId="77777777" w:rsidR="005E3669" w:rsidRDefault="005E3669" w:rsidP="007E7997">
      <w:r>
        <w:separator/>
      </w:r>
    </w:p>
  </w:footnote>
  <w:footnote w:type="continuationSeparator" w:id="0">
    <w:p w14:paraId="3C868D00" w14:textId="77777777" w:rsidR="005E3669" w:rsidRDefault="005E3669" w:rsidP="007E7997">
      <w:r>
        <w:continuationSeparator/>
      </w:r>
    </w:p>
  </w:footnote>
  <w:footnote w:type="continuationNotice" w:id="1">
    <w:p w14:paraId="6247DC41" w14:textId="77777777" w:rsidR="005E3669" w:rsidRDefault="005E3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Kopfzeil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Kopfzeil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Kopfzeil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fzeile"/>
      <w:jc w:val="right"/>
      <w:rPr>
        <w:rFonts w:asciiTheme="minorHAnsi" w:hAnsiTheme="minorHAnsi" w:cstheme="minorHAnsi"/>
        <w:color w:val="2F5496" w:themeColor="accent5" w:themeShade="BF"/>
        <w:sz w:val="20"/>
      </w:rPr>
    </w:pPr>
  </w:p>
  <w:p w14:paraId="3E983FE8" w14:textId="71D87355" w:rsidR="00FA64BE" w:rsidRDefault="00FA64BE" w:rsidP="00FA64BE">
    <w:pPr>
      <w:pStyle w:val="Kopfzeil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fzeil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84731"/>
    <w:multiLevelType w:val="hybridMultilevel"/>
    <w:tmpl w:val="608A196E"/>
    <w:lvl w:ilvl="0" w:tplc="F5C0503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E81CF5"/>
    <w:multiLevelType w:val="hybridMultilevel"/>
    <w:tmpl w:val="41AA6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2F5053FD"/>
    <w:multiLevelType w:val="hybridMultilevel"/>
    <w:tmpl w:val="BBA2E33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D9046F"/>
    <w:multiLevelType w:val="hybridMultilevel"/>
    <w:tmpl w:val="28802952"/>
    <w:lvl w:ilvl="0" w:tplc="A08CBFF8">
      <w:numFmt w:val="bullet"/>
      <w:lvlText w:val="•"/>
      <w:lvlJc w:val="left"/>
      <w:pPr>
        <w:ind w:left="1068" w:hanging="708"/>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6C66F5"/>
    <w:multiLevelType w:val="hybridMultilevel"/>
    <w:tmpl w:val="4606B6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976ADA"/>
    <w:multiLevelType w:val="hybridMultilevel"/>
    <w:tmpl w:val="79F87DA2"/>
    <w:lvl w:ilvl="0" w:tplc="13E2012E">
      <w:numFmt w:val="bullet"/>
      <w:pStyle w:val="Listenabsatz"/>
      <w:lvlText w:val="-"/>
      <w:lvlJc w:val="left"/>
      <w:pPr>
        <w:ind w:left="1068" w:hanging="708"/>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1"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9A6669"/>
    <w:multiLevelType w:val="hybridMultilevel"/>
    <w:tmpl w:val="37CC00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4"/>
  </w:num>
  <w:num w:numId="2" w16cid:durableId="1495532731">
    <w:abstractNumId w:val="4"/>
  </w:num>
  <w:num w:numId="3" w16cid:durableId="994409496">
    <w:abstractNumId w:val="30"/>
  </w:num>
  <w:num w:numId="4" w16cid:durableId="1880320868">
    <w:abstractNumId w:val="5"/>
  </w:num>
  <w:num w:numId="5" w16cid:durableId="290864581">
    <w:abstractNumId w:val="17"/>
  </w:num>
  <w:num w:numId="6" w16cid:durableId="952590553">
    <w:abstractNumId w:val="33"/>
  </w:num>
  <w:num w:numId="7" w16cid:durableId="1159686949">
    <w:abstractNumId w:val="16"/>
  </w:num>
  <w:num w:numId="8" w16cid:durableId="765269892">
    <w:abstractNumId w:val="7"/>
  </w:num>
  <w:num w:numId="9" w16cid:durableId="1301960395">
    <w:abstractNumId w:val="11"/>
  </w:num>
  <w:num w:numId="10" w16cid:durableId="1228616548">
    <w:abstractNumId w:val="10"/>
  </w:num>
  <w:num w:numId="11" w16cid:durableId="2051027016">
    <w:abstractNumId w:val="9"/>
  </w:num>
  <w:num w:numId="12" w16cid:durableId="8338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4"/>
  </w:num>
  <w:num w:numId="15" w16cid:durableId="986476960">
    <w:abstractNumId w:val="26"/>
  </w:num>
  <w:num w:numId="16" w16cid:durableId="398749299">
    <w:abstractNumId w:val="31"/>
  </w:num>
  <w:num w:numId="17" w16cid:durableId="1407611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7"/>
  </w:num>
  <w:num w:numId="19" w16cid:durableId="558588771">
    <w:abstractNumId w:val="33"/>
  </w:num>
  <w:num w:numId="20" w16cid:durableId="1306933315">
    <w:abstractNumId w:val="14"/>
  </w:num>
  <w:num w:numId="21" w16cid:durableId="1623876054">
    <w:abstractNumId w:val="29"/>
  </w:num>
  <w:num w:numId="22" w16cid:durableId="783383837">
    <w:abstractNumId w:val="18"/>
  </w:num>
  <w:num w:numId="23" w16cid:durableId="2112964618">
    <w:abstractNumId w:val="25"/>
  </w:num>
  <w:num w:numId="24" w16cid:durableId="1958565453">
    <w:abstractNumId w:val="0"/>
  </w:num>
  <w:num w:numId="25" w16cid:durableId="1372725395">
    <w:abstractNumId w:val="23"/>
  </w:num>
  <w:num w:numId="26" w16cid:durableId="1686445133">
    <w:abstractNumId w:val="20"/>
  </w:num>
  <w:num w:numId="27" w16cid:durableId="1247768697">
    <w:abstractNumId w:val="12"/>
  </w:num>
  <w:num w:numId="28" w16cid:durableId="954170948">
    <w:abstractNumId w:val="2"/>
  </w:num>
  <w:num w:numId="29" w16cid:durableId="837424337">
    <w:abstractNumId w:val="21"/>
  </w:num>
  <w:num w:numId="30" w16cid:durableId="299657983">
    <w:abstractNumId w:val="6"/>
  </w:num>
  <w:num w:numId="31" w16cid:durableId="699822250">
    <w:abstractNumId w:val="19"/>
  </w:num>
  <w:num w:numId="32" w16cid:durableId="730466929">
    <w:abstractNumId w:val="15"/>
    <w:lvlOverride w:ilvl="0">
      <w:startOverride w:val="1"/>
    </w:lvlOverride>
  </w:num>
  <w:num w:numId="33" w16cid:durableId="552498262">
    <w:abstractNumId w:val="24"/>
  </w:num>
  <w:num w:numId="34" w16cid:durableId="1829132647">
    <w:abstractNumId w:val="15"/>
    <w:lvlOverride w:ilvl="0">
      <w:startOverride w:val="1"/>
    </w:lvlOverride>
  </w:num>
  <w:num w:numId="35" w16cid:durableId="1915964461">
    <w:abstractNumId w:val="15"/>
    <w:lvlOverride w:ilvl="0">
      <w:startOverride w:val="1"/>
    </w:lvlOverride>
  </w:num>
  <w:num w:numId="36" w16cid:durableId="1385182617">
    <w:abstractNumId w:val="15"/>
    <w:lvlOverride w:ilvl="0">
      <w:startOverride w:val="1"/>
    </w:lvlOverride>
  </w:num>
  <w:num w:numId="37" w16cid:durableId="265819421">
    <w:abstractNumId w:val="3"/>
  </w:num>
  <w:num w:numId="38" w16cid:durableId="1086223179">
    <w:abstractNumId w:val="28"/>
  </w:num>
  <w:num w:numId="39" w16cid:durableId="1328628976">
    <w:abstractNumId w:val="22"/>
  </w:num>
  <w:num w:numId="40" w16cid:durableId="820729436">
    <w:abstractNumId w:val="13"/>
  </w:num>
  <w:num w:numId="41" w16cid:durableId="2057469341">
    <w:abstractNumId w:val="1"/>
  </w:num>
  <w:num w:numId="42" w16cid:durableId="990870996">
    <w:abstractNumId w:val="32"/>
  </w:num>
  <w:num w:numId="43" w16cid:durableId="151063661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0A19"/>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4953"/>
    <w:rsid w:val="000B5D3D"/>
    <w:rsid w:val="000C0CE0"/>
    <w:rsid w:val="000C2400"/>
    <w:rsid w:val="000C299C"/>
    <w:rsid w:val="000C406A"/>
    <w:rsid w:val="000C5032"/>
    <w:rsid w:val="000C5ACC"/>
    <w:rsid w:val="000D0293"/>
    <w:rsid w:val="000D0850"/>
    <w:rsid w:val="000D1038"/>
    <w:rsid w:val="000D11A9"/>
    <w:rsid w:val="000D2D7B"/>
    <w:rsid w:val="000E2232"/>
    <w:rsid w:val="000E33ED"/>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B7128"/>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2791D"/>
    <w:rsid w:val="00232F8E"/>
    <w:rsid w:val="00233071"/>
    <w:rsid w:val="00234203"/>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3F61"/>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4614"/>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E7E36"/>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4382"/>
    <w:rsid w:val="00366D42"/>
    <w:rsid w:val="0036748C"/>
    <w:rsid w:val="00371FAA"/>
    <w:rsid w:val="00372615"/>
    <w:rsid w:val="00372EA3"/>
    <w:rsid w:val="0037311D"/>
    <w:rsid w:val="0037358E"/>
    <w:rsid w:val="00373A3C"/>
    <w:rsid w:val="00373AB8"/>
    <w:rsid w:val="00373FCF"/>
    <w:rsid w:val="00374193"/>
    <w:rsid w:val="00375C48"/>
    <w:rsid w:val="00376233"/>
    <w:rsid w:val="00380060"/>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14F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10BF"/>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85FC9"/>
    <w:rsid w:val="0059175F"/>
    <w:rsid w:val="00591AAC"/>
    <w:rsid w:val="00592AB2"/>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5BE"/>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40F3"/>
    <w:rsid w:val="006D6009"/>
    <w:rsid w:val="006D7D41"/>
    <w:rsid w:val="006E0ACD"/>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3D28"/>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2FF9"/>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3BC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6CE"/>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58CE"/>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5F30"/>
    <w:rsid w:val="00A870EE"/>
    <w:rsid w:val="00A91D91"/>
    <w:rsid w:val="00A95D52"/>
    <w:rsid w:val="00A960E3"/>
    <w:rsid w:val="00A96F81"/>
    <w:rsid w:val="00A9709D"/>
    <w:rsid w:val="00A973A8"/>
    <w:rsid w:val="00AA054E"/>
    <w:rsid w:val="00AA0A10"/>
    <w:rsid w:val="00AA0C29"/>
    <w:rsid w:val="00AA2094"/>
    <w:rsid w:val="00AA2399"/>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AF7A38"/>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635"/>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578E"/>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12F1"/>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1DE9"/>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5061"/>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E7150"/>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52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1C"/>
    <w:rsid w:val="00F67EBD"/>
    <w:rsid w:val="00F70EA4"/>
    <w:rsid w:val="00F77851"/>
    <w:rsid w:val="00F80FAB"/>
    <w:rsid w:val="00F81AAC"/>
    <w:rsid w:val="00F81E3B"/>
    <w:rsid w:val="00F827E1"/>
    <w:rsid w:val="00F856DA"/>
    <w:rsid w:val="00F879B3"/>
    <w:rsid w:val="00F9014E"/>
    <w:rsid w:val="00F927B5"/>
    <w:rsid w:val="00F94BD0"/>
    <w:rsid w:val="00F95403"/>
    <w:rsid w:val="00F954EE"/>
    <w:rsid w:val="00F96705"/>
    <w:rsid w:val="00F96750"/>
    <w:rsid w:val="00F9704D"/>
    <w:rsid w:val="00FA0166"/>
    <w:rsid w:val="00FA0A00"/>
    <w:rsid w:val="00FA2400"/>
    <w:rsid w:val="00FA33E9"/>
    <w:rsid w:val="00FA55C8"/>
    <w:rsid w:val="00FA64BE"/>
    <w:rsid w:val="00FA74C6"/>
    <w:rsid w:val="00FB24ED"/>
    <w:rsid w:val="00FB29AF"/>
    <w:rsid w:val="00FB313D"/>
    <w:rsid w:val="00FB4003"/>
    <w:rsid w:val="00FB4EBA"/>
    <w:rsid w:val="00FB7086"/>
    <w:rsid w:val="00FC1B94"/>
    <w:rsid w:val="00FC2A92"/>
    <w:rsid w:val="00FC3B26"/>
    <w:rsid w:val="00FC6384"/>
    <w:rsid w:val="00FC6733"/>
    <w:rsid w:val="00FD224E"/>
    <w:rsid w:val="00FD2677"/>
    <w:rsid w:val="00FD28B8"/>
    <w:rsid w:val="00FD4D00"/>
    <w:rsid w:val="00FD7745"/>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380060"/>
    <w:pPr>
      <w:numPr>
        <w:numId w:val="38"/>
      </w:numPr>
      <w:tabs>
        <w:tab w:val="left" w:pos="0"/>
        <w:tab w:val="left" w:pos="142"/>
        <w:tab w:val="left" w:pos="284"/>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7E7997"/>
    <w:pPr>
      <w:tabs>
        <w:tab w:val="center" w:pos="4536"/>
        <w:tab w:val="right" w:pos="9072"/>
      </w:tabs>
    </w:pPr>
  </w:style>
  <w:style w:type="character" w:customStyle="1" w:styleId="KopfzeileZchn">
    <w:name w:val="Kopfzeile Zchn"/>
    <w:basedOn w:val="Absatz-Standardschriftart"/>
    <w:link w:val="Kopfzeile"/>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380060"/>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FA64BE"/>
    <w:rPr>
      <w:b w:val="0"/>
      <w:bCs/>
      <w:caps/>
      <w:smallCaps w:val="0"/>
      <w:color w:val="70AD47" w:themeColor="accent6"/>
      <w:sz w:val="22"/>
    </w:rPr>
  </w:style>
  <w:style w:type="paragraph" w:customStyle="1" w:styleId="Paragraph">
    <w:name w:val="Paragraph"/>
    <w:basedOn w:val="Listenabsatz"/>
    <w:link w:val="ParagraphChar"/>
    <w:qFormat/>
    <w:rsid w:val="00CB0C0C"/>
    <w:pPr>
      <w:numPr>
        <w:numId w:val="32"/>
      </w:numPr>
      <w:tabs>
        <w:tab w:val="clear" w:pos="0"/>
        <w:tab w:val="clear" w:pos="142"/>
        <w:tab w:val="clear" w:pos="284"/>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Absatz-Standardschriftar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3.xml><?xml version="1.0" encoding="utf-8"?>
<ds:datastoreItem xmlns:ds="http://schemas.openxmlformats.org/officeDocument/2006/customXml" ds:itemID="{8337F5EE-E87B-49CE-96B5-F95CE63A0DF2}">
  <ds:schemaRefs>
    <ds:schemaRef ds:uri="http://schemas.openxmlformats.org/package/2006/metadata/core-properties"/>
    <ds:schemaRef ds:uri="http://purl.org/dc/terms/"/>
    <ds:schemaRef ds:uri="d0fb0f98-34f9-4d57-9559-eb8efd17aa5e"/>
    <ds:schemaRef ds:uri="http://purl.org/dc/elements/1.1/"/>
    <ds:schemaRef ds:uri="http://schemas.microsoft.com/office/infopath/2007/PartnerControls"/>
    <ds:schemaRef ds:uri="865d8a05-f056-4017-b8dd-1de195fc3e23"/>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19</Pages>
  <Words>5618</Words>
  <Characters>35398</Characters>
  <Application>Microsoft Office Word</Application>
  <DocSecurity>8</DocSecurity>
  <Lines>294</Lines>
  <Paragraphs>81</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40935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Kuhnen, Joachim</cp:lastModifiedBy>
  <cp:revision>5</cp:revision>
  <cp:lastPrinted>2017-07-24T14:47:00Z</cp:lastPrinted>
  <dcterms:created xsi:type="dcterms:W3CDTF">2025-09-17T14:02:00Z</dcterms:created>
  <dcterms:modified xsi:type="dcterms:W3CDTF">2025-09-18T12:20:00Z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ce388aff-dd76-410d-845d-adc797ffbb33_Enabled">
    <vt:lpwstr>true</vt:lpwstr>
  </property>
  <property fmtid="{D5CDD505-2E9C-101B-9397-08002B2CF9AE}" pid="29" name="MSIP_Label_ce388aff-dd76-410d-845d-adc797ffbb33_SetDate">
    <vt:lpwstr>2025-09-16T08:30:19Z</vt:lpwstr>
  </property>
  <property fmtid="{D5CDD505-2E9C-101B-9397-08002B2CF9AE}" pid="30" name="MSIP_Label_ce388aff-dd76-410d-845d-adc797ffbb33_Method">
    <vt:lpwstr>Standard</vt:lpwstr>
  </property>
  <property fmtid="{D5CDD505-2E9C-101B-9397-08002B2CF9AE}" pid="31" name="MSIP_Label_ce388aff-dd76-410d-845d-adc797ffbb33_Name">
    <vt:lpwstr>Intern - Ohne Kennzeichnung</vt:lpwstr>
  </property>
  <property fmtid="{D5CDD505-2E9C-101B-9397-08002B2CF9AE}" pid="32" name="MSIP_Label_ce388aff-dd76-410d-845d-adc797ffbb33_SiteId">
    <vt:lpwstr>9c95f08c-5b50-44fa-a497-68f08eacf90c</vt:lpwstr>
  </property>
  <property fmtid="{D5CDD505-2E9C-101B-9397-08002B2CF9AE}" pid="33" name="MSIP_Label_ce388aff-dd76-410d-845d-adc797ffbb33_ActionId">
    <vt:lpwstr>0452c10c-5c22-40be-a92e-56dae43cb822</vt:lpwstr>
  </property>
  <property fmtid="{D5CDD505-2E9C-101B-9397-08002B2CF9AE}" pid="34" name="MSIP_Label_ce388aff-dd76-410d-845d-adc797ffbb33_ContentBits">
    <vt:lpwstr>0</vt:lpwstr>
  </property>
  <property fmtid="{D5CDD505-2E9C-101B-9397-08002B2CF9AE}" pid="35" name="MSIP_Label_ce388aff-dd76-410d-845d-adc797ffbb33_Tag">
    <vt:lpwstr>10, 3, 0, 1</vt:lpwstr>
  </property>
</Properties>
</file>