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5D97D8B8" w:rsidR="00C85C8B" w:rsidRPr="00B16706" w:rsidRDefault="00546A62" w:rsidP="00C85C8B">
                <w:pPr>
                  <w:rPr>
                    <w:rFonts w:ascii="Arial" w:hAnsi="Arial" w:cs="Arial"/>
                    <w:color w:val="808080"/>
                    <w:sz w:val="16"/>
                    <w:szCs w:val="20"/>
                    <w:lang w:eastAsia="de-DE"/>
                  </w:rPr>
                </w:pPr>
                <w:r>
                  <w:rPr>
                    <w:rFonts w:ascii="Arial" w:hAnsi="Arial" w:cs="Arial"/>
                    <w:color w:val="808080"/>
                    <w:sz w:val="16"/>
                    <w:szCs w:val="20"/>
                    <w:lang w:eastAsia="de-DE"/>
                  </w:rPr>
                  <w:t>Retail Derivative Forum</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603BD766"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546A62">
                  <w:rPr>
                    <w:rFonts w:ascii="Arial" w:hAnsi="Arial" w:cs="Arial"/>
                    <w:sz w:val="16"/>
                    <w:szCs w:val="20"/>
                    <w:lang w:eastAsia="de-DE"/>
                  </w:rPr>
                  <w:t>Other Financial service providers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tcPr>
              <w:p w14:paraId="6C4423E1" w14:textId="6F6E0759" w:rsidR="00C85C8B" w:rsidRPr="00B16706" w:rsidRDefault="00546A62"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6664CFC3" w:rsidR="00C85C8B" w:rsidRPr="00B16706" w:rsidRDefault="00546A62"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1FFF2C5F" w14:textId="77777777" w:rsidR="00FF6D82" w:rsidRDefault="00FF6D82" w:rsidP="00FF6D82">
      <w:pPr>
        <w:spacing w:after="120"/>
      </w:pPr>
      <w:permStart w:id="785210304" w:edGrp="everyone"/>
      <w:r w:rsidRPr="004F4AFA">
        <w:t xml:space="preserve">We agree with the description of the key challenges outlined. Since the introduction of the Unique Product Identifier (UPI), it is unclear why fields such as CFI and </w:t>
      </w:r>
      <w:r>
        <w:t xml:space="preserve">Underlying </w:t>
      </w:r>
      <w:r w:rsidRPr="004F4AFA">
        <w:t>ISIN—where the UPI already provides instrument-level data—must continue to be populated. Removing this requirement would be a straightforward way to reduce reporting burdens.</w:t>
      </w:r>
    </w:p>
    <w:p w14:paraId="1B560132" w14:textId="77777777" w:rsidR="00FF6D82" w:rsidRPr="004F4AFA" w:rsidRDefault="00FF6D82" w:rsidP="00FF6D82">
      <w:r w:rsidRPr="004F4AFA">
        <w:t xml:space="preserve">The top three cost drivers are: </w:t>
      </w:r>
    </w:p>
    <w:p w14:paraId="4D7895FB" w14:textId="77777777" w:rsidR="00FF6D82" w:rsidRPr="004F4AFA" w:rsidRDefault="00FF6D82" w:rsidP="00FF6D82">
      <w:pPr>
        <w:numPr>
          <w:ilvl w:val="0"/>
          <w:numId w:val="37"/>
        </w:numPr>
        <w:spacing w:line="278" w:lineRule="auto"/>
      </w:pPr>
      <w:r w:rsidRPr="004F4AFA">
        <w:t xml:space="preserve">Duplicative reporting of the same derivative instruments under MiFIR, EMIR, and REMIT. </w:t>
      </w:r>
    </w:p>
    <w:p w14:paraId="261EAE94" w14:textId="77777777" w:rsidR="00FF6D82" w:rsidRPr="004F4AFA" w:rsidRDefault="00FF6D82" w:rsidP="00FF6D82">
      <w:pPr>
        <w:numPr>
          <w:ilvl w:val="0"/>
          <w:numId w:val="37"/>
        </w:numPr>
        <w:spacing w:line="278" w:lineRule="auto"/>
      </w:pPr>
      <w:r w:rsidRPr="004F4AFA">
        <w:t xml:space="preserve">Dual-sided reporting obligations under EMIR and SFTR. </w:t>
      </w:r>
    </w:p>
    <w:p w14:paraId="021C28EE" w14:textId="77777777" w:rsidR="00FF6D82" w:rsidRDefault="00FF6D82" w:rsidP="00FF6D82">
      <w:pPr>
        <w:numPr>
          <w:ilvl w:val="0"/>
          <w:numId w:val="37"/>
        </w:numPr>
        <w:spacing w:line="278" w:lineRule="auto"/>
      </w:pPr>
      <w:r w:rsidRPr="004F4AFA">
        <w:t>Back-reporting obligations.</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4D862ED9" w14:textId="77777777" w:rsidR="00FF6D82" w:rsidRDefault="00FF6D82" w:rsidP="00FF6D82">
      <w:pPr>
        <w:spacing w:after="120"/>
      </w:pPr>
      <w:permStart w:id="545925079" w:edGrp="everyone"/>
      <w:r w:rsidRPr="004F4AFA">
        <w:t>We broadly agree with ESMA’s proposed principles. However, we question the feasibility of achieving global alignment in practice. Scope creep must be actively managed, and the frequency and timing of proposed changes should be carefully considered, as these directly impact cost drivers.</w:t>
      </w:r>
    </w:p>
    <w:p w14:paraId="2FC02562" w14:textId="77777777" w:rsidR="00FF6D82" w:rsidRDefault="00FF6D82" w:rsidP="00FF6D82">
      <w:pPr>
        <w:spacing w:after="120"/>
      </w:pPr>
      <w:r w:rsidRPr="004F4AFA">
        <w:t>It is essential that the scope of information aligns with the relevant reporting framework. Regulators need a better understanding of CFDs, as many current field-level requirements are irrelevant to these products but still must be populated.</w:t>
      </w:r>
    </w:p>
    <w:p w14:paraId="7966DF50" w14:textId="77777777" w:rsidR="00FF6D82" w:rsidRDefault="00FF6D82" w:rsidP="00FF6D82">
      <w:pPr>
        <w:spacing w:after="120"/>
      </w:pPr>
      <w:r w:rsidRPr="004F4AFA">
        <w:t>Under MiFIR, corporate actions should not be reportable, and there is confusion around why they are currently treated as such.</w:t>
      </w:r>
      <w:r>
        <w:t xml:space="preserve"> Also, more often than not, determining the reportability of a product is not always straight forward as you would expect, especially when trading CFDs or Spread betting related products.</w:t>
      </w:r>
    </w:p>
    <w:p w14:paraId="7A920189" w14:textId="77777777" w:rsidR="00FF6D82" w:rsidRPr="004F4AFA" w:rsidRDefault="00FF6D82" w:rsidP="00FF6D82">
      <w:pPr>
        <w:spacing w:after="120"/>
      </w:pPr>
      <w:r w:rsidRPr="004F4AFA">
        <w:t>Under EMIR, there remains uncertainty regarding how to populate collateral-related fields, particularly those concerning excess collateral, initial margin posted/received, and variation margin posted/received.</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lastRenderedPageBreak/>
        <w:t>What are the key advantages of option 1a and how do these benefits address the issues in section 3?</w:t>
      </w:r>
    </w:p>
    <w:p w14:paraId="596EF4F0" w14:textId="77777777" w:rsidR="00926BDA" w:rsidRDefault="00926BDA" w:rsidP="00926BDA">
      <w:r>
        <w:t>&lt;ESMA_QUESTION_CASR_3&gt;</w:t>
      </w:r>
    </w:p>
    <w:p w14:paraId="75F20285" w14:textId="77777777" w:rsidR="00FF6D82" w:rsidRDefault="00FF6D82" w:rsidP="00FF6D82">
      <w:pPr>
        <w:spacing w:after="120"/>
      </w:pPr>
      <w:permStart w:id="666895774" w:edGrp="everyone"/>
      <w:r w:rsidRPr="004F4AFA">
        <w:t xml:space="preserve">Option 1a offers a clear delineation: EMIR would apply solely to OTC derivatives, excluding ETDs, while MiFIR would cover ETDs </w:t>
      </w:r>
      <w:r>
        <w:t>(</w:t>
      </w:r>
      <w:r w:rsidRPr="004F4AFA">
        <w:t xml:space="preserve">and </w:t>
      </w:r>
      <w:r>
        <w:t xml:space="preserve">we believe </w:t>
      </w:r>
      <w:r w:rsidRPr="004F4AFA">
        <w:t>cash instruments</w:t>
      </w:r>
      <w:r>
        <w:t>)</w:t>
      </w:r>
      <w:r w:rsidRPr="004F4AFA">
        <w:t>. This separation reduces duplication, supports single-sided reporting, and mitigates key cost drivers.</w:t>
      </w:r>
    </w:p>
    <w:p w14:paraId="60579ACE" w14:textId="77777777" w:rsidR="00FF6D82" w:rsidRDefault="00FF6D82" w:rsidP="00FF6D82">
      <w:pPr>
        <w:spacing w:after="120"/>
      </w:pPr>
      <w:r w:rsidRPr="004F4AFA">
        <w:t>Additionally, we propose that trades executed on a trading venue should be reported directly to the relevant NCA by the CCP or the venue itself. Trading venues already perform this function for non-EEA firms, and extending this practice could simplify reporting processes.</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180E1896" w14:textId="77777777" w:rsidR="00FF6D82" w:rsidRDefault="00FF6D82" w:rsidP="00FF6D82">
      <w:pPr>
        <w:spacing w:after="120"/>
      </w:pPr>
      <w:permStart w:id="1901729855" w:edGrp="everyone"/>
      <w:r w:rsidRPr="004F4AFA">
        <w:t xml:space="preserve">While we acknowledge the need to adapt the EMIR template to include data points relevant for market abuse surveillance, we urge ESMA to focus only on fields that are essential for detecting abuse. Adding unnecessary fields—especially </w:t>
      </w:r>
      <w:r>
        <w:t>if looking to</w:t>
      </w:r>
      <w:r w:rsidRPr="004F4AFA">
        <w:t xml:space="preserve"> duplicat</w:t>
      </w:r>
      <w:r>
        <w:t xml:space="preserve">e all of those under </w:t>
      </w:r>
      <w:r w:rsidRPr="004F4AFA">
        <w:t>MiFIR—would increase costs and undermine the benefits of Option 1a.</w:t>
      </w:r>
    </w:p>
    <w:p w14:paraId="6FD20091" w14:textId="77777777" w:rsidR="00FF6D82" w:rsidRDefault="00FF6D82" w:rsidP="00FF6D82">
      <w:pPr>
        <w:spacing w:after="120"/>
      </w:pPr>
      <w:r w:rsidRPr="004F4AFA">
        <w:t>There is also a risk that other global regulators, such as the FCA, may not agree with the proposed changes. This could lead to further divergence between UK and EU reporting requirements, increasing complexity for firms operating across jurisdictions.</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69AE7273" w14:textId="77777777" w:rsidR="00FF6D82" w:rsidRDefault="00FF6D82" w:rsidP="00FF6D82">
      <w:pPr>
        <w:spacing w:after="120"/>
      </w:pPr>
      <w:permStart w:id="1034637762" w:edGrp="everyone"/>
      <w:r w:rsidRPr="004F4AFA">
        <w:t>We seek clarification on the scope of ETDs, the definition of "venue," and how this applies to instruments listed in the US.</w:t>
      </w:r>
    </w:p>
    <w:p w14:paraId="64699C2A" w14:textId="77777777" w:rsidR="00FF6D82" w:rsidRDefault="00FF6D82" w:rsidP="00FF6D82">
      <w:pPr>
        <w:spacing w:after="120"/>
      </w:pPr>
      <w:r w:rsidRPr="004F4AFA">
        <w:t>We also recommend that ESMA reconsider RTS23 obligations for systematic internalisers to reduce ambiguity.</w:t>
      </w:r>
    </w:p>
    <w:p w14:paraId="4298D0CC" w14:textId="77777777" w:rsidR="00FF6D82" w:rsidRDefault="00FF6D82" w:rsidP="00FF6D82">
      <w:pPr>
        <w:spacing w:after="120"/>
      </w:pPr>
      <w:r w:rsidRPr="004F4AFA">
        <w:t>As previously mentioned, field validation should be clearer for CFD products to prevent firms from populating irrelevant fields.</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lastRenderedPageBreak/>
        <w:t>&lt;ESMA_QUESTION_CASR_6&gt;</w:t>
      </w:r>
    </w:p>
    <w:p w14:paraId="58D833C9" w14:textId="77777777" w:rsidR="002D4932" w:rsidRPr="004F4AFA" w:rsidRDefault="002D4932" w:rsidP="002D4932">
      <w:pPr>
        <w:spacing w:after="120"/>
      </w:pPr>
      <w:permStart w:id="276758894" w:edGrp="everyone"/>
      <w:r w:rsidRPr="004F4AFA">
        <w:t>The main advantage of Option 1b is the retention of single-sided reporting, which remains a strength in reducing reporting burdens.</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5B738724" w14:textId="77777777" w:rsidR="002D4932" w:rsidRDefault="002D4932" w:rsidP="002D4932">
      <w:pPr>
        <w:spacing w:after="120"/>
      </w:pPr>
      <w:permStart w:id="1327239170" w:edGrp="everyone"/>
      <w:r w:rsidRPr="004F4AFA">
        <w:t>Including SFTR within the scope of Option 1b could impact firms that currently do not have SFTR reporting obligations.</w:t>
      </w:r>
    </w:p>
    <w:p w14:paraId="7A144ABD" w14:textId="77777777" w:rsidR="002D4932" w:rsidRDefault="002D4932" w:rsidP="002D4932">
      <w:pPr>
        <w:spacing w:after="120"/>
      </w:pPr>
      <w:r w:rsidRPr="004F4AFA">
        <w:t>If regulators such as the FCA do not adopt the same changes, this could lead to increased complexity between UK and EU reporting entities within the same group</w:t>
      </w:r>
      <w:r>
        <w:t>.</w:t>
      </w:r>
    </w:p>
    <w:p w14:paraId="77842C9E" w14:textId="77777777" w:rsidR="002D4932" w:rsidRPr="004F4AFA" w:rsidRDefault="002D4932" w:rsidP="002D4932">
      <w:pPr>
        <w:spacing w:after="120"/>
      </w:pPr>
      <w:r w:rsidRPr="004F4AFA">
        <w:t xml:space="preserve">Option 1b may also be less favourable than Option 1a, as its </w:t>
      </w:r>
      <w:r>
        <w:t>transaction</w:t>
      </w:r>
      <w:r w:rsidRPr="004F4AFA">
        <w:t>-type delineation could result in broader reporting obligations for some members who would otherwise be exempt under Option 1a.</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72E8087" w14:textId="77777777" w:rsidR="002D4932" w:rsidRPr="004F4AFA" w:rsidRDefault="002D4932" w:rsidP="002D4932">
      <w:pPr>
        <w:spacing w:after="120"/>
      </w:pPr>
      <w:permStart w:id="275065348" w:edGrp="everyone"/>
      <w:r w:rsidRPr="004F4AFA">
        <w:t>The integration of SFTR fields risks scope creep and contradicts one of the core principles of reducing reporting burdens.</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5FB74330" w14:textId="77777777" w:rsidR="002D4932" w:rsidRDefault="002D4932" w:rsidP="002D4932">
      <w:pPr>
        <w:spacing w:after="120"/>
      </w:pPr>
      <w:permStart w:id="1249454344" w:edGrp="everyone"/>
      <w:r w:rsidRPr="004F4AFA">
        <w:t>Option 2a is conceptually strong, though it presents implementation challenges.</w:t>
      </w:r>
      <w:r w:rsidRPr="004F4AFA">
        <w:br/>
        <w:t>It helps resolve inconsistencies in definitions across regimes and could reduce costs by enabling reporting to a single body, thereby avoiding dual contracts with Trade Repositories (TRs) and Approved Reporting Mechanisms (ARMs).</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2FF30F03" w14:textId="77777777" w:rsidR="002D4932" w:rsidRDefault="002D4932" w:rsidP="002D4932">
      <w:pPr>
        <w:spacing w:after="120"/>
      </w:pPr>
      <w:permStart w:id="199837036" w:edGrp="everyone"/>
      <w:r w:rsidRPr="004F4AFA">
        <w:t>Embedding SFTR logic into MiFIR and EMIR risks scope creep.</w:t>
      </w:r>
    </w:p>
    <w:p w14:paraId="1A93A2B6" w14:textId="77777777" w:rsidR="002D4932" w:rsidRDefault="002D4932" w:rsidP="002D4932">
      <w:pPr>
        <w:spacing w:after="120"/>
      </w:pPr>
      <w:r w:rsidRPr="004F4AFA">
        <w:t>If all fields are combined, the volume of data required would be extremely high. It is crucial to identify and include only those fields that regulators actively use, rather than those that are merely desirable.</w:t>
      </w:r>
    </w:p>
    <w:permEnd w:id="199837036"/>
    <w:p w14:paraId="26E45EF4" w14:textId="77777777" w:rsidR="00926BDA" w:rsidRDefault="00926BDA" w:rsidP="00926BDA">
      <w:r>
        <w:lastRenderedPageBreak/>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228B8097" w14:textId="77777777" w:rsidR="002D4932" w:rsidRDefault="002D4932" w:rsidP="002D4932">
      <w:pPr>
        <w:spacing w:after="120"/>
      </w:pPr>
      <w:permStart w:id="2123508368" w:edGrp="everyone"/>
      <w:r w:rsidRPr="004F4AFA">
        <w:t>Clarification is needed on how systemic risk will be monitored if position-level reporting is removed, as MiFIR does not require it.</w:t>
      </w:r>
      <w:r>
        <w:t xml:space="preserve"> Whilst we appreciate this can be built up from the trades, we would assume some control check is required to ensure an error in the build-up has not been made.</w:t>
      </w:r>
    </w:p>
    <w:p w14:paraId="5CD0DA2D" w14:textId="77777777" w:rsidR="002D4932" w:rsidRDefault="002D4932" w:rsidP="002D4932">
      <w:pPr>
        <w:spacing w:after="120"/>
      </w:pPr>
      <w:r w:rsidRPr="004F4AFA">
        <w:t>The technical feasibility of merging templates must also be considered, including the number of fields and the data validation processes required.</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018ECB97" w14:textId="77777777" w:rsidR="002D4932" w:rsidRDefault="002D4932" w:rsidP="002D4932">
      <w:pPr>
        <w:spacing w:after="120"/>
      </w:pPr>
      <w:permStart w:id="16780711" w:edGrp="everyone"/>
      <w:r w:rsidRPr="004F4AFA">
        <w:t>Option 2b does not introduce additional obligations for RDF members.</w:t>
      </w:r>
    </w:p>
    <w:p w14:paraId="5E251A5F" w14:textId="77777777" w:rsidR="002D4932" w:rsidRDefault="002D4932" w:rsidP="002D4932">
      <w:pPr>
        <w:spacing w:after="120"/>
      </w:pPr>
      <w:r w:rsidRPr="004F4AFA">
        <w:t>However, it is not preferred due to the inclusion of regimes that are irrelevant to CFDs.</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67B9BD3D" w14:textId="77777777" w:rsidR="002D4932" w:rsidRDefault="002D4932" w:rsidP="002D4932">
      <w:pPr>
        <w:spacing w:after="120"/>
      </w:pPr>
      <w:permStart w:id="1489376342" w:edGrp="everyone"/>
      <w:r w:rsidRPr="004F4AFA">
        <w:t>Including regimes such as REMIT and Solvency II, which are not applicable to RDF members, risks overcomplicating the reporting landscape.</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751C77F8" w14:textId="77777777" w:rsidR="002D4932" w:rsidRDefault="002D4932" w:rsidP="002D4932">
      <w:pPr>
        <w:spacing w:after="120"/>
      </w:pPr>
      <w:permStart w:id="1849847968" w:edGrp="everyone"/>
      <w:r w:rsidRPr="004F4AFA">
        <w:t>No additional components have been identified. We do not support Option 2b.</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lastRenderedPageBreak/>
        <w:t>&lt;ESMA_QUESTION_CASR_15&gt;</w:t>
      </w:r>
    </w:p>
    <w:p w14:paraId="47B2D813" w14:textId="77777777" w:rsidR="002D4932" w:rsidRDefault="002D4932" w:rsidP="002D4932">
      <w:pPr>
        <w:spacing w:after="120"/>
      </w:pPr>
      <w:permStart w:id="695482675" w:edGrp="everyone"/>
      <w:r w:rsidRPr="004F4AFA">
        <w:t>We tentatively prefer Option 1a.</w:t>
      </w:r>
    </w:p>
    <w:p w14:paraId="33182918" w14:textId="77777777" w:rsidR="002D4932" w:rsidRDefault="002D4932" w:rsidP="002D4932">
      <w:pPr>
        <w:spacing w:after="120"/>
      </w:pPr>
      <w:r w:rsidRPr="004F4AFA">
        <w:t>However, more clarity is needed on scope and implementation, particularly regarding transaction versus position-level reporting, which is critical for CFDs.</w:t>
      </w:r>
      <w:r>
        <w:t xml:space="preserve"> </w:t>
      </w:r>
    </w:p>
    <w:p w14:paraId="40ED4F8A" w14:textId="77777777" w:rsidR="002D4932" w:rsidRDefault="002D4932" w:rsidP="002D4932">
      <w:pPr>
        <w:spacing w:after="120"/>
      </w:pPr>
      <w:r w:rsidRPr="004F4AFA">
        <w:t>We also recommend incorporating reforms to back-reporting and considering whether the implementation date would represent a “clean start” for firms.</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633670B8" w14:textId="77777777" w:rsidR="002D4932" w:rsidRDefault="002D4932" w:rsidP="002D4932">
      <w:pPr>
        <w:spacing w:after="120"/>
      </w:pPr>
      <w:permStart w:id="1784418006" w:edGrp="everyone"/>
      <w:r w:rsidRPr="004F4AFA">
        <w:t>We suggest that ETDs be reported by trading venues to reduce the burden on firms.</w:t>
      </w:r>
    </w:p>
    <w:p w14:paraId="3A8F4166" w14:textId="77777777" w:rsidR="002D4932" w:rsidRDefault="002D4932" w:rsidP="002D4932">
      <w:pPr>
        <w:spacing w:after="120"/>
      </w:pPr>
      <w:r w:rsidRPr="004F4AFA">
        <w:t>Privacy and data protection concerns must be addressed if venues collect client-level data.</w:t>
      </w:r>
    </w:p>
    <w:p w14:paraId="24CCB7E1" w14:textId="77777777" w:rsidR="002D4932" w:rsidRDefault="002D4932" w:rsidP="002D4932">
      <w:pPr>
        <w:spacing w:after="120"/>
      </w:pPr>
      <w:r w:rsidRPr="004F4AFA">
        <w:t>Phased approaches or hybrid models should also be explored.</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07EE3262" w14:textId="77777777" w:rsidR="004A0CBE" w:rsidRDefault="004A0CBE" w:rsidP="004A0CBE">
      <w:pPr>
        <w:spacing w:after="120"/>
      </w:pPr>
      <w:permStart w:id="1438851636" w:edGrp="everyone"/>
      <w:r w:rsidRPr="004F4AFA">
        <w:t>Centralisation could be beneficial but requires significantly more clarity on implementation.</w:t>
      </w:r>
    </w:p>
    <w:p w14:paraId="580F9EAF" w14:textId="77777777" w:rsidR="004A0CBE" w:rsidRDefault="004A0CBE" w:rsidP="004A0CBE">
      <w:pPr>
        <w:spacing w:after="120"/>
      </w:pPr>
      <w:r w:rsidRPr="004F4AFA">
        <w:t>Rather than making incremental changes every few years, regulators should review which data fields are genuinely useful for detecting market abuse and systemic risk, and tailor requirements by product type.</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6E116D06" w14:textId="77777777" w:rsidR="004A0CBE" w:rsidRDefault="004A0CBE" w:rsidP="004A0CBE">
      <w:pPr>
        <w:spacing w:after="120"/>
      </w:pPr>
      <w:permStart w:id="1962436404" w:edGrp="everyone"/>
      <w:r w:rsidRPr="004F4AFA">
        <w:t>Trading venues could simplify reporting for on-venue trades, especially compared to current practices involving non-EEA counterparties.</w:t>
      </w:r>
    </w:p>
    <w:p w14:paraId="2D9082AE" w14:textId="77777777" w:rsidR="004A0CBE" w:rsidRDefault="004A0CBE" w:rsidP="004A0CBE">
      <w:pPr>
        <w:spacing w:after="120"/>
      </w:pPr>
      <w:r w:rsidRPr="004F4AFA">
        <w:t xml:space="preserve">However, data security and completeness of client-level information must be addressed. One solution could involve using a unique client identifier held by the local NCA, with the trading </w:t>
      </w:r>
      <w:r w:rsidRPr="004F4AFA">
        <w:lastRenderedPageBreak/>
        <w:t>venue reporting against this key. The NCA would then enrich the trade report using its internal data.</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192214EC" w14:textId="77777777" w:rsidR="004A0CBE" w:rsidRDefault="004A0CBE" w:rsidP="004A0CBE">
      <w:pPr>
        <w:spacing w:after="120"/>
      </w:pPr>
      <w:permStart w:id="105197077" w:edGrp="everyone"/>
      <w:r w:rsidRPr="004F4AFA">
        <w:t>This approach could improve standardisation and streamline the reporting process.</w:t>
      </w:r>
      <w:r w:rsidRPr="004F4AFA">
        <w:br/>
        <w:t>However, we are concerned about the costs, implementation timelines, and how feedback would be provided to reporting firms. We strongly oppose passing any additional costs back to reporting entities.</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64375D95" w14:textId="77777777" w:rsidR="00FE4F2D" w:rsidRDefault="00FE4F2D" w:rsidP="00FE4F2D">
      <w:pPr>
        <w:spacing w:after="120"/>
      </w:pPr>
      <w:permStart w:id="817709938" w:edGrp="everyone"/>
      <w:r w:rsidRPr="004F4AFA">
        <w:t>Centralised reporting would require significant investment.</w:t>
      </w:r>
    </w:p>
    <w:p w14:paraId="3B0E1C0F" w14:textId="77777777" w:rsidR="00FE4F2D" w:rsidRDefault="00FE4F2D" w:rsidP="00FE4F2D">
      <w:pPr>
        <w:spacing w:after="120"/>
      </w:pPr>
      <w:r w:rsidRPr="004F4AFA">
        <w:t>We would need further details from ESMA regarding the technical and operational aspects before we can provide a comprehensive response.</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6E44B05A" w14:textId="77777777" w:rsidR="00FE4F2D" w:rsidRDefault="00FE4F2D" w:rsidP="00FE4F2D">
      <w:pPr>
        <w:spacing w:after="120"/>
      </w:pPr>
      <w:permStart w:id="993723206" w:edGrp="everyone"/>
      <w:r w:rsidRPr="004F4AFA">
        <w:t>We believe Artificial Intelligence (AI) should be prioritised as a key enabling technology.</w:t>
      </w:r>
      <w:r w:rsidRPr="004F4AFA">
        <w:br/>
        <w:t>AI can enhance reporting by detecting anomalies, performing pre-submission checks, and automating validation against regulatory schemas.</w:t>
      </w:r>
    </w:p>
    <w:p w14:paraId="5C2E69F9" w14:textId="77777777" w:rsidR="00FE4F2D" w:rsidRPr="004F4AFA" w:rsidRDefault="00FE4F2D" w:rsidP="00FE4F2D">
      <w:pPr>
        <w:spacing w:after="120"/>
      </w:pPr>
      <w:r w:rsidRPr="004F4AFA">
        <w:t>While smart contracts and Distributed Ledger Technology (DLT) may offer standardisation benefits, their applicability to Trade Repositories remains unclear.</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 xml:space="preserve">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w:t>
      </w:r>
      <w:r>
        <w:lastRenderedPageBreak/>
        <w:t>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7F198069" w14:textId="77777777" w:rsidR="00FE4F2D" w:rsidRDefault="00FE4F2D" w:rsidP="00FE4F2D">
      <w:pPr>
        <w:spacing w:after="120"/>
      </w:pPr>
      <w:permStart w:id="1652326327" w:edGrp="everyone"/>
      <w:r w:rsidRPr="004F4AFA">
        <w:t>Dual-sided reporting is a major cost driver.</w:t>
      </w:r>
      <w:r>
        <w:t xml:space="preserve"> </w:t>
      </w:r>
    </w:p>
    <w:p w14:paraId="10603BFA" w14:textId="77777777" w:rsidR="00FE4F2D" w:rsidRDefault="00FE4F2D" w:rsidP="00FE4F2D">
      <w:pPr>
        <w:spacing w:after="120"/>
      </w:pPr>
      <w:r w:rsidRPr="004F4AFA">
        <w:t>We recommend transitioning to single-sided reporting.</w:t>
      </w:r>
      <w:r>
        <w:t xml:space="preserve"> </w:t>
      </w:r>
    </w:p>
    <w:p w14:paraId="56E994CD" w14:textId="77777777" w:rsidR="00FE4F2D" w:rsidRDefault="00FE4F2D" w:rsidP="00FE4F2D">
      <w:pPr>
        <w:spacing w:after="120"/>
      </w:pPr>
      <w:r>
        <w:t>Set frequency A</w:t>
      </w:r>
      <w:r w:rsidRPr="004F4AFA">
        <w:t xml:space="preserve">udits </w:t>
      </w:r>
      <w:r>
        <w:t xml:space="preserve">(either Internal or External) </w:t>
      </w:r>
      <w:r w:rsidRPr="004F4AFA">
        <w:t>could replace reconciliation requirements, offering a more efficient and controlled approach.</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57D8185B" w14:textId="77777777" w:rsidR="00FE4F2D" w:rsidRDefault="00FE4F2D" w:rsidP="00FE4F2D">
      <w:pPr>
        <w:spacing w:after="120"/>
      </w:pPr>
      <w:permStart w:id="806124853" w:edGrp="everyone"/>
      <w:r w:rsidRPr="004F4AFA">
        <w:t>We support a T+2 reporting frequency to align with regulators such as ASIC, MAS, OSC, and the CFTC (for non-swap dealers).</w:t>
      </w:r>
    </w:p>
    <w:p w14:paraId="182B3DBE" w14:textId="77777777" w:rsidR="00FE4F2D" w:rsidRDefault="00FE4F2D" w:rsidP="00FE4F2D">
      <w:pPr>
        <w:spacing w:after="120"/>
      </w:pPr>
      <w:r w:rsidRPr="004F4AFA">
        <w:t>This change would reduce late reports, particularly in cases involving time zone differences.</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43E5A076" w14:textId="77777777" w:rsidR="00FE4F2D" w:rsidRDefault="00FE4F2D" w:rsidP="00FE4F2D">
      <w:pPr>
        <w:spacing w:after="120"/>
      </w:pPr>
      <w:permStart w:id="1360161894" w:edGrp="everyone"/>
      <w:r w:rsidRPr="004F4AFA">
        <w:t>Proportionality can be achieved through field reduction and improved identifier logic.</w:t>
      </w:r>
    </w:p>
    <w:p w14:paraId="5B4996B9" w14:textId="77777777" w:rsidR="00FE4F2D" w:rsidRDefault="00FE4F2D" w:rsidP="00FE4F2D">
      <w:pPr>
        <w:spacing w:after="120"/>
      </w:pPr>
      <w:r w:rsidRPr="004F4AFA">
        <w:t>CFDs often require the population of irrelevant fields; better tailoring of requirements would significantly reduce the burden for smaller firms.</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r>
        <w:t>TYPE YOUR TEXT HERE</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lastRenderedPageBreak/>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 xml:space="preserve">What are the anticipated investments and transition costs associated with implementing option 1a, 1b, 2a and 2b (e.g. Decommissioning of legacy systems, adapting systems to new changes and future evolving requirements, </w:t>
      </w:r>
      <w:r>
        <w:lastRenderedPageBreak/>
        <w:t>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7D891" w14:textId="77777777" w:rsidR="00931CF3" w:rsidRDefault="00931CF3" w:rsidP="007E7997">
      <w:r>
        <w:separator/>
      </w:r>
    </w:p>
  </w:endnote>
  <w:endnote w:type="continuationSeparator" w:id="0">
    <w:p w14:paraId="29670236" w14:textId="77777777" w:rsidR="00931CF3" w:rsidRDefault="00931CF3" w:rsidP="007E7997">
      <w:r>
        <w:continuationSeparator/>
      </w:r>
    </w:p>
  </w:endnote>
  <w:endnote w:type="continuationNotice" w:id="1">
    <w:p w14:paraId="1822ACF7" w14:textId="77777777" w:rsidR="00931CF3" w:rsidRDefault="00931C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F22CA" w14:textId="77777777" w:rsidR="00931CF3" w:rsidRDefault="00931CF3" w:rsidP="007E7997">
      <w:r>
        <w:separator/>
      </w:r>
    </w:p>
  </w:footnote>
  <w:footnote w:type="continuationSeparator" w:id="0">
    <w:p w14:paraId="74F1112D" w14:textId="77777777" w:rsidR="00931CF3" w:rsidRDefault="00931CF3" w:rsidP="007E7997">
      <w:r>
        <w:continuationSeparator/>
      </w:r>
    </w:p>
  </w:footnote>
  <w:footnote w:type="continuationNotice" w:id="1">
    <w:p w14:paraId="54FA0426" w14:textId="77777777" w:rsidR="00931CF3" w:rsidRDefault="00931C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2752AF"/>
    <w:multiLevelType w:val="multilevel"/>
    <w:tmpl w:val="A8B2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5"/>
  </w:num>
  <w:num w:numId="4" w16cid:durableId="1880320868">
    <w:abstractNumId w:val="3"/>
  </w:num>
  <w:num w:numId="5" w16cid:durableId="290864581">
    <w:abstractNumId w:val="13"/>
  </w:num>
  <w:num w:numId="6" w16cid:durableId="952590553">
    <w:abstractNumId w:val="27"/>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8"/>
  </w:num>
  <w:num w:numId="15" w16cid:durableId="986476960">
    <w:abstractNumId w:val="22"/>
  </w:num>
  <w:num w:numId="16" w16cid:durableId="398749299">
    <w:abstractNumId w:val="26"/>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3"/>
  </w:num>
  <w:num w:numId="19" w16cid:durableId="558588771">
    <w:abstractNumId w:val="27"/>
  </w:num>
  <w:num w:numId="20" w16cid:durableId="1306933315">
    <w:abstractNumId w:val="10"/>
  </w:num>
  <w:num w:numId="21" w16cid:durableId="1623876054">
    <w:abstractNumId w:val="24"/>
  </w:num>
  <w:num w:numId="22" w16cid:durableId="783383837">
    <w:abstractNumId w:val="14"/>
  </w:num>
  <w:num w:numId="23" w16cid:durableId="2112964618">
    <w:abstractNumId w:val="21"/>
  </w:num>
  <w:num w:numId="24" w16cid:durableId="1958565453">
    <w:abstractNumId w:val="0"/>
  </w:num>
  <w:num w:numId="25" w16cid:durableId="1372725395">
    <w:abstractNumId w:val="19"/>
  </w:num>
  <w:num w:numId="26" w16cid:durableId="1686445133">
    <w:abstractNumId w:val="16"/>
  </w:num>
  <w:num w:numId="27" w16cid:durableId="1247768697">
    <w:abstractNumId w:val="9"/>
  </w:num>
  <w:num w:numId="28" w16cid:durableId="954170948">
    <w:abstractNumId w:val="1"/>
  </w:num>
  <w:num w:numId="29" w16cid:durableId="837424337">
    <w:abstractNumId w:val="18"/>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20"/>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 w:numId="37" w16cid:durableId="442968116">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activeWritingStyle w:appName="MSWord" w:lang="en-US" w:vendorID="64" w:dllVersion="0" w:nlCheck="1" w:checkStyle="0"/>
  <w:activeWritingStyle w:appName="MSWord" w:lang="en-GB" w:vendorID="64" w:dllVersion="0" w:nlCheck="1" w:checkStyle="0"/>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25A69"/>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4932"/>
    <w:rsid w:val="002D5AB5"/>
    <w:rsid w:val="002D6667"/>
    <w:rsid w:val="002D761A"/>
    <w:rsid w:val="002D79F3"/>
    <w:rsid w:val="002E1C11"/>
    <w:rsid w:val="002E3D0B"/>
    <w:rsid w:val="002E3E7D"/>
    <w:rsid w:val="002E685C"/>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A34E7"/>
    <w:rsid w:val="003A3CB1"/>
    <w:rsid w:val="003A3D55"/>
    <w:rsid w:val="003A5CC4"/>
    <w:rsid w:val="003A6CF1"/>
    <w:rsid w:val="003A73A4"/>
    <w:rsid w:val="003B102E"/>
    <w:rsid w:val="003B26BA"/>
    <w:rsid w:val="003B4E3D"/>
    <w:rsid w:val="003B7E44"/>
    <w:rsid w:val="003C167E"/>
    <w:rsid w:val="003C481D"/>
    <w:rsid w:val="003C4EB5"/>
    <w:rsid w:val="003D1099"/>
    <w:rsid w:val="003D2CED"/>
    <w:rsid w:val="003D344A"/>
    <w:rsid w:val="003D3BB8"/>
    <w:rsid w:val="003D72F4"/>
    <w:rsid w:val="003D7C07"/>
    <w:rsid w:val="003E13FD"/>
    <w:rsid w:val="003E14B9"/>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0CBE"/>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46A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76AAD"/>
    <w:rsid w:val="005821B0"/>
    <w:rsid w:val="0059175F"/>
    <w:rsid w:val="00591AAC"/>
    <w:rsid w:val="00595F08"/>
    <w:rsid w:val="00595FBE"/>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0B1D"/>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729E"/>
    <w:rsid w:val="00926BDA"/>
    <w:rsid w:val="00931615"/>
    <w:rsid w:val="00931CF3"/>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E4F2D"/>
    <w:rsid w:val="00FF32DE"/>
    <w:rsid w:val="00FF4205"/>
    <w:rsid w:val="00FF5858"/>
    <w:rsid w:val="00FF6930"/>
    <w:rsid w:val="00FF6D82"/>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s>
</ds:datastoreItem>
</file>

<file path=customXml/itemProps2.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5.xml><?xml version="1.0" encoding="utf-8"?>
<ds:datastoreItem xmlns:ds="http://schemas.openxmlformats.org/officeDocument/2006/customXml" ds:itemID="{4FBC0C5A-5A55-4279-A037-D43AA8D9680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14</TotalTime>
  <Pages>13</Pages>
  <Words>3017</Words>
  <Characters>17197</Characters>
  <Application>Microsoft Office Word</Application>
  <DocSecurity>8</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20174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Rav Saidha</cp:lastModifiedBy>
  <cp:revision>9</cp:revision>
  <cp:lastPrinted>2017-07-24T14:47:00Z</cp:lastPrinted>
  <dcterms:created xsi:type="dcterms:W3CDTF">2025-06-23T07:36:00Z</dcterms:created>
  <dcterms:modified xsi:type="dcterms:W3CDTF">2025-09-18T20:37:00Z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Sensitivity">
    <vt:lpwstr>Regular</vt:lpwstr>
  </property>
</Properties>
</file>