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tcPr>
              <w:p w14:paraId="1B67440D" w14:textId="0E63C395" w:rsidR="00C85C8B" w:rsidRPr="00B16706" w:rsidRDefault="00625107" w:rsidP="00C85C8B">
                <w:pPr>
                  <w:rPr>
                    <w:rFonts w:ascii="Arial" w:hAnsi="Arial" w:cs="Arial"/>
                    <w:color w:val="808080"/>
                    <w:sz w:val="16"/>
                    <w:szCs w:val="20"/>
                    <w:lang w:eastAsia="de-DE"/>
                  </w:rPr>
                </w:pPr>
                <w:r>
                  <w:rPr>
                    <w:rFonts w:ascii="Arial" w:hAnsi="Arial" w:cs="Arial"/>
                    <w:color w:val="808080"/>
                    <w:sz w:val="16"/>
                    <w:szCs w:val="20"/>
                    <w:lang w:eastAsia="de-DE"/>
                  </w:rPr>
                  <w:t>The Alternative Investment Management Association (AIMA)</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73002B59" w:rsidR="00C85C8B" w:rsidRPr="00B16706" w:rsidRDefault="008D3C61"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451245">
                  <w:rPr>
                    <w:rFonts w:ascii="Arial" w:hAnsi="Arial" w:cs="Arial"/>
                    <w:sz w:val="16"/>
                    <w:szCs w:val="20"/>
                    <w:lang w:eastAsia="de-DE"/>
                  </w:rPr>
                  <w:t>Investment Services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tcPr>
              <w:p w14:paraId="6C4423E1" w14:textId="41631C13" w:rsidR="00C85C8B" w:rsidRPr="00B16706" w:rsidRDefault="00451245"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tcPr>
              <w:p w14:paraId="082656BF" w14:textId="6C6F5244" w:rsidR="00C85C8B" w:rsidRPr="00B16706" w:rsidRDefault="00451245" w:rsidP="00C85C8B">
                <w:pPr>
                  <w:rPr>
                    <w:rFonts w:ascii="Arial" w:hAnsi="Arial" w:cs="Arial"/>
                    <w:sz w:val="16"/>
                    <w:szCs w:val="20"/>
                    <w:lang w:eastAsia="de-DE"/>
                  </w:rPr>
                </w:pPr>
                <w:r>
                  <w:rPr>
                    <w:rFonts w:ascii="Arial" w:hAnsi="Arial" w:cs="Arial"/>
                    <w:sz w:val="16"/>
                    <w:szCs w:val="20"/>
                    <w:lang w:eastAsia="de-DE"/>
                  </w:rPr>
                  <w:t>International</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26A5253C" w14:textId="77777777" w:rsidR="00CC5D8F" w:rsidRPr="003C6D27" w:rsidRDefault="00CC5D8F" w:rsidP="00CC5D8F">
      <w:pPr>
        <w:jc w:val="both"/>
        <w:rPr>
          <w:rFonts w:ascii="Neue Haas Grotesk Text Pro" w:hAnsi="Neue Haas Grotesk Text Pro" w:cs="Open Sans"/>
          <w:sz w:val="20"/>
          <w:szCs w:val="20"/>
        </w:rPr>
      </w:pPr>
      <w:permStart w:id="785210304" w:edGrp="everyone"/>
      <w:r w:rsidRPr="003C6D27">
        <w:rPr>
          <w:rFonts w:ascii="Neue Haas Grotesk Text Pro" w:hAnsi="Neue Haas Grotesk Text Pro" w:cs="Open Sans"/>
          <w:sz w:val="20"/>
          <w:szCs w:val="20"/>
        </w:rPr>
        <w:t>The Alternative Investment Management Association (AIMA)</w:t>
      </w:r>
      <w:r w:rsidRPr="003C6D27">
        <w:rPr>
          <w:rStyle w:val="FootnoteReference"/>
          <w:rFonts w:ascii="Neue Haas Grotesk Text Pro" w:eastAsiaTheme="majorEastAsia" w:hAnsi="Neue Haas Grotesk Text Pro" w:cs="Open Sans"/>
          <w:sz w:val="20"/>
          <w:szCs w:val="20"/>
        </w:rPr>
        <w:footnoteReference w:id="2"/>
      </w:r>
      <w:r w:rsidRPr="003C6D27">
        <w:rPr>
          <w:rFonts w:ascii="Neue Haas Grotesk Text Pro" w:hAnsi="Neue Haas Grotesk Text Pro" w:cs="Open Sans"/>
          <w:sz w:val="20"/>
          <w:szCs w:val="20"/>
        </w:rPr>
        <w:t xml:space="preserve"> appreciates the opportunity to respond to the European Securities and Markets Authority’s (ESMA) call for evidence</w:t>
      </w:r>
      <w:r w:rsidRPr="003C6D27">
        <w:rPr>
          <w:rStyle w:val="FootnoteReference"/>
          <w:rFonts w:ascii="Neue Haas Grotesk Text Pro" w:eastAsiaTheme="majorEastAsia" w:hAnsi="Neue Haas Grotesk Text Pro" w:cs="Open Sans"/>
          <w:sz w:val="20"/>
          <w:szCs w:val="20"/>
        </w:rPr>
        <w:footnoteReference w:id="3"/>
      </w:r>
      <w:r w:rsidRPr="003C6D27">
        <w:rPr>
          <w:rFonts w:ascii="Neue Haas Grotesk Text Pro" w:hAnsi="Neue Haas Grotesk Text Pro" w:cs="Open Sans"/>
          <w:sz w:val="20"/>
          <w:szCs w:val="20"/>
        </w:rPr>
        <w:t xml:space="preserve"> on a comprehensive approach for the simplification of transaction reporting. AIMA supports the European Commission’s ambition to reduce the reporting burden by 25% and welcomes ESMA’s initiatives to streamline rules and minimise the cost and complexity of financial transaction reporting. </w:t>
      </w:r>
    </w:p>
    <w:p w14:paraId="289228A5" w14:textId="77777777" w:rsidR="00CC5D8F" w:rsidRPr="003C6D27" w:rsidRDefault="00CC5D8F" w:rsidP="00CC5D8F">
      <w:pPr>
        <w:jc w:val="both"/>
        <w:rPr>
          <w:rFonts w:ascii="Neue Haas Grotesk Text Pro" w:hAnsi="Neue Haas Grotesk Text Pro" w:cs="Open Sans"/>
          <w:sz w:val="20"/>
          <w:szCs w:val="20"/>
        </w:rPr>
      </w:pPr>
    </w:p>
    <w:p w14:paraId="0A2DFE1D" w14:textId="77777777" w:rsidR="00CC5D8F" w:rsidRPr="003C6D27" w:rsidRDefault="00CC5D8F" w:rsidP="00CC5D8F">
      <w:pPr>
        <w:jc w:val="both"/>
        <w:rPr>
          <w:rFonts w:ascii="Neue Haas Grotesk Text Pro" w:hAnsi="Neue Haas Grotesk Text Pro"/>
          <w:sz w:val="20"/>
          <w:szCs w:val="20"/>
        </w:rPr>
      </w:pPr>
      <w:r w:rsidRPr="003C6D27">
        <w:rPr>
          <w:rFonts w:ascii="Neue Haas Grotesk Text Pro" w:hAnsi="Neue Haas Grotesk Text Pro" w:cs="Open Sans"/>
          <w:sz w:val="20"/>
          <w:szCs w:val="20"/>
        </w:rPr>
        <w:t xml:space="preserve">Over the past decade, the EU has drifted toward a fragmented, multi-layered oversight model, marked by overlapping obligations imposed by both ESMA and National Competent Authorities (NCAs). </w:t>
      </w:r>
      <w:r w:rsidRPr="003C6D27">
        <w:rPr>
          <w:rFonts w:ascii="Neue Haas Grotesk Text Pro" w:hAnsi="Neue Haas Grotesk Text Pro"/>
          <w:sz w:val="20"/>
          <w:szCs w:val="20"/>
        </w:rPr>
        <w:t>This fragmentation has compounded operational challenges, especially amid the evolution of alternative investment strategies. In principle, ESMA’s current initiative presents a welcome opportunity to simplify and centralise transaction reporting frameworks by focusing on what data is used, not costly and does not place disproportionate burdens on market participants. Recalibrating these frameworks to better reflect market realities and the capabilities of diverse market participants would deliver regulatory and operational efficiencies, investor protection and drive the competitiveness of EU capital markets.</w:t>
      </w:r>
    </w:p>
    <w:p w14:paraId="118F100F" w14:textId="129E85DC" w:rsidR="00926BDA" w:rsidRPr="003C6D27" w:rsidRDefault="00926BDA" w:rsidP="00926BDA">
      <w:pPr>
        <w:rPr>
          <w:rFonts w:ascii="Neue Haas Grotesk Text Pro" w:hAnsi="Neue Haas Grotesk Text Pro"/>
          <w:sz w:val="20"/>
          <w:szCs w:val="20"/>
        </w:rPr>
      </w:pPr>
    </w:p>
    <w:p w14:paraId="3F4BA3E2" w14:textId="77777777" w:rsidR="004915F6" w:rsidRPr="003C6D27" w:rsidRDefault="004915F6" w:rsidP="004915F6">
      <w:pPr>
        <w:jc w:val="both"/>
        <w:rPr>
          <w:rFonts w:ascii="Neue Haas Grotesk Text Pro" w:hAnsi="Neue Haas Grotesk Text Pro"/>
          <w:sz w:val="20"/>
          <w:szCs w:val="20"/>
        </w:rPr>
      </w:pPr>
      <w:r w:rsidRPr="003C6D27">
        <w:rPr>
          <w:rFonts w:ascii="Neue Haas Grotesk Text Pro" w:hAnsi="Neue Haas Grotesk Text Pro" w:cs="Open Sans"/>
          <w:sz w:val="20"/>
          <w:szCs w:val="20"/>
        </w:rPr>
        <w:t xml:space="preserve">AIMA welcomes ESMA’s efforts to identify the key challenges in transaction reporting, such as </w:t>
      </w:r>
      <w:r w:rsidRPr="003C6D27">
        <w:rPr>
          <w:rFonts w:ascii="Neue Haas Grotesk Text Pro" w:hAnsi="Neue Haas Grotesk Text Pro"/>
          <w:sz w:val="20"/>
          <w:szCs w:val="20"/>
        </w:rPr>
        <w:t xml:space="preserve">duplicative reporting of derivative instruments under </w:t>
      </w:r>
      <w:r w:rsidRPr="003C6D27">
        <w:rPr>
          <w:rFonts w:ascii="Neue Haas Grotesk Text Pro" w:hAnsi="Neue Haas Grotesk Text Pro" w:cs="Open Sans"/>
          <w:sz w:val="20"/>
          <w:szCs w:val="20"/>
        </w:rPr>
        <w:t>Markets in Financial Instruments Regulation (MiFIR)</w:t>
      </w:r>
      <w:r w:rsidRPr="003C6D27">
        <w:rPr>
          <w:rFonts w:ascii="Neue Haas Grotesk Text Pro" w:hAnsi="Neue Haas Grotesk Text Pro"/>
          <w:sz w:val="20"/>
          <w:szCs w:val="20"/>
        </w:rPr>
        <w:t xml:space="preserve">, </w:t>
      </w:r>
      <w:r w:rsidRPr="003C6D27">
        <w:rPr>
          <w:rFonts w:ascii="Neue Haas Grotesk Text Pro" w:hAnsi="Neue Haas Grotesk Text Pro" w:cs="Open Sans"/>
          <w:sz w:val="20"/>
          <w:szCs w:val="20"/>
        </w:rPr>
        <w:t>the European Market Infrastructure Regulation (EMIR)</w:t>
      </w:r>
      <w:r w:rsidRPr="003C6D27">
        <w:rPr>
          <w:rFonts w:ascii="Neue Haas Grotesk Text Pro" w:hAnsi="Neue Haas Grotesk Text Pro"/>
          <w:sz w:val="20"/>
          <w:szCs w:val="20"/>
        </w:rPr>
        <w:t xml:space="preserve"> and the Regulation on Wholesale Energy Market Integrity and Transparency (REMIT), dual-sided reporting obligations under EMIR and Securities Financing Transactions Regulation (SFTR) and different reporting channels across MiFIR, EMIR and SFTR.  However, it will be centrally important in the context of this work to take account of the fact that each of these frameworks has different scoping provisions, making it more challenging in practice to achieve harmonisation across the regimes without potentially increasing the range of reportable transactions for individual entities who might be in scope of some of the relevant sectoral legislation but not all of it. </w:t>
      </w:r>
    </w:p>
    <w:p w14:paraId="53DADCE2" w14:textId="77777777" w:rsidR="004915F6" w:rsidRPr="003C6D27" w:rsidRDefault="004915F6" w:rsidP="004915F6">
      <w:pPr>
        <w:jc w:val="both"/>
        <w:rPr>
          <w:rFonts w:ascii="Neue Haas Grotesk Text Pro" w:hAnsi="Neue Haas Grotesk Text Pro"/>
          <w:sz w:val="20"/>
          <w:szCs w:val="20"/>
        </w:rPr>
      </w:pPr>
    </w:p>
    <w:p w14:paraId="0E58A465" w14:textId="77777777" w:rsidR="004915F6" w:rsidRPr="003C6D27" w:rsidRDefault="004915F6" w:rsidP="004915F6">
      <w:pPr>
        <w:jc w:val="both"/>
        <w:rPr>
          <w:rFonts w:ascii="Neue Haas Grotesk Text Pro" w:hAnsi="Neue Haas Grotesk Text Pro" w:cs="Open Sans"/>
          <w:sz w:val="20"/>
          <w:szCs w:val="20"/>
        </w:rPr>
      </w:pPr>
      <w:r w:rsidRPr="003C6D27">
        <w:rPr>
          <w:rFonts w:ascii="Neue Haas Grotesk Text Pro" w:hAnsi="Neue Haas Grotesk Text Pro"/>
          <w:sz w:val="20"/>
          <w:szCs w:val="20"/>
        </w:rPr>
        <w:lastRenderedPageBreak/>
        <w:t>In general, AIMA also welcomes ESMA’s proposed principles for simplifying regulatory reporting, particularly those on not collecting data that is costly to produce and not used, global alignment and ensuring t</w:t>
      </w:r>
      <w:r w:rsidRPr="003C6D27">
        <w:rPr>
          <w:rFonts w:ascii="Neue Haas Grotesk Text Pro" w:hAnsi="Neue Haas Grotesk Text Pro" w:cs="Open Sans"/>
          <w:sz w:val="20"/>
          <w:szCs w:val="20"/>
        </w:rPr>
        <w:t xml:space="preserve">hat the scope of collected data, impact and costs of changes align with burden reduction. We note that ESMA’s proposals are centred on revising the dual-sided reporting obligation under EMIR, through for example either (i) eliminating duplications in the scope of the reporting requirements by either the type of trading of the instruments or events; or (ii) implementing the “Report Once” principle to create a unified template across regimes. However, we believe that ESMA should go further by reconsidering broader structural requirements and removing buy-side investment firms from requirements to report transactions under MIFIR, noting that sell-side counterparties – who are larger and have greater resources to </w:t>
      </w:r>
      <w:r w:rsidRPr="003C6D27">
        <w:rPr>
          <w:rFonts w:ascii="Neue Haas Grotesk Text Pro" w:hAnsi="Neue Haas Grotesk Text Pro"/>
          <w:sz w:val="20"/>
          <w:szCs w:val="20"/>
        </w:rPr>
        <w:t>report data accurately and efficiently</w:t>
      </w:r>
      <w:r w:rsidRPr="003C6D27">
        <w:rPr>
          <w:rFonts w:ascii="Neue Haas Grotesk Text Pro" w:hAnsi="Neue Haas Grotesk Text Pro" w:cs="Open Sans"/>
          <w:sz w:val="20"/>
          <w:szCs w:val="20"/>
        </w:rPr>
        <w:t xml:space="preserve">, typically do so.  </w:t>
      </w:r>
      <w:r w:rsidRPr="003C6D27">
        <w:rPr>
          <w:rFonts w:ascii="Neue Haas Grotesk Text Pro" w:hAnsi="Neue Haas Grotesk Text Pro"/>
          <w:sz w:val="20"/>
          <w:szCs w:val="20"/>
        </w:rPr>
        <w:t>Single-sided MIFIR transaction reporting would improve data quality, enhance regulatory oversight and strengthen the competitiveness of European firms in global markets.</w:t>
      </w:r>
    </w:p>
    <w:p w14:paraId="2FD1B47B" w14:textId="77777777" w:rsidR="004915F6" w:rsidRPr="003C6D27" w:rsidRDefault="004915F6" w:rsidP="00926BDA">
      <w:pPr>
        <w:rPr>
          <w:rFonts w:ascii="Neue Haas Grotesk Text Pro" w:hAnsi="Neue Haas Grotesk Text Pro"/>
          <w:sz w:val="20"/>
          <w:szCs w:val="20"/>
        </w:rPr>
      </w:pPr>
    </w:p>
    <w:p w14:paraId="14E85BF9" w14:textId="77777777" w:rsidR="00F55565" w:rsidRPr="003C6D27" w:rsidRDefault="00F55565" w:rsidP="00F55565">
      <w:pPr>
        <w:jc w:val="both"/>
        <w:rPr>
          <w:rFonts w:ascii="Neue Haas Grotesk Text Pro" w:hAnsi="Neue Haas Grotesk Text Pro" w:cs="Open Sans"/>
          <w:sz w:val="20"/>
          <w:szCs w:val="20"/>
        </w:rPr>
      </w:pPr>
      <w:r w:rsidRPr="003C6D27">
        <w:rPr>
          <w:rFonts w:ascii="Neue Haas Grotesk Text Pro" w:hAnsi="Neue Haas Grotesk Text Pro" w:cs="Open Sans"/>
          <w:sz w:val="20"/>
          <w:szCs w:val="20"/>
        </w:rPr>
        <w:t xml:space="preserve">AIMA has provided detailed feedback in an annex to this letter. </w:t>
      </w:r>
    </w:p>
    <w:p w14:paraId="311D1448" w14:textId="77777777" w:rsidR="00F55565" w:rsidRPr="003C6D27" w:rsidRDefault="00F55565" w:rsidP="00F55565">
      <w:pPr>
        <w:jc w:val="both"/>
        <w:rPr>
          <w:rFonts w:ascii="Neue Haas Grotesk Text Pro" w:hAnsi="Neue Haas Grotesk Text Pro" w:cs="Open Sans"/>
          <w:sz w:val="20"/>
          <w:szCs w:val="20"/>
        </w:rPr>
      </w:pPr>
    </w:p>
    <w:p w14:paraId="439FEA2B" w14:textId="77777777" w:rsidR="00F55565" w:rsidRPr="003C6D27" w:rsidRDefault="00F55565" w:rsidP="00F55565">
      <w:pPr>
        <w:jc w:val="both"/>
        <w:rPr>
          <w:rFonts w:ascii="Neue Haas Grotesk Text Pro" w:hAnsi="Neue Haas Grotesk Text Pro" w:cs="Open Sans"/>
          <w:sz w:val="20"/>
          <w:szCs w:val="20"/>
        </w:rPr>
      </w:pPr>
      <w:r w:rsidRPr="003C6D27">
        <w:rPr>
          <w:rFonts w:ascii="Neue Haas Grotesk Text Pro" w:hAnsi="Neue Haas Grotesk Text Pro" w:cs="Open Sans"/>
          <w:sz w:val="20"/>
          <w:szCs w:val="20"/>
        </w:rPr>
        <w:t>Our key positions are outlined below:</w:t>
      </w:r>
    </w:p>
    <w:p w14:paraId="68E74F8E" w14:textId="77777777" w:rsidR="00F55565" w:rsidRPr="003C6D27" w:rsidRDefault="00F55565" w:rsidP="00F55565">
      <w:pPr>
        <w:jc w:val="both"/>
        <w:rPr>
          <w:rFonts w:ascii="Neue Haas Grotesk Text Pro" w:hAnsi="Neue Haas Grotesk Text Pro" w:cs="Open Sans"/>
          <w:sz w:val="20"/>
          <w:szCs w:val="20"/>
        </w:rPr>
      </w:pPr>
    </w:p>
    <w:p w14:paraId="0CE3F5EC" w14:textId="77777777" w:rsidR="00F55565" w:rsidRPr="003C6D27" w:rsidRDefault="00F55565" w:rsidP="003C6D27">
      <w:pPr>
        <w:pStyle w:val="ListParagraph"/>
        <w:numPr>
          <w:ilvl w:val="0"/>
          <w:numId w:val="37"/>
        </w:numPr>
        <w:rPr>
          <w:rFonts w:ascii="Neue Haas Grotesk Text Pro" w:hAnsi="Neue Haas Grotesk Text Pro"/>
          <w:sz w:val="20"/>
          <w:szCs w:val="20"/>
        </w:rPr>
      </w:pPr>
      <w:r w:rsidRPr="003C6D27">
        <w:rPr>
          <w:rFonts w:ascii="Neue Haas Grotesk Text Pro" w:hAnsi="Neue Haas Grotesk Text Pro"/>
          <w:sz w:val="20"/>
          <w:szCs w:val="20"/>
        </w:rPr>
        <w:t xml:space="preserve">Exempt ‘buy-side’ investment firms from the scope of transaction reporting requirements under Article 26 of MiFIR, on the basis that sell-side firms with whom those firms execute transactions in most cases also report those transactions. </w:t>
      </w:r>
    </w:p>
    <w:p w14:paraId="205E1177" w14:textId="77777777" w:rsidR="00F55565" w:rsidRPr="003C6D27" w:rsidRDefault="00F55565" w:rsidP="003C6D27">
      <w:pPr>
        <w:pStyle w:val="ListParagraph"/>
        <w:rPr>
          <w:rFonts w:ascii="Neue Haas Grotesk Text Pro" w:hAnsi="Neue Haas Grotesk Text Pro"/>
          <w:sz w:val="20"/>
          <w:szCs w:val="20"/>
        </w:rPr>
      </w:pPr>
    </w:p>
    <w:p w14:paraId="53D0B495" w14:textId="77777777" w:rsidR="00F55565" w:rsidRPr="003C6D27" w:rsidRDefault="00F55565" w:rsidP="003C6D27">
      <w:pPr>
        <w:pStyle w:val="ListParagraph"/>
        <w:numPr>
          <w:ilvl w:val="0"/>
          <w:numId w:val="37"/>
        </w:numPr>
        <w:rPr>
          <w:rFonts w:ascii="Neue Haas Grotesk Text Pro" w:hAnsi="Neue Haas Grotesk Text Pro"/>
          <w:sz w:val="20"/>
          <w:szCs w:val="20"/>
        </w:rPr>
      </w:pPr>
      <w:r w:rsidRPr="003C6D27">
        <w:rPr>
          <w:rFonts w:ascii="Neue Haas Grotesk Text Pro" w:hAnsi="Neue Haas Grotesk Text Pro"/>
          <w:sz w:val="20"/>
          <w:szCs w:val="20"/>
        </w:rPr>
        <w:t>Replace the dual-sided reporting obligation under EMIR with a single-sided reporting model, where sell-side counterparties assume full reporting responsibility. The delegated reporting regime under EMIR is not fit for purpose.</w:t>
      </w:r>
    </w:p>
    <w:p w14:paraId="08AC945F" w14:textId="77777777" w:rsidR="00F55565" w:rsidRPr="003C6D27" w:rsidRDefault="00F55565" w:rsidP="003C6D27">
      <w:pPr>
        <w:pStyle w:val="ListParagraph"/>
        <w:rPr>
          <w:rFonts w:ascii="Neue Haas Grotesk Text Pro" w:hAnsi="Neue Haas Grotesk Text Pro"/>
          <w:sz w:val="20"/>
          <w:szCs w:val="20"/>
        </w:rPr>
      </w:pPr>
    </w:p>
    <w:p w14:paraId="5FC4A4A0" w14:textId="77777777" w:rsidR="00F55565" w:rsidRPr="003C6D27" w:rsidRDefault="00F55565" w:rsidP="003C6D27">
      <w:pPr>
        <w:pStyle w:val="ListParagraph"/>
        <w:numPr>
          <w:ilvl w:val="0"/>
          <w:numId w:val="37"/>
        </w:numPr>
        <w:rPr>
          <w:rFonts w:ascii="Neue Haas Grotesk Text Pro" w:hAnsi="Neue Haas Grotesk Text Pro"/>
          <w:sz w:val="20"/>
          <w:szCs w:val="20"/>
        </w:rPr>
      </w:pPr>
      <w:r w:rsidRPr="003C6D27">
        <w:rPr>
          <w:rFonts w:ascii="Neue Haas Grotesk Text Pro" w:hAnsi="Neue Haas Grotesk Text Pro"/>
          <w:sz w:val="20"/>
          <w:szCs w:val="20"/>
        </w:rPr>
        <w:t xml:space="preserve">Implement a single EU-wide reporting portal to ESMA, which would eliminate the need for multiple NCA reporting channels - particularly in the context of Short Selling Regulation (SSR) supervisory notifications </w:t>
      </w:r>
      <w:r w:rsidRPr="003C6D27">
        <w:rPr>
          <w:rFonts w:ascii="Neue Haas Grotesk Text Pro" w:hAnsi="Neue Haas Grotesk Text Pro" w:cs="Open Sans"/>
          <w:sz w:val="20"/>
          <w:szCs w:val="20"/>
        </w:rPr>
        <w:t xml:space="preserve">– </w:t>
      </w:r>
      <w:proofErr w:type="gramStart"/>
      <w:r w:rsidRPr="003C6D27">
        <w:rPr>
          <w:rFonts w:ascii="Neue Haas Grotesk Text Pro" w:hAnsi="Neue Haas Grotesk Text Pro" w:cs="Open Sans"/>
          <w:sz w:val="20"/>
          <w:szCs w:val="20"/>
        </w:rPr>
        <w:t>and also</w:t>
      </w:r>
      <w:proofErr w:type="gramEnd"/>
      <w:r w:rsidRPr="003C6D27">
        <w:rPr>
          <w:rFonts w:ascii="Neue Haas Grotesk Text Pro" w:hAnsi="Neue Haas Grotesk Text Pro" w:cs="Open Sans"/>
          <w:sz w:val="20"/>
          <w:szCs w:val="20"/>
        </w:rPr>
        <w:t xml:space="preserve"> include a centralised, authoritative data set for shares outstanding to address difficulties in sourcing and verifying this information</w:t>
      </w:r>
      <w:r w:rsidRPr="003C6D27">
        <w:rPr>
          <w:rFonts w:ascii="Neue Haas Grotesk Text Pro" w:hAnsi="Neue Haas Grotesk Text Pro"/>
          <w:sz w:val="20"/>
          <w:szCs w:val="20"/>
        </w:rPr>
        <w:t>.</w:t>
      </w:r>
    </w:p>
    <w:p w14:paraId="0801112A" w14:textId="77777777" w:rsidR="004915F6" w:rsidRPr="003C6D27" w:rsidRDefault="004915F6" w:rsidP="00926BDA">
      <w:pPr>
        <w:rPr>
          <w:rFonts w:ascii="Neue Haas Grotesk Text Pro" w:hAnsi="Neue Haas Grotesk Text Pro"/>
          <w:sz w:val="20"/>
          <w:szCs w:val="20"/>
        </w:rPr>
      </w:pPr>
    </w:p>
    <w:p w14:paraId="120A44BE" w14:textId="647F8AE5" w:rsidR="000169BD" w:rsidRPr="003C6D27" w:rsidRDefault="000169BD" w:rsidP="000169BD">
      <w:pPr>
        <w:jc w:val="both"/>
        <w:rPr>
          <w:rFonts w:ascii="Neue Haas Grotesk Text Pro" w:hAnsi="Neue Haas Grotesk Text Pro" w:cs="Open Sans"/>
          <w:sz w:val="20"/>
          <w:szCs w:val="20"/>
        </w:rPr>
      </w:pPr>
      <w:r w:rsidRPr="003C6D27">
        <w:rPr>
          <w:rFonts w:ascii="Neue Haas Grotesk Text Pro" w:hAnsi="Neue Haas Grotesk Text Pro" w:cs="Open Sans"/>
          <w:sz w:val="20"/>
          <w:szCs w:val="20"/>
        </w:rPr>
        <w:t>If you would like to discuss any aspect of AIMA’s submission further, please contact Aniqah Rao and Adam Jacobs-Dean</w:t>
      </w:r>
      <w:r w:rsidRPr="003C6D27">
        <w:rPr>
          <w:rFonts w:ascii="Neue Haas Grotesk Text Pro" w:hAnsi="Neue Haas Grotesk Text Pro" w:cs="Open Sans"/>
          <w:sz w:val="20"/>
          <w:szCs w:val="20"/>
        </w:rPr>
        <w:t>.</w:t>
      </w:r>
    </w:p>
    <w:p w14:paraId="2EFBDB68" w14:textId="77777777" w:rsidR="000169BD" w:rsidRPr="003C6D27" w:rsidRDefault="000169BD" w:rsidP="000169BD">
      <w:pPr>
        <w:jc w:val="both"/>
        <w:rPr>
          <w:rFonts w:ascii="Neue Haas Grotesk Text Pro" w:hAnsi="Neue Haas Grotesk Text Pro" w:cs="Open Sans"/>
          <w:sz w:val="20"/>
          <w:szCs w:val="20"/>
        </w:rPr>
      </w:pPr>
    </w:p>
    <w:p w14:paraId="0F1CE8F8" w14:textId="77777777" w:rsidR="000169BD" w:rsidRPr="003C6D27" w:rsidRDefault="000169BD" w:rsidP="000169BD">
      <w:pPr>
        <w:jc w:val="both"/>
        <w:rPr>
          <w:rFonts w:ascii="Neue Haas Grotesk Text Pro" w:hAnsi="Neue Haas Grotesk Text Pro" w:cs="Open Sans"/>
          <w:sz w:val="20"/>
          <w:szCs w:val="20"/>
        </w:rPr>
      </w:pPr>
      <w:r w:rsidRPr="003C6D27">
        <w:rPr>
          <w:rFonts w:ascii="Neue Haas Grotesk Text Pro" w:hAnsi="Neue Haas Grotesk Text Pro" w:cs="Open Sans"/>
          <w:sz w:val="20"/>
          <w:szCs w:val="20"/>
        </w:rPr>
        <w:t>Yours faithfully,</w:t>
      </w:r>
    </w:p>
    <w:p w14:paraId="632230CF" w14:textId="77777777" w:rsidR="000169BD" w:rsidRPr="003C6D27" w:rsidRDefault="000169BD" w:rsidP="000169BD">
      <w:pPr>
        <w:spacing w:before="240" w:after="240"/>
        <w:jc w:val="both"/>
        <w:rPr>
          <w:rFonts w:ascii="Neue Haas Grotesk Text Pro" w:hAnsi="Neue Haas Grotesk Text Pro" w:cs="Open Sans"/>
          <w:sz w:val="20"/>
          <w:szCs w:val="20"/>
        </w:rPr>
      </w:pPr>
    </w:p>
    <w:p w14:paraId="31B75050" w14:textId="77777777" w:rsidR="000169BD" w:rsidRPr="003C6D27" w:rsidRDefault="000169BD" w:rsidP="000169BD">
      <w:pPr>
        <w:pStyle w:val="AIMABody10ptspace"/>
        <w:widowControl/>
        <w:spacing w:after="0"/>
        <w:rPr>
          <w:rFonts w:ascii="Neue Haas Grotesk Text Pro" w:hAnsi="Neue Haas Grotesk Text Pro"/>
          <w:szCs w:val="20"/>
        </w:rPr>
      </w:pPr>
      <w:r w:rsidRPr="003C6D27">
        <w:rPr>
          <w:rFonts w:ascii="Neue Haas Grotesk Text Pro" w:hAnsi="Neue Haas Grotesk Text Pro"/>
          <w:szCs w:val="20"/>
        </w:rPr>
        <w:t>/s/ Adam Jacobs-Dean</w:t>
      </w:r>
      <w:r w:rsidRPr="003C6D27">
        <w:rPr>
          <w:rFonts w:ascii="Neue Haas Grotesk Text Pro" w:hAnsi="Neue Haas Grotesk Text Pro"/>
          <w:szCs w:val="20"/>
        </w:rPr>
        <w:tab/>
      </w:r>
      <w:r w:rsidRPr="003C6D27">
        <w:rPr>
          <w:rFonts w:ascii="Neue Haas Grotesk Text Pro" w:hAnsi="Neue Haas Grotesk Text Pro"/>
          <w:szCs w:val="20"/>
        </w:rPr>
        <w:tab/>
      </w:r>
      <w:r w:rsidRPr="003C6D27">
        <w:rPr>
          <w:rFonts w:ascii="Neue Haas Grotesk Text Pro" w:hAnsi="Neue Haas Grotesk Text Pro"/>
          <w:szCs w:val="20"/>
        </w:rPr>
        <w:tab/>
      </w:r>
      <w:r w:rsidRPr="003C6D27">
        <w:rPr>
          <w:rFonts w:ascii="Neue Haas Grotesk Text Pro" w:hAnsi="Neue Haas Grotesk Text Pro"/>
          <w:szCs w:val="20"/>
        </w:rPr>
        <w:tab/>
      </w:r>
    </w:p>
    <w:p w14:paraId="6090E21B" w14:textId="77777777" w:rsidR="000169BD" w:rsidRPr="003C6D27" w:rsidRDefault="000169BD" w:rsidP="000169BD">
      <w:pPr>
        <w:pStyle w:val="AIMABody10ptspace"/>
        <w:widowControl/>
        <w:spacing w:after="0"/>
        <w:rPr>
          <w:rFonts w:ascii="Neue Haas Grotesk Text Pro" w:hAnsi="Neue Haas Grotesk Text Pro"/>
          <w:szCs w:val="20"/>
        </w:rPr>
      </w:pPr>
      <w:r w:rsidRPr="003C6D27">
        <w:rPr>
          <w:rFonts w:ascii="Neue Haas Grotesk Text Pro" w:hAnsi="Neue Haas Grotesk Text Pro"/>
          <w:szCs w:val="20"/>
        </w:rPr>
        <w:t>Managing Director and Global Head of Markets, Governance and Innovation</w:t>
      </w:r>
    </w:p>
    <w:p w14:paraId="313F05DE" w14:textId="77777777" w:rsidR="000169BD" w:rsidRPr="003C6D27" w:rsidRDefault="000169BD" w:rsidP="000169BD">
      <w:pPr>
        <w:pStyle w:val="AIMABody10ptspace"/>
        <w:widowControl/>
        <w:spacing w:after="0"/>
        <w:rPr>
          <w:rFonts w:ascii="Neue Haas Grotesk Text Pro" w:hAnsi="Neue Haas Grotesk Text Pro"/>
          <w:szCs w:val="20"/>
        </w:rPr>
      </w:pPr>
      <w:r w:rsidRPr="003C6D27">
        <w:rPr>
          <w:rFonts w:ascii="Neue Haas Grotesk Text Pro" w:hAnsi="Neue Haas Grotesk Text Pro"/>
          <w:szCs w:val="20"/>
        </w:rPr>
        <w:t>AIMA</w:t>
      </w:r>
    </w:p>
    <w:p w14:paraId="780AD145" w14:textId="77777777" w:rsidR="000169BD" w:rsidRPr="003C6D27" w:rsidRDefault="000169BD" w:rsidP="00926BDA">
      <w:pPr>
        <w:rPr>
          <w:rFonts w:ascii="Neue Haas Grotesk Text Pro" w:hAnsi="Neue Haas Grotesk Text Pro"/>
          <w:sz w:val="20"/>
          <w:szCs w:val="20"/>
        </w:rPr>
      </w:pPr>
    </w:p>
    <w:p w14:paraId="032E4B32" w14:textId="3815BEAB" w:rsidR="000169BD" w:rsidRDefault="000169BD" w:rsidP="00926BDA">
      <w:pPr>
        <w:rPr>
          <w:rFonts w:ascii="Neue Haas Grotesk Text Pro" w:hAnsi="Neue Haas Grotesk Text Pro"/>
          <w:sz w:val="20"/>
          <w:szCs w:val="20"/>
        </w:rPr>
      </w:pPr>
      <w:r w:rsidRPr="004659B2">
        <w:rPr>
          <w:rFonts w:ascii="Neue Haas Grotesk Text Pro" w:hAnsi="Neue Haas Grotesk Text Pro"/>
          <w:sz w:val="20"/>
          <w:szCs w:val="20"/>
        </w:rPr>
        <w:t>*</w:t>
      </w:r>
      <w:r w:rsidR="004659B2">
        <w:rPr>
          <w:rFonts w:ascii="Neue Haas Grotesk Text Pro" w:hAnsi="Neue Haas Grotesk Text Pro"/>
          <w:sz w:val="20"/>
          <w:szCs w:val="20"/>
        </w:rPr>
        <w:t>*</w:t>
      </w:r>
    </w:p>
    <w:p w14:paraId="06A4F01A" w14:textId="4472C388" w:rsidR="004659B2" w:rsidRDefault="004659B2" w:rsidP="00926BDA">
      <w:pPr>
        <w:rPr>
          <w:rFonts w:ascii="Neue Haas Grotesk Text Pro" w:hAnsi="Neue Haas Grotesk Text Pro"/>
          <w:sz w:val="20"/>
          <w:szCs w:val="20"/>
        </w:rPr>
      </w:pPr>
      <w:r>
        <w:rPr>
          <w:rFonts w:ascii="Neue Haas Grotesk Text Pro" w:hAnsi="Neue Haas Grotesk Text Pro"/>
          <w:sz w:val="20"/>
          <w:szCs w:val="20"/>
        </w:rPr>
        <w:t>ANNEX</w:t>
      </w:r>
    </w:p>
    <w:p w14:paraId="2BF2760E" w14:textId="77777777" w:rsidR="004659B2" w:rsidRDefault="004659B2" w:rsidP="00926BDA">
      <w:pPr>
        <w:rPr>
          <w:rFonts w:ascii="Neue Haas Grotesk Text Pro" w:hAnsi="Neue Haas Grotesk Text Pro"/>
          <w:sz w:val="20"/>
          <w:szCs w:val="20"/>
        </w:rPr>
      </w:pPr>
    </w:p>
    <w:p w14:paraId="328896F9" w14:textId="07E47A4D" w:rsidR="004659B2" w:rsidRPr="004659B2" w:rsidRDefault="004659B2" w:rsidP="00926BDA">
      <w:pPr>
        <w:rPr>
          <w:rFonts w:ascii="Neue Haas Grotesk Text Pro" w:hAnsi="Neue Haas Grotesk Text Pro"/>
          <w:sz w:val="20"/>
          <w:szCs w:val="20"/>
        </w:rPr>
      </w:pPr>
      <w:r>
        <w:rPr>
          <w:rFonts w:ascii="Neue Haas Grotesk Text Pro" w:hAnsi="Neue Haas Grotesk Text Pro"/>
          <w:sz w:val="20"/>
          <w:szCs w:val="20"/>
        </w:rPr>
        <w:t>AIMA response to Question 1 of the CFE:</w:t>
      </w:r>
    </w:p>
    <w:p w14:paraId="1885752E" w14:textId="77777777" w:rsidR="000169BD" w:rsidRPr="003C6D27" w:rsidRDefault="000169BD" w:rsidP="00926BDA">
      <w:pPr>
        <w:rPr>
          <w:rFonts w:ascii="Neue Haas Grotesk Text Pro" w:hAnsi="Neue Haas Grotesk Text Pro"/>
          <w:sz w:val="20"/>
          <w:szCs w:val="20"/>
        </w:rPr>
      </w:pPr>
    </w:p>
    <w:p w14:paraId="01D62AC5" w14:textId="77777777" w:rsidR="00D41F1C" w:rsidRPr="003C6D27" w:rsidRDefault="00D41F1C" w:rsidP="00D41F1C">
      <w:pPr>
        <w:ind w:left="360"/>
        <w:jc w:val="both"/>
        <w:rPr>
          <w:rFonts w:ascii="Neue Haas Grotesk Text Pro" w:hAnsi="Neue Haas Grotesk Text Pro"/>
          <w:sz w:val="20"/>
          <w:szCs w:val="20"/>
        </w:rPr>
      </w:pPr>
      <w:r w:rsidRPr="003C6D27">
        <w:rPr>
          <w:rFonts w:ascii="Neue Haas Grotesk Text Pro" w:hAnsi="Neue Haas Grotesk Text Pro"/>
          <w:sz w:val="20"/>
          <w:szCs w:val="20"/>
        </w:rPr>
        <w:t xml:space="preserve">We believe that one of the most fundamental challenges for our members lies in how transaction reporting is structured under MiFIR for buy-side investment firms and in the functioning of EMIR’s reporting arrangements. In their current form, these frameworks impose significant burdens and are operationally complex, inefficient and duplicative. We believe the </w:t>
      </w:r>
      <w:r w:rsidRPr="003C6D27">
        <w:rPr>
          <w:rFonts w:ascii="Neue Haas Grotesk Text Pro" w:hAnsi="Neue Haas Grotesk Text Pro"/>
          <w:sz w:val="20"/>
          <w:szCs w:val="20"/>
        </w:rPr>
        <w:lastRenderedPageBreak/>
        <w:t>EU should transition to a reporting model which places sole responsibility on sell</w:t>
      </w:r>
      <w:r w:rsidRPr="003C6D27">
        <w:rPr>
          <w:rFonts w:ascii="Cambria Math" w:hAnsi="Cambria Math" w:cs="Cambria Math"/>
          <w:sz w:val="20"/>
          <w:szCs w:val="20"/>
        </w:rPr>
        <w:t>‑</w:t>
      </w:r>
      <w:r w:rsidRPr="003C6D27">
        <w:rPr>
          <w:rFonts w:ascii="Neue Haas Grotesk Text Pro" w:hAnsi="Neue Haas Grotesk Text Pro"/>
          <w:sz w:val="20"/>
          <w:szCs w:val="20"/>
        </w:rPr>
        <w:t>side counterparties</w:t>
      </w:r>
      <w:r w:rsidRPr="003C6D27">
        <w:rPr>
          <w:rFonts w:ascii="Neue Haas Grotesk Text Pro" w:hAnsi="Neue Haas Grotesk Text Pro" w:cs="Neue Haas Grotesk Text Pro"/>
          <w:sz w:val="20"/>
          <w:szCs w:val="20"/>
        </w:rPr>
        <w:t xml:space="preserve"> - </w:t>
      </w:r>
      <w:r w:rsidRPr="003C6D27">
        <w:rPr>
          <w:rFonts w:ascii="Neue Haas Grotesk Text Pro" w:hAnsi="Neue Haas Grotesk Text Pro"/>
          <w:sz w:val="20"/>
          <w:szCs w:val="20"/>
        </w:rPr>
        <w:t>who are inherently better equipped to manage the process</w:t>
      </w:r>
      <w:r w:rsidRPr="003C6D27">
        <w:rPr>
          <w:rFonts w:ascii="Neue Haas Grotesk Text Pro" w:hAnsi="Neue Haas Grotesk Text Pro" w:cs="Neue Haas Grotesk Text Pro"/>
          <w:sz w:val="20"/>
          <w:szCs w:val="20"/>
        </w:rPr>
        <w:t>—</w:t>
      </w:r>
      <w:r w:rsidRPr="003C6D27">
        <w:rPr>
          <w:rFonts w:ascii="Neue Haas Grotesk Text Pro" w:hAnsi="Neue Haas Grotesk Text Pro"/>
          <w:sz w:val="20"/>
          <w:szCs w:val="20"/>
        </w:rPr>
        <w:t xml:space="preserve">thus facilitating more accurate, higher quality MIFIR transaction reporting, reflecting the true flow of data in the market, improving efficiency and enhancing international competitiveness. Without such structural reform in the allocation of reporting obligations, incremental improvements risk placing disproportionate burdens on firms that lack necessary resources and infrastructure. </w:t>
      </w:r>
    </w:p>
    <w:p w14:paraId="1033725B" w14:textId="77777777" w:rsidR="00D41F1C" w:rsidRPr="003C6D27" w:rsidRDefault="00D41F1C" w:rsidP="00D41F1C">
      <w:pPr>
        <w:ind w:left="360"/>
        <w:jc w:val="both"/>
        <w:rPr>
          <w:rFonts w:ascii="Neue Haas Grotesk Text Pro" w:hAnsi="Neue Haas Grotesk Text Pro"/>
          <w:sz w:val="20"/>
          <w:szCs w:val="20"/>
        </w:rPr>
      </w:pPr>
    </w:p>
    <w:p w14:paraId="20B6B5AD" w14:textId="77777777" w:rsidR="00D41F1C" w:rsidRPr="003C6D27" w:rsidRDefault="00D41F1C" w:rsidP="00D41F1C">
      <w:pPr>
        <w:ind w:left="360"/>
        <w:jc w:val="both"/>
        <w:rPr>
          <w:rFonts w:ascii="Neue Haas Grotesk Text Pro" w:hAnsi="Neue Haas Grotesk Text Pro"/>
          <w:sz w:val="20"/>
          <w:szCs w:val="20"/>
        </w:rPr>
      </w:pPr>
      <w:r w:rsidRPr="003C6D27">
        <w:rPr>
          <w:rFonts w:ascii="Neue Haas Grotesk Text Pro" w:hAnsi="Neue Haas Grotesk Text Pro"/>
          <w:sz w:val="20"/>
          <w:szCs w:val="20"/>
        </w:rPr>
        <w:t>Below, we outline the challenges under MiFIR transaction reporting and EMIR delegated reporting.</w:t>
      </w:r>
    </w:p>
    <w:p w14:paraId="1C646333" w14:textId="77777777" w:rsidR="00D41F1C" w:rsidRPr="003C6D27" w:rsidRDefault="00D41F1C" w:rsidP="00D41F1C">
      <w:pPr>
        <w:ind w:left="720"/>
        <w:jc w:val="both"/>
        <w:rPr>
          <w:rFonts w:ascii="Neue Haas Grotesk Text Pro" w:hAnsi="Neue Haas Grotesk Text Pro"/>
          <w:sz w:val="20"/>
          <w:szCs w:val="20"/>
        </w:rPr>
      </w:pPr>
    </w:p>
    <w:p w14:paraId="523E5B97" w14:textId="77777777" w:rsidR="00D41F1C" w:rsidRPr="003C6D27" w:rsidRDefault="00D41F1C" w:rsidP="003C6D27">
      <w:pPr>
        <w:pStyle w:val="ListParagraph"/>
        <w:numPr>
          <w:ilvl w:val="1"/>
          <w:numId w:val="38"/>
        </w:numPr>
        <w:rPr>
          <w:rFonts w:ascii="Neue Haas Grotesk Text Pro" w:hAnsi="Neue Haas Grotesk Text Pro"/>
          <w:sz w:val="20"/>
          <w:szCs w:val="20"/>
        </w:rPr>
      </w:pPr>
      <w:r w:rsidRPr="003C6D27">
        <w:rPr>
          <w:rFonts w:ascii="Neue Haas Grotesk Text Pro" w:hAnsi="Neue Haas Grotesk Text Pro"/>
          <w:sz w:val="20"/>
          <w:szCs w:val="20"/>
        </w:rPr>
        <w:t>MiFIR transaction reporting</w:t>
      </w:r>
    </w:p>
    <w:p w14:paraId="3D4C954F" w14:textId="77777777" w:rsidR="00D41F1C" w:rsidRPr="003C6D27" w:rsidRDefault="00D41F1C" w:rsidP="00D41F1C">
      <w:pPr>
        <w:ind w:left="426"/>
        <w:rPr>
          <w:rFonts w:ascii="Neue Haas Grotesk Text Pro" w:hAnsi="Neue Haas Grotesk Text Pro"/>
          <w:sz w:val="20"/>
          <w:szCs w:val="20"/>
        </w:rPr>
      </w:pPr>
    </w:p>
    <w:p w14:paraId="3E08CF4A" w14:textId="77777777" w:rsidR="00D41F1C" w:rsidRPr="003C6D27" w:rsidRDefault="00D41F1C" w:rsidP="00D41F1C">
      <w:pPr>
        <w:ind w:left="426"/>
        <w:jc w:val="both"/>
        <w:rPr>
          <w:rFonts w:ascii="Neue Haas Grotesk Text Pro" w:hAnsi="Neue Haas Grotesk Text Pro" w:cs="Open Sans"/>
          <w:sz w:val="20"/>
          <w:szCs w:val="20"/>
        </w:rPr>
      </w:pPr>
      <w:r w:rsidRPr="003C6D27">
        <w:rPr>
          <w:rFonts w:ascii="Neue Haas Grotesk Text Pro" w:hAnsi="Neue Haas Grotesk Text Pro" w:cs="Open Sans"/>
          <w:sz w:val="20"/>
          <w:szCs w:val="20"/>
        </w:rPr>
        <w:t xml:space="preserve">Transaction reporting as it operates today places an unjustifiable cost and burden on Markets in Financial Instruments Directive (MiFID) investment firms. Our member firms routinely single out transaction reporting as being one of the most significant compliance burdens associated with the MiFID regime, noting that compliance with the reporting requirements both creates major one-off systems build costs and generates significant on-going costs associated with making reports and validating reporting processes. We believe that amendments to the MiFIR transaction reporting regime should focus on reducing the reporting burden on all parties involved, improving the quality of data reported to NCAs and ensuring that the rules are designed in a way that reflects the differing operational capacities of counterparties to a trade. </w:t>
      </w:r>
    </w:p>
    <w:p w14:paraId="730530AE" w14:textId="77777777" w:rsidR="00D41F1C" w:rsidRPr="003C6D27" w:rsidRDefault="00D41F1C" w:rsidP="00D41F1C">
      <w:pPr>
        <w:jc w:val="both"/>
        <w:rPr>
          <w:rFonts w:ascii="Neue Haas Grotesk Text Pro" w:hAnsi="Neue Haas Grotesk Text Pro" w:cs="Open Sans"/>
          <w:sz w:val="20"/>
          <w:szCs w:val="20"/>
        </w:rPr>
      </w:pPr>
    </w:p>
    <w:p w14:paraId="29298B82" w14:textId="77777777" w:rsidR="00D41F1C" w:rsidRPr="003C6D27" w:rsidRDefault="00D41F1C" w:rsidP="00D41F1C">
      <w:pPr>
        <w:ind w:left="426"/>
        <w:jc w:val="both"/>
        <w:rPr>
          <w:rFonts w:ascii="Neue Haas Grotesk Text Pro" w:hAnsi="Neue Haas Grotesk Text Pro" w:cs="Open Sans"/>
          <w:sz w:val="20"/>
          <w:szCs w:val="20"/>
        </w:rPr>
      </w:pPr>
      <w:r w:rsidRPr="003C6D27">
        <w:rPr>
          <w:rFonts w:ascii="Neue Haas Grotesk Text Pro" w:hAnsi="Neue Haas Grotesk Text Pro" w:cs="Open Sans"/>
          <w:sz w:val="20"/>
          <w:szCs w:val="20"/>
        </w:rPr>
        <w:t xml:space="preserve">Specifically, we strongly advocate for the removal of ‘buy-side’ investment firms from the scope of transaction reporting requirements under Article 26 of MiFIR, on the basis that sell-side firms with whom those firms execute transactions in most cases also report those transactions.  We see no inherent need for transaction reporting to be ‘dual-sided’ and believe that removing the obligation on buy-side firms to submit transaction reports would neither reduce the quality of information available to NCAs nor decrease the NCAs’ monitoring and oversight capabilities. Transaction reports submitted by sell-side firms provide NCAs with the necessary information for it to monitor market activities and detect potential market abuse, just as MiFIR recordkeeping requirements ensure that NCAs will still be able to obtain detailed information on buy-side firms’ trading activities – as they do today in respect of buy-side firms that are outside the scope of transaction reporting by virtue of operating under an Alternative Investment Fund Managers Directive (AIFMD) or Undertaking for Collective Investment in Transferable Securities (UCITS) licence. This would bring the EU regime in line with that of other key global jurisdictions, as we explain below. In a similar vein, we strongly oppose any extension of the reporting requirements to </w:t>
      </w:r>
      <w:r w:rsidRPr="003C6D27">
        <w:rPr>
          <w:rFonts w:ascii="Neue Haas Grotesk Text Pro" w:hAnsi="Neue Haas Grotesk Text Pro" w:cs="Open Sans"/>
          <w:sz w:val="20"/>
          <w:szCs w:val="20"/>
          <w:lang w:eastAsia="zh-CN"/>
        </w:rPr>
        <w:t xml:space="preserve">AIFMs or UCITS </w:t>
      </w:r>
      <w:r w:rsidRPr="003C6D27">
        <w:rPr>
          <w:rFonts w:ascii="Neue Haas Grotesk Text Pro" w:hAnsi="Neue Haas Grotesk Text Pro" w:cs="Open Sans"/>
          <w:sz w:val="20"/>
          <w:szCs w:val="20"/>
        </w:rPr>
        <w:t>Management Companies</w:t>
      </w:r>
      <w:r w:rsidRPr="003C6D27">
        <w:rPr>
          <w:rFonts w:ascii="Neue Haas Grotesk Text Pro" w:hAnsi="Neue Haas Grotesk Text Pro" w:cs="Open Sans"/>
          <w:sz w:val="20"/>
          <w:szCs w:val="20"/>
          <w:lang w:eastAsia="zh-CN"/>
        </w:rPr>
        <w:t xml:space="preserve"> (ManCos) </w:t>
      </w:r>
      <w:r w:rsidRPr="003C6D27">
        <w:rPr>
          <w:rFonts w:ascii="Neue Haas Grotesk Text Pro" w:hAnsi="Neue Haas Grotesk Text Pro" w:cs="Open Sans"/>
          <w:sz w:val="20"/>
          <w:szCs w:val="20"/>
        </w:rPr>
        <w:t xml:space="preserve">for their MiFID activities, the possibility of which the European Commission has be mandated to assess under Article 46 of the MiFIR Review. </w:t>
      </w:r>
    </w:p>
    <w:p w14:paraId="28D1BE4D" w14:textId="77777777" w:rsidR="000169BD" w:rsidRPr="003C6D27" w:rsidRDefault="000169BD" w:rsidP="00926BDA">
      <w:pPr>
        <w:rPr>
          <w:rFonts w:ascii="Neue Haas Grotesk Text Pro" w:hAnsi="Neue Haas Grotesk Text Pro"/>
          <w:sz w:val="20"/>
          <w:szCs w:val="20"/>
        </w:rPr>
      </w:pPr>
    </w:p>
    <w:p w14:paraId="3AC9CA39" w14:textId="77777777" w:rsidR="00B84977" w:rsidRPr="003C6D27" w:rsidRDefault="00B84977" w:rsidP="00B84977">
      <w:pPr>
        <w:ind w:left="426"/>
        <w:jc w:val="both"/>
        <w:rPr>
          <w:rFonts w:ascii="Neue Haas Grotesk Text Pro" w:hAnsi="Neue Haas Grotesk Text Pro" w:cs="Open Sans"/>
          <w:sz w:val="20"/>
          <w:szCs w:val="20"/>
        </w:rPr>
      </w:pPr>
      <w:r w:rsidRPr="003C6D27">
        <w:rPr>
          <w:rFonts w:ascii="Neue Haas Grotesk Text Pro" w:hAnsi="Neue Haas Grotesk Text Pro" w:cs="Open Sans"/>
          <w:sz w:val="20"/>
          <w:szCs w:val="20"/>
        </w:rPr>
        <w:t xml:space="preserve">Amending the scope of the reporting obligation would significantly reduce the regulatory burden on buy-side firms – particularly those that do not have the same operational and reporting capacity as larger sell-side institutions – and enable them to redirect valuable resources to their core activities, including investor protection and market abuse oversight, and further enhance their contributions to EU capital markets. </w:t>
      </w:r>
    </w:p>
    <w:p w14:paraId="6A5FB0F7" w14:textId="77777777" w:rsidR="00B84977" w:rsidRPr="003C6D27" w:rsidRDefault="00B84977" w:rsidP="00B84977">
      <w:pPr>
        <w:ind w:left="426"/>
        <w:jc w:val="both"/>
        <w:rPr>
          <w:rFonts w:ascii="Neue Haas Grotesk Text Pro" w:hAnsi="Neue Haas Grotesk Text Pro" w:cs="Open Sans"/>
          <w:sz w:val="20"/>
          <w:szCs w:val="20"/>
        </w:rPr>
      </w:pPr>
    </w:p>
    <w:p w14:paraId="7414DFC6" w14:textId="77777777" w:rsidR="00B84977" w:rsidRPr="003C6D27" w:rsidRDefault="00B84977"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Below we examine:</w:t>
      </w:r>
    </w:p>
    <w:p w14:paraId="5FD9AC48" w14:textId="77777777" w:rsidR="00B84977" w:rsidRPr="003C6D27" w:rsidRDefault="00B84977" w:rsidP="003C6D27">
      <w:pPr>
        <w:pStyle w:val="ListParagraph"/>
        <w:rPr>
          <w:rFonts w:ascii="Neue Haas Grotesk Text Pro" w:hAnsi="Neue Haas Grotesk Text Pro"/>
          <w:sz w:val="20"/>
          <w:szCs w:val="20"/>
        </w:rPr>
      </w:pPr>
    </w:p>
    <w:p w14:paraId="3CB34203" w14:textId="77777777" w:rsidR="00B84977" w:rsidRPr="003C6D27" w:rsidRDefault="00B84977" w:rsidP="003C6D27">
      <w:pPr>
        <w:pStyle w:val="ListParagraph"/>
        <w:numPr>
          <w:ilvl w:val="0"/>
          <w:numId w:val="40"/>
        </w:numPr>
        <w:rPr>
          <w:rFonts w:ascii="Neue Haas Grotesk Text Pro" w:hAnsi="Neue Haas Grotesk Text Pro"/>
          <w:sz w:val="20"/>
          <w:szCs w:val="20"/>
        </w:rPr>
      </w:pPr>
      <w:r w:rsidRPr="003C6D27">
        <w:rPr>
          <w:rFonts w:ascii="Neue Haas Grotesk Text Pro" w:hAnsi="Neue Haas Grotesk Text Pro"/>
          <w:sz w:val="20"/>
          <w:szCs w:val="20"/>
        </w:rPr>
        <w:t xml:space="preserve">A more effective, ‘single-sided’ transaction reporting </w:t>
      </w:r>
      <w:proofErr w:type="gramStart"/>
      <w:r w:rsidRPr="003C6D27">
        <w:rPr>
          <w:rFonts w:ascii="Neue Haas Grotesk Text Pro" w:hAnsi="Neue Haas Grotesk Text Pro"/>
          <w:sz w:val="20"/>
          <w:szCs w:val="20"/>
        </w:rPr>
        <w:t>regime;</w:t>
      </w:r>
      <w:proofErr w:type="gramEnd"/>
    </w:p>
    <w:p w14:paraId="43F85098" w14:textId="77777777" w:rsidR="00B84977" w:rsidRPr="003C6D27" w:rsidRDefault="00B84977" w:rsidP="003C6D27">
      <w:pPr>
        <w:pStyle w:val="ListParagraph"/>
        <w:numPr>
          <w:ilvl w:val="0"/>
          <w:numId w:val="40"/>
        </w:numPr>
        <w:rPr>
          <w:rFonts w:ascii="Neue Haas Grotesk Text Pro" w:hAnsi="Neue Haas Grotesk Text Pro"/>
          <w:sz w:val="20"/>
          <w:szCs w:val="20"/>
        </w:rPr>
      </w:pPr>
      <w:r w:rsidRPr="003C6D27">
        <w:rPr>
          <w:rFonts w:ascii="Neue Haas Grotesk Text Pro" w:hAnsi="Neue Haas Grotesk Text Pro"/>
          <w:sz w:val="20"/>
          <w:szCs w:val="20"/>
        </w:rPr>
        <w:t>Limitations of Article 4 of RTS 22 “Transmission of Orders</w:t>
      </w:r>
      <w:proofErr w:type="gramStart"/>
      <w:r w:rsidRPr="003C6D27">
        <w:rPr>
          <w:rFonts w:ascii="Neue Haas Grotesk Text Pro" w:hAnsi="Neue Haas Grotesk Text Pro"/>
          <w:sz w:val="20"/>
          <w:szCs w:val="20"/>
        </w:rPr>
        <w:t>”;</w:t>
      </w:r>
      <w:proofErr w:type="gramEnd"/>
    </w:p>
    <w:p w14:paraId="2838B974" w14:textId="77777777" w:rsidR="00B84977" w:rsidRPr="003C6D27" w:rsidRDefault="00B84977" w:rsidP="003C6D27">
      <w:pPr>
        <w:pStyle w:val="ListParagraph"/>
        <w:numPr>
          <w:ilvl w:val="0"/>
          <w:numId w:val="40"/>
        </w:numPr>
        <w:rPr>
          <w:rFonts w:ascii="Neue Haas Grotesk Text Pro" w:hAnsi="Neue Haas Grotesk Text Pro"/>
          <w:sz w:val="20"/>
          <w:szCs w:val="20"/>
        </w:rPr>
      </w:pPr>
      <w:r w:rsidRPr="003C6D27">
        <w:rPr>
          <w:rFonts w:ascii="Neue Haas Grotesk Text Pro" w:hAnsi="Neue Haas Grotesk Text Pro"/>
          <w:sz w:val="20"/>
          <w:szCs w:val="20"/>
        </w:rPr>
        <w:lastRenderedPageBreak/>
        <w:t>The disparity between requirements for MiFID investment firms and other buy-side firms; and</w:t>
      </w:r>
    </w:p>
    <w:p w14:paraId="232F4FA3" w14:textId="77777777" w:rsidR="00B84977" w:rsidRPr="003C6D27" w:rsidRDefault="00B84977" w:rsidP="003C6D27">
      <w:pPr>
        <w:pStyle w:val="ListParagraph"/>
        <w:numPr>
          <w:ilvl w:val="0"/>
          <w:numId w:val="40"/>
        </w:numPr>
        <w:rPr>
          <w:rFonts w:ascii="Neue Haas Grotesk Text Pro" w:hAnsi="Neue Haas Grotesk Text Pro"/>
          <w:sz w:val="20"/>
          <w:szCs w:val="20"/>
        </w:rPr>
      </w:pPr>
      <w:r w:rsidRPr="003C6D27">
        <w:rPr>
          <w:rFonts w:ascii="Neue Haas Grotesk Text Pro" w:hAnsi="Neue Haas Grotesk Text Pro"/>
          <w:sz w:val="20"/>
          <w:szCs w:val="20"/>
        </w:rPr>
        <w:t>How the EU compares with key global jurisdictions.</w:t>
      </w:r>
    </w:p>
    <w:p w14:paraId="690EF867" w14:textId="77777777" w:rsidR="00B84977" w:rsidRPr="003C6D27" w:rsidRDefault="00B84977" w:rsidP="00B84977">
      <w:pPr>
        <w:rPr>
          <w:rFonts w:ascii="Neue Haas Grotesk Text Pro" w:hAnsi="Neue Haas Grotesk Text Pro"/>
          <w:sz w:val="20"/>
          <w:szCs w:val="20"/>
        </w:rPr>
      </w:pPr>
    </w:p>
    <w:p w14:paraId="7E5C7F99" w14:textId="77777777" w:rsidR="00B84977" w:rsidRPr="003C6D27" w:rsidRDefault="00B84977" w:rsidP="00B84977">
      <w:pPr>
        <w:ind w:left="425"/>
        <w:jc w:val="both"/>
        <w:rPr>
          <w:rFonts w:ascii="Neue Haas Grotesk Text Pro" w:hAnsi="Neue Haas Grotesk Text Pro" w:cs="Open Sans"/>
          <w:sz w:val="20"/>
          <w:szCs w:val="20"/>
        </w:rPr>
      </w:pPr>
      <w:r w:rsidRPr="003C6D27">
        <w:rPr>
          <w:rFonts w:ascii="Neue Haas Grotesk Text Pro" w:hAnsi="Neue Haas Grotesk Text Pro" w:cs="Open Sans"/>
          <w:sz w:val="20"/>
          <w:szCs w:val="20"/>
        </w:rPr>
        <w:t>See also AIMA’s response to Questions 27 and 28 of the call for evidence which addresses the cost and burden of transaction reporting.</w:t>
      </w:r>
    </w:p>
    <w:p w14:paraId="3D981E46" w14:textId="77777777" w:rsidR="00B84977" w:rsidRPr="003C6D27" w:rsidRDefault="00B84977" w:rsidP="00B84977">
      <w:pPr>
        <w:jc w:val="both"/>
        <w:rPr>
          <w:rFonts w:ascii="Neue Haas Grotesk Text Pro" w:hAnsi="Neue Haas Grotesk Text Pro" w:cs="Open Sans"/>
          <w:sz w:val="20"/>
          <w:szCs w:val="20"/>
        </w:rPr>
      </w:pPr>
    </w:p>
    <w:p w14:paraId="0FCE297E" w14:textId="77777777" w:rsidR="00B84977" w:rsidRPr="003C6D27" w:rsidRDefault="00B84977" w:rsidP="003C6D27">
      <w:pPr>
        <w:pStyle w:val="ListParagraph"/>
        <w:numPr>
          <w:ilvl w:val="0"/>
          <w:numId w:val="39"/>
        </w:numPr>
        <w:rPr>
          <w:rFonts w:ascii="Neue Haas Grotesk Text Pro" w:hAnsi="Neue Haas Grotesk Text Pro"/>
          <w:sz w:val="20"/>
          <w:szCs w:val="20"/>
        </w:rPr>
      </w:pPr>
      <w:r w:rsidRPr="003C6D27">
        <w:rPr>
          <w:rFonts w:ascii="Neue Haas Grotesk Text Pro" w:hAnsi="Neue Haas Grotesk Text Pro"/>
          <w:sz w:val="20"/>
          <w:szCs w:val="20"/>
        </w:rPr>
        <w:t>A more effective, ‘single-sided’ transaction reporting regime</w:t>
      </w:r>
    </w:p>
    <w:p w14:paraId="731A73E1" w14:textId="77777777" w:rsidR="00B84977" w:rsidRPr="003C6D27" w:rsidRDefault="00B84977" w:rsidP="003C6D27">
      <w:pPr>
        <w:pStyle w:val="ListParagraph"/>
        <w:rPr>
          <w:rFonts w:ascii="Neue Haas Grotesk Text Pro" w:hAnsi="Neue Haas Grotesk Text Pro"/>
          <w:sz w:val="20"/>
          <w:szCs w:val="20"/>
        </w:rPr>
      </w:pPr>
    </w:p>
    <w:p w14:paraId="58DC65EA" w14:textId="77777777" w:rsidR="00B84977" w:rsidRPr="003C6D27" w:rsidRDefault="00B84977"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 xml:space="preserve">Sell-side firms have the infrastructure and systems in place to handle MIFIR transaction reporting, given that reporting capabilities are central to their ability to provide execution services to their clients. For buy-side firms, such as investment managers, transaction reporting obligations detract from their core investment activities and impose an unnecessary regulatory burden. Freeing buy-side firms from the burden of reporting would allow them to focus on their primary business – investing on behalf of their clients – and to devote additional compliance resource to more productive monitoring and oversight tasks. </w:t>
      </w:r>
    </w:p>
    <w:p w14:paraId="1A3EA07F" w14:textId="77777777" w:rsidR="00B84977" w:rsidRPr="003C6D27" w:rsidRDefault="00B84977" w:rsidP="003C6D27">
      <w:pPr>
        <w:pStyle w:val="ListParagraph"/>
        <w:rPr>
          <w:rFonts w:ascii="Neue Haas Grotesk Text Pro" w:hAnsi="Neue Haas Grotesk Text Pro"/>
          <w:sz w:val="20"/>
          <w:szCs w:val="20"/>
        </w:rPr>
      </w:pPr>
    </w:p>
    <w:p w14:paraId="6F9FDD7C" w14:textId="77777777" w:rsidR="00B84977" w:rsidRPr="003C6D27" w:rsidRDefault="00B84977"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 xml:space="preserve">Sell-side firms are responsible for </w:t>
      </w:r>
      <w:proofErr w:type="gramStart"/>
      <w:r w:rsidRPr="003C6D27">
        <w:rPr>
          <w:rFonts w:ascii="Neue Haas Grotesk Text Pro" w:hAnsi="Neue Haas Grotesk Text Pro"/>
          <w:sz w:val="20"/>
          <w:szCs w:val="20"/>
        </w:rPr>
        <w:t>the vast majority of</w:t>
      </w:r>
      <w:proofErr w:type="gramEnd"/>
      <w:r w:rsidRPr="003C6D27">
        <w:rPr>
          <w:rFonts w:ascii="Neue Haas Grotesk Text Pro" w:hAnsi="Neue Haas Grotesk Text Pro"/>
          <w:sz w:val="20"/>
          <w:szCs w:val="20"/>
        </w:rPr>
        <w:t xml:space="preserve"> trading activity in financial markets, and their reporting alone should provide regulators with a sufficiently comprehensive view of the market and systemic exposures. </w:t>
      </w:r>
      <w:r w:rsidRPr="003C6D27" w:rsidDel="00585A1B">
        <w:rPr>
          <w:rFonts w:ascii="Neue Haas Grotesk Text Pro" w:hAnsi="Neue Haas Grotesk Text Pro"/>
          <w:sz w:val="20"/>
          <w:szCs w:val="20"/>
        </w:rPr>
        <w:t>R</w:t>
      </w:r>
      <w:r w:rsidRPr="003C6D27">
        <w:rPr>
          <w:rFonts w:ascii="Neue Haas Grotesk Text Pro" w:hAnsi="Neue Haas Grotesk Text Pro"/>
          <w:sz w:val="20"/>
          <w:szCs w:val="20"/>
        </w:rPr>
        <w:t xml:space="preserve">emoving the obligation on buy-side firms to submit transaction reports would not meaningfully reduce the quality of information available to NCAs nor decrease the NCAs’ monitoring and oversight capabilities. Transaction reports submitted by sell-side firms and trading venues provide NCAs with necessary information to monitor market activities and detect potential market abuse – something that is readily apparent from the fact that buy-side firms operating under an AIFMD or UCITS licence rightly do not need to report their transactions to NCAs (examined in detail below). </w:t>
      </w:r>
    </w:p>
    <w:p w14:paraId="6300C479" w14:textId="77777777" w:rsidR="00B84977" w:rsidRPr="003C6D27" w:rsidRDefault="00B84977" w:rsidP="003C6D27">
      <w:pPr>
        <w:pStyle w:val="ListParagraph"/>
        <w:rPr>
          <w:rFonts w:ascii="Neue Haas Grotesk Text Pro" w:hAnsi="Neue Haas Grotesk Text Pro"/>
          <w:sz w:val="20"/>
          <w:szCs w:val="20"/>
        </w:rPr>
      </w:pPr>
    </w:p>
    <w:p w14:paraId="2F7E3B7C" w14:textId="77777777" w:rsidR="00B84977" w:rsidRPr="003C6D27" w:rsidRDefault="00B84977" w:rsidP="003C6D27">
      <w:pPr>
        <w:pStyle w:val="ListParagraph"/>
        <w:rPr>
          <w:rFonts w:ascii="Neue Haas Grotesk Text Pro" w:hAnsi="Neue Haas Grotesk Text Pro"/>
          <w:sz w:val="20"/>
          <w:szCs w:val="20"/>
        </w:rPr>
      </w:pPr>
      <w:proofErr w:type="gramStart"/>
      <w:r w:rsidRPr="003C6D27">
        <w:rPr>
          <w:rFonts w:ascii="Neue Haas Grotesk Text Pro" w:hAnsi="Neue Haas Grotesk Text Pro"/>
          <w:sz w:val="20"/>
          <w:szCs w:val="20"/>
        </w:rPr>
        <w:t>The majority of</w:t>
      </w:r>
      <w:proofErr w:type="gramEnd"/>
      <w:r w:rsidRPr="003C6D27">
        <w:rPr>
          <w:rFonts w:ascii="Neue Haas Grotesk Text Pro" w:hAnsi="Neue Haas Grotesk Text Pro"/>
          <w:sz w:val="20"/>
          <w:szCs w:val="20"/>
        </w:rPr>
        <w:t xml:space="preserve"> the fields in the corresponding transaction reports for buy-side and sell-side firms are identical, with the same key transaction details duplicated. The differences broadly relate to fields indicating the investment decision maker and the execution decision maker, information which NCAs can access through requesting records from buy-side firms who are obliged to keep records of orders that result in transactions, as well as any orders that are rejected, modified or cancelled. As such, NCAs </w:t>
      </w:r>
      <w:proofErr w:type="gramStart"/>
      <w:r w:rsidRPr="003C6D27">
        <w:rPr>
          <w:rFonts w:ascii="Neue Haas Grotesk Text Pro" w:hAnsi="Neue Haas Grotesk Text Pro"/>
          <w:sz w:val="20"/>
          <w:szCs w:val="20"/>
        </w:rPr>
        <w:t>are able to</w:t>
      </w:r>
      <w:proofErr w:type="gramEnd"/>
      <w:r w:rsidRPr="003C6D27">
        <w:rPr>
          <w:rFonts w:ascii="Neue Haas Grotesk Text Pro" w:hAnsi="Neue Haas Grotesk Text Pro"/>
          <w:sz w:val="20"/>
          <w:szCs w:val="20"/>
        </w:rPr>
        <w:t xml:space="preserve"> form a complete picture of firms’ activities and the market without relying on duplicative buy-side transaction reports. </w:t>
      </w:r>
    </w:p>
    <w:p w14:paraId="18BCE29C" w14:textId="77777777" w:rsidR="00B84977" w:rsidRPr="003C6D27" w:rsidRDefault="00B84977" w:rsidP="003C6D27">
      <w:pPr>
        <w:pStyle w:val="ListParagraph"/>
        <w:rPr>
          <w:rFonts w:ascii="Neue Haas Grotesk Text Pro" w:hAnsi="Neue Haas Grotesk Text Pro"/>
          <w:sz w:val="20"/>
          <w:szCs w:val="20"/>
        </w:rPr>
      </w:pPr>
    </w:p>
    <w:p w14:paraId="295C2CE4" w14:textId="77777777" w:rsidR="00B84977" w:rsidRPr="003C6D27" w:rsidRDefault="00B84977"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We recognise that, under the current framework, in instances where an EU buy-side firm transacts with a counterparty that is not subject to EU transaction reporting requirements, a report would only be submitted if arranged by the buy-side firm. However, we believe the practical impact of such scenarios may be limited. We encourage ESMA to review the universe of securities that are most likely to be implicated in such scenarios. Anecdotally, we believe these will predominantly be securities with a primary listing outside the EU and therefore of limited relevance to the integrity and stability of EU financial markets.</w:t>
      </w:r>
    </w:p>
    <w:p w14:paraId="4B356544" w14:textId="77777777" w:rsidR="00B84977" w:rsidRPr="003C6D27" w:rsidRDefault="00B84977" w:rsidP="003C6D27">
      <w:pPr>
        <w:pStyle w:val="ListParagraph"/>
        <w:rPr>
          <w:rFonts w:ascii="Neue Haas Grotesk Text Pro" w:hAnsi="Neue Haas Grotesk Text Pro"/>
          <w:sz w:val="20"/>
          <w:szCs w:val="20"/>
        </w:rPr>
      </w:pPr>
    </w:p>
    <w:p w14:paraId="7AF89F61" w14:textId="77777777" w:rsidR="00D14309" w:rsidRPr="003C6D27" w:rsidRDefault="00B84977"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In addition, due to uncertainties regarding the interpretation of MIFIR transaction reporting rules for certain asset classes and instruments (including amongst professional advisors and</w:t>
      </w:r>
      <w:r w:rsidR="00D14309" w:rsidRPr="003C6D27">
        <w:rPr>
          <w:rFonts w:ascii="Neue Haas Grotesk Text Pro" w:hAnsi="Neue Haas Grotesk Text Pro"/>
          <w:sz w:val="20"/>
          <w:szCs w:val="20"/>
        </w:rPr>
        <w:t xml:space="preserve"> </w:t>
      </w:r>
      <w:r w:rsidR="00D14309" w:rsidRPr="003C6D27">
        <w:rPr>
          <w:rFonts w:ascii="Neue Haas Grotesk Text Pro" w:hAnsi="Neue Haas Grotesk Text Pro"/>
          <w:sz w:val="20"/>
          <w:szCs w:val="20"/>
        </w:rPr>
        <w:t xml:space="preserve">expert consultants), MiFIR transaction reporting by many different buy-side firms often results in inconsistent and inaccurate reporting (even where buy-side firms use their best efforts and incur costs seeking expert advice to report as accurately as possible). This can result in lower </w:t>
      </w:r>
      <w:r w:rsidR="00D14309" w:rsidRPr="003C6D27">
        <w:rPr>
          <w:rFonts w:ascii="Neue Haas Grotesk Text Pro" w:hAnsi="Neue Haas Grotesk Text Pro"/>
          <w:sz w:val="20"/>
          <w:szCs w:val="20"/>
        </w:rPr>
        <w:lastRenderedPageBreak/>
        <w:t>quality and conflicting data in dual-reported transactions, undermining the purpose of collecting such MiFIR transaction reporting information.</w:t>
      </w:r>
    </w:p>
    <w:p w14:paraId="48F9855C" w14:textId="2F0733DE" w:rsidR="00B84977" w:rsidRPr="003C6D27" w:rsidRDefault="00B84977" w:rsidP="003C6D27">
      <w:pPr>
        <w:pStyle w:val="ListParagraph"/>
        <w:rPr>
          <w:rFonts w:ascii="Neue Haas Grotesk Text Pro" w:hAnsi="Neue Haas Grotesk Text Pro"/>
          <w:sz w:val="20"/>
          <w:szCs w:val="20"/>
        </w:rPr>
      </w:pPr>
    </w:p>
    <w:p w14:paraId="67C4E09A" w14:textId="77777777" w:rsidR="00B16C39" w:rsidRPr="003C6D27" w:rsidRDefault="00B16C39" w:rsidP="003C6D27">
      <w:pPr>
        <w:pStyle w:val="ListParagraph"/>
        <w:numPr>
          <w:ilvl w:val="0"/>
          <w:numId w:val="39"/>
        </w:numPr>
        <w:rPr>
          <w:rFonts w:ascii="Neue Haas Grotesk Text Pro" w:hAnsi="Neue Haas Grotesk Text Pro"/>
          <w:sz w:val="20"/>
          <w:szCs w:val="20"/>
        </w:rPr>
      </w:pPr>
      <w:r w:rsidRPr="003C6D27">
        <w:rPr>
          <w:rFonts w:ascii="Neue Haas Grotesk Text Pro" w:hAnsi="Neue Haas Grotesk Text Pro"/>
          <w:sz w:val="20"/>
          <w:szCs w:val="20"/>
        </w:rPr>
        <w:t>Limitations of Article 4 of RTS 22 Transmission of Orders”</w:t>
      </w:r>
    </w:p>
    <w:p w14:paraId="06E952CF" w14:textId="77777777" w:rsidR="00B16C39" w:rsidRPr="003C6D27" w:rsidRDefault="00B16C39" w:rsidP="003C6D27">
      <w:pPr>
        <w:pStyle w:val="ListParagraph"/>
        <w:rPr>
          <w:rFonts w:ascii="Neue Haas Grotesk Text Pro" w:hAnsi="Neue Haas Grotesk Text Pro"/>
          <w:sz w:val="20"/>
          <w:szCs w:val="20"/>
        </w:rPr>
      </w:pPr>
    </w:p>
    <w:p w14:paraId="401A8107" w14:textId="77777777" w:rsidR="00B16C39" w:rsidRPr="003C6D27" w:rsidRDefault="00B16C39"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It is worth noting that the MiFIR framework recognises the efficiency of sell-side reporting – and that buy-side firms do not need to report transactions directly for the purposes of market surveillance and market abuse monitoring. RTS 22 Article 4 “Transmission of Orders” provides buy-side firms an option of sending order information to a sell-side firm to report the transaction to NCAs. The responsibility to report then lies ultimately with the sell-side firm. However, take-up of this option by buy-side firms is low. There are several reasons for this, all of which point to a single umbrella reason: the concept of order transmission, while well-intentioned, does not reduce the burden of transaction reporting or improve the efficiency of transaction reporting. Specifically, the order transmission framework places insurmountable burdens on both buy-side and sell-side firms, which we outline below.</w:t>
      </w:r>
    </w:p>
    <w:p w14:paraId="53D4BB5D" w14:textId="77777777" w:rsidR="00B16C39" w:rsidRPr="003C6D27" w:rsidRDefault="00B16C39" w:rsidP="003C6D27">
      <w:pPr>
        <w:pStyle w:val="ListParagraph"/>
        <w:rPr>
          <w:rFonts w:ascii="Neue Haas Grotesk Text Pro" w:hAnsi="Neue Haas Grotesk Text Pro"/>
          <w:sz w:val="20"/>
          <w:szCs w:val="20"/>
        </w:rPr>
      </w:pPr>
    </w:p>
    <w:p w14:paraId="2324C61D" w14:textId="77777777" w:rsidR="00B16C39" w:rsidRPr="003C6D27" w:rsidRDefault="00B16C39"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Firstly, it requires a buy-side firm to</w:t>
      </w:r>
      <w:r w:rsidRPr="003C6D27" w:rsidDel="00BE694F">
        <w:rPr>
          <w:rFonts w:ascii="Neue Haas Grotesk Text Pro" w:hAnsi="Neue Haas Grotesk Text Pro"/>
          <w:sz w:val="20"/>
          <w:szCs w:val="20"/>
        </w:rPr>
        <w:t xml:space="preserve"> </w:t>
      </w:r>
      <w:r w:rsidRPr="003C6D27">
        <w:rPr>
          <w:rFonts w:ascii="Neue Haas Grotesk Text Pro" w:hAnsi="Neue Haas Grotesk Text Pro"/>
          <w:sz w:val="20"/>
          <w:szCs w:val="20"/>
        </w:rPr>
        <w:t xml:space="preserve">establish sophisticated systems for transmitting accurate data to the receiving firm, while assuming liability for potential failures to transmit orders correctly or on time. In practice, the information that must be supplied by the buy-side firm to the receiving sell-side firm under Article 4(2) of RTS 22 is not substantially less than the information that would be required for the buy-side firm to populate its own direct transaction report. The firm must continuously monitor what is transmitted to the receiving firm, but at the same accept that it has no visibility over the ultimate reporting procedures of the receiving firm. Orders transmitted to sell-side counterparties may include sensitive data such as the identity of decision makers or client details and inadvertent disclosure of clients’ strategies or market intentions, which could be misused. In these circumstances, buy-side firms are likely to conclude that it would be preferable to simply connect to an ARM and report directly. </w:t>
      </w:r>
    </w:p>
    <w:p w14:paraId="54D10C84" w14:textId="77777777" w:rsidR="00B16C39" w:rsidRPr="003C6D27" w:rsidRDefault="00B16C39" w:rsidP="003C6D27">
      <w:pPr>
        <w:pStyle w:val="ListParagraph"/>
        <w:rPr>
          <w:rFonts w:ascii="Neue Haas Grotesk Text Pro" w:hAnsi="Neue Haas Grotesk Text Pro"/>
          <w:sz w:val="20"/>
          <w:szCs w:val="20"/>
        </w:rPr>
      </w:pPr>
    </w:p>
    <w:p w14:paraId="72DA16D1" w14:textId="77777777" w:rsidR="00B16C39" w:rsidRPr="003C6D27" w:rsidRDefault="00B16C39"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There are also specific data privacy concerns for buy-side firms when connecting to an ARM. The risks associated with data flow and privacy in this context differ from those involved in transmitting orders to a sell-side firm. ARMs function as third-party intermediaries and do not execute trades; their role is more limited compared to sell-side firms, which have broader access to client trading activity and are involved in multiple transactions across different clients. While data may, for example, be anonymised and pseudonymised before transmission, this does not eliminate the risk of reidentification.</w:t>
      </w:r>
    </w:p>
    <w:p w14:paraId="33AA3B39" w14:textId="77777777" w:rsidR="00B16C39" w:rsidRPr="003C6D27" w:rsidRDefault="00B16C39" w:rsidP="003C6D27">
      <w:pPr>
        <w:pStyle w:val="ListParagraph"/>
        <w:rPr>
          <w:rFonts w:ascii="Neue Haas Grotesk Text Pro" w:hAnsi="Neue Haas Grotesk Text Pro"/>
          <w:sz w:val="20"/>
          <w:szCs w:val="20"/>
        </w:rPr>
      </w:pPr>
    </w:p>
    <w:p w14:paraId="24AED7BE" w14:textId="77777777" w:rsidR="00B16C39" w:rsidRPr="003C6D27" w:rsidRDefault="00B16C39"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 xml:space="preserve">The limitation of the order transmission framework is further emphasised through the impracticality of relying on written agreements, as mandated under Article 4 of RTS 22. Order transmission carries clear disincentives for receiving sell-side firms, given that they become liable for reporting correctly. Sell-side firms do not typically offer transmission of order services as part of their standard terms of business and they are reluctant to put in place written order transmission agreements, which have prescriptive content requirements, including time limits for the transmitting firm to provide order details and requirements on receiving firms to verify the accuracy of transmitted orders. The absence of standardised terms exacerbates this issue, as each agreement must be individually negotiated with brokers. Even where sell-side firms are willing to enter into transmission agreements, there is no industry standard template, which means each agreement must be negotiated bilaterally between the parties. This is inevitably a </w:t>
      </w:r>
      <w:r w:rsidRPr="003C6D27">
        <w:rPr>
          <w:rFonts w:ascii="Neue Haas Grotesk Text Pro" w:hAnsi="Neue Haas Grotesk Text Pro"/>
          <w:sz w:val="20"/>
          <w:szCs w:val="20"/>
        </w:rPr>
        <w:lastRenderedPageBreak/>
        <w:t>time-consuming, cost-incurring process and prevents firms wishing to make use of the transmission model from acting quickly if they wish to on-board with a new broker or sell-side counterparty. In this regard, buy-side firms would much prefer a single-sided sell-side reporting regime that clearly apportions responsibility for reporting - this would prevent delays associated with the parties needing to negotiate on this point, as described above.</w:t>
      </w:r>
    </w:p>
    <w:p w14:paraId="3D5650D1" w14:textId="77777777" w:rsidR="00B16C39" w:rsidRPr="003C6D27" w:rsidRDefault="00B16C39" w:rsidP="003C6D27">
      <w:pPr>
        <w:pStyle w:val="ListParagraph"/>
        <w:rPr>
          <w:rFonts w:ascii="Neue Haas Grotesk Text Pro" w:hAnsi="Neue Haas Grotesk Text Pro"/>
          <w:sz w:val="20"/>
          <w:szCs w:val="20"/>
        </w:rPr>
      </w:pPr>
    </w:p>
    <w:p w14:paraId="4159416D" w14:textId="77777777" w:rsidR="00082351" w:rsidRPr="003C6D27" w:rsidRDefault="00082351"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 xml:space="preserve">In addition to the operational barriers to uptake, there are also technical challenges that prevent buy-side firms from being able to utilise the Article 4 exemption. This exemption does not apply in situations where a buy-side firm actively participates in a trade and assumes responsibility for executing trades themselves, often through bilateral negotiations or direct engagements with counterparties. For example, when a firm acts as a principal trader or when trades involve multiple quotes and the firm executes the trade directly with a counterparty. The exemption is also challenging to apply in complex or illiquid asset classes, where buy-side firms are more likely to execute trades independently that require bespoke negotiation or specialised knowledge, such as in structured products or non-listed securities. The exemption was designed for cases where a buy-side firm simply transmits an order to the sell-side, but this does not reflect the reality for buy-side firms that actively execute trades. As such, the order transmission framework fails to provide the intended flexibility for buy-side firms and does not alleviate the cost and burden of transaction reporting. </w:t>
      </w:r>
    </w:p>
    <w:p w14:paraId="182FBA15" w14:textId="77777777" w:rsidR="00082351" w:rsidRPr="003C6D27" w:rsidRDefault="00082351" w:rsidP="003C6D27">
      <w:pPr>
        <w:pStyle w:val="ListParagraph"/>
        <w:rPr>
          <w:rFonts w:ascii="Neue Haas Grotesk Text Pro" w:hAnsi="Neue Haas Grotesk Text Pro"/>
          <w:sz w:val="20"/>
          <w:szCs w:val="20"/>
        </w:rPr>
      </w:pPr>
    </w:p>
    <w:p w14:paraId="7A02760A" w14:textId="77777777" w:rsidR="00082351" w:rsidRPr="003C6D27" w:rsidRDefault="00082351"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 xml:space="preserve">We would also point out that the transmission model set out under Article 4 of RTS 22 differs from delegated reporting under EMIR, which firms commonly use. Under EMIR, the responsibility for ensuring that the OTC derivative transactions are reported accurately remains with the buy-side firm. The type of data reported under EMIR also differs. </w:t>
      </w:r>
    </w:p>
    <w:p w14:paraId="4B776999" w14:textId="77777777" w:rsidR="00082351" w:rsidRPr="003C6D27" w:rsidRDefault="00082351" w:rsidP="003C6D27">
      <w:pPr>
        <w:pStyle w:val="ListParagraph"/>
        <w:rPr>
          <w:rFonts w:ascii="Neue Haas Grotesk Text Pro" w:hAnsi="Neue Haas Grotesk Text Pro"/>
          <w:sz w:val="20"/>
          <w:szCs w:val="20"/>
        </w:rPr>
      </w:pPr>
    </w:p>
    <w:p w14:paraId="3F1AF81C" w14:textId="77777777" w:rsidR="00082351" w:rsidRPr="003C6D27" w:rsidRDefault="00082351"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 xml:space="preserve">AIMA does not believe any other options such as mandating delegated reporting provide a suitable solution. At its core, order transmission requires buy-side firms to transmit data to sell-side firms in a manner almost identical to submitting data to NCAs via an ARM. As such, there is little incentive for buy-side firms to undertake the effort of transmitting an order in place of reporting a transaction, given the additional considerations set out above. The problems associated with the limited use of Article 4 of RTS 22 can be directly alleviated through addressing the scope of the transaction reporting obligations. </w:t>
      </w:r>
    </w:p>
    <w:p w14:paraId="08AD28BC" w14:textId="77777777" w:rsidR="00082351" w:rsidRPr="003C6D27" w:rsidRDefault="00082351" w:rsidP="003C6D27">
      <w:pPr>
        <w:pStyle w:val="ListParagraph"/>
        <w:rPr>
          <w:rFonts w:ascii="Neue Haas Grotesk Text Pro" w:hAnsi="Neue Haas Grotesk Text Pro"/>
          <w:sz w:val="20"/>
          <w:szCs w:val="20"/>
        </w:rPr>
      </w:pPr>
    </w:p>
    <w:p w14:paraId="7600709C" w14:textId="77777777" w:rsidR="00082351" w:rsidRPr="003C6D27" w:rsidRDefault="00082351" w:rsidP="003C6D27">
      <w:pPr>
        <w:pStyle w:val="ListParagraph"/>
        <w:numPr>
          <w:ilvl w:val="0"/>
          <w:numId w:val="39"/>
        </w:numPr>
        <w:rPr>
          <w:rFonts w:ascii="Neue Haas Grotesk Text Pro" w:hAnsi="Neue Haas Grotesk Text Pro"/>
          <w:sz w:val="20"/>
          <w:szCs w:val="20"/>
        </w:rPr>
      </w:pPr>
      <w:r w:rsidRPr="003C6D27">
        <w:rPr>
          <w:rFonts w:ascii="Neue Haas Grotesk Text Pro" w:hAnsi="Neue Haas Grotesk Text Pro"/>
          <w:sz w:val="20"/>
          <w:szCs w:val="20"/>
        </w:rPr>
        <w:t>The disparity between requirements for MiFID investment firms and other buy-side firms</w:t>
      </w:r>
    </w:p>
    <w:p w14:paraId="09ED1958" w14:textId="77777777" w:rsidR="00082351" w:rsidRPr="003C6D27" w:rsidRDefault="00082351" w:rsidP="003C6D27">
      <w:pPr>
        <w:pStyle w:val="ListParagraph"/>
        <w:rPr>
          <w:rFonts w:ascii="Neue Haas Grotesk Text Pro" w:hAnsi="Neue Haas Grotesk Text Pro"/>
          <w:sz w:val="20"/>
          <w:szCs w:val="20"/>
        </w:rPr>
      </w:pPr>
    </w:p>
    <w:p w14:paraId="67F2046E" w14:textId="77777777" w:rsidR="00082351" w:rsidRPr="003C6D27" w:rsidRDefault="00082351"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 xml:space="preserve">AIMA understands that the primary role of transaction reporting is to support NCAs’ market abuse monitoring and market monitoring capabilities. However, transaction reporting requirements are imposed only on MiFID investment firms. AIFMs, UCITS ManCos and AIFMs and UCITS ManCos with MiFID ‘top up’ permissions are – quite rightly – not subject to MiFIR transaction reporting requirements. Both MiFID investment firms and these other firms conduct the activity of portfolio management, however only one subset of firms is subject to reporting, which puts them at a competitive disadvantage for no justifiable reason. </w:t>
      </w:r>
    </w:p>
    <w:p w14:paraId="4AA0EA65" w14:textId="77777777" w:rsidR="00082351" w:rsidRPr="003C6D27" w:rsidRDefault="00082351" w:rsidP="003C6D27">
      <w:pPr>
        <w:pStyle w:val="ListParagraph"/>
        <w:rPr>
          <w:rFonts w:ascii="Neue Haas Grotesk Text Pro" w:hAnsi="Neue Haas Grotesk Text Pro"/>
          <w:sz w:val="20"/>
          <w:szCs w:val="20"/>
        </w:rPr>
      </w:pPr>
    </w:p>
    <w:p w14:paraId="1A4CF6E4" w14:textId="77777777" w:rsidR="00082351" w:rsidRPr="003C6D27" w:rsidRDefault="00082351"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 xml:space="preserve">The reporting obligation places firms conducting MiFID portfolio management at a competitive disadvantage to firms managing AIFs and UCITS funds. Most EU asset management firms operate under either a UCITS or AIFM licence, occasionally with a MiFID top-up permission. </w:t>
      </w:r>
      <w:r w:rsidRPr="003C6D27">
        <w:rPr>
          <w:rFonts w:ascii="Neue Haas Grotesk Text Pro" w:hAnsi="Neue Haas Grotesk Text Pro"/>
          <w:sz w:val="20"/>
          <w:szCs w:val="20"/>
        </w:rPr>
        <w:lastRenderedPageBreak/>
        <w:t xml:space="preserve">Over the last few years, this trend has been growing as MiFID-licenced asset managers have moved toward adopting UCITS/AIFM licences instead. The exclusion of reporting requirements for firms which make up most of the buy-side implicitly demonstrates that buy-side transaction reporting is not required to support effective market abuse and market monitoring by regulators. Removing the transaction reporting requirements for buy-side MiFID investment firms would increase the competitiveness of MiFID portfolio management firms and the EU. </w:t>
      </w:r>
    </w:p>
    <w:p w14:paraId="15A84646" w14:textId="77777777" w:rsidR="00082351" w:rsidRPr="003C6D27" w:rsidRDefault="00082351" w:rsidP="003C6D27">
      <w:pPr>
        <w:pStyle w:val="ListParagraph"/>
        <w:rPr>
          <w:rFonts w:ascii="Neue Haas Grotesk Text Pro" w:hAnsi="Neue Haas Grotesk Text Pro"/>
          <w:sz w:val="20"/>
          <w:szCs w:val="20"/>
        </w:rPr>
      </w:pPr>
    </w:p>
    <w:p w14:paraId="5FC27471" w14:textId="77777777" w:rsidR="00A308BE" w:rsidRPr="003C6D27" w:rsidRDefault="00082351"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AIMA is aware that, under Article 46 of the MiFIR Review, the European Commission is mandated to assess the possibility of extending the transaction reporting requirements under Article 26 MiFIR to AIFMs and UCITS ManCos which provide investment services and activities, and which execute transactions in financial instruments.</w:t>
      </w:r>
      <w:r w:rsidRPr="003C6D27">
        <w:rPr>
          <w:rFonts w:ascii="Neue Haas Grotesk Text Pro" w:hAnsi="Neue Haas Grotesk Text Pro"/>
          <w:sz w:val="20"/>
          <w:szCs w:val="20"/>
          <w:lang w:eastAsia="zh-CN"/>
        </w:rPr>
        <w:t xml:space="preserve"> We strongly oppose any extension of the scope of transaction reporting requirements to UCITS ManCos and AIFMs when they provide a MiFID service to third parties.</w:t>
      </w:r>
      <w:r w:rsidRPr="003C6D27">
        <w:rPr>
          <w:rFonts w:ascii="Neue Haas Grotesk Text Pro" w:hAnsi="Neue Haas Grotesk Text Pro"/>
          <w:sz w:val="20"/>
          <w:szCs w:val="20"/>
        </w:rPr>
        <w:t xml:space="preserve"> It would create an unfair playing field between EU and non-EU AIFMs/UCITS ManCos </w:t>
      </w:r>
      <w:r w:rsidRPr="003C6D27">
        <w:rPr>
          <w:rFonts w:ascii="Neue Haas Grotesk Text Pro" w:hAnsi="Neue Haas Grotesk Text Pro"/>
          <w:sz w:val="20"/>
          <w:szCs w:val="20"/>
          <w:lang w:eastAsia="zh-CN"/>
        </w:rPr>
        <w:t xml:space="preserve">and only </w:t>
      </w:r>
      <w:r w:rsidRPr="003C6D27">
        <w:rPr>
          <w:rFonts w:ascii="Neue Haas Grotesk Text Pro" w:hAnsi="Neue Haas Grotesk Text Pro"/>
          <w:sz w:val="20"/>
          <w:szCs w:val="20"/>
        </w:rPr>
        <w:t>act as a barrier to entry for smaller investment managers seeking to establish in the EU. Non-EU firms would be able to offer their</w:t>
      </w:r>
      <w:r w:rsidR="00A308BE" w:rsidRPr="003C6D27">
        <w:rPr>
          <w:rFonts w:ascii="Neue Haas Grotesk Text Pro" w:hAnsi="Neue Haas Grotesk Text Pro"/>
          <w:sz w:val="20"/>
          <w:szCs w:val="20"/>
        </w:rPr>
        <w:t xml:space="preserve"> </w:t>
      </w:r>
      <w:r w:rsidR="00A308BE" w:rsidRPr="003C6D27">
        <w:rPr>
          <w:rFonts w:ascii="Neue Haas Grotesk Text Pro" w:hAnsi="Neue Haas Grotesk Text Pro"/>
          <w:sz w:val="20"/>
          <w:szCs w:val="20"/>
        </w:rPr>
        <w:t xml:space="preserve">services to third-country clients at a lower cost than those operating in the EU, driving investment away from the EU. We would note that </w:t>
      </w:r>
      <w:r w:rsidR="00A308BE" w:rsidRPr="003C6D27">
        <w:rPr>
          <w:rFonts w:ascii="Neue Haas Grotesk Text Pro" w:hAnsi="Neue Haas Grotesk Text Pro"/>
          <w:sz w:val="20"/>
          <w:szCs w:val="20"/>
          <w:lang w:eastAsia="zh-CN"/>
        </w:rPr>
        <w:t xml:space="preserve">there are </w:t>
      </w:r>
      <w:r w:rsidR="00A308BE" w:rsidRPr="003C6D27">
        <w:rPr>
          <w:rFonts w:ascii="Neue Haas Grotesk Text Pro" w:hAnsi="Neue Haas Grotesk Text Pro"/>
          <w:sz w:val="20"/>
          <w:szCs w:val="20"/>
        </w:rPr>
        <w:t xml:space="preserve">also operational challenges associated with delineating trading activities by regulatory permission. It will be difficult for AIFMs and UCITS ManCos to limit the reporting to trading related to individual portfolio management only (i.e., the activity that is carried out under top-up permissions), creating uncertainty about who should report transactions (the AIFM/UCITS ManCo or the sell-side investment firm/trading venue) and a risk of over-reporting. </w:t>
      </w:r>
      <w:r w:rsidR="00A308BE" w:rsidRPr="003C6D27">
        <w:rPr>
          <w:rFonts w:ascii="Neue Haas Grotesk Text Pro" w:eastAsia="Cambria" w:hAnsi="Neue Haas Grotesk Text Pro"/>
          <w:sz w:val="20"/>
          <w:szCs w:val="20"/>
        </w:rPr>
        <w:t xml:space="preserve">Under Article 26(5) MiFIR, trading venues are required to report details of transactions in financial instruments conducted by non-MiFID investment firms. Sell-side investment firms are also required to report transactions to NCAs executed with their buy-side clients, including transactions that are executed off-venue. As such, alongside reports provided under, for example, EMIR, SFTR and the Market Abuse Regulation, </w:t>
      </w:r>
      <w:r w:rsidR="00A308BE" w:rsidRPr="003C6D27">
        <w:rPr>
          <w:rFonts w:ascii="Neue Haas Grotesk Text Pro" w:hAnsi="Neue Haas Grotesk Text Pro"/>
          <w:sz w:val="20"/>
          <w:szCs w:val="20"/>
        </w:rPr>
        <w:t>NCAs already have extensive information on ongoing transactions and the activities of AIFMs and UCITS ManCos.</w:t>
      </w:r>
    </w:p>
    <w:p w14:paraId="41F9F847" w14:textId="77777777" w:rsidR="00A308BE" w:rsidRPr="003C6D27" w:rsidRDefault="00A308BE" w:rsidP="00A308BE">
      <w:pPr>
        <w:jc w:val="both"/>
        <w:rPr>
          <w:rFonts w:ascii="Neue Haas Grotesk Text Pro" w:hAnsi="Neue Haas Grotesk Text Pro" w:cs="Open Sans"/>
          <w:sz w:val="20"/>
          <w:szCs w:val="20"/>
        </w:rPr>
      </w:pPr>
    </w:p>
    <w:p w14:paraId="2DB6A4D8" w14:textId="77777777" w:rsidR="00A308BE" w:rsidRPr="003C6D27" w:rsidRDefault="00A308BE" w:rsidP="003C6D27">
      <w:pPr>
        <w:pStyle w:val="ListParagraph"/>
        <w:numPr>
          <w:ilvl w:val="0"/>
          <w:numId w:val="39"/>
        </w:numPr>
        <w:rPr>
          <w:rFonts w:ascii="Neue Haas Grotesk Text Pro" w:hAnsi="Neue Haas Grotesk Text Pro"/>
          <w:sz w:val="20"/>
          <w:szCs w:val="20"/>
        </w:rPr>
      </w:pPr>
      <w:r w:rsidRPr="003C6D27">
        <w:rPr>
          <w:rFonts w:ascii="Neue Haas Grotesk Text Pro" w:hAnsi="Neue Haas Grotesk Text Pro"/>
          <w:sz w:val="20"/>
          <w:szCs w:val="20"/>
        </w:rPr>
        <w:t>How the EU compares with key global jurisdictions</w:t>
      </w:r>
    </w:p>
    <w:p w14:paraId="52DEBF45" w14:textId="77777777" w:rsidR="00A308BE" w:rsidRPr="003C6D27" w:rsidRDefault="00A308BE" w:rsidP="003C6D27">
      <w:pPr>
        <w:pStyle w:val="ListParagraph"/>
        <w:rPr>
          <w:rFonts w:ascii="Neue Haas Grotesk Text Pro" w:hAnsi="Neue Haas Grotesk Text Pro"/>
          <w:sz w:val="20"/>
          <w:szCs w:val="20"/>
        </w:rPr>
      </w:pPr>
    </w:p>
    <w:p w14:paraId="465C9AE0" w14:textId="77777777" w:rsidR="00A308BE" w:rsidRPr="003C6D27" w:rsidRDefault="00A308BE"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 xml:space="preserve">The MiFIR transaction reporting regime is notably more burdensome compared to the regulatory frameworks in other major and emerging financial centres, such as those in North America, the APAC region and the Middle East. Outside of Europe, jurisdictions have developed frameworks that limit regulatory burdens on buy-side firms while still enabling effective market surveillance and monitoring of market abuse. De-scoping buy-side firms from the MiFIR transaction reporting requirements would align the EU with global regulatory norms and strengthen its competitiveness as a financial hub for international investors. </w:t>
      </w:r>
    </w:p>
    <w:p w14:paraId="69AE50EC" w14:textId="77777777" w:rsidR="00A308BE" w:rsidRPr="003C6D27" w:rsidRDefault="00A308BE" w:rsidP="003C6D27">
      <w:pPr>
        <w:pStyle w:val="ListParagraph"/>
        <w:rPr>
          <w:rFonts w:ascii="Neue Haas Grotesk Text Pro" w:hAnsi="Neue Haas Grotesk Text Pro"/>
          <w:sz w:val="20"/>
          <w:szCs w:val="20"/>
        </w:rPr>
      </w:pPr>
    </w:p>
    <w:p w14:paraId="5F636DDC" w14:textId="77777777" w:rsidR="00A308BE" w:rsidRPr="003C6D27" w:rsidRDefault="00A308BE"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 xml:space="preserve">The current regime places EU firms at a structural disadvantage relative to their global peers, where they are not subject to equivalent transaction reporting obligations. Due to the additional (and material) costs associated with complying with the reporting rules, EU firms have a higher cost base than firms in, for example, the Cayman Islands for offering similar investment products. This disparity has direct consequences for market competitiveness and investor outcomes, with the higher compliance costs borne by EU firms ultimately passed on to clients, including retail investors. </w:t>
      </w:r>
    </w:p>
    <w:p w14:paraId="047A81FE" w14:textId="77777777" w:rsidR="00A308BE" w:rsidRPr="003C6D27" w:rsidRDefault="00A308BE" w:rsidP="003C6D27">
      <w:pPr>
        <w:pStyle w:val="ListParagraph"/>
        <w:rPr>
          <w:rFonts w:ascii="Neue Haas Grotesk Text Pro" w:hAnsi="Neue Haas Grotesk Text Pro"/>
          <w:sz w:val="20"/>
          <w:szCs w:val="20"/>
        </w:rPr>
      </w:pPr>
    </w:p>
    <w:p w14:paraId="12FCB2E4" w14:textId="77777777" w:rsidR="00A308BE" w:rsidRPr="003C6D27" w:rsidRDefault="00A308BE"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lastRenderedPageBreak/>
        <w:t>We would note that the UK is currently considering such improvements to the UK MiFIR transaction reporting regime, as part of the Financial Conduct Authority’s (FCA) discussion paper on improvements to the UK transaction reporting regime</w:t>
      </w:r>
      <w:r w:rsidRPr="003C6D27">
        <w:rPr>
          <w:rStyle w:val="FootnoteReference"/>
          <w:rFonts w:ascii="Neue Haas Grotesk Text Pro" w:hAnsi="Neue Haas Grotesk Text Pro" w:cs="Open Sans"/>
          <w:sz w:val="20"/>
          <w:szCs w:val="20"/>
        </w:rPr>
        <w:footnoteReference w:id="4"/>
      </w:r>
      <w:r w:rsidRPr="003C6D27">
        <w:rPr>
          <w:rFonts w:ascii="Neue Haas Grotesk Text Pro" w:hAnsi="Neue Haas Grotesk Text Pro"/>
          <w:sz w:val="20"/>
          <w:szCs w:val="20"/>
        </w:rPr>
        <w:t xml:space="preserve"> and HM Treasury’s financial services growth and competitiveness strategy</w:t>
      </w:r>
      <w:r w:rsidRPr="003C6D27">
        <w:rPr>
          <w:rStyle w:val="FootnoteReference"/>
          <w:rFonts w:ascii="Neue Haas Grotesk Text Pro" w:hAnsi="Neue Haas Grotesk Text Pro" w:cs="Open Sans"/>
          <w:sz w:val="20"/>
          <w:szCs w:val="20"/>
        </w:rPr>
        <w:footnoteReference w:id="5"/>
      </w:r>
      <w:r w:rsidRPr="003C6D27">
        <w:rPr>
          <w:rFonts w:ascii="Neue Haas Grotesk Text Pro" w:hAnsi="Neue Haas Grotesk Text Pro"/>
          <w:sz w:val="20"/>
          <w:szCs w:val="20"/>
        </w:rPr>
        <w:t xml:space="preserve">. If the UK adopts single-sided reporting, the EU </w:t>
      </w:r>
      <w:proofErr w:type="gramStart"/>
      <w:r w:rsidRPr="003C6D27">
        <w:rPr>
          <w:rFonts w:ascii="Neue Haas Grotesk Text Pro" w:hAnsi="Neue Haas Grotesk Text Pro"/>
          <w:sz w:val="20"/>
          <w:szCs w:val="20"/>
        </w:rPr>
        <w:t>would</w:t>
      </w:r>
      <w:proofErr w:type="gramEnd"/>
      <w:r w:rsidRPr="003C6D27">
        <w:rPr>
          <w:rFonts w:ascii="Neue Haas Grotesk Text Pro" w:hAnsi="Neue Haas Grotesk Text Pro"/>
          <w:sz w:val="20"/>
          <w:szCs w:val="20"/>
        </w:rPr>
        <w:t xml:space="preserve"> remain a key outlier in the global financial services landscape.</w:t>
      </w:r>
    </w:p>
    <w:p w14:paraId="38886B9E" w14:textId="77777777" w:rsidR="00A308BE" w:rsidRPr="003C6D27" w:rsidRDefault="00A308BE" w:rsidP="003C6D27">
      <w:pPr>
        <w:pStyle w:val="ListParagraph"/>
        <w:rPr>
          <w:rFonts w:ascii="Neue Haas Grotesk Text Pro" w:hAnsi="Neue Haas Grotesk Text Pro"/>
          <w:sz w:val="20"/>
          <w:szCs w:val="20"/>
        </w:rPr>
      </w:pPr>
    </w:p>
    <w:p w14:paraId="35918BE0" w14:textId="77777777" w:rsidR="00993537" w:rsidRPr="003C6D27" w:rsidRDefault="00A308BE"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 xml:space="preserve">In the US, buy-side firms are not required to submit transaction reports to regulators. Instead, the responsibility for transaction-level reporting rests with sell-side firms, such as broker-dealers and execution venues. There is a clear distinction between the responsibilities of buy-side and sell-side firms in maintaining market regulatory efficiency. It is understood that risk is best measured and monitored when trading activity is closest to the trading nexus of a transaction, which is why sell-side firms, who execute and settle transactions on behalf of their buy-side clients, are seen as the more appropriate entities to submit transaction reports. Broker-dealers and execution venues are responsible for reporting transaction and order-level data to the Consolidated Audit Trail (CAT), which captures detailed trade data, including transactions conducted by buy-side firms via their broker-dealers. CAT data provides the Financial Industry Regulatory Authority (FINRA) and the Securities and Exchange Commission (SEC) with a comprehensive audit trail of all securities transactions, which is used for market abuse detection, enabling regulators to trace the full life cycle of trades in US markets. The US model demonstrates that market surveillance and market abuse monitoring can be effectively managed without requiring buy-side firms to report transactions. </w:t>
      </w:r>
    </w:p>
    <w:p w14:paraId="163A9758" w14:textId="77777777" w:rsidR="00993537" w:rsidRPr="003C6D27" w:rsidRDefault="00993537" w:rsidP="003C6D27">
      <w:pPr>
        <w:pStyle w:val="ListParagraph"/>
        <w:rPr>
          <w:rFonts w:ascii="Neue Haas Grotesk Text Pro" w:hAnsi="Neue Haas Grotesk Text Pro"/>
          <w:sz w:val="20"/>
          <w:szCs w:val="20"/>
        </w:rPr>
      </w:pPr>
    </w:p>
    <w:p w14:paraId="0873F274" w14:textId="2BAFE6EB" w:rsidR="00993537" w:rsidRPr="003C6D27" w:rsidRDefault="00993537" w:rsidP="003C6D27">
      <w:pPr>
        <w:pStyle w:val="ListParagraph"/>
        <w:rPr>
          <w:rFonts w:ascii="Neue Haas Grotesk Text Pro" w:hAnsi="Neue Haas Grotesk Text Pro"/>
          <w:sz w:val="20"/>
          <w:szCs w:val="20"/>
        </w:rPr>
      </w:pPr>
      <w:r w:rsidRPr="003C6D27">
        <w:rPr>
          <w:rFonts w:ascii="Neue Haas Grotesk Text Pro" w:hAnsi="Neue Haas Grotesk Text Pro"/>
          <w:sz w:val="20"/>
          <w:szCs w:val="20"/>
        </w:rPr>
        <w:t>In Hong Kong, the regulatory framework similarly places the responsibility of reporting on relevant regulated intermediaries (RRIs)</w:t>
      </w:r>
      <w:r w:rsidRPr="003C6D27">
        <w:rPr>
          <w:rStyle w:val="FootnoteReference"/>
          <w:rFonts w:ascii="Neue Haas Grotesk Text Pro" w:hAnsi="Neue Haas Grotesk Text Pro" w:cs="Open Sans"/>
          <w:sz w:val="20"/>
          <w:szCs w:val="20"/>
        </w:rPr>
        <w:footnoteReference w:id="6"/>
      </w:r>
      <w:r w:rsidRPr="003C6D27">
        <w:rPr>
          <w:rFonts w:ascii="Neue Haas Grotesk Text Pro" w:hAnsi="Neue Haas Grotesk Text Pro"/>
          <w:sz w:val="20"/>
          <w:szCs w:val="20"/>
        </w:rPr>
        <w:t xml:space="preserve"> which engage in bookbuilding or placing activities in equity capital market and debt capital market transactions. RRIs are required to report securities transactions placed (or proposed to be placed) by their clients, such as those by fund managers or discretionary accounts. The Hong Kong Investor Identification Regime (HKIDR) ensures that each direct client is tagged with a Broker-Client Assigned Number, which is then linked to their securities orders. This system allows for effective monitoring without requiring the direct reporting of transactions by buy-side clients. RRIs must also report </w:t>
      </w:r>
      <w:proofErr w:type="gramStart"/>
      <w:r w:rsidRPr="003C6D27">
        <w:rPr>
          <w:rFonts w:ascii="Neue Haas Grotesk Text Pro" w:hAnsi="Neue Haas Grotesk Text Pro"/>
          <w:sz w:val="20"/>
          <w:szCs w:val="20"/>
        </w:rPr>
        <w:t>over-the-counter</w:t>
      </w:r>
      <w:proofErr w:type="gramEnd"/>
      <w:r w:rsidRPr="003C6D27">
        <w:rPr>
          <w:rFonts w:ascii="Neue Haas Grotesk Text Pro" w:hAnsi="Neue Haas Grotesk Text Pro"/>
          <w:sz w:val="20"/>
          <w:szCs w:val="20"/>
        </w:rPr>
        <w:t xml:space="preserve"> (OTC) securities transactions in ordinary shares and real estate investment trusts listed on the Stock Exchange of Hong Kong and deposits and withdrawals of physical share certificates to the Securities and Futures Commission (SFC), further ensuring market integrity.</w:t>
      </w:r>
    </w:p>
    <w:p w14:paraId="63290A41" w14:textId="77777777" w:rsidR="00993537" w:rsidRPr="003C6D27" w:rsidRDefault="00993537" w:rsidP="003C6D27">
      <w:pPr>
        <w:pStyle w:val="ListParagraph"/>
        <w:rPr>
          <w:rFonts w:ascii="Neue Haas Grotesk Text Pro" w:hAnsi="Neue Haas Grotesk Text Pro"/>
          <w:sz w:val="20"/>
          <w:szCs w:val="20"/>
        </w:rPr>
      </w:pPr>
    </w:p>
    <w:p w14:paraId="387B4FB5" w14:textId="77777777" w:rsidR="00993537" w:rsidRPr="003C6D27" w:rsidRDefault="00993537" w:rsidP="00993537">
      <w:pPr>
        <w:ind w:left="360"/>
        <w:jc w:val="both"/>
        <w:rPr>
          <w:rFonts w:ascii="Neue Haas Grotesk Text Pro" w:hAnsi="Neue Haas Grotesk Text Pro" w:cs="Open Sans"/>
          <w:sz w:val="20"/>
          <w:szCs w:val="20"/>
        </w:rPr>
      </w:pPr>
      <w:r w:rsidRPr="003C6D27">
        <w:rPr>
          <w:rFonts w:ascii="Neue Haas Grotesk Text Pro" w:hAnsi="Neue Haas Grotesk Text Pro" w:cs="Open Sans"/>
          <w:sz w:val="20"/>
          <w:szCs w:val="20"/>
        </w:rPr>
        <w:t xml:space="preserve">Likewise, in the Dubai International Finance Centre and Abu Dhabi Global Market - emerging asset management hubs - there are no equivalent transaction reporting requirements analogous to those under MiFIR for buy-side firms. In the Abu Dhabi Global Market, the Financial Services Regulatory Authority requires recognised investment exchanges, multilateral trading facilities and organised trading facilities to report details of orders and transactions in financial instruments traded on their platforms which are inputted, executed or reported through their </w:t>
      </w:r>
      <w:r w:rsidRPr="003C6D27">
        <w:rPr>
          <w:rFonts w:ascii="Neue Haas Grotesk Text Pro" w:hAnsi="Neue Haas Grotesk Text Pro" w:cs="Open Sans"/>
          <w:sz w:val="20"/>
          <w:szCs w:val="20"/>
        </w:rPr>
        <w:lastRenderedPageBreak/>
        <w:t>systems.</w:t>
      </w:r>
      <w:r w:rsidRPr="003C6D27">
        <w:rPr>
          <w:rStyle w:val="FootnoteReference"/>
          <w:rFonts w:ascii="Neue Haas Grotesk Text Pro" w:eastAsiaTheme="minorEastAsia" w:hAnsi="Neue Haas Grotesk Text Pro" w:cs="Open Sans"/>
          <w:sz w:val="20"/>
          <w:szCs w:val="20"/>
        </w:rPr>
        <w:footnoteReference w:id="7"/>
      </w:r>
      <w:r w:rsidRPr="003C6D27">
        <w:rPr>
          <w:rFonts w:ascii="Neue Haas Grotesk Text Pro" w:hAnsi="Neue Haas Grotesk Text Pro" w:cs="Open Sans"/>
          <w:sz w:val="20"/>
          <w:szCs w:val="20"/>
        </w:rPr>
        <w:t xml:space="preserve"> The Dubai Financial Services Authority and the Financial Services Regulatory Authority rely on regulated exchanges and trading venues to conduct market surveillance, monitor for market manipulation and report suspicious trading behaviour to them as necessary. All firms are required to submit suspicious transaction and order reports where there are reasonable grounds to suspect market abuse across their transactions and maintain adequate systems and controls to monitor for potential market abusive transactions. </w:t>
      </w:r>
    </w:p>
    <w:p w14:paraId="6DADA266" w14:textId="77777777" w:rsidR="00993537" w:rsidRPr="003C6D27" w:rsidRDefault="00993537" w:rsidP="00993537">
      <w:pPr>
        <w:ind w:left="360"/>
        <w:jc w:val="both"/>
        <w:rPr>
          <w:rFonts w:ascii="Neue Haas Grotesk Text Pro" w:hAnsi="Neue Haas Grotesk Text Pro" w:cs="Open Sans"/>
          <w:sz w:val="20"/>
          <w:szCs w:val="20"/>
        </w:rPr>
      </w:pPr>
    </w:p>
    <w:p w14:paraId="393C267B" w14:textId="77777777" w:rsidR="00993537" w:rsidRPr="003C6D27" w:rsidRDefault="00993537" w:rsidP="00993537">
      <w:pPr>
        <w:ind w:left="360"/>
        <w:jc w:val="both"/>
        <w:rPr>
          <w:rFonts w:ascii="Neue Haas Grotesk Text Pro" w:hAnsi="Neue Haas Grotesk Text Pro" w:cs="Open Sans"/>
          <w:sz w:val="20"/>
          <w:szCs w:val="20"/>
        </w:rPr>
      </w:pPr>
      <w:r w:rsidRPr="003C6D27">
        <w:rPr>
          <w:rFonts w:ascii="Neue Haas Grotesk Text Pro" w:hAnsi="Neue Haas Grotesk Text Pro" w:cs="Open Sans"/>
          <w:sz w:val="20"/>
          <w:szCs w:val="20"/>
        </w:rPr>
        <w:t>In jurisdictions like Singapore, regulators have adopted regulatory reporting frameworks that focus on short and long position reporting and OTC derivatives reporting rather than transaction-level reporting for market abuse monitoring, which typically operates at the level of trading venues instead. In Singapore, the Singapore Exchange plays a key role in market surveillance, working alongside the Monetary Authority of Singapore to ensure that market abuse is detected</w:t>
      </w:r>
      <w:r w:rsidRPr="003C6D27">
        <w:rPr>
          <w:rFonts w:ascii="Neue Haas Grotesk Text Pro" w:hAnsi="Neue Haas Grotesk Text Pro" w:cs="Open Sans"/>
          <w:b/>
          <w:bCs/>
          <w:sz w:val="20"/>
          <w:szCs w:val="20"/>
        </w:rPr>
        <w:t xml:space="preserve">. </w:t>
      </w:r>
      <w:r w:rsidRPr="003C6D27">
        <w:rPr>
          <w:rFonts w:ascii="Neue Haas Grotesk Text Pro" w:hAnsi="Neue Haas Grotesk Text Pro" w:cs="Open Sans"/>
          <w:sz w:val="20"/>
          <w:szCs w:val="20"/>
        </w:rPr>
        <w:t xml:space="preserve">This approach demonstrates that effective market monitoring and market abuse detection can be achieved without transaction-level reporting and by leveraging other available data. </w:t>
      </w:r>
    </w:p>
    <w:p w14:paraId="539D073D" w14:textId="77777777" w:rsidR="00993537" w:rsidRPr="003C6D27" w:rsidRDefault="00993537" w:rsidP="003C6D27">
      <w:pPr>
        <w:pStyle w:val="ListParagraph"/>
        <w:rPr>
          <w:rFonts w:ascii="Neue Haas Grotesk Text Pro" w:hAnsi="Neue Haas Grotesk Text Pro"/>
          <w:sz w:val="20"/>
          <w:szCs w:val="20"/>
        </w:rPr>
      </w:pPr>
    </w:p>
    <w:p w14:paraId="4A2B7EBC" w14:textId="77777777" w:rsidR="00993537" w:rsidRPr="003C6D27" w:rsidRDefault="00993537" w:rsidP="003C6D27">
      <w:pPr>
        <w:pStyle w:val="ListParagraph"/>
        <w:numPr>
          <w:ilvl w:val="1"/>
          <w:numId w:val="38"/>
        </w:numPr>
        <w:rPr>
          <w:rFonts w:ascii="Neue Haas Grotesk Text Pro" w:hAnsi="Neue Haas Grotesk Text Pro"/>
          <w:sz w:val="20"/>
          <w:szCs w:val="20"/>
        </w:rPr>
      </w:pPr>
      <w:r w:rsidRPr="003C6D27">
        <w:rPr>
          <w:rFonts w:ascii="Neue Haas Grotesk Text Pro" w:hAnsi="Neue Haas Grotesk Text Pro"/>
          <w:sz w:val="20"/>
          <w:szCs w:val="20"/>
        </w:rPr>
        <w:t>EMIR and SFTR Transaction Reporting</w:t>
      </w:r>
    </w:p>
    <w:p w14:paraId="01A9C865" w14:textId="77777777" w:rsidR="00993537" w:rsidRPr="003C6D27" w:rsidRDefault="00993537" w:rsidP="003C6D27">
      <w:pPr>
        <w:pStyle w:val="ListParagraph"/>
        <w:rPr>
          <w:rFonts w:ascii="Neue Haas Grotesk Text Pro" w:hAnsi="Neue Haas Grotesk Text Pro"/>
          <w:sz w:val="20"/>
          <w:szCs w:val="20"/>
        </w:rPr>
      </w:pPr>
    </w:p>
    <w:p w14:paraId="7CB83013" w14:textId="41A0C958" w:rsidR="003C6D27" w:rsidRPr="008D3C61" w:rsidRDefault="00993537" w:rsidP="008D3C61">
      <w:pPr>
        <w:pStyle w:val="ListParagraph"/>
        <w:rPr>
          <w:rFonts w:ascii="Neue Haas Grotesk Text Pro" w:hAnsi="Neue Haas Grotesk Text Pro" w:cs="Open Sans"/>
          <w:sz w:val="20"/>
          <w:szCs w:val="20"/>
        </w:rPr>
      </w:pPr>
      <w:r w:rsidRPr="003C6D27">
        <w:rPr>
          <w:rFonts w:ascii="Neue Haas Grotesk Text Pro" w:hAnsi="Neue Haas Grotesk Text Pro"/>
          <w:sz w:val="20"/>
          <w:szCs w:val="20"/>
        </w:rPr>
        <w:t>The existing reporting frameworks contradict the core objective of improving market transparency. The dual-sided nature of EMIR and SFTR reporting introduces duplication and mixes transaction and position-level reporting in a way that is difficult to reconcile, making it nearly impossible for firms to verify data outputs with complete accuracy. Buy-side firms face significant challenges in self-reporting under EMIR and SFTR, largely due to the complexity of systems and data sourcing. Firms do not have access to all required information within their internal systems to self-report and the timeline for reporting makes it infeasible for buy-side firms to absorb, check and re-submit this information independently. Many firms therefore rely on delegated reporting. However, the dual</w:t>
      </w:r>
      <w:r w:rsidRPr="003C6D27">
        <w:rPr>
          <w:rFonts w:ascii="Neue Haas Grotesk Text Pro" w:hAnsi="Neue Haas Grotesk Text Pro"/>
          <w:sz w:val="20"/>
          <w:szCs w:val="20"/>
        </w:rPr>
        <w:noBreakHyphen/>
        <w:t>sided reporting framework under EMIR and SFTR also adds unnecessary complexity and cost for firms while delivering limited incremental value.</w:t>
      </w:r>
      <w:r w:rsidR="008D3C61">
        <w:rPr>
          <w:rFonts w:ascii="Neue Haas Grotesk Text Pro" w:hAnsi="Neue Haas Grotesk Text Pro"/>
          <w:sz w:val="20"/>
          <w:szCs w:val="20"/>
        </w:rPr>
        <w:t xml:space="preserve"> </w:t>
      </w:r>
      <w:r w:rsidR="003C6D27" w:rsidRPr="003C6D27">
        <w:rPr>
          <w:rFonts w:ascii="Neue Haas Grotesk Text Pro" w:hAnsi="Neue Haas Grotesk Text Pro"/>
          <w:sz w:val="20"/>
          <w:szCs w:val="20"/>
        </w:rPr>
        <w:t xml:space="preserve">AIMA believes that the EU should transition to a single-sided reporting model where </w:t>
      </w:r>
      <w:r w:rsidR="005E6321">
        <w:rPr>
          <w:rFonts w:ascii="Neue Haas Grotesk Text Pro" w:hAnsi="Neue Haas Grotesk Text Pro"/>
          <w:sz w:val="20"/>
          <w:szCs w:val="20"/>
        </w:rPr>
        <w:t xml:space="preserve">only </w:t>
      </w:r>
      <w:r w:rsidR="003C6D27" w:rsidRPr="003C6D27">
        <w:rPr>
          <w:rFonts w:ascii="Neue Haas Grotesk Text Pro" w:hAnsi="Neue Haas Grotesk Text Pro"/>
          <w:sz w:val="20"/>
          <w:szCs w:val="20"/>
        </w:rPr>
        <w:t>the sell-side counterparty</w:t>
      </w:r>
      <w:r w:rsidR="005E6321">
        <w:rPr>
          <w:rFonts w:ascii="Neue Haas Grotesk Text Pro" w:hAnsi="Neue Haas Grotesk Text Pro"/>
          <w:sz w:val="20"/>
          <w:szCs w:val="20"/>
        </w:rPr>
        <w:t xml:space="preserve"> </w:t>
      </w:r>
      <w:r w:rsidR="008D3C61">
        <w:rPr>
          <w:rFonts w:ascii="Neue Haas Grotesk Text Pro" w:hAnsi="Neue Haas Grotesk Text Pro"/>
          <w:sz w:val="20"/>
          <w:szCs w:val="20"/>
        </w:rPr>
        <w:t xml:space="preserve">is </w:t>
      </w:r>
      <w:r w:rsidR="003C6D27" w:rsidRPr="003C6D27">
        <w:rPr>
          <w:rFonts w:ascii="Neue Haas Grotesk Text Pro" w:hAnsi="Neue Haas Grotesk Text Pro"/>
          <w:sz w:val="20"/>
          <w:szCs w:val="20"/>
        </w:rPr>
        <w:t xml:space="preserve">responsible for submitting a report. </w:t>
      </w:r>
    </w:p>
    <w:p w14:paraId="41193EEA" w14:textId="77777777" w:rsidR="003C6D27" w:rsidRPr="003C6D27" w:rsidRDefault="003C6D27" w:rsidP="003C6D27">
      <w:pPr>
        <w:ind w:left="360"/>
        <w:jc w:val="both"/>
        <w:rPr>
          <w:rFonts w:ascii="Neue Haas Grotesk Text Pro" w:hAnsi="Neue Haas Grotesk Text Pro"/>
          <w:sz w:val="20"/>
          <w:szCs w:val="20"/>
        </w:rPr>
      </w:pPr>
    </w:p>
    <w:p w14:paraId="008F7426" w14:textId="2BCD7BA3" w:rsidR="003C6D27" w:rsidRPr="003C6D27" w:rsidRDefault="003C6D27" w:rsidP="003C6D27">
      <w:pPr>
        <w:ind w:left="360"/>
        <w:jc w:val="both"/>
        <w:rPr>
          <w:rFonts w:ascii="Neue Haas Grotesk Text Pro" w:hAnsi="Neue Haas Grotesk Text Pro"/>
          <w:sz w:val="20"/>
          <w:szCs w:val="20"/>
        </w:rPr>
      </w:pPr>
      <w:r w:rsidRPr="003C6D27">
        <w:rPr>
          <w:rFonts w:ascii="Neue Haas Grotesk Text Pro" w:hAnsi="Neue Haas Grotesk Text Pro"/>
          <w:sz w:val="20"/>
          <w:szCs w:val="20"/>
        </w:rPr>
        <w:t xml:space="preserve">While many buy-side firms opt to delegate EMIR reporting to a sell-side counterparty, a core issue is that they remain legally responsible for the accuracy and completeness of reports submitted on their behalf. In practice, many buy-side firms lack direct visibility into the data compiled and submitted by their sell-side delegates. Firms often receive data from sell-side counterparties that is incomplete, delayed or poorly formatted, significantly undermining their ability to conduct meaningful assurance checks or to reconcile and correct errors in a timely manner—ultimately increasing their compliance risk. </w:t>
      </w:r>
      <w:r w:rsidRPr="003C6D27">
        <w:rPr>
          <w:rFonts w:ascii="Neue Haas Grotesk Text Pro" w:hAnsi="Neue Haas Grotesk Text Pro" w:cs="Open Sans"/>
          <w:sz w:val="20"/>
          <w:szCs w:val="20"/>
        </w:rPr>
        <w:t>When requesting necessary information from counterparties, firms have often been informed that counterparties are either unable to provide the relevant data or they are directed to review ledger reports submitted to trade repositories, which are available too late to meet the T+1 reporting deadline. Buy-side firms experience being stuck in situations where their exception volumes are significant to them but not significant to their sell-side counterparty for the issues to be prioritised and remediated.</w:t>
      </w:r>
      <w:r w:rsidR="00C34B8A">
        <w:rPr>
          <w:rFonts w:ascii="Neue Haas Grotesk Text Pro" w:hAnsi="Neue Haas Grotesk Text Pro" w:cs="Open Sans"/>
          <w:sz w:val="20"/>
          <w:szCs w:val="20"/>
        </w:rPr>
        <w:t xml:space="preserve"> </w:t>
      </w:r>
      <w:r w:rsidR="00C34B8A">
        <w:rPr>
          <w:rFonts w:ascii="Neue Haas Grotesk Text Pro" w:hAnsi="Neue Haas Grotesk Text Pro" w:cs="Open Sans"/>
          <w:sz w:val="20"/>
          <w:szCs w:val="20"/>
        </w:rPr>
        <w:t>T</w:t>
      </w:r>
      <w:r w:rsidR="00C34B8A" w:rsidRPr="00223420">
        <w:rPr>
          <w:rFonts w:ascii="Neue Haas Grotesk Text Pro" w:hAnsi="Neue Haas Grotesk Text Pro" w:cs="Open Sans"/>
          <w:sz w:val="20"/>
          <w:szCs w:val="20"/>
        </w:rPr>
        <w:t>his concern is exacerbated by the uneven impact on sell-side and buy</w:t>
      </w:r>
      <w:r w:rsidR="00C34B8A">
        <w:rPr>
          <w:rFonts w:ascii="Neue Haas Grotesk Text Pro" w:hAnsi="Neue Haas Grotesk Text Pro" w:cs="Open Sans"/>
          <w:sz w:val="20"/>
          <w:szCs w:val="20"/>
        </w:rPr>
        <w:t>-</w:t>
      </w:r>
      <w:r w:rsidR="00C34B8A" w:rsidRPr="00223420">
        <w:rPr>
          <w:rFonts w:ascii="Neue Haas Grotesk Text Pro" w:hAnsi="Neue Haas Grotesk Text Pro" w:cs="Open Sans"/>
          <w:sz w:val="20"/>
          <w:szCs w:val="20"/>
        </w:rPr>
        <w:t>side firms regarding exception reporting created by the ESMA Guidelines for Reporting under EMIR</w:t>
      </w:r>
      <w:r w:rsidR="00C34B8A">
        <w:rPr>
          <w:rStyle w:val="FootnoteReference"/>
          <w:rFonts w:eastAsiaTheme="minorEastAsia" w:cs="Open Sans"/>
          <w:szCs w:val="20"/>
        </w:rPr>
        <w:footnoteReference w:id="8"/>
      </w:r>
      <w:r w:rsidR="00C34B8A" w:rsidRPr="00223420">
        <w:rPr>
          <w:rFonts w:ascii="Neue Haas Grotesk Text Pro" w:hAnsi="Neue Haas Grotesk Text Pro" w:cs="Open Sans"/>
          <w:sz w:val="20"/>
          <w:szCs w:val="20"/>
        </w:rPr>
        <w:t xml:space="preserve"> from paragraph 390 onwards, which provide that a sell-side firm under a delegated reporting </w:t>
      </w:r>
      <w:r w:rsidR="00C34B8A" w:rsidRPr="00223420">
        <w:rPr>
          <w:rFonts w:ascii="Neue Haas Grotesk Text Pro" w:hAnsi="Neue Haas Grotesk Text Pro" w:cs="Open Sans"/>
          <w:sz w:val="20"/>
          <w:szCs w:val="20"/>
        </w:rPr>
        <w:lastRenderedPageBreak/>
        <w:t>arrangement with a buy</w:t>
      </w:r>
      <w:r w:rsidR="00C34B8A">
        <w:rPr>
          <w:rFonts w:ascii="Neue Haas Grotesk Text Pro" w:hAnsi="Neue Haas Grotesk Text Pro" w:cs="Open Sans"/>
          <w:sz w:val="20"/>
          <w:szCs w:val="20"/>
        </w:rPr>
        <w:t>-</w:t>
      </w:r>
      <w:r w:rsidR="00C34B8A" w:rsidRPr="00223420">
        <w:rPr>
          <w:rFonts w:ascii="Neue Haas Grotesk Text Pro" w:hAnsi="Neue Haas Grotesk Text Pro" w:cs="Open Sans"/>
          <w:sz w:val="20"/>
          <w:szCs w:val="20"/>
        </w:rPr>
        <w:t>side firm client that fails to report the entirety of its transactions with that client need not report that fact to the sell-side firm’s regulator if (as is likely the case if one or only a few of the sell-side firm’s clients are affected) the volume of transactions do not reach the level of significance given the volume of the sell-side firm’s trading; while at the same time the buy</w:t>
      </w:r>
      <w:r w:rsidR="00C34B8A">
        <w:rPr>
          <w:rFonts w:ascii="Neue Haas Grotesk Text Pro" w:hAnsi="Neue Haas Grotesk Text Pro" w:cs="Open Sans"/>
          <w:sz w:val="20"/>
          <w:szCs w:val="20"/>
        </w:rPr>
        <w:t>-</w:t>
      </w:r>
      <w:r w:rsidR="00C34B8A" w:rsidRPr="00223420">
        <w:rPr>
          <w:rFonts w:ascii="Neue Haas Grotesk Text Pro" w:hAnsi="Neue Haas Grotesk Text Pro" w:cs="Open Sans"/>
          <w:sz w:val="20"/>
          <w:szCs w:val="20"/>
        </w:rPr>
        <w:t>side client would be required to report the exception if the failure exceeds the threshold for an exception for the buy</w:t>
      </w:r>
      <w:r w:rsidR="00C34B8A">
        <w:rPr>
          <w:rFonts w:ascii="Neue Haas Grotesk Text Pro" w:hAnsi="Neue Haas Grotesk Text Pro" w:cs="Open Sans"/>
          <w:sz w:val="20"/>
          <w:szCs w:val="20"/>
        </w:rPr>
        <w:t>-</w:t>
      </w:r>
      <w:r w:rsidR="00C34B8A" w:rsidRPr="00223420">
        <w:rPr>
          <w:rFonts w:ascii="Neue Haas Grotesk Text Pro" w:hAnsi="Neue Haas Grotesk Text Pro" w:cs="Open Sans"/>
          <w:sz w:val="20"/>
          <w:szCs w:val="20"/>
        </w:rPr>
        <w:t>side client’s volume of trading. We are aware of buy</w:t>
      </w:r>
      <w:r w:rsidR="00C34B8A">
        <w:rPr>
          <w:rFonts w:ascii="Neue Haas Grotesk Text Pro" w:hAnsi="Neue Haas Grotesk Text Pro" w:cs="Open Sans"/>
          <w:sz w:val="20"/>
          <w:szCs w:val="20"/>
        </w:rPr>
        <w:t>-</w:t>
      </w:r>
      <w:r w:rsidR="00C34B8A" w:rsidRPr="00223420">
        <w:rPr>
          <w:rFonts w:ascii="Neue Haas Grotesk Text Pro" w:hAnsi="Neue Haas Grotesk Text Pro" w:cs="Open Sans"/>
          <w:sz w:val="20"/>
          <w:szCs w:val="20"/>
        </w:rPr>
        <w:t>side firms that are forced to treat a reporting failure by their sell-side service provider as a significant matter requiring reporting to an NCA, while having the impression that the sell-side firm is treating the failure as a matter of insufficient importance to be promptly remedied.</w:t>
      </w:r>
      <w:r w:rsidR="00C34B8A">
        <w:rPr>
          <w:rFonts w:ascii="Neue Haas Grotesk Text Pro" w:hAnsi="Neue Haas Grotesk Text Pro" w:cs="Open Sans"/>
          <w:sz w:val="20"/>
          <w:szCs w:val="20"/>
        </w:rPr>
        <w:t xml:space="preserve"> </w:t>
      </w:r>
      <w:r w:rsidRPr="003C6D27">
        <w:rPr>
          <w:rFonts w:ascii="Neue Haas Grotesk Text Pro" w:hAnsi="Neue Haas Grotesk Text Pro" w:cs="Open Sans"/>
          <w:sz w:val="20"/>
          <w:szCs w:val="20"/>
        </w:rPr>
        <w:t xml:space="preserve">In addition, many firms cannot independently source the required data for the new reporting fields. Firms also note a lack of assurance vendors capable of performing comprehensive data quality checks. These challenges create a weakness in the reporting framework where buy-side firms identify issues but cannot remediate them, thereby undermining their responsibility of ensuring the accuracy and completeness of reports submitted on their behalf. The application of the EMIR REFIT has heightened these challenges, through increasing </w:t>
      </w:r>
      <w:r w:rsidRPr="003C6D27">
        <w:rPr>
          <w:rFonts w:ascii="Neue Haas Grotesk Text Pro" w:hAnsi="Neue Haas Grotesk Text Pro"/>
          <w:sz w:val="20"/>
          <w:szCs w:val="20"/>
        </w:rPr>
        <w:t xml:space="preserve">the volume and complexity of reporting obligation while raising validation and reconciliation demands. We would also note that there remains regulatory uncertainty regarding EMIR reporting obligations for EU AIFs managed by non-EU AIFMs – an issue that has persisted since the UK’s departure from the EU. The challenges noted under EMIR apply to SFTR as well, though the lower trade volumes under SFTR make these issues less acute. </w:t>
      </w:r>
    </w:p>
    <w:p w14:paraId="1A6780D1" w14:textId="77777777" w:rsidR="003C6D27" w:rsidRPr="003C6D27" w:rsidRDefault="003C6D27" w:rsidP="003C6D27">
      <w:pPr>
        <w:ind w:left="360"/>
        <w:jc w:val="both"/>
        <w:rPr>
          <w:rFonts w:ascii="Neue Haas Grotesk Text Pro" w:hAnsi="Neue Haas Grotesk Text Pro"/>
          <w:sz w:val="20"/>
          <w:szCs w:val="20"/>
        </w:rPr>
      </w:pPr>
    </w:p>
    <w:p w14:paraId="0FC58F72" w14:textId="77777777" w:rsidR="003C6D27" w:rsidRPr="003C6D27" w:rsidRDefault="003C6D27" w:rsidP="003C6D27">
      <w:pPr>
        <w:ind w:left="360"/>
        <w:jc w:val="both"/>
        <w:rPr>
          <w:rFonts w:ascii="Neue Haas Grotesk Text Pro" w:hAnsi="Neue Haas Grotesk Text Pro"/>
          <w:sz w:val="20"/>
          <w:szCs w:val="20"/>
        </w:rPr>
      </w:pPr>
      <w:r w:rsidRPr="003C6D27">
        <w:rPr>
          <w:rFonts w:ascii="Neue Haas Grotesk Text Pro" w:hAnsi="Neue Haas Grotesk Text Pro"/>
          <w:sz w:val="20"/>
          <w:szCs w:val="20"/>
        </w:rPr>
        <w:t>By adopting a single-sided reporting model for EMIR and SFTR reporting, the EU would simplify data flows and reduce operational burdens for buy-side firms. It would allow sell-side firms to redirect resources to improving the accuracy and completeness of reporting while eliminating the need for buy-side firms to maintain multiple delegated reporting arrangements and repeatedly verify submissions from counterparties. The move would preserve regulatory oversight while better aligning with global practices (such as the US).</w:t>
      </w:r>
    </w:p>
    <w:p w14:paraId="291CCC43" w14:textId="77777777" w:rsidR="003C6D27" w:rsidRPr="003C6D27" w:rsidRDefault="003C6D27" w:rsidP="003C6D27">
      <w:pPr>
        <w:jc w:val="both"/>
        <w:rPr>
          <w:rFonts w:ascii="Neue Haas Grotesk Text Pro" w:hAnsi="Neue Haas Grotesk Text Pro"/>
          <w:sz w:val="20"/>
          <w:szCs w:val="20"/>
        </w:rPr>
      </w:pPr>
    </w:p>
    <w:p w14:paraId="50D4FF3E" w14:textId="77777777" w:rsidR="003C6D27" w:rsidRPr="003C6D27" w:rsidRDefault="003C6D27" w:rsidP="003C6D27">
      <w:pPr>
        <w:pStyle w:val="ListParagraph"/>
        <w:numPr>
          <w:ilvl w:val="0"/>
          <w:numId w:val="41"/>
        </w:numPr>
        <w:rPr>
          <w:rFonts w:ascii="Neue Haas Grotesk Text Pro" w:hAnsi="Neue Haas Grotesk Text Pro"/>
          <w:sz w:val="20"/>
          <w:szCs w:val="20"/>
        </w:rPr>
      </w:pPr>
      <w:r w:rsidRPr="003C6D27">
        <w:rPr>
          <w:rFonts w:ascii="Neue Haas Grotesk Text Pro" w:hAnsi="Neue Haas Grotesk Text Pro"/>
          <w:sz w:val="20"/>
          <w:szCs w:val="20"/>
        </w:rPr>
        <w:t xml:space="preserve">Terminology </w:t>
      </w:r>
    </w:p>
    <w:p w14:paraId="1650C801" w14:textId="77777777" w:rsidR="003C6D27" w:rsidRPr="003C6D27" w:rsidRDefault="003C6D27" w:rsidP="003C6D27">
      <w:pPr>
        <w:ind w:left="425"/>
        <w:jc w:val="both"/>
        <w:rPr>
          <w:rFonts w:ascii="Neue Haas Grotesk Text Pro" w:hAnsi="Neue Haas Grotesk Text Pro"/>
          <w:sz w:val="20"/>
          <w:szCs w:val="20"/>
        </w:rPr>
      </w:pPr>
    </w:p>
    <w:p w14:paraId="57253D48" w14:textId="7D8F3270" w:rsidR="003C6D27" w:rsidRPr="003C6D27" w:rsidRDefault="003C6D27" w:rsidP="003C6D27">
      <w:pPr>
        <w:ind w:left="425"/>
        <w:jc w:val="both"/>
        <w:rPr>
          <w:rFonts w:ascii="Neue Haas Grotesk Text Pro" w:hAnsi="Neue Haas Grotesk Text Pro"/>
          <w:sz w:val="20"/>
          <w:szCs w:val="20"/>
        </w:rPr>
      </w:pPr>
      <w:r w:rsidRPr="003C6D27">
        <w:rPr>
          <w:rFonts w:ascii="Neue Haas Grotesk Text Pro" w:hAnsi="Neue Haas Grotesk Text Pro"/>
          <w:sz w:val="20"/>
          <w:szCs w:val="20"/>
        </w:rPr>
        <w:t>Separately, we would highlight that the terminology used across regulatory reporting regimes creates unnecessary confusion. In particular, the distinction between “transaction reporting” under MiFIR and “trade reporting” under EMIR is frequently misunderstood by market participants. Advisor members have noted that many firms confuse the two terms. To improve clarity, it would be helpful for ESMA to consider rebranding “trade reporting” as “derivatives reporting” more accurately reflecting the scope and purpose of the regime.</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0D1E36A5" w14:textId="77777777" w:rsidR="005F7BB4" w:rsidRPr="00900E1F" w:rsidRDefault="005F7BB4" w:rsidP="005F7BB4">
      <w:pPr>
        <w:ind w:left="360"/>
        <w:jc w:val="both"/>
        <w:rPr>
          <w:rFonts w:ascii="Neue Haas Grotesk Text Pro" w:hAnsi="Neue Haas Grotesk Text Pro"/>
          <w:sz w:val="20"/>
          <w:szCs w:val="20"/>
        </w:rPr>
      </w:pPr>
      <w:permStart w:id="545925079" w:edGrp="everyone"/>
      <w:r w:rsidRPr="00900E1F">
        <w:rPr>
          <w:rFonts w:ascii="Neue Haas Grotesk Text Pro" w:hAnsi="Neue Haas Grotesk Text Pro"/>
          <w:sz w:val="20"/>
          <w:szCs w:val="20"/>
        </w:rPr>
        <w:t xml:space="preserve">AIMA agrees with the principles ESMA has proposed for simplifying regulatory reporting: (i) preserve information scope (i.e., not unduly restricting the information needed by authorities and other entities to perform their supervisory and other duties and not collecting data that is costly to produce and not used); (ii) decrease overlaps to reduce reporting burden; (iii) ensure global alignment; and (iv) balance cost and benefit (i.e., ensuring that the scope of collected data, impact and costs of changes align with key benefits including burden reduction, market discipline and facilitating and enabling supervision). </w:t>
      </w:r>
    </w:p>
    <w:p w14:paraId="5B22FD54" w14:textId="77777777" w:rsidR="005F7BB4" w:rsidRPr="00900E1F" w:rsidRDefault="005F7BB4" w:rsidP="005F7BB4">
      <w:pPr>
        <w:ind w:left="360"/>
        <w:jc w:val="both"/>
        <w:rPr>
          <w:rFonts w:ascii="Neue Haas Grotesk Text Pro" w:hAnsi="Neue Haas Grotesk Text Pro"/>
          <w:sz w:val="20"/>
          <w:szCs w:val="20"/>
        </w:rPr>
      </w:pPr>
    </w:p>
    <w:p w14:paraId="7311A1C6" w14:textId="77777777" w:rsidR="005F7BB4" w:rsidRDefault="005F7BB4" w:rsidP="005F7BB4">
      <w:pPr>
        <w:ind w:left="360"/>
        <w:jc w:val="both"/>
        <w:rPr>
          <w:rFonts w:ascii="Neue Haas Grotesk Text Pro" w:hAnsi="Neue Haas Grotesk Text Pro"/>
          <w:sz w:val="20"/>
          <w:szCs w:val="20"/>
        </w:rPr>
      </w:pPr>
      <w:r w:rsidRPr="00900E1F">
        <w:rPr>
          <w:rFonts w:ascii="Neue Haas Grotesk Text Pro" w:hAnsi="Neue Haas Grotesk Text Pro"/>
          <w:sz w:val="20"/>
          <w:szCs w:val="20"/>
        </w:rPr>
        <w:lastRenderedPageBreak/>
        <w:t>As ESMA develops its simplification strategy, it must remain cognisant that analysis is complicated by differing entity scopes across sectoral frameworks. For example, EMIR, SFTR and REMIT each apply different entity scopes for EU AIFMs managing non-EU AIFs. These difference</w:t>
      </w:r>
      <w:r>
        <w:rPr>
          <w:rFonts w:ascii="Neue Haas Grotesk Text Pro" w:hAnsi="Neue Haas Grotesk Text Pro"/>
          <w:sz w:val="20"/>
          <w:szCs w:val="20"/>
        </w:rPr>
        <w:t>s</w:t>
      </w:r>
      <w:r w:rsidRPr="00900E1F">
        <w:rPr>
          <w:rFonts w:ascii="Neue Haas Grotesk Text Pro" w:hAnsi="Neue Haas Grotesk Text Pro"/>
          <w:sz w:val="20"/>
          <w:szCs w:val="20"/>
        </w:rPr>
        <w:t xml:space="preserve"> mean that it might be practically difficult to achieve full harmonisation without unhelpfully broadening the entity scope of certain sectoral reporting regimes, something AIMA would not support. </w:t>
      </w:r>
    </w:p>
    <w:p w14:paraId="487EA9BD" w14:textId="77777777" w:rsidR="005F7BB4" w:rsidRDefault="005F7BB4" w:rsidP="005F7BB4">
      <w:pPr>
        <w:ind w:left="360"/>
        <w:jc w:val="both"/>
        <w:rPr>
          <w:rFonts w:ascii="Neue Haas Grotesk Text Pro" w:hAnsi="Neue Haas Grotesk Text Pro"/>
          <w:sz w:val="20"/>
          <w:szCs w:val="20"/>
        </w:rPr>
      </w:pPr>
    </w:p>
    <w:p w14:paraId="1B5E1A7E" w14:textId="067819B3" w:rsidR="00926BDA" w:rsidRPr="005F7BB4" w:rsidRDefault="005F7BB4" w:rsidP="005F7BB4">
      <w:pPr>
        <w:ind w:left="360"/>
        <w:jc w:val="both"/>
        <w:rPr>
          <w:rFonts w:ascii="Neue Haas Grotesk Text Pro" w:hAnsi="Neue Haas Grotesk Text Pro"/>
          <w:sz w:val="20"/>
          <w:szCs w:val="20"/>
        </w:rPr>
      </w:pPr>
      <w:r w:rsidRPr="00900E1F">
        <w:rPr>
          <w:rFonts w:ascii="Neue Haas Grotesk Text Pro" w:hAnsi="Neue Haas Grotesk Text Pro"/>
          <w:sz w:val="20"/>
          <w:szCs w:val="20"/>
        </w:rPr>
        <w:t xml:space="preserve">For example, non-EU AIFs are not in scope of the Article 4 SFTR reporting obligation, even when managed by an EU AIFM; this differs from the approach for non-EU AIFs managed by EU AIFMs under EMIR, given such entities are subject to EMIR </w:t>
      </w:r>
      <w:r w:rsidRPr="00991630">
        <w:rPr>
          <w:rFonts w:ascii="Neue Haas Grotesk Text Pro" w:hAnsi="Neue Haas Grotesk Text Pro"/>
          <w:sz w:val="20"/>
          <w:szCs w:val="20"/>
        </w:rPr>
        <w:t>reporting.</w:t>
      </w:r>
      <w:r w:rsidRPr="00A07130">
        <w:rPr>
          <w:rFonts w:ascii="Neue Haas Grotesk Text Pro" w:hAnsi="Neue Haas Grotesk Text Pro"/>
          <w:sz w:val="20"/>
          <w:szCs w:val="20"/>
        </w:rPr>
        <w:t xml:space="preserve"> Under REMIT, </w:t>
      </w:r>
      <w:r w:rsidRPr="00991630">
        <w:rPr>
          <w:rFonts w:ascii="Neue Haas Grotesk Text Pro" w:hAnsi="Neue Haas Grotesk Text Pro"/>
          <w:sz w:val="20"/>
          <w:szCs w:val="20"/>
        </w:rPr>
        <w:t>ACER</w:t>
      </w:r>
      <w:r w:rsidRPr="00900E1F">
        <w:rPr>
          <w:rFonts w:ascii="Neue Haas Grotesk Text Pro" w:hAnsi="Neue Haas Grotesk Text Pro"/>
          <w:sz w:val="20"/>
          <w:szCs w:val="20"/>
        </w:rPr>
        <w:t xml:space="preserve"> has confirmed that investment managers and their clients are not required to report where the fund that is a counterparty to a transaction does not have direct membership of a trading venue (something that is generally very uncommon for fund vehicles). In practice this means that the scope of entities covered by REMIT reporting is very limited in the </w:t>
      </w:r>
      <w:proofErr w:type="gramStart"/>
      <w:r w:rsidRPr="00900E1F">
        <w:rPr>
          <w:rFonts w:ascii="Neue Haas Grotesk Text Pro" w:hAnsi="Neue Haas Grotesk Text Pro"/>
          <w:sz w:val="20"/>
          <w:szCs w:val="20"/>
        </w:rPr>
        <w:t>funds</w:t>
      </w:r>
      <w:proofErr w:type="gramEnd"/>
      <w:r w:rsidRPr="00900E1F">
        <w:rPr>
          <w:rFonts w:ascii="Neue Haas Grotesk Text Pro" w:hAnsi="Neue Haas Grotesk Text Pro"/>
          <w:sz w:val="20"/>
          <w:szCs w:val="20"/>
        </w:rPr>
        <w:t xml:space="preserve"> context.</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0B78F54" w14:textId="77777777" w:rsidR="00926BDA" w:rsidRDefault="00926BDA" w:rsidP="00926BDA">
      <w:permStart w:id="666895774" w:edGrp="everyone"/>
      <w:r>
        <w:t>TYPE YOUR TEXT HERE</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1C2CA6" w14:textId="77777777" w:rsidR="00926BDA" w:rsidRDefault="00926BDA" w:rsidP="00926BDA">
      <w:permStart w:id="1901729855" w:edGrp="everyone"/>
      <w:r>
        <w:t>TYPE YOUR TEXT HERE</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1F27D03C" w14:textId="77777777" w:rsidR="00926BDA" w:rsidRDefault="00926BDA" w:rsidP="00926BDA">
      <w:permStart w:id="1034637762" w:edGrp="everyone"/>
      <w:r>
        <w:t>TYPE YOUR TEXT HERE</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1FA6E054" w14:textId="77777777" w:rsidR="00926BDA" w:rsidRDefault="00926BDA" w:rsidP="00926BDA">
      <w:permStart w:id="276758894" w:edGrp="everyone"/>
      <w:r>
        <w:t>TYPE YOUR TEXT HERE</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lastRenderedPageBreak/>
        <w:t>What are the key limitations and potential risks of option 1b?</w:t>
      </w:r>
    </w:p>
    <w:p w14:paraId="0111A54A" w14:textId="77777777" w:rsidR="00926BDA" w:rsidRDefault="00926BDA" w:rsidP="00926BDA">
      <w:r>
        <w:t>&lt;ESMA_QUESTION_CASR_7&gt;</w:t>
      </w:r>
    </w:p>
    <w:p w14:paraId="1CFEB751" w14:textId="77777777" w:rsidR="00926BDA" w:rsidRDefault="00926BDA" w:rsidP="00926BDA">
      <w:permStart w:id="1327239170" w:edGrp="everyone"/>
      <w:r>
        <w:t>TYPE YOUR TEXT HERE</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A8801BA" w14:textId="77777777" w:rsidR="00926BDA" w:rsidRDefault="00926BDA" w:rsidP="00926BDA">
      <w:permStart w:id="1249454344" w:edGrp="everyone"/>
      <w:r>
        <w:t>TYPE YOUR TEXT HERE</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6C38C26" w14:textId="77777777" w:rsidR="00926BDA" w:rsidRDefault="00926BDA" w:rsidP="00926BDA">
      <w:permStart w:id="199837036" w:edGrp="everyone"/>
      <w:r>
        <w:t>TYPE YOUR TEXT HERE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04BEB89B" w14:textId="77777777" w:rsidR="00926BDA" w:rsidRDefault="00926BDA" w:rsidP="00926BDA">
      <w:permStart w:id="2123508368" w:edGrp="everyone"/>
      <w:r>
        <w:t>TYPE YOUR TEXT HERE</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77777777" w:rsidR="00926BDA" w:rsidRDefault="00926BDA" w:rsidP="00926BDA">
      <w:permStart w:id="1489376342" w:edGrp="everyone"/>
      <w:r>
        <w:t>TYPE YOUR TEXT HERE</w:t>
      </w:r>
    </w:p>
    <w:permEnd w:id="1489376342"/>
    <w:p w14:paraId="68F5F79E" w14:textId="77777777" w:rsidR="00926BDA" w:rsidRDefault="00926BDA" w:rsidP="00926BDA">
      <w:r>
        <w:lastRenderedPageBreak/>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7777777" w:rsidR="00926BDA" w:rsidRDefault="00926BDA" w:rsidP="00926BDA">
      <w:permStart w:id="1849847968" w:edGrp="everyone"/>
      <w:r>
        <w:t>TYPE YOUR TEXT HERE</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3069A83" w14:textId="77777777" w:rsidR="00926BDA" w:rsidRDefault="00926BDA" w:rsidP="00926BDA">
      <w:permStart w:id="695482675" w:edGrp="everyone"/>
      <w:r>
        <w:t>TYPE YOUR TEXT HERE</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77777777" w:rsidR="00926BDA" w:rsidRDefault="00926BDA" w:rsidP="00926BDA">
      <w:permStart w:id="1438851636" w:edGrp="everyone"/>
      <w:r>
        <w:t>TYPE YOUR TEXT HERE</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33B78B8E" w14:textId="77777777" w:rsidR="00926BDA" w:rsidRDefault="00926BDA" w:rsidP="00926BDA">
      <w:permStart w:id="1962436404" w:edGrp="everyone"/>
      <w:r>
        <w:t>TYPE YOUR TEXT HERE</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lastRenderedPageBreak/>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245F0DB8" w14:textId="77777777" w:rsidR="004666EF" w:rsidRPr="00900E1F" w:rsidRDefault="004666EF" w:rsidP="004666EF">
      <w:pPr>
        <w:ind w:left="360"/>
        <w:jc w:val="both"/>
        <w:rPr>
          <w:rFonts w:ascii="Neue Haas Grotesk Text Pro" w:hAnsi="Neue Haas Grotesk Text Pro"/>
          <w:sz w:val="20"/>
          <w:szCs w:val="20"/>
        </w:rPr>
      </w:pPr>
      <w:permStart w:id="105197077" w:edGrp="everyone"/>
      <w:r w:rsidRPr="00900E1F">
        <w:rPr>
          <w:rFonts w:ascii="Neue Haas Grotesk Text Pro" w:hAnsi="Neue Haas Grotesk Text Pro"/>
          <w:sz w:val="20"/>
          <w:szCs w:val="20"/>
        </w:rPr>
        <w:t>AIMA supports enhancing ESMA’s role as a data hub by developing a framework where entities would report consistent and harmonised directly to ESMA. We believe this option should be coupled with EU and NCA access to centrally held data to eliminate multiple submissions. Fragmentation - stemming from 27 distinct national laws and reporting protocols—produces unnecessary transaction costs, legal ambiguity and operational complexity.</w:t>
      </w:r>
    </w:p>
    <w:p w14:paraId="6D9E236F" w14:textId="77777777" w:rsidR="004666EF" w:rsidRPr="00900E1F" w:rsidRDefault="004666EF" w:rsidP="004666EF">
      <w:pPr>
        <w:jc w:val="both"/>
        <w:rPr>
          <w:rFonts w:ascii="Neue Haas Grotesk Text Pro" w:hAnsi="Neue Haas Grotesk Text Pro"/>
          <w:sz w:val="20"/>
          <w:szCs w:val="20"/>
        </w:rPr>
      </w:pPr>
    </w:p>
    <w:p w14:paraId="66C24020" w14:textId="77777777" w:rsidR="004666EF" w:rsidRDefault="004666EF" w:rsidP="004666EF">
      <w:pPr>
        <w:ind w:left="360"/>
        <w:jc w:val="both"/>
        <w:rPr>
          <w:rFonts w:ascii="Neue Haas Grotesk Text Pro" w:hAnsi="Neue Haas Grotesk Text Pro"/>
          <w:sz w:val="20"/>
          <w:szCs w:val="20"/>
        </w:rPr>
      </w:pPr>
      <w:r w:rsidRPr="00900E1F">
        <w:rPr>
          <w:rFonts w:ascii="Neue Haas Grotesk Text Pro" w:hAnsi="Neue Haas Grotesk Text Pro"/>
          <w:sz w:val="20"/>
          <w:szCs w:val="20"/>
        </w:rPr>
        <w:t xml:space="preserve">Our members </w:t>
      </w:r>
      <w:r>
        <w:rPr>
          <w:rFonts w:ascii="Neue Haas Grotesk Text Pro" w:hAnsi="Neue Haas Grotesk Text Pro"/>
          <w:sz w:val="20"/>
          <w:szCs w:val="20"/>
        </w:rPr>
        <w:t>have identified</w:t>
      </w:r>
      <w:r w:rsidRPr="00900E1F">
        <w:rPr>
          <w:rFonts w:ascii="Neue Haas Grotesk Text Pro" w:hAnsi="Neue Haas Grotesk Text Pro"/>
          <w:sz w:val="20"/>
          <w:szCs w:val="20"/>
        </w:rPr>
        <w:t xml:space="preserve"> the Short Selling Regulation (SSR)</w:t>
      </w:r>
      <w:r>
        <w:rPr>
          <w:rFonts w:ascii="Neue Haas Grotesk Text Pro" w:hAnsi="Neue Haas Grotesk Text Pro"/>
          <w:sz w:val="20"/>
          <w:szCs w:val="20"/>
        </w:rPr>
        <w:t xml:space="preserve"> as an area where centralisation could deliver meaningful efficiency and risk-reduction</w:t>
      </w:r>
      <w:r w:rsidRPr="00900E1F">
        <w:rPr>
          <w:rFonts w:ascii="Neue Haas Grotesk Text Pro" w:hAnsi="Neue Haas Grotesk Text Pro"/>
          <w:sz w:val="20"/>
          <w:szCs w:val="20"/>
        </w:rPr>
        <w:t xml:space="preserve">. </w:t>
      </w:r>
      <w:r>
        <w:rPr>
          <w:rFonts w:ascii="Neue Haas Grotesk Text Pro" w:hAnsi="Neue Haas Grotesk Text Pro"/>
          <w:sz w:val="20"/>
          <w:szCs w:val="20"/>
        </w:rPr>
        <w:t>While</w:t>
      </w:r>
      <w:r w:rsidRPr="00900E1F">
        <w:rPr>
          <w:rFonts w:ascii="Neue Haas Grotesk Text Pro" w:hAnsi="Neue Haas Grotesk Text Pro"/>
          <w:sz w:val="20"/>
          <w:szCs w:val="20"/>
        </w:rPr>
        <w:t xml:space="preserve"> the </w:t>
      </w:r>
      <w:r>
        <w:rPr>
          <w:rFonts w:ascii="Neue Haas Grotesk Text Pro" w:hAnsi="Neue Haas Grotesk Text Pro"/>
          <w:sz w:val="20"/>
          <w:szCs w:val="20"/>
        </w:rPr>
        <w:t xml:space="preserve">reporting threshold for </w:t>
      </w:r>
      <w:r w:rsidRPr="00900E1F">
        <w:rPr>
          <w:rFonts w:ascii="Neue Haas Grotesk Text Pro" w:hAnsi="Neue Haas Grotesk Text Pro"/>
          <w:sz w:val="20"/>
          <w:szCs w:val="20"/>
        </w:rPr>
        <w:t>net short position</w:t>
      </w:r>
      <w:r>
        <w:rPr>
          <w:rFonts w:ascii="Neue Haas Grotesk Text Pro" w:hAnsi="Neue Haas Grotesk Text Pro"/>
          <w:sz w:val="20"/>
          <w:szCs w:val="20"/>
        </w:rPr>
        <w:t xml:space="preserve">s </w:t>
      </w:r>
      <w:r w:rsidRPr="00900E1F">
        <w:rPr>
          <w:rFonts w:ascii="Neue Haas Grotesk Text Pro" w:hAnsi="Neue Haas Grotesk Text Pro"/>
          <w:sz w:val="20"/>
          <w:szCs w:val="20"/>
        </w:rPr>
        <w:t xml:space="preserve">has been harmonised across EU Member States at 0.1% of issued share capital, with incremental reporting required for each 0.1% thereafter, </w:t>
      </w:r>
      <w:r>
        <w:rPr>
          <w:rFonts w:ascii="Neue Haas Grotesk Text Pro" w:hAnsi="Neue Haas Grotesk Text Pro"/>
          <w:sz w:val="20"/>
          <w:szCs w:val="20"/>
        </w:rPr>
        <w:t>the mechanics of reporting remain fragmented. We believe that a</w:t>
      </w:r>
      <w:r w:rsidRPr="00900E1F">
        <w:rPr>
          <w:rFonts w:ascii="Neue Haas Grotesk Text Pro" w:hAnsi="Neue Haas Grotesk Text Pro"/>
          <w:sz w:val="20"/>
          <w:szCs w:val="20"/>
        </w:rPr>
        <w:t xml:space="preserve"> single, EU</w:t>
      </w:r>
      <w:r w:rsidRPr="00900E1F">
        <w:rPr>
          <w:rFonts w:ascii="Neue Haas Grotesk Text Pro" w:hAnsi="Neue Haas Grotesk Text Pro"/>
          <w:sz w:val="20"/>
          <w:szCs w:val="20"/>
        </w:rPr>
        <w:noBreakHyphen/>
        <w:t xml:space="preserve">wide reporting portal </w:t>
      </w:r>
      <w:r>
        <w:rPr>
          <w:rFonts w:ascii="Neue Haas Grotesk Text Pro" w:hAnsi="Neue Haas Grotesk Text Pro"/>
          <w:sz w:val="20"/>
          <w:szCs w:val="20"/>
        </w:rPr>
        <w:t>operated by</w:t>
      </w:r>
      <w:r w:rsidRPr="00900E1F">
        <w:rPr>
          <w:rFonts w:ascii="Neue Haas Grotesk Text Pro" w:hAnsi="Neue Haas Grotesk Text Pro"/>
          <w:sz w:val="20"/>
          <w:szCs w:val="20"/>
        </w:rPr>
        <w:t xml:space="preserve"> ESMA w</w:t>
      </w:r>
      <w:r>
        <w:rPr>
          <w:rFonts w:ascii="Neue Haas Grotesk Text Pro" w:hAnsi="Neue Haas Grotesk Text Pro"/>
          <w:sz w:val="20"/>
          <w:szCs w:val="20"/>
        </w:rPr>
        <w:t>hich</w:t>
      </w:r>
      <w:r w:rsidRPr="00900E1F">
        <w:rPr>
          <w:rFonts w:ascii="Neue Haas Grotesk Text Pro" w:hAnsi="Neue Haas Grotesk Text Pro"/>
          <w:sz w:val="20"/>
          <w:szCs w:val="20"/>
        </w:rPr>
        <w:t xml:space="preserve"> consolidate</w:t>
      </w:r>
      <w:r>
        <w:rPr>
          <w:rFonts w:ascii="Neue Haas Grotesk Text Pro" w:hAnsi="Neue Haas Grotesk Text Pro"/>
          <w:sz w:val="20"/>
          <w:szCs w:val="20"/>
        </w:rPr>
        <w:t>s</w:t>
      </w:r>
      <w:r w:rsidRPr="00900E1F">
        <w:rPr>
          <w:rFonts w:ascii="Neue Haas Grotesk Text Pro" w:hAnsi="Neue Haas Grotesk Text Pro"/>
          <w:sz w:val="20"/>
          <w:szCs w:val="20"/>
        </w:rPr>
        <w:t xml:space="preserve"> these requirements into a consistent interface </w:t>
      </w:r>
      <w:r>
        <w:rPr>
          <w:rFonts w:ascii="Neue Haas Grotesk Text Pro" w:hAnsi="Neue Haas Grotesk Text Pro"/>
          <w:sz w:val="20"/>
          <w:szCs w:val="20"/>
        </w:rPr>
        <w:t>would</w:t>
      </w:r>
      <w:r w:rsidRPr="00900E1F">
        <w:rPr>
          <w:rFonts w:ascii="Neue Haas Grotesk Text Pro" w:hAnsi="Neue Haas Grotesk Text Pro"/>
          <w:sz w:val="20"/>
          <w:szCs w:val="20"/>
        </w:rPr>
        <w:t xml:space="preserve"> simplify compliance and streamlin</w:t>
      </w:r>
      <w:r>
        <w:rPr>
          <w:rFonts w:ascii="Neue Haas Grotesk Text Pro" w:hAnsi="Neue Haas Grotesk Text Pro"/>
          <w:sz w:val="20"/>
          <w:szCs w:val="20"/>
        </w:rPr>
        <w:t>e</w:t>
      </w:r>
      <w:r w:rsidRPr="00900E1F">
        <w:rPr>
          <w:rFonts w:ascii="Neue Haas Grotesk Text Pro" w:hAnsi="Neue Haas Grotesk Text Pro"/>
          <w:sz w:val="20"/>
          <w:szCs w:val="20"/>
        </w:rPr>
        <w:t xml:space="preserve"> oversight.</w:t>
      </w:r>
      <w:r>
        <w:rPr>
          <w:rFonts w:ascii="Neue Haas Grotesk Text Pro" w:hAnsi="Neue Haas Grotesk Text Pro"/>
          <w:sz w:val="20"/>
          <w:szCs w:val="20"/>
        </w:rPr>
        <w:t xml:space="preserve"> </w:t>
      </w:r>
    </w:p>
    <w:p w14:paraId="4522ED8E" w14:textId="77777777" w:rsidR="004666EF" w:rsidRDefault="004666EF" w:rsidP="004666EF">
      <w:pPr>
        <w:ind w:left="360"/>
        <w:jc w:val="both"/>
        <w:rPr>
          <w:rFonts w:ascii="Neue Haas Grotesk Text Pro" w:hAnsi="Neue Haas Grotesk Text Pro"/>
          <w:sz w:val="20"/>
          <w:szCs w:val="20"/>
        </w:rPr>
      </w:pPr>
    </w:p>
    <w:p w14:paraId="680049EF" w14:textId="77777777" w:rsidR="004666EF" w:rsidRDefault="004666EF" w:rsidP="004666EF">
      <w:pPr>
        <w:ind w:left="360"/>
        <w:jc w:val="both"/>
        <w:rPr>
          <w:rFonts w:ascii="Neue Haas Grotesk Text Pro" w:hAnsi="Neue Haas Grotesk Text Pro"/>
          <w:sz w:val="20"/>
          <w:szCs w:val="20"/>
        </w:rPr>
      </w:pPr>
      <w:r>
        <w:rPr>
          <w:rFonts w:ascii="Neue Haas Grotesk Text Pro" w:hAnsi="Neue Haas Grotesk Text Pro"/>
          <w:sz w:val="20"/>
          <w:szCs w:val="20"/>
        </w:rPr>
        <w:t>Currently, f</w:t>
      </w:r>
      <w:r w:rsidRPr="00900E1F">
        <w:rPr>
          <w:rFonts w:ascii="Neue Haas Grotesk Text Pro" w:hAnsi="Neue Haas Grotesk Text Pro"/>
          <w:sz w:val="20"/>
          <w:szCs w:val="20"/>
        </w:rPr>
        <w:t>irms</w:t>
      </w:r>
      <w:r>
        <w:rPr>
          <w:rFonts w:ascii="Neue Haas Grotesk Text Pro" w:hAnsi="Neue Haas Grotesk Text Pro"/>
          <w:sz w:val="20"/>
          <w:szCs w:val="20"/>
        </w:rPr>
        <w:t xml:space="preserve"> must navigate</w:t>
      </w:r>
      <w:r w:rsidRPr="00900E1F">
        <w:rPr>
          <w:rFonts w:ascii="Neue Haas Grotesk Text Pro" w:hAnsi="Neue Haas Grotesk Text Pro"/>
          <w:sz w:val="20"/>
          <w:szCs w:val="20"/>
        </w:rPr>
        <w:t xml:space="preserve"> a multitude of portals, formats and processes across jurisdictions</w:t>
      </w:r>
      <w:r>
        <w:rPr>
          <w:rFonts w:ascii="Neue Haas Grotesk Text Pro" w:hAnsi="Neue Haas Grotesk Text Pro"/>
          <w:sz w:val="20"/>
          <w:szCs w:val="20"/>
        </w:rPr>
        <w:t xml:space="preserve">, which undermines the effectiveness of the SSR regime. </w:t>
      </w:r>
      <w:r w:rsidRPr="00BC7E8A">
        <w:rPr>
          <w:rFonts w:ascii="Neue Haas Grotesk Text Pro" w:hAnsi="Neue Haas Grotesk Text Pro"/>
          <w:sz w:val="20"/>
          <w:szCs w:val="20"/>
        </w:rPr>
        <w:t xml:space="preserve">Technical limitations in current NCA portals further compound the issue. Members report frequent </w:t>
      </w:r>
      <w:r w:rsidRPr="00E00E6E">
        <w:rPr>
          <w:rFonts w:ascii="Neue Haas Grotesk Text Pro" w:hAnsi="Neue Haas Grotesk Text Pro"/>
          <w:sz w:val="20"/>
          <w:szCs w:val="20"/>
        </w:rPr>
        <w:t>system outages (approximately one or two incidents per week)</w:t>
      </w:r>
      <w:r w:rsidRPr="002E4B7D">
        <w:rPr>
          <w:rFonts w:ascii="Neue Haas Grotesk Text Pro" w:hAnsi="Neue Haas Grotesk Text Pro"/>
          <w:sz w:val="20"/>
          <w:szCs w:val="20"/>
        </w:rPr>
        <w:t xml:space="preserve">, </w:t>
      </w:r>
      <w:r w:rsidRPr="00BC7E8A">
        <w:rPr>
          <w:rFonts w:ascii="Neue Haas Grotesk Text Pro" w:hAnsi="Neue Haas Grotesk Text Pro"/>
          <w:sz w:val="20"/>
          <w:szCs w:val="20"/>
        </w:rPr>
        <w:t>limited automation and outdated processes. S</w:t>
      </w:r>
      <w:r>
        <w:rPr>
          <w:rFonts w:ascii="Neue Haas Grotesk Text Pro" w:hAnsi="Neue Haas Grotesk Text Pro"/>
          <w:sz w:val="20"/>
          <w:szCs w:val="20"/>
        </w:rPr>
        <w:t>everal</w:t>
      </w:r>
      <w:r w:rsidRPr="00BC7E8A">
        <w:rPr>
          <w:rFonts w:ascii="Neue Haas Grotesk Text Pro" w:hAnsi="Neue Haas Grotesk Text Pro"/>
          <w:sz w:val="20"/>
          <w:szCs w:val="20"/>
        </w:rPr>
        <w:t xml:space="preserve"> NCAs have introduced web interfaces that are less efficient than prior systems</w:t>
      </w:r>
      <w:r>
        <w:rPr>
          <w:rFonts w:ascii="Neue Haas Grotesk Text Pro" w:hAnsi="Neue Haas Grotesk Text Pro"/>
          <w:sz w:val="20"/>
          <w:szCs w:val="20"/>
        </w:rPr>
        <w:t xml:space="preserve"> - </w:t>
      </w:r>
      <w:r w:rsidRPr="00BC7E8A">
        <w:rPr>
          <w:rFonts w:ascii="Neue Haas Grotesk Text Pro" w:hAnsi="Neue Haas Grotesk Text Pro"/>
          <w:sz w:val="20"/>
          <w:szCs w:val="20"/>
        </w:rPr>
        <w:t xml:space="preserve">replacing automatable Excel-based forms with manual input fields. These shortcomings not only increase compliance costs but also raise the risk of delayed or incorrect submissions. </w:t>
      </w:r>
      <w:r>
        <w:rPr>
          <w:rFonts w:ascii="Neue Haas Grotesk Text Pro" w:hAnsi="Neue Haas Grotesk Text Pro"/>
          <w:sz w:val="20"/>
          <w:szCs w:val="20"/>
        </w:rPr>
        <w:t>We believe a</w:t>
      </w:r>
      <w:r w:rsidRPr="00BC7E8A">
        <w:rPr>
          <w:rFonts w:ascii="Neue Haas Grotesk Text Pro" w:hAnsi="Neue Haas Grotesk Text Pro"/>
          <w:sz w:val="20"/>
          <w:szCs w:val="20"/>
        </w:rPr>
        <w:t xml:space="preserve">ny replacement system must </w:t>
      </w:r>
      <w:r>
        <w:rPr>
          <w:rFonts w:ascii="Neue Haas Grotesk Text Pro" w:hAnsi="Neue Haas Grotesk Text Pro"/>
          <w:sz w:val="20"/>
          <w:szCs w:val="20"/>
        </w:rPr>
        <w:t>allow for automation</w:t>
      </w:r>
      <w:r w:rsidRPr="009F5B68">
        <w:rPr>
          <w:rFonts w:ascii="Neue Haas Grotesk Text Pro" w:hAnsi="Neue Haas Grotesk Text Pro"/>
          <w:sz w:val="20"/>
          <w:szCs w:val="20"/>
        </w:rPr>
        <w:t xml:space="preserve">, supporting machine-readable formats and integration via </w:t>
      </w:r>
      <w:r w:rsidRPr="00E00E6E">
        <w:rPr>
          <w:rFonts w:ascii="Neue Haas Grotesk Text Pro" w:hAnsi="Neue Haas Grotesk Text Pro"/>
          <w:sz w:val="20"/>
          <w:szCs w:val="20"/>
        </w:rPr>
        <w:t>API</w:t>
      </w:r>
      <w:r w:rsidRPr="009F5B68">
        <w:rPr>
          <w:rFonts w:ascii="Neue Haas Grotesk Text Pro" w:hAnsi="Neue Haas Grotesk Text Pro"/>
          <w:sz w:val="20"/>
          <w:szCs w:val="20"/>
        </w:rPr>
        <w:t>.</w:t>
      </w:r>
      <w:r>
        <w:rPr>
          <w:rFonts w:ascii="Neue Haas Grotesk Text Pro" w:hAnsi="Neue Haas Grotesk Text Pro"/>
          <w:sz w:val="20"/>
          <w:szCs w:val="20"/>
        </w:rPr>
        <w:t xml:space="preserve"> </w:t>
      </w:r>
      <w:r w:rsidRPr="00D34B0F">
        <w:rPr>
          <w:rFonts w:ascii="Neue Haas Grotesk Text Pro" w:hAnsi="Neue Haas Grotesk Text Pro"/>
          <w:sz w:val="20"/>
          <w:szCs w:val="20"/>
        </w:rPr>
        <w:t xml:space="preserve">Challenges also arise with </w:t>
      </w:r>
      <w:r w:rsidRPr="00E00E6E">
        <w:rPr>
          <w:rFonts w:ascii="Neue Haas Grotesk Text Pro" w:hAnsi="Neue Haas Grotesk Text Pro"/>
          <w:sz w:val="20"/>
          <w:szCs w:val="20"/>
        </w:rPr>
        <w:t>dual-listed securities</w:t>
      </w:r>
      <w:r w:rsidRPr="002E4B7D">
        <w:rPr>
          <w:rFonts w:ascii="Neue Haas Grotesk Text Pro" w:hAnsi="Neue Haas Grotesk Text Pro"/>
          <w:sz w:val="20"/>
          <w:szCs w:val="20"/>
        </w:rPr>
        <w:t>,</w:t>
      </w:r>
      <w:r w:rsidRPr="00D34B0F">
        <w:rPr>
          <w:rFonts w:ascii="Neue Haas Grotesk Text Pro" w:hAnsi="Neue Haas Grotesk Text Pro"/>
          <w:sz w:val="20"/>
          <w:szCs w:val="20"/>
        </w:rPr>
        <w:t xml:space="preserve"> where firms may struggle to determine the correct jurisdiction for reporting</w:t>
      </w:r>
      <w:r>
        <w:rPr>
          <w:rFonts w:ascii="Neue Haas Grotesk Text Pro" w:hAnsi="Neue Haas Grotesk Text Pro"/>
          <w:sz w:val="20"/>
          <w:szCs w:val="20"/>
        </w:rPr>
        <w:t xml:space="preserve"> - </w:t>
      </w:r>
      <w:r w:rsidRPr="00D34B0F">
        <w:rPr>
          <w:rFonts w:ascii="Neue Haas Grotesk Text Pro" w:hAnsi="Neue Haas Grotesk Text Pro"/>
          <w:sz w:val="20"/>
          <w:szCs w:val="20"/>
        </w:rPr>
        <w:t xml:space="preserve">especially </w:t>
      </w:r>
      <w:r>
        <w:rPr>
          <w:rFonts w:ascii="Neue Haas Grotesk Text Pro" w:hAnsi="Neue Haas Grotesk Text Pro"/>
          <w:sz w:val="20"/>
          <w:szCs w:val="20"/>
        </w:rPr>
        <w:t xml:space="preserve">around </w:t>
      </w:r>
      <w:r w:rsidRPr="00D34B0F">
        <w:rPr>
          <w:rFonts w:ascii="Neue Haas Grotesk Text Pro" w:hAnsi="Neue Haas Grotesk Text Pro"/>
          <w:sz w:val="20"/>
          <w:szCs w:val="20"/>
        </w:rPr>
        <w:t xml:space="preserve">transitions. A centralised ESMA-led platform would resolve this ambiguity and serve as a </w:t>
      </w:r>
      <w:r w:rsidRPr="00E00E6E">
        <w:rPr>
          <w:rFonts w:ascii="Neue Haas Grotesk Text Pro" w:hAnsi="Neue Haas Grotesk Text Pro"/>
          <w:sz w:val="20"/>
          <w:szCs w:val="20"/>
        </w:rPr>
        <w:t>single source</w:t>
      </w:r>
      <w:r w:rsidRPr="002E4B7D">
        <w:rPr>
          <w:rFonts w:ascii="Neue Haas Grotesk Text Pro" w:hAnsi="Neue Haas Grotesk Text Pro"/>
          <w:sz w:val="20"/>
          <w:szCs w:val="20"/>
        </w:rPr>
        <w:t>,</w:t>
      </w:r>
      <w:r w:rsidRPr="00D34B0F">
        <w:rPr>
          <w:rFonts w:ascii="Neue Haas Grotesk Text Pro" w:hAnsi="Neue Haas Grotesk Text Pro"/>
          <w:sz w:val="20"/>
          <w:szCs w:val="20"/>
        </w:rPr>
        <w:t xml:space="preserve"> improving reporting accuracy and reducing administrative </w:t>
      </w:r>
      <w:r>
        <w:rPr>
          <w:rFonts w:ascii="Neue Haas Grotesk Text Pro" w:hAnsi="Neue Haas Grotesk Text Pro"/>
          <w:sz w:val="20"/>
          <w:szCs w:val="20"/>
        </w:rPr>
        <w:t>burdens</w:t>
      </w:r>
      <w:r w:rsidRPr="00D34B0F">
        <w:rPr>
          <w:rFonts w:ascii="Neue Haas Grotesk Text Pro" w:hAnsi="Neue Haas Grotesk Text Pro"/>
          <w:sz w:val="20"/>
          <w:szCs w:val="20"/>
        </w:rPr>
        <w:t>.</w:t>
      </w:r>
    </w:p>
    <w:p w14:paraId="6E213E7F" w14:textId="77777777" w:rsidR="004666EF" w:rsidRDefault="004666EF" w:rsidP="004666EF">
      <w:pPr>
        <w:ind w:left="360"/>
        <w:jc w:val="both"/>
        <w:rPr>
          <w:rFonts w:ascii="Neue Haas Grotesk Text Pro" w:hAnsi="Neue Haas Grotesk Text Pro"/>
          <w:sz w:val="20"/>
          <w:szCs w:val="20"/>
        </w:rPr>
      </w:pPr>
    </w:p>
    <w:p w14:paraId="0C6784D4" w14:textId="77777777" w:rsidR="004666EF" w:rsidRPr="009F5B68" w:rsidRDefault="004666EF" w:rsidP="004666EF">
      <w:pPr>
        <w:ind w:left="360"/>
        <w:jc w:val="both"/>
        <w:rPr>
          <w:rFonts w:ascii="Neue Haas Grotesk Text Pro" w:hAnsi="Neue Haas Grotesk Text Pro"/>
          <w:sz w:val="20"/>
          <w:szCs w:val="20"/>
        </w:rPr>
      </w:pPr>
      <w:r>
        <w:rPr>
          <w:rFonts w:ascii="Neue Haas Grotesk Text Pro" w:hAnsi="Neue Haas Grotesk Text Pro"/>
          <w:sz w:val="20"/>
          <w:szCs w:val="20"/>
        </w:rPr>
        <w:t xml:space="preserve">Further to this, </w:t>
      </w:r>
      <w:r w:rsidRPr="00AE3BC3">
        <w:rPr>
          <w:rFonts w:ascii="Neue Haas Grotesk Text Pro" w:hAnsi="Neue Haas Grotesk Text Pro"/>
          <w:sz w:val="20"/>
          <w:szCs w:val="20"/>
        </w:rPr>
        <w:t xml:space="preserve">regulatory risk and resource burden arises from the </w:t>
      </w:r>
      <w:r w:rsidRPr="00E00E6E">
        <w:rPr>
          <w:rFonts w:ascii="Neue Haas Grotesk Text Pro" w:hAnsi="Neue Haas Grotesk Text Pro"/>
          <w:sz w:val="20"/>
          <w:szCs w:val="20"/>
        </w:rPr>
        <w:t>research and verification of shares outstanding data</w:t>
      </w:r>
      <w:r w:rsidRPr="002E4B7D">
        <w:rPr>
          <w:rFonts w:ascii="Neue Haas Grotesk Text Pro" w:hAnsi="Neue Haas Grotesk Text Pro"/>
          <w:sz w:val="20"/>
          <w:szCs w:val="20"/>
        </w:rPr>
        <w:t xml:space="preserve">. </w:t>
      </w:r>
      <w:r>
        <w:rPr>
          <w:rFonts w:ascii="Neue Haas Grotesk Text Pro" w:hAnsi="Neue Haas Grotesk Text Pro"/>
          <w:sz w:val="20"/>
          <w:szCs w:val="20"/>
        </w:rPr>
        <w:t>This</w:t>
      </w:r>
      <w:r w:rsidRPr="00AE3BC3">
        <w:rPr>
          <w:rFonts w:ascii="Neue Haas Grotesk Text Pro" w:hAnsi="Neue Haas Grotesk Text Pro"/>
          <w:sz w:val="20"/>
          <w:szCs w:val="20"/>
        </w:rPr>
        <w:t xml:space="preserve"> data is often </w:t>
      </w:r>
      <w:r w:rsidRPr="00E00E6E">
        <w:rPr>
          <w:rFonts w:ascii="Neue Haas Grotesk Text Pro" w:hAnsi="Neue Haas Grotesk Text Pro"/>
          <w:sz w:val="20"/>
          <w:szCs w:val="20"/>
        </w:rPr>
        <w:t>difficult to source</w:t>
      </w:r>
      <w:r w:rsidRPr="00AE3BC3">
        <w:rPr>
          <w:rFonts w:ascii="Neue Haas Grotesk Text Pro" w:hAnsi="Neue Haas Grotesk Text Pro"/>
          <w:sz w:val="20"/>
          <w:szCs w:val="20"/>
        </w:rPr>
        <w:t xml:space="preserve">, due to inconsistencies in how issuer disclosures are made across Member States. For some firms, this process </w:t>
      </w:r>
      <w:r>
        <w:rPr>
          <w:rFonts w:ascii="Neue Haas Grotesk Text Pro" w:hAnsi="Neue Haas Grotesk Text Pro"/>
          <w:sz w:val="20"/>
          <w:szCs w:val="20"/>
        </w:rPr>
        <w:t xml:space="preserve">requires </w:t>
      </w:r>
      <w:r w:rsidRPr="00E00E6E">
        <w:rPr>
          <w:rFonts w:ascii="Neue Haas Grotesk Text Pro" w:hAnsi="Neue Haas Grotesk Text Pro"/>
          <w:sz w:val="20"/>
          <w:szCs w:val="20"/>
        </w:rPr>
        <w:t>the</w:t>
      </w:r>
      <w:r w:rsidRPr="00AE3BC3">
        <w:rPr>
          <w:rFonts w:ascii="Neue Haas Grotesk Text Pro" w:hAnsi="Neue Haas Grotesk Text Pro"/>
          <w:b/>
          <w:bCs/>
          <w:sz w:val="20"/>
          <w:szCs w:val="20"/>
        </w:rPr>
        <w:t xml:space="preserve"> </w:t>
      </w:r>
      <w:r w:rsidRPr="00E00E6E">
        <w:rPr>
          <w:rFonts w:ascii="Neue Haas Grotesk Text Pro" w:hAnsi="Neue Haas Grotesk Text Pro"/>
          <w:sz w:val="20"/>
          <w:szCs w:val="20"/>
        </w:rPr>
        <w:t>equivalent of a full person-day</w:t>
      </w:r>
      <w:r w:rsidRPr="002E4B7D">
        <w:rPr>
          <w:rFonts w:ascii="Neue Haas Grotesk Text Pro" w:hAnsi="Neue Haas Grotesk Text Pro"/>
          <w:sz w:val="20"/>
          <w:szCs w:val="20"/>
        </w:rPr>
        <w:t>.</w:t>
      </w:r>
      <w:r>
        <w:rPr>
          <w:rFonts w:ascii="Neue Haas Grotesk Text Pro" w:hAnsi="Neue Haas Grotesk Text Pro"/>
          <w:sz w:val="20"/>
          <w:szCs w:val="20"/>
        </w:rPr>
        <w:t xml:space="preserve"> </w:t>
      </w:r>
      <w:r w:rsidRPr="00AE3BC3">
        <w:rPr>
          <w:rFonts w:ascii="Neue Haas Grotesk Text Pro" w:hAnsi="Neue Haas Grotesk Text Pro"/>
          <w:sz w:val="20"/>
          <w:szCs w:val="20"/>
        </w:rPr>
        <w:t xml:space="preserve">Although this responsibility should lie with issuers, firms remain exposed to enforcement risk for reporting inaccuracies tied to unreliable or opaque disclosures. </w:t>
      </w:r>
      <w:r>
        <w:rPr>
          <w:rFonts w:ascii="Neue Haas Grotesk Text Pro" w:hAnsi="Neue Haas Grotesk Text Pro"/>
          <w:sz w:val="20"/>
          <w:szCs w:val="20"/>
        </w:rPr>
        <w:t>We understand that s</w:t>
      </w:r>
      <w:r w:rsidRPr="00AE3BC3">
        <w:rPr>
          <w:rFonts w:ascii="Neue Haas Grotesk Text Pro" w:hAnsi="Neue Haas Grotesk Text Pro"/>
          <w:sz w:val="20"/>
          <w:szCs w:val="20"/>
        </w:rPr>
        <w:t>ome NCAs have</w:t>
      </w:r>
      <w:r>
        <w:rPr>
          <w:rFonts w:ascii="Neue Haas Grotesk Text Pro" w:hAnsi="Neue Haas Grotesk Text Pro"/>
          <w:sz w:val="20"/>
          <w:szCs w:val="20"/>
        </w:rPr>
        <w:t xml:space="preserve"> also</w:t>
      </w:r>
      <w:r w:rsidRPr="00AE3BC3">
        <w:rPr>
          <w:rFonts w:ascii="Neue Haas Grotesk Text Pro" w:hAnsi="Neue Haas Grotesk Text Pro"/>
          <w:sz w:val="20"/>
          <w:szCs w:val="20"/>
        </w:rPr>
        <w:t xml:space="preserve"> acknowledged the challenges they face in validating this data. </w:t>
      </w:r>
      <w:r w:rsidRPr="002E4B7D">
        <w:rPr>
          <w:rFonts w:ascii="Neue Haas Grotesk Text Pro" w:hAnsi="Neue Haas Grotesk Text Pro"/>
          <w:sz w:val="20"/>
          <w:szCs w:val="20"/>
        </w:rPr>
        <w:t xml:space="preserve">A </w:t>
      </w:r>
      <w:r w:rsidRPr="00E00E6E">
        <w:rPr>
          <w:rFonts w:ascii="Neue Haas Grotesk Text Pro" w:hAnsi="Neue Haas Grotesk Text Pro"/>
          <w:sz w:val="20"/>
          <w:szCs w:val="20"/>
        </w:rPr>
        <w:t>centralised, authoritative data set managed by ESMA</w:t>
      </w:r>
      <w:r w:rsidRPr="00AE3BC3">
        <w:rPr>
          <w:rFonts w:ascii="Neue Haas Grotesk Text Pro" w:hAnsi="Neue Haas Grotesk Text Pro"/>
          <w:sz w:val="20"/>
          <w:szCs w:val="20"/>
        </w:rPr>
        <w:t xml:space="preserve"> would </w:t>
      </w:r>
      <w:r>
        <w:rPr>
          <w:rFonts w:ascii="Neue Haas Grotesk Text Pro" w:hAnsi="Neue Haas Grotesk Text Pro"/>
          <w:sz w:val="20"/>
          <w:szCs w:val="20"/>
        </w:rPr>
        <w:t>resolve</w:t>
      </w:r>
      <w:r w:rsidRPr="00AE3BC3">
        <w:rPr>
          <w:rFonts w:ascii="Neue Haas Grotesk Text Pro" w:hAnsi="Neue Haas Grotesk Text Pro"/>
          <w:sz w:val="20"/>
          <w:szCs w:val="20"/>
        </w:rPr>
        <w:t xml:space="preserve"> this </w:t>
      </w:r>
      <w:r>
        <w:rPr>
          <w:rFonts w:ascii="Neue Haas Grotesk Text Pro" w:hAnsi="Neue Haas Grotesk Text Pro"/>
          <w:sz w:val="20"/>
          <w:szCs w:val="20"/>
        </w:rPr>
        <w:t xml:space="preserve">problem. </w:t>
      </w:r>
    </w:p>
    <w:p w14:paraId="7A5F61B3" w14:textId="77777777" w:rsidR="004666EF" w:rsidRPr="00900E1F" w:rsidRDefault="004666EF" w:rsidP="004666EF">
      <w:pPr>
        <w:ind w:left="360"/>
        <w:jc w:val="both"/>
        <w:rPr>
          <w:rFonts w:ascii="Neue Haas Grotesk Text Pro" w:hAnsi="Neue Haas Grotesk Text Pro"/>
          <w:sz w:val="20"/>
          <w:szCs w:val="20"/>
        </w:rPr>
      </w:pPr>
    </w:p>
    <w:p w14:paraId="1A3BE8DE" w14:textId="122A41A8" w:rsidR="00926BDA" w:rsidRPr="008B6B1B" w:rsidRDefault="004666EF" w:rsidP="008B6B1B">
      <w:pPr>
        <w:ind w:left="360"/>
        <w:jc w:val="both"/>
        <w:rPr>
          <w:rFonts w:ascii="Neue Haas Grotesk Text Pro" w:hAnsi="Neue Haas Grotesk Text Pro"/>
          <w:sz w:val="20"/>
          <w:szCs w:val="20"/>
          <w:lang w:val="en"/>
        </w:rPr>
      </w:pPr>
      <w:r w:rsidRPr="00900E1F">
        <w:rPr>
          <w:rFonts w:ascii="Neue Haas Grotesk Text Pro" w:hAnsi="Neue Haas Grotesk Text Pro"/>
          <w:sz w:val="20"/>
          <w:szCs w:val="20"/>
        </w:rPr>
        <w:t xml:space="preserve">Beyond reporting mechanics, AIMA believes the EU should pursue substantive harmonisation regarding intermediated securities (i.e., dematerialised or immobilised). We believe that the European Commission and EU Member States should ratify the </w:t>
      </w:r>
      <w:r w:rsidRPr="00900E1F">
        <w:rPr>
          <w:rFonts w:ascii="Neue Haas Grotesk Text Pro" w:hAnsi="Neue Haas Grotesk Text Pro"/>
          <w:sz w:val="20"/>
          <w:szCs w:val="20"/>
          <w:lang w:val="en"/>
        </w:rPr>
        <w:t>Geneva Securities Convention</w:t>
      </w:r>
      <w:r w:rsidRPr="00900E1F">
        <w:rPr>
          <w:rStyle w:val="FootnoteReference"/>
          <w:rFonts w:ascii="Neue Haas Grotesk Text Pro" w:eastAsiaTheme="minorEastAsia" w:hAnsi="Neue Haas Grotesk Text Pro"/>
          <w:sz w:val="20"/>
          <w:szCs w:val="20"/>
          <w:lang w:val="en"/>
        </w:rPr>
        <w:footnoteReference w:id="9"/>
      </w:r>
      <w:r w:rsidRPr="00900E1F">
        <w:rPr>
          <w:rFonts w:ascii="Neue Haas Grotesk Text Pro" w:hAnsi="Neue Haas Grotesk Text Pro"/>
          <w:sz w:val="20"/>
          <w:szCs w:val="20"/>
          <w:lang w:val="en"/>
        </w:rPr>
        <w:t xml:space="preserve"> </w:t>
      </w:r>
      <w:r w:rsidRPr="00900E1F">
        <w:rPr>
          <w:rFonts w:ascii="Neue Haas Grotesk Text Pro" w:hAnsi="Neue Haas Grotesk Text Pro"/>
          <w:sz w:val="20"/>
          <w:szCs w:val="20"/>
          <w:lang w:val="en"/>
        </w:rPr>
        <w:lastRenderedPageBreak/>
        <w:t>- and the complementary the Hague Securities Convention</w:t>
      </w:r>
      <w:r w:rsidRPr="00900E1F">
        <w:rPr>
          <w:rStyle w:val="FootnoteReference"/>
          <w:rFonts w:ascii="Neue Haas Grotesk Text Pro" w:eastAsiaTheme="minorEastAsia" w:hAnsi="Neue Haas Grotesk Text Pro"/>
          <w:sz w:val="20"/>
          <w:szCs w:val="20"/>
          <w:lang w:val="en"/>
        </w:rPr>
        <w:footnoteReference w:id="10"/>
      </w:r>
      <w:r w:rsidRPr="00900E1F">
        <w:rPr>
          <w:rFonts w:ascii="Neue Haas Grotesk Text Pro" w:hAnsi="Neue Haas Grotesk Text Pro"/>
          <w:sz w:val="20"/>
          <w:szCs w:val="20"/>
          <w:lang w:val="en"/>
        </w:rPr>
        <w:t xml:space="preserve">. </w:t>
      </w:r>
      <w:r w:rsidRPr="00900E1F">
        <w:rPr>
          <w:rFonts w:ascii="Neue Haas Grotesk Text Pro" w:hAnsi="Neue Haas Grotesk Text Pro"/>
          <w:sz w:val="20"/>
          <w:szCs w:val="20"/>
        </w:rPr>
        <w:t xml:space="preserve">Although the </w:t>
      </w:r>
      <w:r w:rsidRPr="00900E1F">
        <w:rPr>
          <w:rFonts w:ascii="Neue Haas Grotesk Text Pro" w:hAnsi="Neue Haas Grotesk Text Pro"/>
          <w:sz w:val="20"/>
          <w:szCs w:val="20"/>
          <w:lang w:val="en"/>
        </w:rPr>
        <w:t>Geneva Securities Convention</w:t>
      </w:r>
      <w:r w:rsidRPr="00900E1F">
        <w:rPr>
          <w:rFonts w:ascii="Neue Haas Grotesk Text Pro" w:hAnsi="Neue Haas Grotesk Text Pro"/>
          <w:sz w:val="20"/>
          <w:szCs w:val="20"/>
        </w:rPr>
        <w:t xml:space="preserve"> was signed in 2009 by the European Commission and all EU Member States as well as major global jurisdictions, it has yet to be ratified in the EU. Ratification would embed 15 harmonised legislative principles - covering areas such as investor rights, intermediary obligations, post-trade infrastructure and conflict-of-law rules - that would reduce legal fragmentation, lower transaction costs and strengthen post-trade market integrity.</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77777777" w:rsidR="00926BDA" w:rsidRDefault="00926BDA" w:rsidP="00926BDA">
      <w:permStart w:id="817709938" w:edGrp="everyone"/>
      <w:r>
        <w:t>TYPE YOUR TEXT HERE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77777777" w:rsidR="00926BDA" w:rsidRDefault="00926BDA" w:rsidP="00926BDA">
      <w:permStart w:id="993723206" w:edGrp="everyone"/>
      <w:r>
        <w:t>TYPE YOUR TEXT HERE</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E39AACB" w14:textId="77777777" w:rsidR="00926BDA" w:rsidRDefault="00926BDA" w:rsidP="00926BDA">
      <w:permStart w:id="1652326327" w:edGrp="everyone"/>
      <w:r>
        <w:t>TYPE YOUR TEXT HERE</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77777777" w:rsidR="00926BDA" w:rsidRDefault="00926BDA" w:rsidP="00926BDA">
      <w:permStart w:id="806124853" w:edGrp="everyone"/>
      <w:r>
        <w:t>TYPE YOUR TEXT HERE</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5BD9375B" w14:textId="77777777" w:rsidR="008B6B1B" w:rsidRPr="00900E1F" w:rsidRDefault="008B6B1B" w:rsidP="008B6B1B">
      <w:pPr>
        <w:ind w:left="360"/>
        <w:jc w:val="both"/>
        <w:rPr>
          <w:rFonts w:ascii="Neue Haas Grotesk Text Pro" w:hAnsi="Neue Haas Grotesk Text Pro" w:cs="Open Sans"/>
          <w:sz w:val="20"/>
          <w:szCs w:val="20"/>
        </w:rPr>
      </w:pPr>
      <w:permStart w:id="1620378332" w:edGrp="everyone"/>
      <w:r w:rsidRPr="00900E1F">
        <w:rPr>
          <w:rFonts w:ascii="Neue Haas Grotesk Text Pro" w:hAnsi="Neue Haas Grotesk Text Pro" w:cs="Open Sans"/>
          <w:sz w:val="20"/>
          <w:szCs w:val="20"/>
        </w:rPr>
        <w:t xml:space="preserve">Transaction reporting places significant operational costs and resource burdens on buy-side firms, a burden considerably larger than other operational and regulatory tasks. Firms may choose to handle the process internally or outsource transaction reporting to third-party service providers, both of which are complex and resource intensive. Smaller firms are more likely to outsource transaction reporting as they typically have fewer resources to build and maintain in-house capabilities. However, larger firms may also choose to outsource the function where it is cost-effective and enables them to concentrate on their core business activities, </w:t>
      </w:r>
      <w:r w:rsidRPr="00900E1F">
        <w:rPr>
          <w:rFonts w:ascii="Neue Haas Grotesk Text Pro" w:hAnsi="Neue Haas Grotesk Text Pro" w:cs="Open Sans"/>
          <w:sz w:val="20"/>
          <w:szCs w:val="20"/>
        </w:rPr>
        <w:lastRenderedPageBreak/>
        <w:t xml:space="preserve">such as trading and investment, while delegating the regulatory complexities to specialised experts. </w:t>
      </w:r>
    </w:p>
    <w:p w14:paraId="372D7979" w14:textId="77777777" w:rsidR="008B6B1B" w:rsidRPr="00900E1F" w:rsidRDefault="008B6B1B" w:rsidP="008B6B1B">
      <w:pPr>
        <w:ind w:left="360"/>
        <w:jc w:val="both"/>
        <w:rPr>
          <w:rFonts w:ascii="Neue Haas Grotesk Text Pro" w:hAnsi="Neue Haas Grotesk Text Pro" w:cs="Open Sans"/>
          <w:sz w:val="20"/>
          <w:szCs w:val="20"/>
        </w:rPr>
      </w:pPr>
    </w:p>
    <w:p w14:paraId="6699E182" w14:textId="77777777" w:rsidR="008B6B1B" w:rsidRDefault="008B6B1B" w:rsidP="008B6B1B">
      <w:pPr>
        <w:ind w:left="360"/>
        <w:jc w:val="both"/>
        <w:rPr>
          <w:rFonts w:ascii="Neue Haas Grotesk Text Pro" w:hAnsi="Neue Haas Grotesk Text Pro" w:cs="Open Sans"/>
          <w:sz w:val="20"/>
          <w:szCs w:val="20"/>
        </w:rPr>
      </w:pPr>
      <w:r w:rsidRPr="00900E1F">
        <w:rPr>
          <w:rFonts w:ascii="Neue Haas Grotesk Text Pro" w:hAnsi="Neue Haas Grotesk Text Pro" w:cs="Open Sans"/>
          <w:sz w:val="20"/>
          <w:szCs w:val="20"/>
        </w:rPr>
        <w:t>For firms that handle transaction reporting internally, significant investment is required to set up and maintain necessary systems infrastructure, data management tools and personnel. Transaction reporting involves more than submission of a report to an NCA or an Approved Reporting Mechanism (ARM). Firms must ensure that the data they report is accurate, complete and consistent across different sources. This entails considerable resources to collect, validate and reconcile the data. Costs can be broadly categorised as those relating to (i) human resources; (ii) technology and infrastructure; and (iii) operational and reconciliation. Transaction reporting requires dedicated staff to ensure reports are accurate and timely, from compliance and legal personnel to technology and operations staff. This entails continuous training to ensure staff stay updated on evolving rules and guidance. The complexity of the current regime is underscored by the length and complexity of the MiFID II transaction reporting guidelines which are 290 pages in length and contain a significant number of fine, technical distinctions between reporting requirements in different factual scenarios.</w:t>
      </w:r>
      <w:r w:rsidRPr="00900E1F">
        <w:rPr>
          <w:rStyle w:val="FootnoteReference"/>
          <w:rFonts w:ascii="Neue Haas Grotesk Text Pro" w:eastAsiaTheme="minorEastAsia" w:hAnsi="Neue Haas Grotesk Text Pro" w:cs="Open Sans"/>
          <w:sz w:val="20"/>
          <w:szCs w:val="20"/>
        </w:rPr>
        <w:footnoteReference w:id="11"/>
      </w:r>
      <w:r w:rsidRPr="00900E1F">
        <w:rPr>
          <w:rFonts w:ascii="Neue Haas Grotesk Text Pro" w:hAnsi="Neue Haas Grotesk Text Pro" w:cs="Open Sans"/>
          <w:sz w:val="20"/>
          <w:szCs w:val="20"/>
        </w:rPr>
        <w:t xml:space="preserve"> Transaction reporting also requires specialised software for data aggregation, validation and submission, with the costs of reporting tools and systems variable based on the size and complexity of the firm. Integrating systems with trading platforms, internal databases and external reporting mechanisms incurs development and implementation costs as well as ongoing maintenance and support costs. In addition, trade reconciliation is a resource-intensive process as firms periodically check and maintain systems to validate individual transactions, manage the potential for reporting inaccuracies or data breaches and correct errors and omissions. The tight T+1 reporting deadline also means that even for firms with limited volumes of reportable transactions, a significant degree of investment in automation may still be required to ensure timely retrieval of relevant data and population of the necessary reports.  </w:t>
      </w:r>
    </w:p>
    <w:p w14:paraId="03B914CC" w14:textId="77777777" w:rsidR="00C72198" w:rsidRDefault="00C72198" w:rsidP="008B6B1B">
      <w:pPr>
        <w:ind w:left="360"/>
        <w:jc w:val="both"/>
        <w:rPr>
          <w:rFonts w:ascii="Neue Haas Grotesk Text Pro" w:hAnsi="Neue Haas Grotesk Text Pro" w:cs="Open Sans"/>
          <w:sz w:val="20"/>
          <w:szCs w:val="20"/>
        </w:rPr>
      </w:pPr>
    </w:p>
    <w:p w14:paraId="0AD9F5D5" w14:textId="77777777" w:rsidR="00C72198" w:rsidRPr="00900E1F" w:rsidRDefault="00C72198" w:rsidP="00C72198">
      <w:pPr>
        <w:ind w:left="360"/>
        <w:jc w:val="both"/>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Firms that outsource reporting typically delegate the responsibility of generating and submitting reports a to third-party provider. While outsourcing can reduce the day-to-day operational burden of managing the reporting process, it also comes with costs. In addition to provider fees – potentially multiple if firms require separate providers for each asset class traded - firms must integrate internal systems with the provider’s platform, ensure that necessary data is captured and transmitted accurately and monitor the provider’s performance to ensure compliance with regulatory requirements. As a contingency, firms may also maintain in-house reporting capabilities. While the provider manages the reporting process, the firm remains ultimately responsible for compliance and must consistently audit the provider’s services to ensure the accuracy and timeliness of report submissions. </w:t>
      </w:r>
    </w:p>
    <w:p w14:paraId="66B8913E" w14:textId="77777777" w:rsidR="00C72198" w:rsidRPr="00900E1F" w:rsidRDefault="00C72198" w:rsidP="00C72198">
      <w:pPr>
        <w:ind w:left="360"/>
        <w:jc w:val="both"/>
        <w:rPr>
          <w:rFonts w:ascii="Neue Haas Grotesk Text Pro" w:hAnsi="Neue Haas Grotesk Text Pro" w:cs="Open Sans"/>
          <w:sz w:val="20"/>
          <w:szCs w:val="20"/>
        </w:rPr>
      </w:pPr>
    </w:p>
    <w:p w14:paraId="51A8DF73" w14:textId="77777777" w:rsidR="00C72198" w:rsidRPr="00900E1F" w:rsidRDefault="00C72198" w:rsidP="00C72198">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Transaction reporting represents a major cost burden for AIMA’s member firms. It is routinely cited as being much more challenging than other core compliance obligations and it is apparent that the costs associated with transaction reporting do influence firms’ decisions about what instruments they might trade and how they structure their businesses. The costs associated with transaction reporting are not evenly spread. Firms that undertake very similar activities – managing investments on behalf of external investors – fall either within scope or outside the scope of the transaction reporting obligation depending on the regulatory licence (MiFID, AIFMD, UCITS) under which they operate, which ignores the underlying commonality in terms of their activities. It therefore has a meaningful impact on competition within financial services and on the competitiveness of the EU more broadly. </w:t>
      </w:r>
    </w:p>
    <w:p w14:paraId="56911625" w14:textId="77777777" w:rsidR="00C72198" w:rsidRPr="00900E1F" w:rsidRDefault="00C72198" w:rsidP="00C72198">
      <w:pPr>
        <w:pStyle w:val="ListParagraph"/>
        <w:rPr>
          <w:rFonts w:ascii="Neue Haas Grotesk Text Pro" w:hAnsi="Neue Haas Grotesk Text Pro" w:cs="Open Sans"/>
          <w:sz w:val="20"/>
          <w:szCs w:val="20"/>
        </w:rPr>
      </w:pPr>
    </w:p>
    <w:p w14:paraId="170B5B57" w14:textId="77777777" w:rsidR="00C72198" w:rsidRPr="00900E1F" w:rsidRDefault="00C72198" w:rsidP="00C72198">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There are challenges in moving beyond an anecdotal assessment of these costs to one that is grounded in empirical data. These challenges include:</w:t>
      </w:r>
    </w:p>
    <w:p w14:paraId="29BBE08A" w14:textId="77777777" w:rsidR="00C72198" w:rsidRPr="00900E1F" w:rsidRDefault="00C72198" w:rsidP="00C72198">
      <w:pPr>
        <w:pStyle w:val="ListParagraph"/>
        <w:ind w:left="1494"/>
        <w:rPr>
          <w:rFonts w:ascii="Neue Haas Grotesk Text Pro" w:hAnsi="Neue Haas Grotesk Text Pro" w:cs="Open Sans"/>
          <w:sz w:val="20"/>
          <w:szCs w:val="20"/>
        </w:rPr>
      </w:pPr>
    </w:p>
    <w:p w14:paraId="27A1CFFF" w14:textId="77777777" w:rsidR="00C72198" w:rsidRPr="00900E1F" w:rsidRDefault="00C72198" w:rsidP="00C72198">
      <w:pPr>
        <w:pStyle w:val="ListParagraph"/>
        <w:numPr>
          <w:ilvl w:val="0"/>
          <w:numId w:val="42"/>
        </w:numPr>
        <w:tabs>
          <w:tab w:val="clear" w:pos="0"/>
          <w:tab w:val="clear" w:pos="142"/>
          <w:tab w:val="clear" w:pos="284"/>
          <w:tab w:val="clear" w:pos="567"/>
        </w:tabs>
        <w:autoSpaceDE/>
        <w:autoSpaceDN/>
        <w:adjustRightInd/>
        <w:spacing w:after="160" w:line="259" w:lineRule="auto"/>
        <w:ind w:left="1080"/>
        <w:contextualSpacing/>
        <w:rPr>
          <w:rFonts w:ascii="Neue Haas Grotesk Text Pro" w:hAnsi="Neue Haas Grotesk Text Pro" w:cs="Open Sans"/>
          <w:sz w:val="20"/>
          <w:szCs w:val="20"/>
        </w:rPr>
      </w:pPr>
      <w:r w:rsidRPr="00900E1F">
        <w:rPr>
          <w:rFonts w:ascii="Neue Haas Grotesk Text Pro" w:hAnsi="Neue Haas Grotesk Text Pro" w:cs="Open Sans"/>
          <w:sz w:val="20"/>
          <w:szCs w:val="20"/>
        </w:rPr>
        <w:t>Firms’ reluctance to share sensitive data on costs with their industry bodies; and</w:t>
      </w:r>
    </w:p>
    <w:p w14:paraId="05B53684" w14:textId="77777777" w:rsidR="00C72198" w:rsidRPr="00900E1F" w:rsidRDefault="00C72198" w:rsidP="00C72198">
      <w:pPr>
        <w:pStyle w:val="ListParagraph"/>
        <w:ind w:left="1080"/>
        <w:rPr>
          <w:rFonts w:ascii="Neue Haas Grotesk Text Pro" w:hAnsi="Neue Haas Grotesk Text Pro" w:cs="Open Sans"/>
          <w:sz w:val="20"/>
          <w:szCs w:val="20"/>
        </w:rPr>
      </w:pPr>
    </w:p>
    <w:p w14:paraId="13F9275E" w14:textId="77777777" w:rsidR="00C72198" w:rsidRPr="00900E1F" w:rsidRDefault="00C72198" w:rsidP="00C72198">
      <w:pPr>
        <w:pStyle w:val="ListParagraph"/>
        <w:numPr>
          <w:ilvl w:val="0"/>
          <w:numId w:val="42"/>
        </w:numPr>
        <w:tabs>
          <w:tab w:val="clear" w:pos="0"/>
          <w:tab w:val="clear" w:pos="142"/>
          <w:tab w:val="clear" w:pos="284"/>
          <w:tab w:val="clear" w:pos="567"/>
        </w:tabs>
        <w:autoSpaceDE/>
        <w:autoSpaceDN/>
        <w:adjustRightInd/>
        <w:spacing w:after="160" w:line="259" w:lineRule="auto"/>
        <w:ind w:left="1080"/>
        <w:contextualSpacing/>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The difficulty in generalising a sample of firms’ costs across the wider industry, given that costs will depend on various factors, such as the volume of a firm’s trading, the nature of the instruments it trades and the service providers that it uses. </w:t>
      </w:r>
    </w:p>
    <w:p w14:paraId="58680A94" w14:textId="77777777" w:rsidR="00C72198" w:rsidRPr="00900E1F" w:rsidRDefault="00C72198" w:rsidP="00C72198">
      <w:pPr>
        <w:pStyle w:val="ListParagraph"/>
        <w:ind w:left="1494"/>
        <w:rPr>
          <w:rFonts w:ascii="Neue Haas Grotesk Text Pro" w:hAnsi="Neue Haas Grotesk Text Pro" w:cs="Open Sans"/>
          <w:sz w:val="20"/>
          <w:szCs w:val="20"/>
        </w:rPr>
      </w:pPr>
    </w:p>
    <w:p w14:paraId="2A6AA9E8" w14:textId="77777777" w:rsidR="00C72198" w:rsidRPr="00900E1F" w:rsidRDefault="00C72198" w:rsidP="00C72198">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However, despite these challenges, we set out below an approach to seeking to understand the aggregate costs to industry associated with transaction reporting that we hope will be useful to ESMA’s assessment of the costs and benefits associated with the existing regime. </w:t>
      </w:r>
    </w:p>
    <w:p w14:paraId="5904F076" w14:textId="77777777" w:rsidR="00C72198" w:rsidRPr="00900E1F" w:rsidRDefault="00C72198" w:rsidP="00C72198">
      <w:pPr>
        <w:pStyle w:val="ListParagraph"/>
        <w:rPr>
          <w:rFonts w:ascii="Neue Haas Grotesk Text Pro" w:hAnsi="Neue Haas Grotesk Text Pro" w:cs="Open Sans"/>
          <w:sz w:val="20"/>
          <w:szCs w:val="20"/>
        </w:rPr>
      </w:pPr>
    </w:p>
    <w:p w14:paraId="2D89CE23" w14:textId="77777777" w:rsidR="00C72198" w:rsidRPr="00900E1F" w:rsidRDefault="00C72198" w:rsidP="00C72198">
      <w:pPr>
        <w:pStyle w:val="ListParagraph"/>
        <w:rPr>
          <w:rFonts w:ascii="Neue Haas Grotesk Text Pro" w:hAnsi="Neue Haas Grotesk Text Pro" w:cs="Open Sans"/>
          <w:i/>
          <w:iCs/>
          <w:sz w:val="20"/>
          <w:szCs w:val="20"/>
        </w:rPr>
      </w:pPr>
      <w:r w:rsidRPr="00900E1F">
        <w:rPr>
          <w:rFonts w:ascii="Neue Haas Grotesk Text Pro" w:hAnsi="Neue Haas Grotesk Text Pro" w:cs="Open Sans"/>
          <w:i/>
          <w:iCs/>
          <w:sz w:val="20"/>
          <w:szCs w:val="20"/>
        </w:rPr>
        <w:t>General cost observations</w:t>
      </w:r>
    </w:p>
    <w:p w14:paraId="1AB5E471" w14:textId="77777777" w:rsidR="00C72198" w:rsidRPr="00900E1F" w:rsidRDefault="00C72198" w:rsidP="00C72198">
      <w:pPr>
        <w:jc w:val="both"/>
        <w:rPr>
          <w:rFonts w:ascii="Neue Haas Grotesk Text Pro" w:hAnsi="Neue Haas Grotesk Text Pro" w:cs="Open Sans"/>
          <w:sz w:val="20"/>
          <w:szCs w:val="20"/>
        </w:rPr>
      </w:pPr>
    </w:p>
    <w:p w14:paraId="4F0980B7" w14:textId="77777777" w:rsidR="00C72198" w:rsidRPr="00937E30" w:rsidRDefault="00C72198" w:rsidP="00C72198">
      <w:pPr>
        <w:pStyle w:val="ListParagraph"/>
      </w:pPr>
      <w:r w:rsidRPr="00900E1F">
        <w:rPr>
          <w:rFonts w:ascii="Neue Haas Grotesk Text Pro" w:hAnsi="Neue Haas Grotesk Text Pro" w:cs="Open Sans"/>
          <w:sz w:val="20"/>
          <w:szCs w:val="20"/>
        </w:rPr>
        <w:t>The data referenced below is derived from a representative sample of UK-based AIMA manager member firms subject to the on</w:t>
      </w:r>
      <w:r w:rsidRPr="00900E1F">
        <w:rPr>
          <w:rFonts w:ascii="Neue Haas Grotesk Text Pro" w:hAnsi="Neue Haas Grotesk Text Pro" w:cs="Open Sans"/>
          <w:sz w:val="20"/>
          <w:szCs w:val="20"/>
        </w:rPr>
        <w:noBreakHyphen/>
        <w:t>shored UK MiFIR transaction reporting regime. This data was submitted to the FCA as part of its discussion paper on improving the UK transaction reporting regime. While the data reflects UK-specific reporting obligations, it serves as a meaningful proxy for illustrating the operational and financial impact of MiFIR transaction reporting on buy</w:t>
      </w:r>
      <w:r w:rsidRPr="00900E1F">
        <w:rPr>
          <w:rFonts w:ascii="Neue Haas Grotesk Text Pro" w:hAnsi="Neue Haas Grotesk Text Pro" w:cs="Open Sans"/>
          <w:sz w:val="20"/>
          <w:szCs w:val="20"/>
        </w:rPr>
        <w:noBreakHyphen/>
        <w:t>side firms. Our analysis underscores the significant investment - both in terms of systems and staffing—required by firms, particularly those dealing in complex asset classes, to comply with a dual-reporting model.</w:t>
      </w:r>
    </w:p>
    <w:p w14:paraId="60BB41D8" w14:textId="77777777" w:rsidR="00C72198" w:rsidRDefault="00C72198" w:rsidP="008B6B1B">
      <w:pPr>
        <w:ind w:left="360"/>
        <w:jc w:val="both"/>
        <w:rPr>
          <w:rFonts w:ascii="Neue Haas Grotesk Text Pro" w:hAnsi="Neue Haas Grotesk Text Pro" w:cs="Open Sans"/>
          <w:sz w:val="20"/>
          <w:szCs w:val="20"/>
        </w:rPr>
      </w:pPr>
    </w:p>
    <w:tbl>
      <w:tblPr>
        <w:tblStyle w:val="TableGrid"/>
        <w:tblW w:w="8707" w:type="dxa"/>
        <w:tblInd w:w="360" w:type="dxa"/>
        <w:tblLook w:val="04A0" w:firstRow="1" w:lastRow="0" w:firstColumn="1" w:lastColumn="0" w:noHBand="0" w:noVBand="1"/>
      </w:tblPr>
      <w:tblGrid>
        <w:gridCol w:w="2187"/>
        <w:gridCol w:w="3260"/>
        <w:gridCol w:w="3260"/>
      </w:tblGrid>
      <w:tr w:rsidR="00555E12" w:rsidRPr="00900E1F" w14:paraId="39C59105" w14:textId="77777777" w:rsidTr="001534F8">
        <w:tc>
          <w:tcPr>
            <w:tcW w:w="2187" w:type="dxa"/>
            <w:tcBorders>
              <w:top w:val="nil"/>
              <w:left w:val="nil"/>
              <w:bottom w:val="single" w:sz="4" w:space="0" w:color="auto"/>
              <w:right w:val="single" w:sz="4" w:space="0" w:color="auto"/>
            </w:tcBorders>
            <w:shd w:val="clear" w:color="auto" w:fill="FFFFFF" w:themeFill="background1"/>
          </w:tcPr>
          <w:p w14:paraId="0447CA59" w14:textId="77777777" w:rsidR="00555E12" w:rsidRPr="00900E1F" w:rsidRDefault="00555E12" w:rsidP="001534F8">
            <w:pPr>
              <w:pStyle w:val="ListParagraph"/>
              <w:ind w:left="0"/>
              <w:rPr>
                <w:rFonts w:ascii="Neue Haas Grotesk Text Pro" w:hAnsi="Neue Haas Grotesk Text Pro" w:cs="Open Sans"/>
                <w:b/>
                <w:bCs/>
                <w:color w:val="FFFFFF" w:themeColor="background1"/>
                <w:sz w:val="20"/>
                <w:szCs w:val="20"/>
              </w:rPr>
            </w:pPr>
          </w:p>
        </w:tc>
        <w:tc>
          <w:tcPr>
            <w:tcW w:w="3260" w:type="dxa"/>
            <w:tcBorders>
              <w:left w:val="single" w:sz="4" w:space="0" w:color="auto"/>
            </w:tcBorders>
            <w:shd w:val="clear" w:color="auto" w:fill="29294D"/>
          </w:tcPr>
          <w:p w14:paraId="512A5AF3" w14:textId="77777777" w:rsidR="00555E12" w:rsidRPr="00900E1F" w:rsidRDefault="00555E12" w:rsidP="001534F8">
            <w:pPr>
              <w:pStyle w:val="ListParagraph"/>
              <w:ind w:left="0"/>
              <w:jc w:val="center"/>
              <w:rPr>
                <w:rFonts w:ascii="Neue Haas Grotesk Text Pro" w:hAnsi="Neue Haas Grotesk Text Pro" w:cs="Open Sans"/>
                <w:b/>
                <w:bCs/>
                <w:sz w:val="20"/>
                <w:szCs w:val="20"/>
              </w:rPr>
            </w:pPr>
            <w:r w:rsidRPr="00900E1F">
              <w:rPr>
                <w:rFonts w:ascii="Neue Haas Grotesk Text Pro" w:hAnsi="Neue Haas Grotesk Text Pro" w:cs="Open Sans"/>
                <w:b/>
                <w:bCs/>
                <w:sz w:val="20"/>
                <w:szCs w:val="20"/>
              </w:rPr>
              <w:t>Mid-Sized Firm</w:t>
            </w:r>
          </w:p>
          <w:p w14:paraId="60EFF2F8" w14:textId="77777777" w:rsidR="00555E12" w:rsidRPr="00900E1F" w:rsidRDefault="00555E12" w:rsidP="001534F8">
            <w:pPr>
              <w:pStyle w:val="ListParagraph"/>
              <w:ind w:left="0"/>
              <w:jc w:val="center"/>
              <w:rPr>
                <w:rFonts w:ascii="Neue Haas Grotesk Text Pro" w:hAnsi="Neue Haas Grotesk Text Pro" w:cs="Open Sans"/>
                <w:b/>
                <w:bCs/>
                <w:sz w:val="20"/>
                <w:szCs w:val="20"/>
              </w:rPr>
            </w:pPr>
          </w:p>
        </w:tc>
        <w:tc>
          <w:tcPr>
            <w:tcW w:w="3260" w:type="dxa"/>
            <w:shd w:val="clear" w:color="auto" w:fill="29294D"/>
          </w:tcPr>
          <w:p w14:paraId="7048F400" w14:textId="77777777" w:rsidR="00555E12" w:rsidRPr="00900E1F" w:rsidRDefault="00555E12" w:rsidP="001534F8">
            <w:pPr>
              <w:pStyle w:val="ListParagraph"/>
              <w:ind w:left="0"/>
              <w:jc w:val="center"/>
              <w:rPr>
                <w:rFonts w:ascii="Neue Haas Grotesk Text Pro" w:hAnsi="Neue Haas Grotesk Text Pro" w:cs="Open Sans"/>
                <w:b/>
                <w:bCs/>
                <w:sz w:val="20"/>
                <w:szCs w:val="20"/>
              </w:rPr>
            </w:pPr>
            <w:r w:rsidRPr="00900E1F">
              <w:rPr>
                <w:rFonts w:ascii="Neue Haas Grotesk Text Pro" w:hAnsi="Neue Haas Grotesk Text Pro" w:cs="Open Sans"/>
                <w:b/>
                <w:bCs/>
                <w:sz w:val="20"/>
                <w:szCs w:val="20"/>
              </w:rPr>
              <w:t>Large Firm</w:t>
            </w:r>
          </w:p>
        </w:tc>
      </w:tr>
      <w:tr w:rsidR="00555E12" w:rsidRPr="00900E1F" w14:paraId="4A2DEC3F" w14:textId="77777777" w:rsidTr="001534F8">
        <w:tc>
          <w:tcPr>
            <w:tcW w:w="2187" w:type="dxa"/>
            <w:tcBorders>
              <w:top w:val="single" w:sz="4" w:space="0" w:color="auto"/>
            </w:tcBorders>
            <w:shd w:val="clear" w:color="auto" w:fill="B0115A"/>
          </w:tcPr>
          <w:p w14:paraId="6B5951BE" w14:textId="77777777" w:rsidR="00555E12" w:rsidRPr="00900E1F" w:rsidRDefault="00555E12" w:rsidP="001534F8">
            <w:pPr>
              <w:pStyle w:val="ListParagraph"/>
              <w:ind w:left="0"/>
              <w:rPr>
                <w:rFonts w:ascii="Neue Haas Grotesk Text Pro" w:hAnsi="Neue Haas Grotesk Text Pro" w:cs="Open Sans"/>
                <w:b/>
                <w:bCs/>
                <w:color w:val="FFFFFF" w:themeColor="background1"/>
                <w:sz w:val="20"/>
                <w:szCs w:val="20"/>
              </w:rPr>
            </w:pPr>
            <w:r w:rsidRPr="00900E1F">
              <w:rPr>
                <w:rFonts w:ascii="Neue Haas Grotesk Text Pro" w:hAnsi="Neue Haas Grotesk Text Pro" w:cs="Open Sans"/>
                <w:b/>
                <w:bCs/>
                <w:color w:val="FFFFFF" w:themeColor="background1"/>
                <w:sz w:val="20"/>
                <w:szCs w:val="20"/>
              </w:rPr>
              <w:t>Global AUM range</w:t>
            </w:r>
          </w:p>
        </w:tc>
        <w:tc>
          <w:tcPr>
            <w:tcW w:w="3260" w:type="dxa"/>
          </w:tcPr>
          <w:p w14:paraId="5CA1D990" w14:textId="77777777" w:rsidR="00555E12"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USD1bn – USD10bn</w:t>
            </w:r>
          </w:p>
          <w:p w14:paraId="482446BF" w14:textId="77777777" w:rsidR="00555E12" w:rsidRPr="00900E1F" w:rsidRDefault="00555E12" w:rsidP="001534F8">
            <w:pPr>
              <w:pStyle w:val="ListParagraph"/>
              <w:ind w:left="0"/>
              <w:rPr>
                <w:rFonts w:ascii="Neue Haas Grotesk Text Pro" w:hAnsi="Neue Haas Grotesk Text Pro" w:cs="Open Sans"/>
                <w:sz w:val="20"/>
                <w:szCs w:val="20"/>
              </w:rPr>
            </w:pPr>
          </w:p>
        </w:tc>
        <w:tc>
          <w:tcPr>
            <w:tcW w:w="3260" w:type="dxa"/>
          </w:tcPr>
          <w:p w14:paraId="32BAFAA2"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USD10bn+</w:t>
            </w:r>
          </w:p>
        </w:tc>
      </w:tr>
      <w:tr w:rsidR="00555E12" w:rsidRPr="00900E1F" w14:paraId="0EF7C208" w14:textId="77777777" w:rsidTr="001534F8">
        <w:tc>
          <w:tcPr>
            <w:tcW w:w="2187" w:type="dxa"/>
            <w:shd w:val="clear" w:color="auto" w:fill="B0115A"/>
          </w:tcPr>
          <w:p w14:paraId="5ECD0D18" w14:textId="77777777" w:rsidR="00555E12" w:rsidRPr="00900E1F" w:rsidRDefault="00555E12" w:rsidP="001534F8">
            <w:pPr>
              <w:pStyle w:val="ListParagraph"/>
              <w:ind w:left="0"/>
              <w:rPr>
                <w:rFonts w:ascii="Neue Haas Grotesk Text Pro" w:hAnsi="Neue Haas Grotesk Text Pro" w:cs="Open Sans"/>
                <w:b/>
                <w:bCs/>
                <w:color w:val="FFFFFF" w:themeColor="background1"/>
                <w:sz w:val="20"/>
                <w:szCs w:val="20"/>
              </w:rPr>
            </w:pPr>
            <w:r w:rsidRPr="00900E1F">
              <w:rPr>
                <w:rFonts w:ascii="Neue Haas Grotesk Text Pro" w:hAnsi="Neue Haas Grotesk Text Pro" w:cs="Open Sans"/>
                <w:b/>
                <w:bCs/>
                <w:color w:val="FFFFFF" w:themeColor="background1"/>
                <w:sz w:val="20"/>
                <w:szCs w:val="20"/>
              </w:rPr>
              <w:t>Number of daily transactions and complexity of asset classes traded</w:t>
            </w:r>
          </w:p>
          <w:p w14:paraId="7B7C343F" w14:textId="77777777" w:rsidR="00555E12" w:rsidRPr="00900E1F" w:rsidRDefault="00555E12" w:rsidP="001534F8">
            <w:pPr>
              <w:pStyle w:val="ListParagraph"/>
              <w:ind w:left="0"/>
              <w:rPr>
                <w:rFonts w:ascii="Neue Haas Grotesk Text Pro" w:hAnsi="Neue Haas Grotesk Text Pro" w:cs="Open Sans"/>
                <w:b/>
                <w:bCs/>
                <w:color w:val="FFFFFF" w:themeColor="background1"/>
                <w:sz w:val="20"/>
                <w:szCs w:val="20"/>
              </w:rPr>
            </w:pPr>
          </w:p>
        </w:tc>
        <w:tc>
          <w:tcPr>
            <w:tcW w:w="3260" w:type="dxa"/>
          </w:tcPr>
          <w:p w14:paraId="66ED4F9E"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1,000 to 10,000 transactions daily in highly complex asset classes (e.g., CDOs, CLOs, CDS, TRS, distressed debt, emerging market instruments, commodities, REITs). </w:t>
            </w:r>
          </w:p>
          <w:p w14:paraId="39144E9E" w14:textId="77777777" w:rsidR="00555E12" w:rsidRPr="00900E1F" w:rsidRDefault="00555E12" w:rsidP="001534F8">
            <w:pPr>
              <w:pStyle w:val="ListParagraph"/>
              <w:ind w:left="0"/>
              <w:rPr>
                <w:rFonts w:ascii="Neue Haas Grotesk Text Pro" w:hAnsi="Neue Haas Grotesk Text Pro" w:cs="Open Sans"/>
                <w:sz w:val="20"/>
                <w:szCs w:val="20"/>
              </w:rPr>
            </w:pPr>
          </w:p>
          <w:p w14:paraId="5B18E4A7"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Up to 100,000 transactions daily in moderately complex assets classes (e.g., options, futures, structured products, swaps, FX forwards, futures) and low complexity asset classes (e.g., equities, cash equities, ETFs, bonds).</w:t>
            </w:r>
          </w:p>
          <w:p w14:paraId="6508D207" w14:textId="77777777" w:rsidR="00555E12" w:rsidRPr="00900E1F" w:rsidRDefault="00555E12" w:rsidP="001534F8">
            <w:pPr>
              <w:pStyle w:val="ListParagraph"/>
              <w:ind w:left="0"/>
              <w:rPr>
                <w:rFonts w:ascii="Neue Haas Grotesk Text Pro" w:hAnsi="Neue Haas Grotesk Text Pro" w:cs="Open Sans"/>
                <w:sz w:val="20"/>
                <w:szCs w:val="20"/>
              </w:rPr>
            </w:pPr>
          </w:p>
        </w:tc>
        <w:tc>
          <w:tcPr>
            <w:tcW w:w="3260" w:type="dxa"/>
          </w:tcPr>
          <w:p w14:paraId="1E6E3DF2"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100,000+ transactions daily in highly complex asset classes (e.g., CDOs, CLOs, CDS, TRS, distressed debt, emerging market instruments, commodities, REITs). </w:t>
            </w:r>
          </w:p>
          <w:p w14:paraId="064B39DF" w14:textId="77777777" w:rsidR="00555E12" w:rsidRPr="00900E1F" w:rsidRDefault="00555E12" w:rsidP="001534F8">
            <w:pPr>
              <w:pStyle w:val="ListParagraph"/>
              <w:ind w:left="0"/>
              <w:rPr>
                <w:rFonts w:ascii="Neue Haas Grotesk Text Pro" w:hAnsi="Neue Haas Grotesk Text Pro" w:cs="Open Sans"/>
                <w:sz w:val="20"/>
                <w:szCs w:val="20"/>
              </w:rPr>
            </w:pPr>
          </w:p>
        </w:tc>
      </w:tr>
      <w:tr w:rsidR="00555E12" w:rsidRPr="00900E1F" w14:paraId="4EFDA687" w14:textId="77777777" w:rsidTr="001534F8">
        <w:tc>
          <w:tcPr>
            <w:tcW w:w="2187" w:type="dxa"/>
            <w:shd w:val="clear" w:color="auto" w:fill="B0115A"/>
          </w:tcPr>
          <w:p w14:paraId="51DB7237" w14:textId="77777777" w:rsidR="00555E12" w:rsidRPr="00900E1F" w:rsidRDefault="00555E12" w:rsidP="001534F8">
            <w:pPr>
              <w:pStyle w:val="ListParagraph"/>
              <w:ind w:left="0"/>
              <w:rPr>
                <w:rFonts w:ascii="Neue Haas Grotesk Text Pro" w:hAnsi="Neue Haas Grotesk Text Pro" w:cs="Open Sans"/>
                <w:b/>
                <w:bCs/>
                <w:color w:val="FFFFFF" w:themeColor="background1"/>
                <w:sz w:val="20"/>
                <w:szCs w:val="20"/>
              </w:rPr>
            </w:pPr>
            <w:r w:rsidRPr="00900E1F">
              <w:rPr>
                <w:rFonts w:ascii="Neue Haas Grotesk Text Pro" w:hAnsi="Neue Haas Grotesk Text Pro" w:cs="Open Sans"/>
                <w:b/>
                <w:bCs/>
                <w:color w:val="FFFFFF" w:themeColor="background1"/>
                <w:sz w:val="20"/>
                <w:szCs w:val="20"/>
              </w:rPr>
              <w:t xml:space="preserve">Number of Full-Time Equivalents (FTEs) </w:t>
            </w:r>
            <w:r w:rsidRPr="00900E1F">
              <w:rPr>
                <w:rFonts w:ascii="Neue Haas Grotesk Text Pro" w:hAnsi="Neue Haas Grotesk Text Pro" w:cs="Open Sans"/>
                <w:b/>
                <w:bCs/>
                <w:color w:val="FFFFFF" w:themeColor="background1"/>
                <w:sz w:val="20"/>
                <w:szCs w:val="20"/>
              </w:rPr>
              <w:lastRenderedPageBreak/>
              <w:t>devoted to transaction reporting</w:t>
            </w:r>
          </w:p>
          <w:p w14:paraId="6AB9827E"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p>
        </w:tc>
        <w:tc>
          <w:tcPr>
            <w:tcW w:w="3260" w:type="dxa"/>
          </w:tcPr>
          <w:p w14:paraId="69D005CB"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lastRenderedPageBreak/>
              <w:t>3 - 5</w:t>
            </w:r>
          </w:p>
        </w:tc>
        <w:tc>
          <w:tcPr>
            <w:tcW w:w="3260" w:type="dxa"/>
          </w:tcPr>
          <w:p w14:paraId="6C7B3DC5"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6 - 9</w:t>
            </w:r>
          </w:p>
        </w:tc>
      </w:tr>
      <w:tr w:rsidR="00555E12" w:rsidRPr="00900E1F" w14:paraId="3025A79D" w14:textId="77777777" w:rsidTr="001534F8">
        <w:tc>
          <w:tcPr>
            <w:tcW w:w="2187" w:type="dxa"/>
            <w:shd w:val="clear" w:color="auto" w:fill="B0115A"/>
          </w:tcPr>
          <w:p w14:paraId="73EA5B89"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r w:rsidRPr="00900E1F">
              <w:rPr>
                <w:rFonts w:ascii="Neue Haas Grotesk Text Pro" w:hAnsi="Neue Haas Grotesk Text Pro" w:cs="Open Sans"/>
                <w:b/>
                <w:bCs/>
                <w:color w:val="FFFFFF" w:themeColor="background1"/>
                <w:sz w:val="20"/>
                <w:szCs w:val="20"/>
              </w:rPr>
              <w:t>Initial implementation cost</w:t>
            </w:r>
            <w:r w:rsidRPr="00900E1F">
              <w:rPr>
                <w:rFonts w:ascii="Neue Haas Grotesk Text Pro" w:hAnsi="Neue Haas Grotesk Text Pro" w:cs="Open Sans"/>
                <w:color w:val="FFFFFF" w:themeColor="background1"/>
                <w:sz w:val="20"/>
                <w:szCs w:val="20"/>
              </w:rPr>
              <w:t xml:space="preserve"> </w:t>
            </w:r>
          </w:p>
          <w:p w14:paraId="00C69674"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r w:rsidRPr="00900E1F">
              <w:rPr>
                <w:rFonts w:ascii="Neue Haas Grotesk Text Pro" w:hAnsi="Neue Haas Grotesk Text Pro" w:cs="Open Sans"/>
                <w:color w:val="FFFFFF" w:themeColor="background1"/>
                <w:sz w:val="20"/>
                <w:szCs w:val="20"/>
              </w:rPr>
              <w:t>(e.g. technology set up, consultancy fees, staff training and onboarding)</w:t>
            </w:r>
          </w:p>
          <w:p w14:paraId="5D868108"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p>
        </w:tc>
        <w:tc>
          <w:tcPr>
            <w:tcW w:w="3260" w:type="dxa"/>
          </w:tcPr>
          <w:p w14:paraId="0C110626"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EUR 60,000 - EUR 240,000+</w:t>
            </w:r>
          </w:p>
        </w:tc>
        <w:tc>
          <w:tcPr>
            <w:tcW w:w="3260" w:type="dxa"/>
          </w:tcPr>
          <w:p w14:paraId="04259083"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EUR 240,000+</w:t>
            </w:r>
          </w:p>
        </w:tc>
      </w:tr>
      <w:tr w:rsidR="00555E12" w:rsidRPr="00900E1F" w14:paraId="12D25814" w14:textId="77777777" w:rsidTr="001534F8">
        <w:tc>
          <w:tcPr>
            <w:tcW w:w="2187" w:type="dxa"/>
            <w:shd w:val="clear" w:color="auto" w:fill="B0115A"/>
          </w:tcPr>
          <w:p w14:paraId="2F9C0A74" w14:textId="77777777" w:rsidR="00555E12" w:rsidRPr="00900E1F" w:rsidRDefault="00555E12" w:rsidP="001534F8">
            <w:pPr>
              <w:pStyle w:val="ListParagraph"/>
              <w:ind w:left="0"/>
              <w:rPr>
                <w:rFonts w:ascii="Neue Haas Grotesk Text Pro" w:hAnsi="Neue Haas Grotesk Text Pro" w:cs="Open Sans"/>
                <w:b/>
                <w:bCs/>
                <w:color w:val="FFFFFF" w:themeColor="background1"/>
                <w:sz w:val="20"/>
                <w:szCs w:val="20"/>
              </w:rPr>
            </w:pPr>
            <w:r w:rsidRPr="00900E1F">
              <w:rPr>
                <w:rFonts w:ascii="Neue Haas Grotesk Text Pro" w:hAnsi="Neue Haas Grotesk Text Pro" w:cs="Open Sans"/>
                <w:b/>
                <w:bCs/>
                <w:color w:val="FFFFFF" w:themeColor="background1"/>
                <w:sz w:val="20"/>
                <w:szCs w:val="20"/>
              </w:rPr>
              <w:t>Annual costs for using an ARM</w:t>
            </w:r>
          </w:p>
          <w:p w14:paraId="1049C482" w14:textId="77777777" w:rsidR="00555E12" w:rsidRDefault="00555E12" w:rsidP="001534F8">
            <w:pPr>
              <w:pStyle w:val="ListParagraph"/>
              <w:ind w:left="0"/>
              <w:rPr>
                <w:rFonts w:ascii="Neue Haas Grotesk Text Pro" w:hAnsi="Neue Haas Grotesk Text Pro" w:cs="Open Sans"/>
                <w:b/>
                <w:bCs/>
                <w:color w:val="FFFFFF" w:themeColor="background1"/>
                <w:sz w:val="20"/>
                <w:szCs w:val="20"/>
              </w:rPr>
            </w:pPr>
          </w:p>
          <w:p w14:paraId="790463D3" w14:textId="77777777" w:rsidR="00555E12" w:rsidRPr="00900E1F" w:rsidRDefault="00555E12" w:rsidP="001534F8">
            <w:pPr>
              <w:pStyle w:val="ListParagraph"/>
              <w:ind w:left="0"/>
              <w:rPr>
                <w:rFonts w:ascii="Neue Haas Grotesk Text Pro" w:hAnsi="Neue Haas Grotesk Text Pro" w:cs="Open Sans"/>
                <w:b/>
                <w:bCs/>
                <w:color w:val="FFFFFF" w:themeColor="background1"/>
                <w:sz w:val="20"/>
                <w:szCs w:val="20"/>
              </w:rPr>
            </w:pPr>
          </w:p>
        </w:tc>
        <w:tc>
          <w:tcPr>
            <w:tcW w:w="3260" w:type="dxa"/>
          </w:tcPr>
          <w:p w14:paraId="38768320"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Up to EUR 600,000</w:t>
            </w:r>
          </w:p>
          <w:p w14:paraId="359124A3" w14:textId="77777777" w:rsidR="00555E12" w:rsidRPr="00900E1F" w:rsidRDefault="00555E12" w:rsidP="001534F8">
            <w:pPr>
              <w:pStyle w:val="ListParagraph"/>
              <w:ind w:left="0"/>
              <w:rPr>
                <w:rFonts w:ascii="Neue Haas Grotesk Text Pro" w:hAnsi="Neue Haas Grotesk Text Pro" w:cs="Open Sans"/>
                <w:sz w:val="20"/>
                <w:szCs w:val="20"/>
              </w:rPr>
            </w:pPr>
          </w:p>
        </w:tc>
        <w:tc>
          <w:tcPr>
            <w:tcW w:w="3260" w:type="dxa"/>
          </w:tcPr>
          <w:p w14:paraId="1C375C08"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Up to EUR 600,000</w:t>
            </w:r>
          </w:p>
        </w:tc>
      </w:tr>
      <w:tr w:rsidR="00555E12" w:rsidRPr="00900E1F" w14:paraId="1D8A25A0" w14:textId="77777777" w:rsidTr="001534F8">
        <w:tc>
          <w:tcPr>
            <w:tcW w:w="2187" w:type="dxa"/>
            <w:shd w:val="clear" w:color="auto" w:fill="B0115A"/>
          </w:tcPr>
          <w:p w14:paraId="2A89C172" w14:textId="77777777" w:rsidR="00555E12" w:rsidRPr="00900E1F" w:rsidRDefault="00555E12" w:rsidP="001534F8">
            <w:pPr>
              <w:pStyle w:val="ListParagraph"/>
              <w:ind w:left="0"/>
              <w:rPr>
                <w:rFonts w:ascii="Neue Haas Grotesk Text Pro" w:hAnsi="Neue Haas Grotesk Text Pro" w:cs="Open Sans"/>
                <w:b/>
                <w:bCs/>
                <w:color w:val="FFFFFF" w:themeColor="background1"/>
                <w:sz w:val="20"/>
                <w:szCs w:val="20"/>
              </w:rPr>
            </w:pPr>
            <w:r w:rsidRPr="00900E1F">
              <w:rPr>
                <w:rFonts w:ascii="Neue Haas Grotesk Text Pro" w:hAnsi="Neue Haas Grotesk Text Pro" w:cs="Open Sans"/>
                <w:b/>
                <w:bCs/>
                <w:color w:val="FFFFFF" w:themeColor="background1"/>
                <w:sz w:val="20"/>
                <w:szCs w:val="20"/>
              </w:rPr>
              <w:t>Annual costs for using reference data</w:t>
            </w:r>
          </w:p>
          <w:p w14:paraId="01CF0583" w14:textId="77777777" w:rsidR="00555E12" w:rsidRPr="00900E1F" w:rsidRDefault="00555E12" w:rsidP="001534F8">
            <w:pPr>
              <w:pStyle w:val="ListParagraph"/>
              <w:ind w:left="0"/>
              <w:rPr>
                <w:rFonts w:ascii="Neue Haas Grotesk Text Pro" w:hAnsi="Neue Haas Grotesk Text Pro" w:cs="Open Sans"/>
                <w:b/>
                <w:bCs/>
                <w:color w:val="FFFFFF" w:themeColor="background1"/>
                <w:sz w:val="20"/>
                <w:szCs w:val="20"/>
              </w:rPr>
            </w:pPr>
          </w:p>
        </w:tc>
        <w:tc>
          <w:tcPr>
            <w:tcW w:w="3260" w:type="dxa"/>
          </w:tcPr>
          <w:p w14:paraId="7E1336EC"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EUR 30,000 - EUR 120,000+</w:t>
            </w:r>
          </w:p>
        </w:tc>
        <w:tc>
          <w:tcPr>
            <w:tcW w:w="3260" w:type="dxa"/>
          </w:tcPr>
          <w:p w14:paraId="422EEEC0"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EUR 120,000+</w:t>
            </w:r>
          </w:p>
        </w:tc>
      </w:tr>
      <w:tr w:rsidR="00555E12" w:rsidRPr="00900E1F" w14:paraId="1DD39338" w14:textId="77777777" w:rsidTr="001534F8">
        <w:tc>
          <w:tcPr>
            <w:tcW w:w="2187" w:type="dxa"/>
            <w:shd w:val="clear" w:color="auto" w:fill="B0115A"/>
          </w:tcPr>
          <w:p w14:paraId="57D237DA"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r w:rsidRPr="00900E1F">
              <w:rPr>
                <w:rFonts w:ascii="Neue Haas Grotesk Text Pro" w:hAnsi="Neue Haas Grotesk Text Pro" w:cs="Open Sans"/>
                <w:b/>
                <w:bCs/>
                <w:color w:val="FFFFFF" w:themeColor="background1"/>
                <w:sz w:val="20"/>
                <w:szCs w:val="20"/>
              </w:rPr>
              <w:t>Annual system maintenance costs</w:t>
            </w:r>
            <w:r w:rsidRPr="00900E1F">
              <w:rPr>
                <w:rFonts w:ascii="Neue Haas Grotesk Text Pro" w:hAnsi="Neue Haas Grotesk Text Pro" w:cs="Open Sans"/>
                <w:color w:val="FFFFFF" w:themeColor="background1"/>
                <w:sz w:val="20"/>
                <w:szCs w:val="20"/>
              </w:rPr>
              <w:t xml:space="preserve"> </w:t>
            </w:r>
          </w:p>
          <w:p w14:paraId="36B58009"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r w:rsidRPr="00900E1F">
              <w:rPr>
                <w:rFonts w:ascii="Neue Haas Grotesk Text Pro" w:hAnsi="Neue Haas Grotesk Text Pro" w:cs="Open Sans"/>
                <w:color w:val="FFFFFF" w:themeColor="background1"/>
                <w:sz w:val="20"/>
                <w:szCs w:val="20"/>
              </w:rPr>
              <w:t>(e.g., software updates and integration with trading systems)</w:t>
            </w:r>
          </w:p>
          <w:p w14:paraId="6BFDAAF0"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p>
        </w:tc>
        <w:tc>
          <w:tcPr>
            <w:tcW w:w="3260" w:type="dxa"/>
          </w:tcPr>
          <w:p w14:paraId="7D93B8F0"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EUR 18,000 - EUR 120,000+</w:t>
            </w:r>
          </w:p>
          <w:p w14:paraId="272AC3DA" w14:textId="77777777" w:rsidR="00555E12" w:rsidRPr="00900E1F" w:rsidRDefault="00555E12" w:rsidP="001534F8">
            <w:pPr>
              <w:pStyle w:val="ListParagraph"/>
              <w:ind w:left="0"/>
              <w:rPr>
                <w:rFonts w:ascii="Neue Haas Grotesk Text Pro" w:hAnsi="Neue Haas Grotesk Text Pro" w:cs="Open Sans"/>
                <w:sz w:val="20"/>
                <w:szCs w:val="20"/>
              </w:rPr>
            </w:pPr>
          </w:p>
          <w:p w14:paraId="2EA854FE" w14:textId="77777777" w:rsidR="00555E12" w:rsidRPr="00900E1F" w:rsidRDefault="00555E12" w:rsidP="001534F8">
            <w:pPr>
              <w:pStyle w:val="ListParagraph"/>
              <w:ind w:left="0"/>
              <w:rPr>
                <w:rFonts w:ascii="Neue Haas Grotesk Text Pro" w:hAnsi="Neue Haas Grotesk Text Pro" w:cs="Open Sans"/>
                <w:sz w:val="20"/>
                <w:szCs w:val="20"/>
              </w:rPr>
            </w:pPr>
          </w:p>
        </w:tc>
        <w:tc>
          <w:tcPr>
            <w:tcW w:w="3260" w:type="dxa"/>
          </w:tcPr>
          <w:p w14:paraId="0AD1631A"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EUR 120,000+</w:t>
            </w:r>
          </w:p>
        </w:tc>
      </w:tr>
      <w:tr w:rsidR="00555E12" w:rsidRPr="00900E1F" w14:paraId="779BBCF5" w14:textId="77777777" w:rsidTr="001534F8">
        <w:tc>
          <w:tcPr>
            <w:tcW w:w="2187" w:type="dxa"/>
            <w:shd w:val="clear" w:color="auto" w:fill="B0115A"/>
          </w:tcPr>
          <w:p w14:paraId="58C39CB7" w14:textId="77777777" w:rsidR="00555E12" w:rsidRPr="00900E1F" w:rsidRDefault="00555E12" w:rsidP="001534F8">
            <w:pPr>
              <w:pStyle w:val="ListParagraph"/>
              <w:ind w:left="0"/>
              <w:rPr>
                <w:rFonts w:ascii="Neue Haas Grotesk Text Pro" w:hAnsi="Neue Haas Grotesk Text Pro" w:cs="Open Sans"/>
                <w:b/>
                <w:bCs/>
                <w:color w:val="FFFFFF" w:themeColor="background1"/>
                <w:sz w:val="20"/>
                <w:szCs w:val="20"/>
              </w:rPr>
            </w:pPr>
            <w:r w:rsidRPr="00900E1F">
              <w:rPr>
                <w:rFonts w:ascii="Neue Haas Grotesk Text Pro" w:hAnsi="Neue Haas Grotesk Text Pro" w:cs="Open Sans"/>
                <w:b/>
                <w:bCs/>
                <w:color w:val="FFFFFF" w:themeColor="background1"/>
                <w:sz w:val="20"/>
                <w:szCs w:val="20"/>
              </w:rPr>
              <w:t>Other annual service provider costs</w:t>
            </w:r>
          </w:p>
          <w:p w14:paraId="635FFC5C"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r w:rsidRPr="00900E1F">
              <w:rPr>
                <w:rFonts w:ascii="Neue Haas Grotesk Text Pro" w:hAnsi="Neue Haas Grotesk Text Pro" w:cs="Open Sans"/>
                <w:color w:val="FFFFFF" w:themeColor="background1"/>
                <w:sz w:val="20"/>
                <w:szCs w:val="20"/>
              </w:rPr>
              <w:t>(e.g., legal and compliance advice and regulatory audits)</w:t>
            </w:r>
          </w:p>
          <w:p w14:paraId="74613421"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p>
        </w:tc>
        <w:tc>
          <w:tcPr>
            <w:tcW w:w="3260" w:type="dxa"/>
          </w:tcPr>
          <w:p w14:paraId="5019C69B"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Up to EUR 18,000, but potentially exceeding EUR 120,000</w:t>
            </w:r>
          </w:p>
        </w:tc>
        <w:tc>
          <w:tcPr>
            <w:tcW w:w="3260" w:type="dxa"/>
          </w:tcPr>
          <w:p w14:paraId="07E50273"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Up to or exceeding EUR 120,000</w:t>
            </w:r>
          </w:p>
        </w:tc>
      </w:tr>
      <w:tr w:rsidR="00555E12" w:rsidRPr="00900E1F" w14:paraId="0AB517E3" w14:textId="77777777" w:rsidTr="001534F8">
        <w:tc>
          <w:tcPr>
            <w:tcW w:w="2187" w:type="dxa"/>
            <w:shd w:val="clear" w:color="auto" w:fill="B0115A"/>
          </w:tcPr>
          <w:p w14:paraId="2CACF246"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r w:rsidRPr="00900E1F">
              <w:rPr>
                <w:rFonts w:ascii="Neue Haas Grotesk Text Pro" w:hAnsi="Neue Haas Grotesk Text Pro" w:cs="Open Sans"/>
                <w:b/>
                <w:bCs/>
                <w:color w:val="FFFFFF" w:themeColor="background1"/>
                <w:sz w:val="20"/>
                <w:szCs w:val="20"/>
              </w:rPr>
              <w:t>Time spent per month on transaction reporting tasks</w:t>
            </w:r>
            <w:r w:rsidRPr="00900E1F">
              <w:rPr>
                <w:rFonts w:ascii="Neue Haas Grotesk Text Pro" w:hAnsi="Neue Haas Grotesk Text Pro" w:cs="Open Sans"/>
                <w:color w:val="FFFFFF" w:themeColor="background1"/>
                <w:sz w:val="20"/>
                <w:szCs w:val="20"/>
              </w:rPr>
              <w:t xml:space="preserve"> </w:t>
            </w:r>
          </w:p>
          <w:p w14:paraId="01D7373C"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r w:rsidRPr="00900E1F">
              <w:rPr>
                <w:rFonts w:ascii="Neue Haas Grotesk Text Pro" w:hAnsi="Neue Haas Grotesk Text Pro" w:cs="Open Sans"/>
                <w:color w:val="FFFFFF" w:themeColor="background1"/>
                <w:sz w:val="20"/>
                <w:szCs w:val="20"/>
              </w:rPr>
              <w:t>(e.g., submitting reports and correcting errors and omissions)</w:t>
            </w:r>
          </w:p>
          <w:p w14:paraId="386E9712" w14:textId="77777777" w:rsidR="00555E12" w:rsidRPr="00900E1F" w:rsidRDefault="00555E12" w:rsidP="001534F8">
            <w:pPr>
              <w:pStyle w:val="ListParagraph"/>
              <w:ind w:left="0"/>
              <w:rPr>
                <w:rFonts w:ascii="Neue Haas Grotesk Text Pro" w:hAnsi="Neue Haas Grotesk Text Pro" w:cs="Open Sans"/>
                <w:color w:val="FFFFFF" w:themeColor="background1"/>
                <w:sz w:val="20"/>
                <w:szCs w:val="20"/>
              </w:rPr>
            </w:pPr>
          </w:p>
        </w:tc>
        <w:tc>
          <w:tcPr>
            <w:tcW w:w="3260" w:type="dxa"/>
          </w:tcPr>
          <w:p w14:paraId="05A64FB5"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30 – 100+ hours</w:t>
            </w:r>
          </w:p>
        </w:tc>
        <w:tc>
          <w:tcPr>
            <w:tcW w:w="3260" w:type="dxa"/>
          </w:tcPr>
          <w:p w14:paraId="584C85C7" w14:textId="77777777" w:rsidR="00555E12" w:rsidRPr="00900E1F" w:rsidRDefault="00555E12" w:rsidP="001534F8">
            <w:pPr>
              <w:pStyle w:val="ListParagraph"/>
              <w:ind w:left="0"/>
              <w:rPr>
                <w:rFonts w:ascii="Neue Haas Grotesk Text Pro" w:hAnsi="Neue Haas Grotesk Text Pro" w:cs="Open Sans"/>
                <w:sz w:val="20"/>
                <w:szCs w:val="20"/>
              </w:rPr>
            </w:pPr>
            <w:r w:rsidRPr="00900E1F">
              <w:rPr>
                <w:rFonts w:ascii="Neue Haas Grotesk Text Pro" w:hAnsi="Neue Haas Grotesk Text Pro" w:cs="Open Sans"/>
                <w:sz w:val="20"/>
                <w:szCs w:val="20"/>
              </w:rPr>
              <w:t>100+ hours</w:t>
            </w:r>
          </w:p>
        </w:tc>
      </w:tr>
    </w:tbl>
    <w:p w14:paraId="5C675C2B" w14:textId="77777777" w:rsidR="00555E12" w:rsidRDefault="00555E12" w:rsidP="008B6B1B">
      <w:pPr>
        <w:ind w:left="360"/>
        <w:jc w:val="both"/>
        <w:rPr>
          <w:rFonts w:ascii="Neue Haas Grotesk Text Pro" w:hAnsi="Neue Haas Grotesk Text Pro" w:cs="Open Sans"/>
          <w:sz w:val="20"/>
          <w:szCs w:val="20"/>
        </w:rPr>
      </w:pPr>
    </w:p>
    <w:p w14:paraId="14D20EB3" w14:textId="77777777" w:rsidR="0060247E" w:rsidRPr="00900E1F" w:rsidRDefault="0060247E" w:rsidP="0060247E">
      <w:pPr>
        <w:ind w:left="360"/>
        <w:jc w:val="both"/>
        <w:rPr>
          <w:rFonts w:ascii="Neue Haas Grotesk Text Pro" w:hAnsi="Neue Haas Grotesk Text Pro" w:cs="Open Sans"/>
          <w:sz w:val="20"/>
          <w:szCs w:val="20"/>
        </w:rPr>
      </w:pPr>
      <w:r w:rsidRPr="00900E1F">
        <w:rPr>
          <w:rFonts w:ascii="Neue Haas Grotesk Text Pro" w:hAnsi="Neue Haas Grotesk Text Pro" w:cs="Open Sans"/>
          <w:i/>
          <w:sz w:val="20"/>
          <w:szCs w:val="20"/>
        </w:rPr>
        <w:t>Defining a ‘per transaction’ cost</w:t>
      </w:r>
    </w:p>
    <w:p w14:paraId="598AA0EC" w14:textId="77777777" w:rsidR="0060247E" w:rsidRPr="00900E1F" w:rsidRDefault="0060247E" w:rsidP="0060247E">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lastRenderedPageBreak/>
        <w:br/>
        <w:t xml:space="preserve">The analysis above provides a breakdown of the various costs associated with transaction reporting. Combining these costs (covering vendor costs, external fees and staff salaries) to give an ‘all-in’ cost to firm allows for an analysis of the costs of reporting relative to number of in-scope transactions. This is helpful in the context of seeking to determine the industry-level costs associated with transaction reporting. </w:t>
      </w:r>
    </w:p>
    <w:p w14:paraId="364C6AE8" w14:textId="77777777" w:rsidR="0060247E" w:rsidRPr="00900E1F" w:rsidRDefault="0060247E" w:rsidP="0060247E">
      <w:pPr>
        <w:pStyle w:val="ListParagraph"/>
        <w:rPr>
          <w:rFonts w:ascii="Neue Haas Grotesk Text Pro" w:hAnsi="Neue Haas Grotesk Text Pro" w:cs="Open Sans"/>
          <w:sz w:val="20"/>
          <w:szCs w:val="20"/>
        </w:rPr>
      </w:pPr>
    </w:p>
    <w:p w14:paraId="2CAE12B6" w14:textId="77777777" w:rsidR="0060247E" w:rsidRPr="00900E1F" w:rsidRDefault="0060247E" w:rsidP="0060247E">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Firms with very low numbers of in-scope transactions (fewer than 120 transactions in a year) have suggested to us that the annual costs of outsourcing the reporting of those transactions to a service provider totals about EUR 60,000. </w:t>
      </w:r>
    </w:p>
    <w:p w14:paraId="2D108E16" w14:textId="77777777" w:rsidR="0060247E" w:rsidRPr="00900E1F" w:rsidRDefault="0060247E" w:rsidP="0060247E">
      <w:pPr>
        <w:pStyle w:val="ListParagraph"/>
        <w:ind w:left="1494"/>
        <w:rPr>
          <w:rFonts w:ascii="Neue Haas Grotesk Text Pro" w:hAnsi="Neue Haas Grotesk Text Pro" w:cs="Open Sans"/>
          <w:sz w:val="20"/>
          <w:szCs w:val="20"/>
        </w:rPr>
      </w:pPr>
    </w:p>
    <w:p w14:paraId="6F279DC8" w14:textId="77777777" w:rsidR="0060247E" w:rsidRPr="00900E1F" w:rsidRDefault="0060247E" w:rsidP="0060247E">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The resulting reporting cost per trade is therefore:</w:t>
      </w:r>
    </w:p>
    <w:p w14:paraId="5DDCFFE9" w14:textId="77777777" w:rsidR="0060247E" w:rsidRPr="00900E1F" w:rsidRDefault="0060247E" w:rsidP="0060247E">
      <w:pPr>
        <w:pStyle w:val="ListParagraph"/>
        <w:ind w:left="1494"/>
        <w:rPr>
          <w:rFonts w:ascii="Neue Haas Grotesk Text Pro" w:hAnsi="Neue Haas Grotesk Text Pro" w:cs="Open Sans"/>
          <w:sz w:val="20"/>
          <w:szCs w:val="20"/>
        </w:rPr>
      </w:pPr>
    </w:p>
    <w:p w14:paraId="02526A09" w14:textId="77777777" w:rsidR="0060247E" w:rsidRPr="00900E1F" w:rsidRDefault="0060247E" w:rsidP="0060247E">
      <w:pPr>
        <w:pStyle w:val="ListParagraph"/>
        <w:ind w:left="1494" w:firstLine="360"/>
        <w:rPr>
          <w:rFonts w:ascii="Neue Haas Grotesk Text Pro" w:hAnsi="Neue Haas Grotesk Text Pro" w:cs="Open Sans"/>
          <w:sz w:val="20"/>
          <w:szCs w:val="20"/>
        </w:rPr>
      </w:pPr>
      <w:r w:rsidRPr="00900E1F">
        <w:rPr>
          <w:rFonts w:ascii="Neue Haas Grotesk Text Pro" w:hAnsi="Neue Haas Grotesk Text Pro" w:cs="Open Sans"/>
          <w:sz w:val="20"/>
          <w:szCs w:val="20"/>
        </w:rPr>
        <w:t>EUR 60,000 ÷ 120 = EUR 500</w:t>
      </w:r>
    </w:p>
    <w:p w14:paraId="2EBA8D53" w14:textId="77777777" w:rsidR="0060247E" w:rsidRPr="00900E1F" w:rsidRDefault="0060247E" w:rsidP="0060247E">
      <w:pPr>
        <w:rPr>
          <w:rFonts w:ascii="Neue Haas Grotesk Text Pro" w:hAnsi="Neue Haas Grotesk Text Pro"/>
          <w:sz w:val="20"/>
          <w:szCs w:val="20"/>
        </w:rPr>
      </w:pPr>
    </w:p>
    <w:p w14:paraId="45CC6985" w14:textId="77777777" w:rsidR="0060247E" w:rsidRPr="00900E1F" w:rsidRDefault="0060247E" w:rsidP="0060247E">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Reporting costs per trade are not linear. Firms with larger volumes of transactions will incur considerably higher absolute costs – as noted above – but will also enjoy economies of scale that lead to lower reporting costs when viewed on a trade-by-trade basis. A firm with 75,000,000 transactions a year suggested that its total reporting costs were approaching EUR 6,000,000 annually after allowing for vendor costs and staffing. </w:t>
      </w:r>
    </w:p>
    <w:p w14:paraId="4DF8DEEB" w14:textId="77777777" w:rsidR="0060247E" w:rsidRPr="00900E1F" w:rsidRDefault="0060247E" w:rsidP="0060247E">
      <w:pPr>
        <w:pStyle w:val="ListParagraph"/>
        <w:ind w:left="1494"/>
        <w:rPr>
          <w:rFonts w:ascii="Neue Haas Grotesk Text Pro" w:hAnsi="Neue Haas Grotesk Text Pro" w:cs="Open Sans"/>
          <w:sz w:val="20"/>
          <w:szCs w:val="20"/>
        </w:rPr>
      </w:pPr>
    </w:p>
    <w:p w14:paraId="5F8CC1C6" w14:textId="77777777" w:rsidR="0060247E" w:rsidRPr="00900E1F" w:rsidRDefault="0060247E" w:rsidP="0060247E">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The resulting reporting cost per tra</w:t>
      </w:r>
      <w:r>
        <w:rPr>
          <w:rFonts w:ascii="Neue Haas Grotesk Text Pro" w:hAnsi="Neue Haas Grotesk Text Pro" w:cs="Open Sans"/>
          <w:sz w:val="20"/>
          <w:szCs w:val="20"/>
        </w:rPr>
        <w:t>nsaction</w:t>
      </w:r>
      <w:r w:rsidRPr="00900E1F">
        <w:rPr>
          <w:rFonts w:ascii="Neue Haas Grotesk Text Pro" w:hAnsi="Neue Haas Grotesk Text Pro" w:cs="Open Sans"/>
          <w:sz w:val="20"/>
          <w:szCs w:val="20"/>
        </w:rPr>
        <w:t xml:space="preserve"> is therefore:</w:t>
      </w:r>
    </w:p>
    <w:p w14:paraId="35F2B20E" w14:textId="77777777" w:rsidR="0060247E" w:rsidRPr="00900E1F" w:rsidRDefault="0060247E" w:rsidP="0060247E">
      <w:pPr>
        <w:pStyle w:val="ListParagraph"/>
        <w:ind w:left="1494"/>
        <w:rPr>
          <w:rFonts w:ascii="Neue Haas Grotesk Text Pro" w:hAnsi="Neue Haas Grotesk Text Pro" w:cs="Open Sans"/>
          <w:sz w:val="20"/>
          <w:szCs w:val="20"/>
        </w:rPr>
      </w:pPr>
    </w:p>
    <w:p w14:paraId="3AA596DB" w14:textId="77777777" w:rsidR="0060247E" w:rsidRPr="00900E1F" w:rsidRDefault="0060247E" w:rsidP="0060247E">
      <w:pPr>
        <w:pStyle w:val="ListParagraph"/>
        <w:ind w:left="1494" w:firstLine="360"/>
        <w:rPr>
          <w:rFonts w:ascii="Neue Haas Grotesk Text Pro" w:hAnsi="Neue Haas Grotesk Text Pro" w:cs="Open Sans"/>
          <w:sz w:val="20"/>
          <w:szCs w:val="20"/>
        </w:rPr>
      </w:pPr>
      <w:r w:rsidRPr="00900E1F">
        <w:rPr>
          <w:rFonts w:ascii="Neue Haas Grotesk Text Pro" w:hAnsi="Neue Haas Grotesk Text Pro" w:cs="Open Sans"/>
          <w:sz w:val="20"/>
          <w:szCs w:val="20"/>
        </w:rPr>
        <w:t>EUR 6,000,000 ÷ 75,000,000 = EUR</w:t>
      </w:r>
      <w:r>
        <w:rPr>
          <w:rFonts w:ascii="Neue Haas Grotesk Text Pro" w:hAnsi="Neue Haas Grotesk Text Pro" w:cs="Open Sans"/>
          <w:sz w:val="20"/>
          <w:szCs w:val="20"/>
        </w:rPr>
        <w:t xml:space="preserve"> </w:t>
      </w:r>
      <w:r w:rsidRPr="00900E1F">
        <w:rPr>
          <w:rFonts w:ascii="Neue Haas Grotesk Text Pro" w:hAnsi="Neue Haas Grotesk Text Pro" w:cs="Open Sans"/>
          <w:sz w:val="20"/>
          <w:szCs w:val="20"/>
        </w:rPr>
        <w:t>0.08</w:t>
      </w:r>
    </w:p>
    <w:p w14:paraId="7D992C3E" w14:textId="77777777" w:rsidR="0060247E" w:rsidRPr="00900E1F" w:rsidRDefault="0060247E" w:rsidP="0060247E">
      <w:pPr>
        <w:rPr>
          <w:rFonts w:ascii="Neue Haas Grotesk Text Pro" w:hAnsi="Neue Haas Grotesk Text Pro"/>
          <w:sz w:val="20"/>
          <w:szCs w:val="20"/>
        </w:rPr>
      </w:pPr>
    </w:p>
    <w:p w14:paraId="78433ACF" w14:textId="77777777" w:rsidR="0060247E" w:rsidRPr="00900E1F" w:rsidRDefault="0060247E" w:rsidP="0060247E">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If the total number of transaction reports received by NCAs amounted to, for example, 7 billion transaction reports annually, this implies that – assuming the lower reporting cost per trade – financial services firms collectively spend </w:t>
      </w:r>
      <w:proofErr w:type="gramStart"/>
      <w:r w:rsidRPr="00900E1F">
        <w:rPr>
          <w:rFonts w:ascii="Neue Haas Grotesk Text Pro" w:hAnsi="Neue Haas Grotesk Text Pro" w:cs="Open Sans"/>
          <w:sz w:val="20"/>
          <w:szCs w:val="20"/>
        </w:rPr>
        <w:t>in excess of</w:t>
      </w:r>
      <w:proofErr w:type="gramEnd"/>
      <w:r w:rsidRPr="00900E1F">
        <w:rPr>
          <w:rFonts w:ascii="Neue Haas Grotesk Text Pro" w:hAnsi="Neue Haas Grotesk Text Pro" w:cs="Open Sans"/>
          <w:sz w:val="20"/>
          <w:szCs w:val="20"/>
        </w:rPr>
        <w:t xml:space="preserve"> EUR 540,000,000 per year on transaction reporting. We believe that this is inherently a very conservative estimate, given that low volumes of reporting are associated with higher per tra</w:t>
      </w:r>
      <w:r>
        <w:rPr>
          <w:rFonts w:ascii="Neue Haas Grotesk Text Pro" w:hAnsi="Neue Haas Grotesk Text Pro" w:cs="Open Sans"/>
          <w:sz w:val="20"/>
          <w:szCs w:val="20"/>
        </w:rPr>
        <w:t>nsaction</w:t>
      </w:r>
      <w:r w:rsidRPr="00900E1F">
        <w:rPr>
          <w:rFonts w:ascii="Neue Haas Grotesk Text Pro" w:hAnsi="Neue Haas Grotesk Text Pro" w:cs="Open Sans"/>
          <w:sz w:val="20"/>
          <w:szCs w:val="20"/>
        </w:rPr>
        <w:t xml:space="preserve"> reporting costs and that a collective cost estimate of EUR 600,000,000 per year is therefore reasonable. </w:t>
      </w:r>
    </w:p>
    <w:p w14:paraId="463413CE" w14:textId="77777777" w:rsidR="0060247E" w:rsidRPr="00900E1F" w:rsidRDefault="0060247E" w:rsidP="0060247E">
      <w:pPr>
        <w:pStyle w:val="ListParagraph"/>
        <w:rPr>
          <w:rFonts w:ascii="Neue Haas Grotesk Text Pro" w:hAnsi="Neue Haas Grotesk Text Pro" w:cs="Open Sans"/>
          <w:sz w:val="20"/>
          <w:szCs w:val="20"/>
        </w:rPr>
      </w:pPr>
    </w:p>
    <w:p w14:paraId="56E8A25F" w14:textId="77777777" w:rsidR="0060247E" w:rsidRPr="00900E1F" w:rsidRDefault="0060247E" w:rsidP="0060247E">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For a more sophisticated analysis, ESMA could bucket firms according to number of reports submitted annually and seek to identify more representative costs of reporting by activity bucket. </w:t>
      </w:r>
    </w:p>
    <w:p w14:paraId="35A9FCDD" w14:textId="77777777" w:rsidR="0060247E" w:rsidRPr="00900E1F" w:rsidRDefault="0060247E" w:rsidP="0060247E">
      <w:pPr>
        <w:pStyle w:val="ListParagraph"/>
        <w:rPr>
          <w:rFonts w:ascii="Neue Haas Grotesk Text Pro" w:hAnsi="Neue Haas Grotesk Text Pro" w:cs="Open Sans"/>
          <w:sz w:val="20"/>
          <w:szCs w:val="20"/>
        </w:rPr>
      </w:pPr>
    </w:p>
    <w:p w14:paraId="555688C5" w14:textId="77777777" w:rsidR="0060247E" w:rsidRPr="00900E1F" w:rsidRDefault="0060247E" w:rsidP="0060247E">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A further challenge to consider is that certain types of transactions will generate disproportionate reporting costs because the complexity of reporting them requires additional human intervention. For example, for a firm trading in standardised highly liquid assets such as cash equities, the data required for transaction reporting is relatively simple and consistent across transactions. In contrast, a hedge fund manager trading more complex instruments – such as many of AIMA’s members - may incur higher reporting costs even if the trade volumes are lower, due to, for example, greater data gathering and reconciliation costs.  ESMA might seek to understand which </w:t>
      </w:r>
      <w:proofErr w:type="gramStart"/>
      <w:r w:rsidRPr="00900E1F">
        <w:rPr>
          <w:rFonts w:ascii="Neue Haas Grotesk Text Pro" w:hAnsi="Neue Haas Grotesk Text Pro" w:cs="Open Sans"/>
          <w:sz w:val="20"/>
          <w:szCs w:val="20"/>
        </w:rPr>
        <w:t>particular trade</w:t>
      </w:r>
      <w:proofErr w:type="gramEnd"/>
      <w:r w:rsidRPr="00900E1F">
        <w:rPr>
          <w:rFonts w:ascii="Neue Haas Grotesk Text Pro" w:hAnsi="Neue Haas Grotesk Text Pro" w:cs="Open Sans"/>
          <w:sz w:val="20"/>
          <w:szCs w:val="20"/>
        </w:rPr>
        <w:t xml:space="preserve"> types are relatively more costly to report and how this compares with the benefit of information it receives on those trades. </w:t>
      </w:r>
    </w:p>
    <w:p w14:paraId="73C9C947" w14:textId="77777777" w:rsidR="0060247E" w:rsidRPr="00900E1F" w:rsidRDefault="0060247E" w:rsidP="0060247E">
      <w:pPr>
        <w:pStyle w:val="ListParagraph"/>
        <w:ind w:left="1494"/>
        <w:rPr>
          <w:rFonts w:ascii="Neue Haas Grotesk Text Pro" w:hAnsi="Neue Haas Grotesk Text Pro" w:cs="Open Sans"/>
          <w:sz w:val="20"/>
          <w:szCs w:val="20"/>
        </w:rPr>
      </w:pPr>
    </w:p>
    <w:p w14:paraId="515DC16B" w14:textId="1F3B8F39" w:rsidR="0060247E" w:rsidRDefault="0060247E" w:rsidP="0060247E">
      <w:pPr>
        <w:ind w:left="360"/>
        <w:jc w:val="both"/>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ESMA could also seek to identify how the cost is distributed among different types of financial services firms by using specific permissions held by firms as a basis for sorting them broadly </w:t>
      </w:r>
      <w:r w:rsidRPr="00900E1F">
        <w:rPr>
          <w:rFonts w:ascii="Neue Haas Grotesk Text Pro" w:hAnsi="Neue Haas Grotesk Text Pro" w:cs="Open Sans"/>
          <w:sz w:val="20"/>
          <w:szCs w:val="20"/>
        </w:rPr>
        <w:lastRenderedPageBreak/>
        <w:t xml:space="preserve">into sell-side and buy-side firms. Here it will be important to </w:t>
      </w:r>
      <w:proofErr w:type="gramStart"/>
      <w:r w:rsidRPr="00900E1F">
        <w:rPr>
          <w:rFonts w:ascii="Neue Haas Grotesk Text Pro" w:hAnsi="Neue Haas Grotesk Text Pro" w:cs="Open Sans"/>
          <w:sz w:val="20"/>
          <w:szCs w:val="20"/>
        </w:rPr>
        <w:t>take into account</w:t>
      </w:r>
      <w:proofErr w:type="gramEnd"/>
      <w:r w:rsidRPr="00900E1F">
        <w:rPr>
          <w:rFonts w:ascii="Neue Haas Grotesk Text Pro" w:hAnsi="Neue Haas Grotesk Text Pro" w:cs="Open Sans"/>
          <w:sz w:val="20"/>
          <w:szCs w:val="20"/>
        </w:rPr>
        <w:t xml:space="preserve"> that the maintenance of reporting capabilities is commercially important for sell-side institutions, as it maximises the services that they can provide to clients. This consideration is not the case for buy-side institutions, who are effectively seeking to sell their investment expertise to investors more than providing operational capabilities as a service.</w:t>
      </w:r>
    </w:p>
    <w:p w14:paraId="245C6B6B" w14:textId="77777777" w:rsidR="00E5207D" w:rsidRDefault="00E5207D" w:rsidP="0060247E">
      <w:pPr>
        <w:ind w:left="360"/>
        <w:jc w:val="both"/>
        <w:rPr>
          <w:rFonts w:ascii="Neue Haas Grotesk Text Pro" w:hAnsi="Neue Haas Grotesk Text Pro" w:cs="Open Sans"/>
          <w:sz w:val="20"/>
          <w:szCs w:val="20"/>
        </w:rPr>
      </w:pPr>
    </w:p>
    <w:p w14:paraId="39B5ACBB" w14:textId="77777777" w:rsidR="00E5207D" w:rsidRPr="00900E1F" w:rsidRDefault="00E5207D" w:rsidP="00E5207D">
      <w:pPr>
        <w:pStyle w:val="ListParagraph"/>
        <w:rPr>
          <w:rFonts w:ascii="Neue Haas Grotesk Text Pro" w:hAnsi="Neue Haas Grotesk Text Pro" w:cs="Open Sans"/>
          <w:i/>
          <w:sz w:val="20"/>
          <w:szCs w:val="20"/>
        </w:rPr>
      </w:pPr>
      <w:r w:rsidRPr="00900E1F">
        <w:rPr>
          <w:rFonts w:ascii="Neue Haas Grotesk Text Pro" w:hAnsi="Neue Haas Grotesk Text Pro" w:cs="Open Sans"/>
          <w:i/>
          <w:sz w:val="20"/>
          <w:szCs w:val="20"/>
        </w:rPr>
        <w:t>External vs. internal costs</w:t>
      </w:r>
    </w:p>
    <w:p w14:paraId="09B05C9A" w14:textId="77777777" w:rsidR="00E5207D" w:rsidRPr="00900E1F" w:rsidRDefault="00E5207D" w:rsidP="00E5207D">
      <w:pPr>
        <w:pStyle w:val="ListParagraph"/>
        <w:ind w:left="1494"/>
        <w:rPr>
          <w:rFonts w:ascii="Neue Haas Grotesk Text Pro" w:hAnsi="Neue Haas Grotesk Text Pro" w:cs="Open Sans"/>
          <w:sz w:val="20"/>
          <w:szCs w:val="20"/>
        </w:rPr>
      </w:pPr>
    </w:p>
    <w:p w14:paraId="4DDD2B2E" w14:textId="77777777" w:rsidR="00E5207D" w:rsidRPr="00900E1F" w:rsidRDefault="00E5207D" w:rsidP="00E5207D">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In terms of the make-up of the costs associated with transaction reporting, as referenced earlier, some of our larger members with high trading volumes have indicated that they spend between EUR 540,000 and EUR 900,000 annually on external vendors’ services, including connectivity to an ARM, costs for reference data and advisory costs. </w:t>
      </w:r>
    </w:p>
    <w:p w14:paraId="38CE5622" w14:textId="77777777" w:rsidR="00E5207D" w:rsidRPr="00900E1F" w:rsidRDefault="00E5207D" w:rsidP="00E5207D">
      <w:pPr>
        <w:pStyle w:val="ListParagraph"/>
        <w:ind w:left="1494"/>
        <w:rPr>
          <w:rFonts w:ascii="Neue Haas Grotesk Text Pro" w:hAnsi="Neue Haas Grotesk Text Pro" w:cs="Open Sans"/>
          <w:sz w:val="20"/>
          <w:szCs w:val="20"/>
        </w:rPr>
      </w:pPr>
    </w:p>
    <w:p w14:paraId="5ECB28B2" w14:textId="77777777" w:rsidR="00E5207D" w:rsidRPr="00900E1F" w:rsidRDefault="00E5207D" w:rsidP="00E5207D">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These costs are obviously material, but in relative terms are smaller than staffing costs associated with day-to-day management of transaction reporting. As indicated, staffing levels can vary but firms typically require between 1 – 10 FTEs (noting that absolute staffing levels at a typical AIMA member firm are generally well below 100 members of staff). </w:t>
      </w:r>
    </w:p>
    <w:p w14:paraId="32E52668" w14:textId="77777777" w:rsidR="00E5207D" w:rsidRPr="00900E1F" w:rsidRDefault="00E5207D" w:rsidP="00E5207D">
      <w:pPr>
        <w:pStyle w:val="ListParagraph"/>
        <w:ind w:left="1494"/>
        <w:rPr>
          <w:rFonts w:ascii="Neue Haas Grotesk Text Pro" w:hAnsi="Neue Haas Grotesk Text Pro" w:cs="Open Sans"/>
          <w:sz w:val="20"/>
          <w:szCs w:val="20"/>
        </w:rPr>
      </w:pPr>
    </w:p>
    <w:p w14:paraId="1BFF3348" w14:textId="77777777" w:rsidR="00E5207D" w:rsidRPr="00900E1F" w:rsidRDefault="00E5207D" w:rsidP="00E5207D">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Removing buy-side firms from the transaction reporting obligation would almost certainly eliminate a significant portion of the external costs that firms face. Internal staffing costs might show greater inelasticity as firms might seek to reallocate compliance and operations resource to more productive uses which are more likely to benefit firms, their clients and the soundness of the sector overall. This excludes transaction reporting specialists who are less likely to be repurposed for other compliance functions, thus leading to a reduction in staffing costs. ESMA should consider in its analysis the extent to which involvement of staff in transaction reporting is at times a distraction from more valuable work that would better support productivity and overall risk management.</w:t>
      </w:r>
    </w:p>
    <w:p w14:paraId="285F2048" w14:textId="77777777" w:rsidR="00E5207D" w:rsidRPr="00900E1F" w:rsidRDefault="00E5207D" w:rsidP="00E5207D">
      <w:pPr>
        <w:pStyle w:val="ListParagraph"/>
        <w:ind w:left="1494"/>
        <w:rPr>
          <w:rFonts w:ascii="Neue Haas Grotesk Text Pro" w:hAnsi="Neue Haas Grotesk Text Pro" w:cs="Open Sans"/>
          <w:sz w:val="20"/>
          <w:szCs w:val="20"/>
        </w:rPr>
      </w:pPr>
    </w:p>
    <w:p w14:paraId="64663CCD" w14:textId="77777777" w:rsidR="00E5207D" w:rsidRPr="00900E1F" w:rsidRDefault="00E5207D" w:rsidP="00E5207D">
      <w:pPr>
        <w:pStyle w:val="ListParagraph"/>
        <w:rPr>
          <w:rFonts w:ascii="Neue Haas Grotesk Text Pro" w:hAnsi="Neue Haas Grotesk Text Pro" w:cs="Open Sans"/>
          <w:sz w:val="20"/>
          <w:szCs w:val="20"/>
        </w:rPr>
      </w:pPr>
      <w:r w:rsidRPr="00900E1F">
        <w:rPr>
          <w:rFonts w:ascii="Neue Haas Grotesk Text Pro" w:hAnsi="Neue Haas Grotesk Text Pro" w:cs="Open Sans"/>
          <w:sz w:val="20"/>
          <w:szCs w:val="20"/>
        </w:rPr>
        <w:t>On the other side of the cost benefit analysis equation is ultimately the value that NCAs derive from transaction reports submitted by buy-side firms. It will be for NCAs to assess these benefits, but we encourage them to be conscious of the following:</w:t>
      </w:r>
    </w:p>
    <w:p w14:paraId="41376BB9" w14:textId="77777777" w:rsidR="00E5207D" w:rsidRPr="00900E1F" w:rsidRDefault="00E5207D" w:rsidP="00E5207D">
      <w:pPr>
        <w:pStyle w:val="ListParagraph"/>
        <w:ind w:left="1494"/>
        <w:rPr>
          <w:rFonts w:ascii="Neue Haas Grotesk Text Pro" w:hAnsi="Neue Haas Grotesk Text Pro" w:cs="Open Sans"/>
          <w:sz w:val="20"/>
          <w:szCs w:val="20"/>
        </w:rPr>
      </w:pPr>
    </w:p>
    <w:p w14:paraId="062C7D97" w14:textId="77777777" w:rsidR="00E5207D" w:rsidRPr="00900E1F" w:rsidRDefault="00E5207D" w:rsidP="00E5207D">
      <w:pPr>
        <w:pStyle w:val="ListParagraph"/>
        <w:numPr>
          <w:ilvl w:val="0"/>
          <w:numId w:val="42"/>
        </w:numPr>
        <w:tabs>
          <w:tab w:val="clear" w:pos="0"/>
          <w:tab w:val="clear" w:pos="142"/>
          <w:tab w:val="clear" w:pos="284"/>
          <w:tab w:val="clear" w:pos="567"/>
        </w:tabs>
        <w:autoSpaceDE/>
        <w:autoSpaceDN/>
        <w:adjustRightInd/>
        <w:spacing w:after="160" w:line="259" w:lineRule="auto"/>
        <w:ind w:left="720"/>
        <w:contextualSpacing/>
        <w:rPr>
          <w:rFonts w:ascii="Neue Haas Grotesk Text Pro" w:hAnsi="Neue Haas Grotesk Text Pro" w:cs="Open Sans"/>
          <w:sz w:val="20"/>
          <w:szCs w:val="20"/>
        </w:rPr>
      </w:pPr>
      <w:r w:rsidRPr="00900E1F">
        <w:rPr>
          <w:rFonts w:ascii="Neue Haas Grotesk Text Pro" w:hAnsi="Neue Haas Grotesk Text Pro" w:cs="Open Sans"/>
          <w:sz w:val="20"/>
          <w:szCs w:val="20"/>
        </w:rPr>
        <w:t>NCAs’ market monitoring capabilities already operate without direct reporting from buy-side firms that operate under an AIFMD or UCITS licence.</w:t>
      </w:r>
    </w:p>
    <w:p w14:paraId="73DAB41D" w14:textId="77777777" w:rsidR="00E5207D" w:rsidRPr="00900E1F" w:rsidRDefault="00E5207D" w:rsidP="00E5207D">
      <w:pPr>
        <w:pStyle w:val="ListParagraph"/>
        <w:rPr>
          <w:rFonts w:ascii="Neue Haas Grotesk Text Pro" w:hAnsi="Neue Haas Grotesk Text Pro" w:cs="Open Sans"/>
          <w:sz w:val="20"/>
          <w:szCs w:val="20"/>
        </w:rPr>
      </w:pPr>
    </w:p>
    <w:p w14:paraId="283CA776" w14:textId="77777777" w:rsidR="00E5207D" w:rsidRPr="00900E1F" w:rsidRDefault="00E5207D" w:rsidP="00E5207D">
      <w:pPr>
        <w:pStyle w:val="ListParagraph"/>
        <w:numPr>
          <w:ilvl w:val="0"/>
          <w:numId w:val="42"/>
        </w:numPr>
        <w:tabs>
          <w:tab w:val="clear" w:pos="0"/>
          <w:tab w:val="clear" w:pos="142"/>
          <w:tab w:val="clear" w:pos="284"/>
          <w:tab w:val="clear" w:pos="567"/>
        </w:tabs>
        <w:autoSpaceDE/>
        <w:autoSpaceDN/>
        <w:adjustRightInd/>
        <w:spacing w:after="160" w:line="259" w:lineRule="auto"/>
        <w:ind w:left="720"/>
        <w:contextualSpacing/>
        <w:rPr>
          <w:rFonts w:ascii="Neue Haas Grotesk Text Pro" w:hAnsi="Neue Haas Grotesk Text Pro" w:cs="Open Sans"/>
          <w:sz w:val="20"/>
          <w:szCs w:val="20"/>
        </w:rPr>
      </w:pPr>
      <w:r w:rsidRPr="00900E1F">
        <w:rPr>
          <w:rFonts w:ascii="Neue Haas Grotesk Text Pro" w:hAnsi="Neue Haas Grotesk Text Pro" w:cs="Open Sans"/>
          <w:sz w:val="20"/>
          <w:szCs w:val="20"/>
        </w:rPr>
        <w:t xml:space="preserve">NCAs can and do request data from buy-side firms regardless of whether they provide transaction reports; NCAs can take comfort that recordkeeping obligations will ensure that relevant data is available to it upon request. These direct requests may also be more targeted and efficient, allowing NCAs to collect additional relevant information from the firm alongside the transaction data to understand the surrounding context. </w:t>
      </w:r>
    </w:p>
    <w:p w14:paraId="39F11523" w14:textId="77777777" w:rsidR="00E5207D" w:rsidRPr="00900E1F" w:rsidRDefault="00E5207D" w:rsidP="00E5207D">
      <w:pPr>
        <w:pStyle w:val="ListParagraph"/>
        <w:rPr>
          <w:rFonts w:ascii="Neue Haas Grotesk Text Pro" w:hAnsi="Neue Haas Grotesk Text Pro" w:cs="Open Sans"/>
          <w:sz w:val="20"/>
          <w:szCs w:val="20"/>
        </w:rPr>
      </w:pPr>
    </w:p>
    <w:p w14:paraId="62548DEE" w14:textId="591335FE" w:rsidR="008B6B1B" w:rsidRPr="00E5207D" w:rsidRDefault="00E5207D" w:rsidP="00926BDA">
      <w:pPr>
        <w:pStyle w:val="ListParagraph"/>
        <w:numPr>
          <w:ilvl w:val="0"/>
          <w:numId w:val="42"/>
        </w:numPr>
        <w:tabs>
          <w:tab w:val="clear" w:pos="0"/>
          <w:tab w:val="clear" w:pos="142"/>
          <w:tab w:val="clear" w:pos="284"/>
          <w:tab w:val="clear" w:pos="567"/>
        </w:tabs>
        <w:autoSpaceDE/>
        <w:autoSpaceDN/>
        <w:adjustRightInd/>
        <w:spacing w:line="259" w:lineRule="auto"/>
        <w:ind w:left="720"/>
        <w:contextualSpacing/>
        <w:rPr>
          <w:rFonts w:ascii="Neue Haas Grotesk Text Pro" w:hAnsi="Neue Haas Grotesk Text Pro" w:cs="Open Sans"/>
          <w:sz w:val="20"/>
          <w:szCs w:val="20"/>
        </w:rPr>
      </w:pPr>
      <w:r w:rsidRPr="00900E1F">
        <w:rPr>
          <w:rFonts w:ascii="Neue Haas Grotesk Text Pro" w:hAnsi="Neue Haas Grotesk Text Pro" w:cs="Open Sans"/>
          <w:sz w:val="20"/>
          <w:szCs w:val="20"/>
        </w:rPr>
        <w:t>Transaction reporting – and specifically a dual-sided model of transaction reporting – is not necessarily the best policy tool to deal with inaccurate reporting by certain entities, which can be better addressed by better specification of reporting fields.</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lastRenderedPageBreak/>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353023EA" w:rsidR="00926BDA" w:rsidRPr="00E61133" w:rsidRDefault="00E61133" w:rsidP="00E61133">
      <w:pPr>
        <w:ind w:left="360"/>
        <w:jc w:val="both"/>
        <w:rPr>
          <w:rFonts w:ascii="Neue Haas Grotesk Text Pro" w:hAnsi="Neue Haas Grotesk Text Pro"/>
          <w:b/>
          <w:bCs/>
          <w:sz w:val="20"/>
          <w:szCs w:val="20"/>
        </w:rPr>
      </w:pPr>
      <w:permStart w:id="443381358" w:edGrp="everyone"/>
      <w:r w:rsidRPr="00900E1F">
        <w:rPr>
          <w:rFonts w:ascii="Neue Haas Grotesk Text Pro" w:hAnsi="Neue Haas Grotesk Text Pro"/>
          <w:sz w:val="20"/>
          <w:szCs w:val="20"/>
        </w:rPr>
        <w:t>Please see AIMA’s response to Question 27 of this call for evidence.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8256" w14:textId="77777777" w:rsidR="005E3669" w:rsidRDefault="005E3669" w:rsidP="007E7997">
      <w:r>
        <w:separator/>
      </w:r>
    </w:p>
  </w:endnote>
  <w:endnote w:type="continuationSeparator" w:id="0">
    <w:p w14:paraId="770C5C33" w14:textId="77777777" w:rsidR="005E3669" w:rsidRDefault="005E3669" w:rsidP="007E7997">
      <w:r>
        <w:continuationSeparator/>
      </w:r>
    </w:p>
  </w:endnote>
  <w:endnote w:type="continuationNotice" w:id="1">
    <w:p w14:paraId="3D6FF564" w14:textId="77777777" w:rsidR="005E3669" w:rsidRDefault="005E3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altName w:val="Open Sans"/>
    <w:panose1 w:val="00000500000000000000"/>
    <w:charset w:val="00"/>
    <w:family w:val="auto"/>
    <w:pitch w:val="variable"/>
    <w:sig w:usb0="20000A87" w:usb1="40000000" w:usb2="00000000" w:usb3="00000000" w:csb0="000001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Neue Haas Grotesk Text Pro">
    <w:charset w:val="00"/>
    <w:family w:val="swiss"/>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E4026" w14:textId="77777777" w:rsidR="005E3669" w:rsidRDefault="005E3669" w:rsidP="007E7997">
      <w:r>
        <w:separator/>
      </w:r>
    </w:p>
  </w:footnote>
  <w:footnote w:type="continuationSeparator" w:id="0">
    <w:p w14:paraId="3C868D00" w14:textId="77777777" w:rsidR="005E3669" w:rsidRDefault="005E3669" w:rsidP="007E7997">
      <w:r>
        <w:continuationSeparator/>
      </w:r>
    </w:p>
  </w:footnote>
  <w:footnote w:type="continuationNotice" w:id="1">
    <w:p w14:paraId="6247DC41" w14:textId="77777777" w:rsidR="005E3669" w:rsidRDefault="005E3669"/>
  </w:footnote>
  <w:footnote w:id="2">
    <w:p w14:paraId="217A4C8B" w14:textId="77777777" w:rsidR="00CC5D8F" w:rsidRDefault="00CC5D8F" w:rsidP="00CC5D8F">
      <w:pPr>
        <w:pStyle w:val="FootnoteText"/>
      </w:pPr>
      <w:r w:rsidRPr="00507513">
        <w:t xml:space="preserve">  </w:t>
      </w:r>
    </w:p>
    <w:p w14:paraId="6BD73833" w14:textId="77777777" w:rsidR="00CC5D8F" w:rsidRPr="001318A4" w:rsidRDefault="00CC5D8F" w:rsidP="00CC5D8F">
      <w:pPr>
        <w:pStyle w:val="FootnoteText"/>
      </w:pPr>
      <w:r w:rsidRPr="001318A4">
        <w:t xml:space="preserve"> </w:t>
      </w:r>
      <w:r w:rsidRPr="001318A4">
        <w:rPr>
          <w:rStyle w:val="FootnoteReference"/>
          <w:rFonts w:ascii="Neue Haas Grotesk Text Pro" w:eastAsiaTheme="majorEastAsia" w:hAnsi="Neue Haas Grotesk Text Pro"/>
        </w:rPr>
        <w:footnoteRef/>
      </w:r>
      <w:r w:rsidRPr="001318A4">
        <w:t xml:space="preserve">   AIMA is the world’s largest membership association for alternative investment managers. Its membership has more firms, managing more assets than any other industry body, and through our 10 offices located around the world, we serve over 2,000 members in 60 different countries. AIMA’s mission, which includes that of its private credit affiliate, the Alternative Credit Council (ACC), is to ensure that our industry of hedge funds, private market funds and digital asset funds is always best positioned for success. Success in our industry is defined by its contribution to capital formation, economic growth, and positive outcomes for investors while being able to operate efficiently within appropriate and proportionate regulatory frameworks. AIMA’s many peer groups, events, educational sessions, publications and practical tools like its Due Diligence Questionnaires and industry sound practice guidance available exclusively to members, enable firms to actively refine their business practices, policies, and processes to secure their place in that success.</w:t>
      </w:r>
    </w:p>
  </w:footnote>
  <w:footnote w:id="3">
    <w:p w14:paraId="3A93F636" w14:textId="77777777" w:rsidR="00CC5D8F" w:rsidRDefault="00CC5D8F" w:rsidP="00CC5D8F">
      <w:pPr>
        <w:pStyle w:val="FootnoteText"/>
      </w:pPr>
      <w:r w:rsidRPr="001318A4">
        <w:rPr>
          <w:rStyle w:val="FootnoteReference"/>
          <w:rFonts w:ascii="Neue Haas Grotesk Text Pro" w:eastAsiaTheme="majorEastAsia" w:hAnsi="Neue Haas Grotesk Text Pro"/>
        </w:rPr>
        <w:footnoteRef/>
      </w:r>
      <w:r w:rsidRPr="001318A4">
        <w:t xml:space="preserve">Available at: </w:t>
      </w:r>
    </w:p>
    <w:p w14:paraId="59594EDB" w14:textId="77777777" w:rsidR="00CC5D8F" w:rsidRPr="001318A4" w:rsidRDefault="00CC5D8F" w:rsidP="00CC5D8F">
      <w:pPr>
        <w:pStyle w:val="FootnoteText"/>
      </w:pPr>
      <w:hyperlink r:id="rId1" w:history="1">
        <w:r w:rsidRPr="00CB5C36">
          <w:rPr>
            <w:rStyle w:val="Hyperlink"/>
            <w:rFonts w:eastAsiaTheme="majorEastAsia"/>
          </w:rPr>
          <w:t>https://www.esma.europa.eu/sites/default/files/2025-06/ESMA12-437499640-3021_Call_for_evidence_on_a_comprehensive_approach_for_the_simplification_of_financial_transaction_reporting.pdf</w:t>
        </w:r>
      </w:hyperlink>
      <w:r w:rsidRPr="001318A4">
        <w:t xml:space="preserve"> </w:t>
      </w:r>
    </w:p>
    <w:p w14:paraId="52330E36" w14:textId="77777777" w:rsidR="00CC5D8F" w:rsidRPr="00507513" w:rsidRDefault="00CC5D8F" w:rsidP="00CC5D8F">
      <w:pPr>
        <w:pStyle w:val="FootnoteText"/>
      </w:pPr>
    </w:p>
  </w:footnote>
  <w:footnote w:id="4">
    <w:p w14:paraId="16BD6E6C" w14:textId="77777777" w:rsidR="00A308BE" w:rsidRDefault="00A308BE" w:rsidP="00A308BE">
      <w:pPr>
        <w:pStyle w:val="FootnoteText"/>
      </w:pPr>
    </w:p>
    <w:p w14:paraId="7C41E55F" w14:textId="77777777" w:rsidR="00A308BE" w:rsidRPr="00A7759C" w:rsidRDefault="00A308BE" w:rsidP="00A308BE">
      <w:pPr>
        <w:pStyle w:val="FootnoteText"/>
      </w:pPr>
      <w:r w:rsidRPr="00A7759C">
        <w:rPr>
          <w:rStyle w:val="FootnoteReference"/>
          <w:rFonts w:ascii="Neue Haas Grotesk Text Pro" w:eastAsiaTheme="minorEastAsia" w:hAnsi="Neue Haas Grotesk Text Pro"/>
        </w:rPr>
        <w:footnoteRef/>
      </w:r>
      <w:r w:rsidRPr="00A7759C">
        <w:t xml:space="preserve"> See </w:t>
      </w:r>
      <w:hyperlink r:id="rId2" w:history="1">
        <w:r w:rsidRPr="00A7759C">
          <w:rPr>
            <w:rStyle w:val="Hyperlink"/>
            <w:rFonts w:eastAsiaTheme="majorEastAsia"/>
          </w:rPr>
          <w:t>www.fca.org.uk/publication/discussion/dp24-2.pdf</w:t>
        </w:r>
      </w:hyperlink>
      <w:r w:rsidRPr="00A7759C">
        <w:t>.</w:t>
      </w:r>
    </w:p>
  </w:footnote>
  <w:footnote w:id="5">
    <w:p w14:paraId="070959F0" w14:textId="77777777" w:rsidR="00A308BE" w:rsidRDefault="00A308BE" w:rsidP="00A308BE">
      <w:pPr>
        <w:pStyle w:val="FootnoteText"/>
      </w:pPr>
      <w:r w:rsidRPr="00A7759C">
        <w:rPr>
          <w:rStyle w:val="FootnoteReference"/>
          <w:rFonts w:ascii="Neue Haas Grotesk Text Pro" w:eastAsiaTheme="minorEastAsia" w:hAnsi="Neue Haas Grotesk Text Pro"/>
        </w:rPr>
        <w:footnoteRef/>
      </w:r>
      <w:r w:rsidRPr="00A7759C">
        <w:t xml:space="preserve"> See </w:t>
      </w:r>
      <w:hyperlink r:id="rId3" w:history="1">
        <w:r w:rsidRPr="00A7759C">
          <w:rPr>
            <w:rStyle w:val="Hyperlink"/>
            <w:rFonts w:eastAsiaTheme="majorEastAsia"/>
          </w:rPr>
          <w:t>www.gov.uk/government/calls-for-evidence/financial-services-growth-and-competitiveness-strategy</w:t>
        </w:r>
      </w:hyperlink>
      <w:r w:rsidRPr="00A7759C">
        <w:t>.</w:t>
      </w:r>
      <w:r>
        <w:t xml:space="preserve"> </w:t>
      </w:r>
    </w:p>
  </w:footnote>
  <w:footnote w:id="6">
    <w:p w14:paraId="7337FCD2" w14:textId="77777777" w:rsidR="00993537" w:rsidRDefault="00993537" w:rsidP="00993537">
      <w:pPr>
        <w:pStyle w:val="FootnoteText"/>
      </w:pPr>
    </w:p>
    <w:p w14:paraId="45EAF19C" w14:textId="77777777" w:rsidR="00993537" w:rsidRPr="00B83BDC" w:rsidRDefault="00993537" w:rsidP="00993537">
      <w:pPr>
        <w:pStyle w:val="FootnoteText"/>
        <w:rPr>
          <w:b/>
          <w:bCs/>
        </w:rPr>
      </w:pPr>
      <w:r w:rsidRPr="00B83BDC">
        <w:rPr>
          <w:rStyle w:val="FootnoteReference"/>
          <w:rFonts w:ascii="Neue Haas Grotesk Text Pro" w:eastAsiaTheme="minorEastAsia" w:hAnsi="Neue Haas Grotesk Text Pro"/>
        </w:rPr>
        <w:footnoteRef/>
      </w:r>
      <w:r w:rsidRPr="00B83BDC">
        <w:t xml:space="preserve"> Persons licensed by or registered with the Securities and Futures Commission of Hong Kong which, in connection with the carrying out of (i) proprietary trading and (ii) the provision of securities brokerage services for a person in respect of orders placed through an account opened and maintained for that person, (a) submit (or arrange to submit) for execution of an on-exchange order; (b) carry out an off-exchange order; or (c) conduct off- exchange trade reporting).</w:t>
      </w:r>
      <w:r w:rsidRPr="00B83BDC">
        <w:rPr>
          <w:b/>
          <w:bCs/>
        </w:rPr>
        <w:t xml:space="preserve"> </w:t>
      </w:r>
    </w:p>
    <w:p w14:paraId="6143C81C" w14:textId="77777777" w:rsidR="00993537" w:rsidRPr="00B83BDC" w:rsidRDefault="00993537" w:rsidP="00993537">
      <w:pPr>
        <w:pStyle w:val="FootnoteText"/>
      </w:pPr>
      <w:r w:rsidRPr="00B83BDC">
        <w:t xml:space="preserve">Defined in 5.6(b)(xiv) of the SFC Code of Conduct. Available at: </w:t>
      </w:r>
      <w:hyperlink r:id="rId4" w:history="1">
        <w:r w:rsidRPr="00B83BDC">
          <w:rPr>
            <w:rStyle w:val="Hyperlink"/>
            <w:rFonts w:eastAsiaTheme="majorEastAsia"/>
          </w:rPr>
          <w:t>https://apps.sfc.hk/edistributionWeb/api/circular/openAppendix?lang=EN&amp;refNo=21EC37&amp;appendix=0</w:t>
        </w:r>
      </w:hyperlink>
      <w:r w:rsidRPr="00B83BDC">
        <w:t xml:space="preserve">. </w:t>
      </w:r>
    </w:p>
  </w:footnote>
  <w:footnote w:id="7">
    <w:p w14:paraId="0060BD3B" w14:textId="77777777" w:rsidR="00993537" w:rsidRPr="00B83BDC" w:rsidRDefault="00993537" w:rsidP="00993537">
      <w:pPr>
        <w:pStyle w:val="FootnoteText"/>
      </w:pPr>
      <w:r w:rsidRPr="00B83BDC">
        <w:rPr>
          <w:rStyle w:val="FootnoteReference"/>
          <w:rFonts w:ascii="Neue Haas Grotesk Text Pro" w:eastAsiaTheme="minorEastAsia" w:hAnsi="Neue Haas Grotesk Text Pro"/>
        </w:rPr>
        <w:footnoteRef/>
      </w:r>
      <w:r w:rsidRPr="00B83BDC">
        <w:t xml:space="preserve"> See the Financial Services and Markets Regulations 2015, Chapter 4 ‘Transaction Reporting’, Section 149 ‘Obligation to report orders and </w:t>
      </w:r>
      <w:proofErr w:type="gramStart"/>
      <w:r w:rsidRPr="00B83BDC">
        <w:t>transactions’</w:t>
      </w:r>
      <w:proofErr w:type="gramEnd"/>
      <w:r w:rsidRPr="00B83BDC">
        <w:t xml:space="preserve">. </w:t>
      </w:r>
    </w:p>
    <w:p w14:paraId="1A4838DB" w14:textId="77777777" w:rsidR="00993537" w:rsidRPr="00341092" w:rsidRDefault="00993537" w:rsidP="00993537">
      <w:pPr>
        <w:pStyle w:val="FootnoteText"/>
        <w:rPr>
          <w:rFonts w:ascii="Open Sans" w:hAnsi="Open Sans"/>
        </w:rPr>
      </w:pPr>
      <w:r w:rsidRPr="00B83BDC">
        <w:t xml:space="preserve">Available at: </w:t>
      </w:r>
      <w:hyperlink r:id="rId5" w:history="1">
        <w:r w:rsidRPr="00B83BDC">
          <w:rPr>
            <w:rStyle w:val="Hyperlink"/>
            <w:rFonts w:eastAsiaTheme="majorEastAsia"/>
          </w:rPr>
          <w:t>https://en.adgm.thomsonreuters.com/sites/default/files/net_file_store/ADGM1547_12483_VER15081523.pdf</w:t>
        </w:r>
      </w:hyperlink>
      <w:r w:rsidRPr="00B83BDC">
        <w:t>.</w:t>
      </w:r>
      <w:r w:rsidRPr="00341092">
        <w:rPr>
          <w:rFonts w:ascii="Open Sans" w:hAnsi="Open Sans"/>
        </w:rPr>
        <w:t xml:space="preserve"> </w:t>
      </w:r>
    </w:p>
  </w:footnote>
  <w:footnote w:id="8">
    <w:p w14:paraId="5973712F" w14:textId="77777777" w:rsidR="00C34B8A" w:rsidRDefault="00C34B8A" w:rsidP="00C34B8A">
      <w:pPr>
        <w:pStyle w:val="FootnoteText"/>
      </w:pPr>
    </w:p>
    <w:p w14:paraId="3CC9EC38" w14:textId="77777777" w:rsidR="00C34B8A" w:rsidRDefault="00C34B8A" w:rsidP="00C34B8A">
      <w:pPr>
        <w:pStyle w:val="FootnoteText"/>
      </w:pPr>
      <w:r>
        <w:rPr>
          <w:rStyle w:val="FootnoteReference"/>
          <w:rFonts w:eastAsiaTheme="minorEastAsia"/>
        </w:rPr>
        <w:footnoteRef/>
      </w:r>
      <w:r>
        <w:t xml:space="preserve"> Available at: </w:t>
      </w:r>
      <w:hyperlink r:id="rId6" w:history="1">
        <w:r w:rsidRPr="002673D9">
          <w:rPr>
            <w:rStyle w:val="Hyperlink"/>
            <w:rFonts w:eastAsiaTheme="majorEastAsia"/>
          </w:rPr>
          <w:t>www.esma.europa.eu/sites/default/files/library/esma74-362-2281_final_report_guidelines_emir_refit.pdf</w:t>
        </w:r>
      </w:hyperlink>
      <w:r>
        <w:t xml:space="preserve">. </w:t>
      </w:r>
    </w:p>
  </w:footnote>
  <w:footnote w:id="9">
    <w:p w14:paraId="3E4031B3" w14:textId="77777777" w:rsidR="004666EF" w:rsidRDefault="004666EF" w:rsidP="004666EF">
      <w:pPr>
        <w:pStyle w:val="FootnoteText"/>
      </w:pPr>
    </w:p>
    <w:p w14:paraId="3FBF6C9B" w14:textId="77777777" w:rsidR="004666EF" w:rsidRPr="00717EAC" w:rsidRDefault="004666EF" w:rsidP="004666EF">
      <w:pPr>
        <w:pStyle w:val="FootnoteText"/>
      </w:pPr>
      <w:r w:rsidRPr="00717EAC">
        <w:rPr>
          <w:rStyle w:val="FootnoteReference"/>
          <w:rFonts w:ascii="Neue Haas Grotesk Text Pro" w:eastAsiaTheme="minorEastAsia" w:hAnsi="Neue Haas Grotesk Text Pro"/>
        </w:rPr>
        <w:footnoteRef/>
      </w:r>
      <w:r w:rsidRPr="00717EAC">
        <w:t xml:space="preserve"> See the </w:t>
      </w:r>
      <w:r w:rsidRPr="00717EAC">
        <w:rPr>
          <w:lang w:val="en"/>
        </w:rPr>
        <w:t>UNIDROIT Convention on substantive rules for intermediated securities. Available at:</w:t>
      </w:r>
      <w:r w:rsidRPr="00717EAC">
        <w:t xml:space="preserve">  </w:t>
      </w:r>
      <w:hyperlink r:id="rId7" w:history="1">
        <w:r w:rsidRPr="00717EAC">
          <w:rPr>
            <w:rStyle w:val="Hyperlink"/>
            <w:rFonts w:eastAsiaTheme="majorEastAsia"/>
            <w:lang w:val="en"/>
          </w:rPr>
          <w:t>https://www.unidroit.org/wp-content/uploads/2021/06/convention.pdf</w:t>
        </w:r>
      </w:hyperlink>
      <w:r w:rsidRPr="00717EAC">
        <w:t xml:space="preserve">. </w:t>
      </w:r>
    </w:p>
  </w:footnote>
  <w:footnote w:id="10">
    <w:p w14:paraId="2DB64236" w14:textId="77777777" w:rsidR="004666EF" w:rsidRDefault="004666EF" w:rsidP="004666EF">
      <w:pPr>
        <w:pStyle w:val="FootnoteText"/>
      </w:pPr>
      <w:r w:rsidRPr="00717EAC">
        <w:rPr>
          <w:rStyle w:val="FootnoteReference"/>
          <w:rFonts w:ascii="Neue Haas Grotesk Text Pro" w:eastAsiaTheme="minorEastAsia" w:hAnsi="Neue Haas Grotesk Text Pro"/>
        </w:rPr>
        <w:footnoteRef/>
      </w:r>
      <w:r w:rsidRPr="00717EAC">
        <w:t xml:space="preserve"> See the </w:t>
      </w:r>
      <w:r w:rsidRPr="00717EAC">
        <w:rPr>
          <w:lang w:val="en"/>
        </w:rPr>
        <w:t>Convention of 5 July 2006 on the Law Applicable to Certain Rights in Respect of Securities held with an Intermediary</w:t>
      </w:r>
      <w:r w:rsidRPr="00717EAC">
        <w:t xml:space="preserve">. Available at: </w:t>
      </w:r>
      <w:hyperlink r:id="rId8" w:history="1">
        <w:r w:rsidRPr="00717EAC">
          <w:rPr>
            <w:rStyle w:val="Hyperlink"/>
            <w:rFonts w:eastAsiaTheme="majorEastAsia"/>
            <w:lang w:val="en"/>
          </w:rPr>
          <w:t>https://assets.hcch.net/docs/3afb8418-7eb7-4a0c-af85-c4f35995bb8a.pdf</w:t>
        </w:r>
      </w:hyperlink>
      <w:r w:rsidRPr="00717EAC">
        <w:t>.</w:t>
      </w:r>
      <w:r>
        <w:rPr>
          <w:sz w:val="20"/>
          <w:szCs w:val="20"/>
        </w:rPr>
        <w:t xml:space="preserve"> </w:t>
      </w:r>
    </w:p>
  </w:footnote>
  <w:footnote w:id="11">
    <w:p w14:paraId="386D2E2A" w14:textId="77777777" w:rsidR="008B6B1B" w:rsidRDefault="008B6B1B" w:rsidP="008B6B1B">
      <w:pPr>
        <w:pStyle w:val="FootnoteText"/>
      </w:pPr>
    </w:p>
    <w:p w14:paraId="4F90D75A" w14:textId="77777777" w:rsidR="008B6B1B" w:rsidRPr="00B83BDC" w:rsidRDefault="008B6B1B" w:rsidP="008B6B1B">
      <w:pPr>
        <w:pStyle w:val="FootnoteText"/>
      </w:pPr>
      <w:r w:rsidRPr="00B83BDC">
        <w:rPr>
          <w:rStyle w:val="FootnoteReference"/>
          <w:rFonts w:ascii="Neue Haas Grotesk Text Pro" w:eastAsiaTheme="minorEastAsia" w:hAnsi="Neue Haas Grotesk Text Pro"/>
        </w:rPr>
        <w:footnoteRef/>
      </w:r>
      <w:r w:rsidRPr="00B83BDC">
        <w:t xml:space="preserve"> See Guidelines on transaction reporting, order record keeping and clock synchronization under MiFID II (ESMA/2016/1452), as applied in accordance with the FCA's stated approach in Brexit: our approach to EU non-legislative materials.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7E5081"/>
    <w:multiLevelType w:val="hybridMultilevel"/>
    <w:tmpl w:val="68F88606"/>
    <w:lvl w:ilvl="0" w:tplc="DB7CAFEC">
      <w:start w:val="1"/>
      <w:numFmt w:val="lowerRoman"/>
      <w:lvlText w:val="%1."/>
      <w:lvlJc w:val="left"/>
      <w:pPr>
        <w:ind w:left="1145" w:hanging="72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1FE55106"/>
    <w:multiLevelType w:val="hybridMultilevel"/>
    <w:tmpl w:val="415E206A"/>
    <w:lvl w:ilvl="0" w:tplc="2748541C">
      <w:start w:val="5"/>
      <w:numFmt w:val="bullet"/>
      <w:lvlText w:val=""/>
      <w:lvlJc w:val="left"/>
      <w:pPr>
        <w:ind w:left="720" w:hanging="360"/>
      </w:pPr>
      <w:rPr>
        <w:rFonts w:ascii="Symbol" w:eastAsia="Times New Roman"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181D69"/>
    <w:multiLevelType w:val="hybridMultilevel"/>
    <w:tmpl w:val="0A189E10"/>
    <w:lvl w:ilvl="0" w:tplc="52DE78C0">
      <w:start w:val="1"/>
      <w:numFmt w:val="upp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681D25"/>
    <w:multiLevelType w:val="hybridMultilevel"/>
    <w:tmpl w:val="5FF0DB6C"/>
    <w:lvl w:ilvl="0" w:tplc="D3561E80">
      <w:start w:val="1"/>
      <w:numFmt w:val="bullet"/>
      <w:lvlText w:val=""/>
      <w:lvlJc w:val="left"/>
      <w:pPr>
        <w:ind w:left="1919" w:hanging="360"/>
      </w:pPr>
      <w:rPr>
        <w:rFonts w:ascii="Symbol" w:eastAsiaTheme="minorHAnsi" w:hAnsi="Symbol" w:cs="Open Sans" w:hint="default"/>
      </w:rPr>
    </w:lvl>
    <w:lvl w:ilvl="1" w:tplc="08090003" w:tentative="1">
      <w:start w:val="1"/>
      <w:numFmt w:val="bullet"/>
      <w:lvlText w:val="o"/>
      <w:lvlJc w:val="left"/>
      <w:pPr>
        <w:ind w:left="-119" w:hanging="360"/>
      </w:pPr>
      <w:rPr>
        <w:rFonts w:ascii="Courier New" w:hAnsi="Courier New" w:cs="Courier New" w:hint="default"/>
      </w:rPr>
    </w:lvl>
    <w:lvl w:ilvl="2" w:tplc="08090005" w:tentative="1">
      <w:start w:val="1"/>
      <w:numFmt w:val="bullet"/>
      <w:lvlText w:val=""/>
      <w:lvlJc w:val="left"/>
      <w:pPr>
        <w:ind w:left="601" w:hanging="360"/>
      </w:pPr>
      <w:rPr>
        <w:rFonts w:ascii="Wingdings" w:hAnsi="Wingdings" w:hint="default"/>
      </w:rPr>
    </w:lvl>
    <w:lvl w:ilvl="3" w:tplc="08090001" w:tentative="1">
      <w:start w:val="1"/>
      <w:numFmt w:val="bullet"/>
      <w:lvlText w:val=""/>
      <w:lvlJc w:val="left"/>
      <w:pPr>
        <w:ind w:left="1321" w:hanging="360"/>
      </w:pPr>
      <w:rPr>
        <w:rFonts w:ascii="Symbol" w:hAnsi="Symbol" w:hint="default"/>
      </w:rPr>
    </w:lvl>
    <w:lvl w:ilvl="4" w:tplc="08090003" w:tentative="1">
      <w:start w:val="1"/>
      <w:numFmt w:val="bullet"/>
      <w:lvlText w:val="o"/>
      <w:lvlJc w:val="left"/>
      <w:pPr>
        <w:ind w:left="2041" w:hanging="360"/>
      </w:pPr>
      <w:rPr>
        <w:rFonts w:ascii="Courier New" w:hAnsi="Courier New" w:cs="Courier New" w:hint="default"/>
      </w:rPr>
    </w:lvl>
    <w:lvl w:ilvl="5" w:tplc="08090005" w:tentative="1">
      <w:start w:val="1"/>
      <w:numFmt w:val="bullet"/>
      <w:lvlText w:val=""/>
      <w:lvlJc w:val="left"/>
      <w:pPr>
        <w:ind w:left="2761" w:hanging="360"/>
      </w:pPr>
      <w:rPr>
        <w:rFonts w:ascii="Wingdings" w:hAnsi="Wingdings" w:hint="default"/>
      </w:rPr>
    </w:lvl>
    <w:lvl w:ilvl="6" w:tplc="08090001" w:tentative="1">
      <w:start w:val="1"/>
      <w:numFmt w:val="bullet"/>
      <w:lvlText w:val=""/>
      <w:lvlJc w:val="left"/>
      <w:pPr>
        <w:ind w:left="3481" w:hanging="360"/>
      </w:pPr>
      <w:rPr>
        <w:rFonts w:ascii="Symbol" w:hAnsi="Symbol" w:hint="default"/>
      </w:rPr>
    </w:lvl>
    <w:lvl w:ilvl="7" w:tplc="08090003" w:tentative="1">
      <w:start w:val="1"/>
      <w:numFmt w:val="bullet"/>
      <w:lvlText w:val="o"/>
      <w:lvlJc w:val="left"/>
      <w:pPr>
        <w:ind w:left="4201" w:hanging="360"/>
      </w:pPr>
      <w:rPr>
        <w:rFonts w:ascii="Courier New" w:hAnsi="Courier New" w:cs="Courier New" w:hint="default"/>
      </w:rPr>
    </w:lvl>
    <w:lvl w:ilvl="8" w:tplc="08090005" w:tentative="1">
      <w:start w:val="1"/>
      <w:numFmt w:val="bullet"/>
      <w:lvlText w:val=""/>
      <w:lvlJc w:val="left"/>
      <w:pPr>
        <w:ind w:left="4921" w:hanging="360"/>
      </w:pPr>
      <w:rPr>
        <w:rFonts w:ascii="Wingdings" w:hAnsi="Wingdings" w:hint="default"/>
      </w:rPr>
    </w:lvl>
  </w:abstractNum>
  <w:abstractNum w:abstractNumId="11"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6"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2519DC"/>
    <w:multiLevelType w:val="hybridMultilevel"/>
    <w:tmpl w:val="F5C2B93C"/>
    <w:lvl w:ilvl="0" w:tplc="4C5CF2EC">
      <w:start w:val="41"/>
      <w:numFmt w:val="bullet"/>
      <w:lvlText w:val=""/>
      <w:lvlJc w:val="left"/>
      <w:pPr>
        <w:ind w:left="1069" w:hanging="360"/>
      </w:pPr>
      <w:rPr>
        <w:rFonts w:ascii="Symbol" w:eastAsiaTheme="minorHAnsi" w:hAnsi="Symbol" w:cs="Open San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1"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6CA66A6F"/>
    <w:multiLevelType w:val="hybridMultilevel"/>
    <w:tmpl w:val="FC68E978"/>
    <w:lvl w:ilvl="0" w:tplc="0809000F">
      <w:start w:val="1"/>
      <w:numFmt w:val="decimal"/>
      <w:lvlText w:val="%1."/>
      <w:lvlJc w:val="left"/>
      <w:pPr>
        <w:ind w:left="360" w:hanging="360"/>
      </w:pPr>
    </w:lvl>
    <w:lvl w:ilvl="1" w:tplc="08090019">
      <w:start w:val="1"/>
      <w:numFmt w:val="lowerLetter"/>
      <w:lvlText w:val="%2."/>
      <w:lvlJc w:val="left"/>
      <w:pPr>
        <w:ind w:left="786"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0" w15:restartNumberingAfterBreak="0">
    <w:nsid w:val="6F8D49CC"/>
    <w:multiLevelType w:val="hybridMultilevel"/>
    <w:tmpl w:val="927E588A"/>
    <w:lvl w:ilvl="0" w:tplc="08090019">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1"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4"/>
  </w:num>
  <w:num w:numId="2" w16cid:durableId="1495532731">
    <w:abstractNumId w:val="4"/>
  </w:num>
  <w:num w:numId="3" w16cid:durableId="994409496">
    <w:abstractNumId w:val="28"/>
  </w:num>
  <w:num w:numId="4" w16cid:durableId="1880320868">
    <w:abstractNumId w:val="5"/>
  </w:num>
  <w:num w:numId="5" w16cid:durableId="290864581">
    <w:abstractNumId w:val="16"/>
  </w:num>
  <w:num w:numId="6" w16cid:durableId="952590553">
    <w:abstractNumId w:val="32"/>
  </w:num>
  <w:num w:numId="7" w16cid:durableId="1159686949">
    <w:abstractNumId w:val="15"/>
  </w:num>
  <w:num w:numId="8" w16cid:durableId="765269892">
    <w:abstractNumId w:val="7"/>
  </w:num>
  <w:num w:numId="9" w16cid:durableId="1301960395">
    <w:abstractNumId w:val="11"/>
  </w:num>
  <w:num w:numId="10" w16cid:durableId="1228616548">
    <w:abstractNumId w:val="9"/>
  </w:num>
  <w:num w:numId="11" w16cid:durableId="2051027016">
    <w:abstractNumId w:val="8"/>
  </w:num>
  <w:num w:numId="12" w16cid:durableId="83380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3"/>
  </w:num>
  <w:num w:numId="15" w16cid:durableId="986476960">
    <w:abstractNumId w:val="25"/>
  </w:num>
  <w:num w:numId="16" w16cid:durableId="398749299">
    <w:abstractNumId w:val="31"/>
  </w:num>
  <w:num w:numId="17" w16cid:durableId="14076118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6"/>
  </w:num>
  <w:num w:numId="19" w16cid:durableId="558588771">
    <w:abstractNumId w:val="32"/>
  </w:num>
  <w:num w:numId="20" w16cid:durableId="1306933315">
    <w:abstractNumId w:val="13"/>
  </w:num>
  <w:num w:numId="21" w16cid:durableId="1623876054">
    <w:abstractNumId w:val="27"/>
  </w:num>
  <w:num w:numId="22" w16cid:durableId="783383837">
    <w:abstractNumId w:val="17"/>
  </w:num>
  <w:num w:numId="23" w16cid:durableId="2112964618">
    <w:abstractNumId w:val="24"/>
  </w:num>
  <w:num w:numId="24" w16cid:durableId="1958565453">
    <w:abstractNumId w:val="0"/>
  </w:num>
  <w:num w:numId="25" w16cid:durableId="1372725395">
    <w:abstractNumId w:val="22"/>
  </w:num>
  <w:num w:numId="26" w16cid:durableId="1686445133">
    <w:abstractNumId w:val="19"/>
  </w:num>
  <w:num w:numId="27" w16cid:durableId="1247768697">
    <w:abstractNumId w:val="12"/>
  </w:num>
  <w:num w:numId="28" w16cid:durableId="954170948">
    <w:abstractNumId w:val="1"/>
  </w:num>
  <w:num w:numId="29" w16cid:durableId="837424337">
    <w:abstractNumId w:val="21"/>
  </w:num>
  <w:num w:numId="30" w16cid:durableId="299657983">
    <w:abstractNumId w:val="6"/>
  </w:num>
  <w:num w:numId="31" w16cid:durableId="699822250">
    <w:abstractNumId w:val="18"/>
  </w:num>
  <w:num w:numId="32" w16cid:durableId="730466929">
    <w:abstractNumId w:val="14"/>
    <w:lvlOverride w:ilvl="0">
      <w:startOverride w:val="1"/>
    </w:lvlOverride>
  </w:num>
  <w:num w:numId="33" w16cid:durableId="552498262">
    <w:abstractNumId w:val="23"/>
  </w:num>
  <w:num w:numId="34" w16cid:durableId="1829132647">
    <w:abstractNumId w:val="14"/>
    <w:lvlOverride w:ilvl="0">
      <w:startOverride w:val="1"/>
    </w:lvlOverride>
  </w:num>
  <w:num w:numId="35" w16cid:durableId="1915964461">
    <w:abstractNumId w:val="14"/>
    <w:lvlOverride w:ilvl="0">
      <w:startOverride w:val="1"/>
    </w:lvlOverride>
  </w:num>
  <w:num w:numId="36" w16cid:durableId="1385182617">
    <w:abstractNumId w:val="14"/>
    <w:lvlOverride w:ilvl="0">
      <w:startOverride w:val="1"/>
    </w:lvlOverride>
  </w:num>
  <w:num w:numId="37" w16cid:durableId="1133213984">
    <w:abstractNumId w:val="3"/>
  </w:num>
  <w:num w:numId="38" w16cid:durableId="1616249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1218675">
    <w:abstractNumId w:val="2"/>
  </w:num>
  <w:num w:numId="40" w16cid:durableId="1422749947">
    <w:abstractNumId w:val="20"/>
  </w:num>
  <w:num w:numId="41" w16cid:durableId="673456192">
    <w:abstractNumId w:val="30"/>
  </w:num>
  <w:num w:numId="42" w16cid:durableId="998698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69B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2351"/>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2A73"/>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EB5"/>
    <w:rsid w:val="003C6D27"/>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1245"/>
    <w:rsid w:val="00455577"/>
    <w:rsid w:val="00456795"/>
    <w:rsid w:val="004578B3"/>
    <w:rsid w:val="0046150E"/>
    <w:rsid w:val="00461CC8"/>
    <w:rsid w:val="00462B2F"/>
    <w:rsid w:val="00462E09"/>
    <w:rsid w:val="004659B2"/>
    <w:rsid w:val="00465EAA"/>
    <w:rsid w:val="004666EF"/>
    <w:rsid w:val="004708CA"/>
    <w:rsid w:val="004709E7"/>
    <w:rsid w:val="00470ADE"/>
    <w:rsid w:val="004712C7"/>
    <w:rsid w:val="00474736"/>
    <w:rsid w:val="004759EB"/>
    <w:rsid w:val="00477919"/>
    <w:rsid w:val="00482611"/>
    <w:rsid w:val="00482A27"/>
    <w:rsid w:val="00487DCE"/>
    <w:rsid w:val="004915F6"/>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55E12"/>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6321"/>
    <w:rsid w:val="005E7969"/>
    <w:rsid w:val="005F0C93"/>
    <w:rsid w:val="005F3F22"/>
    <w:rsid w:val="005F4FC0"/>
    <w:rsid w:val="005F540F"/>
    <w:rsid w:val="005F5491"/>
    <w:rsid w:val="005F6144"/>
    <w:rsid w:val="005F6573"/>
    <w:rsid w:val="005F7BB4"/>
    <w:rsid w:val="00601541"/>
    <w:rsid w:val="0060247E"/>
    <w:rsid w:val="0060361E"/>
    <w:rsid w:val="006040AD"/>
    <w:rsid w:val="00604A25"/>
    <w:rsid w:val="00606683"/>
    <w:rsid w:val="006072C6"/>
    <w:rsid w:val="00613BF6"/>
    <w:rsid w:val="00616D27"/>
    <w:rsid w:val="006234FE"/>
    <w:rsid w:val="00623840"/>
    <w:rsid w:val="00625107"/>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6B1B"/>
    <w:rsid w:val="008B710D"/>
    <w:rsid w:val="008B7CA1"/>
    <w:rsid w:val="008C0177"/>
    <w:rsid w:val="008C0389"/>
    <w:rsid w:val="008C1B25"/>
    <w:rsid w:val="008C27D3"/>
    <w:rsid w:val="008C2C43"/>
    <w:rsid w:val="008C4B2B"/>
    <w:rsid w:val="008C52EC"/>
    <w:rsid w:val="008C5E91"/>
    <w:rsid w:val="008C686D"/>
    <w:rsid w:val="008C6B18"/>
    <w:rsid w:val="008C75E6"/>
    <w:rsid w:val="008C767A"/>
    <w:rsid w:val="008C7A73"/>
    <w:rsid w:val="008D0569"/>
    <w:rsid w:val="008D28FD"/>
    <w:rsid w:val="008D3C61"/>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6877"/>
    <w:rsid w:val="0097785D"/>
    <w:rsid w:val="0098011D"/>
    <w:rsid w:val="00981912"/>
    <w:rsid w:val="009819C0"/>
    <w:rsid w:val="009835AD"/>
    <w:rsid w:val="00987A75"/>
    <w:rsid w:val="00990C72"/>
    <w:rsid w:val="00991A8A"/>
    <w:rsid w:val="00991BED"/>
    <w:rsid w:val="00992611"/>
    <w:rsid w:val="00993537"/>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08BE"/>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6C39"/>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4977"/>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34B8A"/>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2198"/>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5D8F"/>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309"/>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1F1C"/>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B6960"/>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5207D"/>
    <w:rsid w:val="00E603DF"/>
    <w:rsid w:val="00E61133"/>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565"/>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3C6D27"/>
    <w:pPr>
      <w:tabs>
        <w:tab w:val="left" w:pos="0"/>
        <w:tab w:val="left" w:pos="142"/>
        <w:tab w:val="left" w:pos="284"/>
        <w:tab w:val="left" w:pos="567"/>
      </w:tabs>
      <w:autoSpaceDE w:val="0"/>
      <w:autoSpaceDN w:val="0"/>
      <w:adjustRightInd w:val="0"/>
      <w:spacing w:line="264" w:lineRule="auto"/>
      <w:ind w:left="360"/>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6F53E8"/>
    <w:rPr>
      <w:sz w:val="16"/>
    </w:rPr>
  </w:style>
  <w:style w:type="character" w:customStyle="1" w:styleId="FootnoteTextChar">
    <w:name w:val="Footnote Text Char"/>
    <w:basedOn w:val="DefaultParagraphFont"/>
    <w:link w:val="FootnoteText"/>
    <w:uiPriority w:val="99"/>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3C6D27"/>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 w:type="paragraph" w:customStyle="1" w:styleId="AIMABody10ptspace">
    <w:name w:val="AIMA Body 10pt space"/>
    <w:basedOn w:val="Normal"/>
    <w:uiPriority w:val="1"/>
    <w:qFormat/>
    <w:rsid w:val="000169BD"/>
    <w:pPr>
      <w:widowControl w:val="0"/>
      <w:spacing w:after="200"/>
      <w:jc w:val="both"/>
    </w:pPr>
    <w:rPr>
      <w:rFonts w:ascii="Open Sans" w:eastAsia="Lucida Sans Unicode" w:hAnsi="Open Sans" w:cs="Open Sans"/>
      <w:sz w:val="20"/>
      <w:szCs w:val="1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ssets.hcch.net/docs/3afb8418-7eb7-4a0c-af85-c4f35995bb8a.pdf" TargetMode="External"/><Relationship Id="rId3" Type="http://schemas.openxmlformats.org/officeDocument/2006/relationships/hyperlink" Target="http://www.gov.uk/government/calls-for-evidence/financial-services-growth-and-competitiveness-strategy" TargetMode="External"/><Relationship Id="rId7" Type="http://schemas.openxmlformats.org/officeDocument/2006/relationships/hyperlink" Target="https://www.unidroit.org/wp-content/uploads/2021/06/convention.pdf" TargetMode="External"/><Relationship Id="rId2" Type="http://schemas.openxmlformats.org/officeDocument/2006/relationships/hyperlink" Target="http://www.fca.org.uk/publication/discussion/dp24-2.pdf" TargetMode="External"/><Relationship Id="rId1" Type="http://schemas.openxmlformats.org/officeDocument/2006/relationships/hyperlink" Target="https://www.esma.europa.eu/sites/default/files/2025-06/ESMA12-437499640-3021_Call_for_evidence_on_a_comprehensive_approach_for_the_simplification_of_financial_transaction_reporting.pdf" TargetMode="External"/><Relationship Id="rId6" Type="http://schemas.openxmlformats.org/officeDocument/2006/relationships/hyperlink" Target="http://www.esma.europa.eu/sites/default/files/library/esma74-362-2281_final_report_guidelines_emir_refit.pdf" TargetMode="External"/><Relationship Id="rId5" Type="http://schemas.openxmlformats.org/officeDocument/2006/relationships/hyperlink" Target="https://en.adgm.thomsonreuters.com/sites/default/files/net_file_store/ADGM1547_12483_VER15081523.pdf" TargetMode="External"/><Relationship Id="rId4" Type="http://schemas.openxmlformats.org/officeDocument/2006/relationships/hyperlink" Target="https://apps.sfc.hk/edistributionWeb/api/circular/openAppendix?lang=EN&amp;refNo=21EC37&amp;appendix=0"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Props1.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5.xml><?xml version="1.0" encoding="utf-8"?>
<ds:datastoreItem xmlns:ds="http://schemas.openxmlformats.org/officeDocument/2006/customXml" ds:itemID="{8337F5EE-E87B-49CE-96B5-F95CE63A0DF2}">
  <ds:schemaRefs>
    <ds:schemaRef ds:uri="http://schemas.openxmlformats.org/package/2006/metadata/core-properties"/>
    <ds:schemaRef ds:uri="http://purl.org/dc/terms/"/>
    <ds:schemaRef ds:uri="d0fb0f98-34f9-4d57-9559-eb8efd17aa5e"/>
    <ds:schemaRef ds:uri="http://purl.org/dc/elements/1.1/"/>
    <ds:schemaRef ds:uri="http://schemas.microsoft.com/office/infopath/2007/PartnerControls"/>
    <ds:schemaRef ds:uri="865d8a05-f056-4017-b8dd-1de195fc3e23"/>
    <ds:schemaRef ds:uri="http://schemas.microsoft.com/office/2006/documentManagement/typ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60</TotalTime>
  <Pages>26</Pages>
  <Words>9668</Words>
  <Characters>55108</Characters>
  <Application>Microsoft Office Word</Application>
  <DocSecurity>8</DocSecurity>
  <Lines>459</Lines>
  <Paragraphs>129</Paragraphs>
  <ScaleCrop>false</ScaleCrop>
  <Company>ESMA</Company>
  <LinksUpToDate>false</LinksUpToDate>
  <CharactersWithSpaces>64647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Aniqah Rao</cp:lastModifiedBy>
  <cp:revision>30</cp:revision>
  <cp:lastPrinted>2017-07-24T14:47:00Z</cp:lastPrinted>
  <dcterms:created xsi:type="dcterms:W3CDTF">2025-09-19T07:48:00Z</dcterms:created>
  <dcterms:modified xsi:type="dcterms:W3CDTF">2025-09-19T09:07:00Z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