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itle"/>
                  <w:rPr>
                    <w:sz w:val="48"/>
                    <w:szCs w:val="48"/>
                  </w:rPr>
                </w:pPr>
                <w:r w:rsidRPr="00FA64BE">
                  <w:rPr>
                    <w:sz w:val="48"/>
                    <w:szCs w:val="48"/>
                  </w:rPr>
                  <w:t xml:space="preserve">Reply form </w:t>
                </w:r>
              </w:p>
              <w:p w14:paraId="2F2A3347" w14:textId="77777777" w:rsidR="000310AB" w:rsidRPr="00FA64BE" w:rsidRDefault="000310AB" w:rsidP="000310AB"/>
              <w:p w14:paraId="00FE0097" w14:textId="16164DCD" w:rsidR="000310AB" w:rsidRPr="00FA64BE" w:rsidRDefault="000310AB" w:rsidP="000310AB">
                <w:pPr>
                  <w:pStyle w:val="Title"/>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 xml:space="preserve">the </w:t>
                </w:r>
                <w:r w:rsidR="00D40FA1">
                  <w:rPr>
                    <w:rFonts w:cs="Arial"/>
                    <w:bCs/>
                    <w:color w:val="auto"/>
                    <w:sz w:val="24"/>
                    <w:szCs w:val="24"/>
                  </w:rPr>
                  <w:t>Call for Evidence on a</w:t>
                </w:r>
                <w:r w:rsidR="006C791B">
                  <w:rPr>
                    <w:rFonts w:cs="Arial"/>
                    <w:bCs/>
                    <w:color w:val="auto"/>
                    <w:sz w:val="24"/>
                    <w:szCs w:val="24"/>
                  </w:rPr>
                  <w:t xml:space="preserve"> </w:t>
                </w:r>
                <w:r w:rsidR="005A5EF1">
                  <w:rPr>
                    <w:rFonts w:cs="Arial"/>
                    <w:bCs/>
                    <w:color w:val="auto"/>
                    <w:sz w:val="24"/>
                    <w:szCs w:val="24"/>
                  </w:rPr>
                  <w:t>C</w:t>
                </w:r>
                <w:r w:rsidR="006C791B" w:rsidRPr="006C791B">
                  <w:rPr>
                    <w:rFonts w:cs="Arial"/>
                    <w:bCs/>
                    <w:color w:val="auto"/>
                    <w:sz w:val="24"/>
                    <w:szCs w:val="24"/>
                  </w:rPr>
                  <w:t xml:space="preserve">omprehensive </w:t>
                </w:r>
                <w:r w:rsidR="005A5EF1">
                  <w:rPr>
                    <w:rFonts w:cs="Arial"/>
                    <w:bCs/>
                    <w:color w:val="auto"/>
                    <w:sz w:val="24"/>
                    <w:szCs w:val="24"/>
                  </w:rPr>
                  <w:t>A</w:t>
                </w:r>
                <w:r w:rsidR="006C791B" w:rsidRPr="006C791B">
                  <w:rPr>
                    <w:rFonts w:cs="Arial"/>
                    <w:bCs/>
                    <w:color w:val="auto"/>
                    <w:sz w:val="24"/>
                    <w:szCs w:val="24"/>
                  </w:rPr>
                  <w:t xml:space="preserve">pproach for the </w:t>
                </w:r>
                <w:r w:rsidR="005A5EF1">
                  <w:rPr>
                    <w:rFonts w:cs="Arial"/>
                    <w:bCs/>
                    <w:color w:val="auto"/>
                    <w:sz w:val="24"/>
                    <w:szCs w:val="24"/>
                  </w:rPr>
                  <w:t>S</w:t>
                </w:r>
                <w:r w:rsidR="006C791B" w:rsidRPr="006C791B">
                  <w:rPr>
                    <w:rFonts w:cs="Arial"/>
                    <w:bCs/>
                    <w:color w:val="auto"/>
                    <w:sz w:val="24"/>
                    <w:szCs w:val="24"/>
                  </w:rPr>
                  <w:t xml:space="preserve">implification of </w:t>
                </w:r>
                <w:r w:rsidR="005A5EF1">
                  <w:rPr>
                    <w:rFonts w:cs="Arial"/>
                    <w:bCs/>
                    <w:color w:val="auto"/>
                    <w:sz w:val="24"/>
                    <w:szCs w:val="24"/>
                  </w:rPr>
                  <w:t>F</w:t>
                </w:r>
                <w:r w:rsidR="006C791B" w:rsidRPr="006C791B">
                  <w:rPr>
                    <w:rFonts w:cs="Arial"/>
                    <w:bCs/>
                    <w:color w:val="auto"/>
                    <w:sz w:val="24"/>
                    <w:szCs w:val="24"/>
                  </w:rPr>
                  <w:t xml:space="preserve">inancial </w:t>
                </w:r>
                <w:r w:rsidR="005A5EF1">
                  <w:rPr>
                    <w:rFonts w:cs="Arial"/>
                    <w:bCs/>
                    <w:color w:val="auto"/>
                    <w:sz w:val="24"/>
                    <w:szCs w:val="24"/>
                  </w:rPr>
                  <w:t>T</w:t>
                </w:r>
                <w:r w:rsidR="006C791B" w:rsidRPr="006C791B">
                  <w:rPr>
                    <w:rFonts w:cs="Arial"/>
                    <w:bCs/>
                    <w:color w:val="auto"/>
                    <w:sz w:val="24"/>
                    <w:szCs w:val="24"/>
                  </w:rPr>
                  <w:t xml:space="preserve">ransaction </w:t>
                </w:r>
                <w:r w:rsidR="005A5EF1">
                  <w:rPr>
                    <w:rFonts w:cs="Arial"/>
                    <w:bCs/>
                    <w:color w:val="auto"/>
                    <w:sz w:val="24"/>
                    <w:szCs w:val="24"/>
                  </w:rPr>
                  <w:t>R</w:t>
                </w:r>
                <w:r w:rsidR="006C791B" w:rsidRPr="006C791B">
                  <w:rPr>
                    <w:rFonts w:cs="Arial"/>
                    <w:bCs/>
                    <w:color w:val="auto"/>
                    <w:sz w:val="24"/>
                    <w:szCs w:val="24"/>
                  </w:rPr>
                  <w:t>eporting</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Heading2"/>
                  <w:numPr>
                    <w:ilvl w:val="0"/>
                    <w:numId w:val="0"/>
                  </w:numPr>
                  <w:spacing w:before="0"/>
                  <w:rPr>
                    <w:sz w:val="22"/>
                    <w:szCs w:val="22"/>
                  </w:rPr>
                </w:pPr>
              </w:p>
            </w:tc>
          </w:tr>
        </w:tbl>
        <w:p w14:paraId="04401C2B" w14:textId="77777777" w:rsidR="00AF2EF7" w:rsidRPr="00B16706" w:rsidRDefault="00AF2EF7" w:rsidP="00AF2EF7">
          <w:pPr>
            <w:spacing w:line="276" w:lineRule="auto"/>
            <w:rPr>
              <w:rFonts w:asciiTheme="minorHAnsi" w:hAnsiTheme="minorHAnsi" w:cstheme="minorHAnsi"/>
              <w:sz w:val="20"/>
              <w:szCs w:val="20"/>
            </w:rPr>
          </w:pPr>
        </w:p>
        <w:p w14:paraId="5B933631" w14:textId="2F88045F" w:rsidR="00AF2EF7" w:rsidRPr="00B16706" w:rsidRDefault="00FA64BE" w:rsidP="00FA64BE">
          <w:pPr>
            <w:pStyle w:val="Heading2"/>
            <w:numPr>
              <w:ilvl w:val="0"/>
              <w:numId w:val="0"/>
            </w:numPr>
            <w:sectPr w:rsidR="00AF2EF7" w:rsidRPr="00B16706" w:rsidSect="007E7997">
              <w:headerReference w:type="default" r:id="rId11"/>
              <w:footerReference w:type="default" r:id="rId12"/>
              <w:headerReference w:type="first" r:id="rId13"/>
              <w:footerReference w:type="first" r:id="rId14"/>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5"/>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01C212" id="Freeform: Shape 8" o:spid="_x0000_s1026"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7"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lastRenderedPageBreak/>
            <w:t xml:space="preserve">Responding to this paper </w:t>
          </w:r>
        </w:p>
        <w:p w14:paraId="46CF9AD5" w14:textId="41E1E65E"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CD7091">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xml:space="preserve">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5D303D54"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BF7E68">
            <w:rPr>
              <w:rFonts w:asciiTheme="minorHAnsi" w:eastAsiaTheme="minorEastAsia" w:hAnsiTheme="minorHAnsi" w:cstheme="minorBidi"/>
              <w:b/>
              <w:bCs/>
              <w:sz w:val="18"/>
              <w:szCs w:val="16"/>
              <w:lang w:eastAsia="en-US"/>
            </w:rPr>
            <w:t>19</w:t>
          </w:r>
          <w:r w:rsidR="005B4A69" w:rsidRPr="005B4A69">
            <w:rPr>
              <w:rFonts w:asciiTheme="minorHAnsi" w:eastAsiaTheme="minorEastAsia" w:hAnsiTheme="minorHAnsi" w:cstheme="minorBidi"/>
              <w:b/>
              <w:bCs/>
              <w:sz w:val="18"/>
              <w:szCs w:val="16"/>
              <w:vertAlign w:val="superscript"/>
              <w:lang w:eastAsia="en-US"/>
            </w:rPr>
            <w:t>th</w:t>
          </w:r>
          <w:r w:rsidR="005B4A69" w:rsidRPr="005B4A69">
            <w:rPr>
              <w:rFonts w:asciiTheme="minorHAnsi" w:eastAsiaTheme="minorEastAsia" w:hAnsiTheme="minorHAnsi" w:cstheme="minorBidi"/>
              <w:sz w:val="18"/>
              <w:szCs w:val="16"/>
              <w:lang w:eastAsia="en-US"/>
            </w:rPr>
            <w:t xml:space="preserve"> </w:t>
          </w:r>
          <w:r w:rsidR="004D19BD">
            <w:rPr>
              <w:rFonts w:asciiTheme="minorHAnsi" w:eastAsiaTheme="minorEastAsia" w:hAnsiTheme="minorHAnsi" w:cstheme="minorBidi"/>
              <w:b/>
              <w:sz w:val="18"/>
              <w:szCs w:val="16"/>
              <w:lang w:eastAsia="en-US"/>
            </w:rPr>
            <w:t>September</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31609EB1"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 order to facilitate analysis of responses to the </w:t>
          </w:r>
          <w:r w:rsidR="00C97337">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respondents are requested to follow the below steps when preparing and submitting their response:</w:t>
          </w:r>
        </w:p>
        <w:p w14:paraId="7AAE3F58" w14:textId="495A59C6" w:rsidR="00A409C2"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w:t>
          </w:r>
          <w:r w:rsidR="00C97337">
            <w:rPr>
              <w:rFonts w:eastAsiaTheme="minorEastAsia" w:cstheme="minorBidi"/>
              <w:sz w:val="18"/>
              <w:szCs w:val="16"/>
              <w:lang w:eastAsia="en-US"/>
            </w:rPr>
            <w:t>Call for Evidence</w:t>
          </w:r>
          <w:r w:rsidRPr="00A409C2">
            <w:rPr>
              <w:rFonts w:eastAsiaTheme="minorEastAsia" w:cstheme="minorBidi"/>
              <w:sz w:val="18"/>
              <w:szCs w:val="16"/>
              <w:lang w:eastAsia="en-US"/>
            </w:rPr>
            <w:t xml:space="preserve"> in the present response form. </w:t>
          </w:r>
        </w:p>
        <w:p w14:paraId="28D63108" w14:textId="0392516A" w:rsidR="00A409C2" w:rsidRPr="00871163" w:rsidRDefault="008279D3" w:rsidP="00A409C2">
          <w:pPr>
            <w:pStyle w:val="ListParagraph"/>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51F62AC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340647">
            <w:rPr>
              <w:rFonts w:eastAsiaTheme="minorEastAsia" w:cstheme="minorBidi"/>
              <w:sz w:val="18"/>
              <w:szCs w:val="16"/>
              <w:lang w:eastAsia="en-US"/>
            </w:rPr>
            <w:t>CASR</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019DBA5D"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_nameofrespondent_RESPONSEFORM. For example, for a respondent named ABCD, the response form would be entitled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_ABCD_RESPONSEFORM.</w:t>
          </w:r>
        </w:p>
        <w:p w14:paraId="28EEA743" w14:textId="0DC50177" w:rsidR="00A02199" w:rsidRPr="00A409C2" w:rsidRDefault="00B16706" w:rsidP="00AF2EF7">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w:t>
          </w:r>
          <w:r w:rsidR="00340647">
            <w:rPr>
              <w:rFonts w:eastAsiaTheme="minorEastAsia" w:cstheme="minorBidi"/>
              <w:sz w:val="18"/>
              <w:szCs w:val="16"/>
              <w:lang w:eastAsia="en-US"/>
            </w:rPr>
            <w:t>Call for evidence on a comprehensive approach for the simplification of financial transaction reporting</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E7B7DDF"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received will be published following the close of the consultation, unless you request otherwise. Please clearly and prominently indicate in your submission any part you do not wish to be </w:t>
          </w:r>
          <w:r w:rsidR="00896D5B" w:rsidRPr="00B16706">
            <w:rPr>
              <w:rFonts w:asciiTheme="minorHAnsi" w:eastAsiaTheme="minorEastAsia" w:hAnsiTheme="minorHAnsi" w:cstheme="minorBidi"/>
              <w:sz w:val="18"/>
              <w:szCs w:val="16"/>
              <w:lang w:eastAsia="en-US"/>
            </w:rPr>
            <w:t>publicly</w:t>
          </w:r>
          <w:r w:rsidRPr="00B16706">
            <w:rPr>
              <w:rFonts w:asciiTheme="minorHAnsi" w:eastAsiaTheme="minorEastAsia" w:hAnsiTheme="minorHAnsi" w:cstheme="minorBidi"/>
              <w:sz w:val="18"/>
              <w:szCs w:val="16"/>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8"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9"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t>Who should read this paper</w:t>
          </w:r>
        </w:p>
      </w:sdtContent>
    </w:sdt>
    <w:p w14:paraId="230BBB13" w14:textId="77777777" w:rsidR="00F954EE" w:rsidRPr="00F954EE" w:rsidRDefault="00F954EE" w:rsidP="00F954EE">
      <w:pPr>
        <w:pStyle w:val="Heading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lastRenderedPageBreak/>
        <w:t xml:space="preserve">This paper is primarily addressed to all financial market participants and in particular reporting entities and market infrastructures, as well as to trade associations and other stakeholders involved in financial regulation, investor education, and retail investment market developments.  It seeks input on major cost drivers linked to derivative regulatory reporting and the identification of possibilities on integration, streamlining and simplification. </w:t>
      </w:r>
    </w:p>
    <w:p w14:paraId="14147BD5" w14:textId="77777777" w:rsidR="00F954EE" w:rsidRPr="00F954EE" w:rsidRDefault="00F954EE" w:rsidP="00F954EE">
      <w:pPr>
        <w:pStyle w:val="Heading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The paper is also relevant to competent authorities, with competences in the context of MiFIR, EMIR, SFTR regulation. </w:t>
      </w:r>
    </w:p>
    <w:p w14:paraId="1F90B8D3" w14:textId="6DE5C6E2" w:rsidR="00C85C8B" w:rsidRDefault="00AF2EF7" w:rsidP="008279D3">
      <w:pPr>
        <w:pStyle w:val="Heading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C16775">
        <w:tc>
          <w:tcPr>
            <w:tcW w:w="3929" w:type="dxa"/>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EndPr/>
          <w:sdtContent>
            <w:tc>
              <w:tcPr>
                <w:tcW w:w="5595" w:type="dxa"/>
              </w:tcPr>
              <w:p w14:paraId="1B67440D" w14:textId="1F828ABB" w:rsidR="00C85C8B" w:rsidRPr="00B16706" w:rsidRDefault="00434177" w:rsidP="00C85C8B">
                <w:pPr>
                  <w:rPr>
                    <w:rFonts w:ascii="Arial" w:hAnsi="Arial" w:cs="Arial"/>
                    <w:color w:val="808080"/>
                    <w:sz w:val="16"/>
                    <w:szCs w:val="20"/>
                    <w:lang w:eastAsia="de-DE"/>
                  </w:rPr>
                </w:pPr>
                <w:r>
                  <w:rPr>
                    <w:rFonts w:ascii="Arial" w:hAnsi="Arial" w:cs="Arial"/>
                    <w:color w:val="808080"/>
                    <w:sz w:val="16"/>
                    <w:szCs w:val="20"/>
                    <w:lang w:eastAsia="de-DE"/>
                  </w:rPr>
                  <w:t>Derivatives Service Bureau</w:t>
                </w:r>
              </w:p>
            </w:tc>
          </w:sdtContent>
        </w:sdt>
      </w:tr>
      <w:tr w:rsidR="00C85C8B" w:rsidRPr="00B16706" w14:paraId="216F3E57" w14:textId="77777777" w:rsidTr="00C16775">
        <w:tc>
          <w:tcPr>
            <w:tcW w:w="3929" w:type="dxa"/>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tcPr>
          <w:p w14:paraId="1423187D" w14:textId="510BCD89" w:rsidR="00C85C8B" w:rsidRPr="00B16706" w:rsidRDefault="00B31688"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434177">
                  <w:rPr>
                    <w:rFonts w:ascii="Arial" w:hAnsi="Arial" w:cs="Arial"/>
                    <w:sz w:val="16"/>
                    <w:szCs w:val="20"/>
                    <w:lang w:eastAsia="de-DE"/>
                  </w:rPr>
                  <w:t>Other Financial service providers</w:t>
                </w:r>
              </w:sdtContent>
            </w:sdt>
          </w:p>
        </w:tc>
      </w:tr>
      <w:tr w:rsidR="00C85C8B" w:rsidRPr="00B16706" w14:paraId="0D216581" w14:textId="77777777" w:rsidTr="00C16775">
        <w:tc>
          <w:tcPr>
            <w:tcW w:w="3929" w:type="dxa"/>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0"/>
              <w14:checkedState w14:val="2612" w14:font="MS Gothic"/>
              <w14:uncheckedState w14:val="2610" w14:font="MS Gothic"/>
            </w14:checkbox>
          </w:sdtPr>
          <w:sdtEndPr/>
          <w:sdtContent>
            <w:tc>
              <w:tcPr>
                <w:tcW w:w="5595" w:type="dxa"/>
              </w:tcPr>
              <w:p w14:paraId="6C4423E1" w14:textId="511A3048" w:rsidR="00C85C8B" w:rsidRPr="00B16706" w:rsidRDefault="0037311D"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C16775">
        <w:tc>
          <w:tcPr>
            <w:tcW w:w="3929" w:type="dxa"/>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tcPr>
              <w:p w14:paraId="082656BF" w14:textId="415A4348" w:rsidR="00C85C8B" w:rsidRPr="00B16706" w:rsidRDefault="00434177" w:rsidP="00C85C8B">
                <w:pPr>
                  <w:rPr>
                    <w:rFonts w:ascii="Arial" w:hAnsi="Arial" w:cs="Arial"/>
                    <w:sz w:val="16"/>
                    <w:szCs w:val="20"/>
                    <w:lang w:eastAsia="de-DE"/>
                  </w:rPr>
                </w:pPr>
                <w:r>
                  <w:rPr>
                    <w:rFonts w:ascii="Arial" w:hAnsi="Arial" w:cs="Arial"/>
                    <w:sz w:val="16"/>
                    <w:szCs w:val="20"/>
                    <w:lang w:eastAsia="de-DE"/>
                  </w:rPr>
                  <w:t>Europe</w:t>
                </w:r>
              </w:p>
            </w:tc>
          </w:sdtContent>
        </w:sdt>
      </w:tr>
      <w:permEnd w:id="1269442871"/>
    </w:tbl>
    <w:p w14:paraId="2F5D9ECE" w14:textId="77777777"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bookmarkEnd w:id="0"/>
    <w:p w14:paraId="473708D6" w14:textId="77777777" w:rsidR="00926BDA" w:rsidRDefault="00926BDA" w:rsidP="00BF7E68">
      <w:pPr>
        <w:pStyle w:val="Questionstyle"/>
        <w:numPr>
          <w:ilvl w:val="0"/>
          <w:numId w:val="0"/>
        </w:numPr>
        <w:ind w:left="360"/>
      </w:pPr>
    </w:p>
    <w:p w14:paraId="255AD77B" w14:textId="77777777" w:rsidR="00926BDA" w:rsidRPr="00BC53D2" w:rsidRDefault="00926BDA" w:rsidP="00926BDA">
      <w:pPr>
        <w:rPr>
          <w:lang w:val="en-US"/>
        </w:rPr>
      </w:pPr>
    </w:p>
    <w:p w14:paraId="29094614" w14:textId="77777777" w:rsidR="00926BDA" w:rsidRPr="00E56247" w:rsidRDefault="00926BDA" w:rsidP="00926BDA">
      <w:pPr>
        <w:pStyle w:val="Questionstyle"/>
        <w:spacing w:before="120" w:after="120"/>
        <w:ind w:left="851" w:hanging="709"/>
      </w:pPr>
      <w:r w:rsidRPr="00E56247">
        <w:t>Do stakeholders agree with the description of the key challenges outlined above? Is there any other issue linked to multiple regulatory regimes with duplicative or inconsistent requirements that is not reflected in this section? Out of the 10 sources of costs identified in this section and the ones that you may add, what are the three main cost drivers in your view?</w:t>
      </w:r>
    </w:p>
    <w:p w14:paraId="63D2302D" w14:textId="77777777" w:rsidR="00926BDA" w:rsidRDefault="00926BDA" w:rsidP="00926BDA">
      <w:r>
        <w:t>&lt;ESMA_QUESTION_CASR_1&gt;</w:t>
      </w:r>
    </w:p>
    <w:p w14:paraId="118F100F" w14:textId="77777777" w:rsidR="00926BDA" w:rsidRDefault="00926BDA" w:rsidP="00926BDA">
      <w:permStart w:id="785210304" w:edGrp="everyone"/>
      <w:r>
        <w:t>TYPE YOUR TEXT HERE</w:t>
      </w:r>
    </w:p>
    <w:permEnd w:id="785210304"/>
    <w:p w14:paraId="3867BD88" w14:textId="77777777" w:rsidR="00926BDA" w:rsidRDefault="00926BDA" w:rsidP="00926BDA">
      <w:r>
        <w:t>&lt;ESMA_QUESTION_CASR_1&gt;</w:t>
      </w:r>
    </w:p>
    <w:p w14:paraId="7EDED914" w14:textId="77777777" w:rsidR="00926BDA" w:rsidRDefault="00926BDA" w:rsidP="00926BDA"/>
    <w:p w14:paraId="463AC9D4" w14:textId="77777777" w:rsidR="00926BDA" w:rsidRDefault="00926BDA" w:rsidP="00926BDA">
      <w:pPr>
        <w:pStyle w:val="Questionstyle"/>
        <w:spacing w:before="120" w:after="120"/>
        <w:ind w:left="851" w:hanging="709"/>
      </w:pPr>
      <w:r w:rsidRPr="002E01A5">
        <w:t>Do stakeholders agree with the proposed principles and related description? Is there any other aspect/principle that should be considered?</w:t>
      </w:r>
    </w:p>
    <w:p w14:paraId="585DA3B4" w14:textId="77777777" w:rsidR="00926BDA" w:rsidRDefault="00926BDA" w:rsidP="00926BDA">
      <w:r>
        <w:t>&lt;ESMA_QUESTION_CASR_2&gt;</w:t>
      </w:r>
    </w:p>
    <w:p w14:paraId="3773EEC2" w14:textId="77777777" w:rsidR="00B77A83" w:rsidRPr="00DB2048" w:rsidRDefault="00B77A83" w:rsidP="00B77A83">
      <w:pPr>
        <w:rPr>
          <w:rFonts w:asciiTheme="minorHAnsi" w:hAnsiTheme="minorHAnsi"/>
          <w:sz w:val="22"/>
          <w:szCs w:val="22"/>
        </w:rPr>
      </w:pPr>
      <w:permStart w:id="545925079" w:edGrp="everyone"/>
      <w:r w:rsidRPr="00DB2048">
        <w:rPr>
          <w:rFonts w:asciiTheme="minorHAnsi" w:hAnsiTheme="minorHAnsi"/>
          <w:sz w:val="22"/>
          <w:szCs w:val="22"/>
        </w:rPr>
        <w:t>The Derivatives Service Bureau (DSB), the numbering agency and service provider for the International Securities Identification Numbers (OTC ISIN) (ISO 6166)</w:t>
      </w:r>
      <w:r>
        <w:rPr>
          <w:rFonts w:asciiTheme="minorHAnsi" w:hAnsiTheme="minorHAnsi"/>
          <w:sz w:val="22"/>
          <w:szCs w:val="22"/>
        </w:rPr>
        <w:t>,</w:t>
      </w:r>
      <w:r w:rsidRPr="00DB2048">
        <w:rPr>
          <w:rFonts w:asciiTheme="minorHAnsi" w:hAnsiTheme="minorHAnsi"/>
          <w:sz w:val="22"/>
          <w:szCs w:val="22"/>
        </w:rPr>
        <w:t xml:space="preserve"> </w:t>
      </w:r>
      <w:r w:rsidRPr="251E046C">
        <w:rPr>
          <w:rFonts w:asciiTheme="minorHAnsi" w:hAnsiTheme="minorHAnsi"/>
          <w:sz w:val="22"/>
          <w:szCs w:val="22"/>
        </w:rPr>
        <w:t>the Unique Product Identifier (UPI) (ISO 4914), the Classification of Financial Instruments (CFI) (ISO 10962) and the Financial Instrument Short Names (FISN) (ISO 18774)</w:t>
      </w:r>
      <w:r w:rsidRPr="00DB2048">
        <w:rPr>
          <w:rFonts w:asciiTheme="minorHAnsi" w:hAnsiTheme="minorHAnsi"/>
          <w:sz w:val="22"/>
          <w:szCs w:val="22"/>
        </w:rPr>
        <w:t xml:space="preserve"> for OTC derivatives</w:t>
      </w:r>
      <w:r>
        <w:rPr>
          <w:rFonts w:asciiTheme="minorHAnsi" w:hAnsiTheme="minorHAnsi"/>
          <w:sz w:val="22"/>
          <w:szCs w:val="22"/>
        </w:rPr>
        <w:t>,</w:t>
      </w:r>
      <w:r w:rsidRPr="00DB2048">
        <w:rPr>
          <w:rFonts w:asciiTheme="minorHAnsi" w:hAnsiTheme="minorHAnsi"/>
          <w:sz w:val="22"/>
          <w:szCs w:val="22"/>
        </w:rPr>
        <w:t xml:space="preserve"> agrees with the</w:t>
      </w:r>
      <w:r>
        <w:rPr>
          <w:rFonts w:asciiTheme="minorHAnsi" w:hAnsiTheme="minorHAnsi"/>
          <w:sz w:val="22"/>
          <w:szCs w:val="22"/>
        </w:rPr>
        <w:t xml:space="preserve"> proposed</w:t>
      </w:r>
      <w:r w:rsidRPr="00DB2048">
        <w:rPr>
          <w:rFonts w:asciiTheme="minorHAnsi" w:hAnsiTheme="minorHAnsi"/>
          <w:sz w:val="22"/>
          <w:szCs w:val="22"/>
        </w:rPr>
        <w:t xml:space="preserve"> four principles. </w:t>
      </w:r>
    </w:p>
    <w:p w14:paraId="759B5174" w14:textId="77777777" w:rsidR="00B77A83" w:rsidRDefault="00B77A83" w:rsidP="00B77A83">
      <w:pPr>
        <w:rPr>
          <w:rFonts w:asciiTheme="minorHAnsi" w:eastAsia="Calibri" w:hAnsiTheme="minorHAnsi" w:cs="Calibri"/>
          <w:sz w:val="22"/>
          <w:szCs w:val="22"/>
        </w:rPr>
      </w:pPr>
      <w:r w:rsidRPr="251E046C">
        <w:rPr>
          <w:rFonts w:asciiTheme="minorHAnsi" w:hAnsiTheme="minorHAnsi"/>
          <w:sz w:val="22"/>
          <w:szCs w:val="22"/>
        </w:rPr>
        <w:t xml:space="preserve"> </w:t>
      </w:r>
    </w:p>
    <w:p w14:paraId="6290CC32" w14:textId="77777777" w:rsidR="00B77A83" w:rsidRPr="00DB2048" w:rsidRDefault="00B77A83" w:rsidP="00B77A83">
      <w:pPr>
        <w:rPr>
          <w:rFonts w:asciiTheme="minorHAnsi" w:hAnsiTheme="minorHAnsi"/>
          <w:sz w:val="22"/>
          <w:szCs w:val="22"/>
        </w:rPr>
      </w:pPr>
      <w:r w:rsidRPr="00DB2048">
        <w:rPr>
          <w:rFonts w:asciiTheme="minorHAnsi" w:eastAsia="Calibri" w:hAnsiTheme="minorHAnsi" w:cs="Calibri"/>
          <w:sz w:val="22"/>
          <w:szCs w:val="22"/>
        </w:rPr>
        <w:t xml:space="preserve">The DSB launched the OTC ISIN </w:t>
      </w:r>
      <w:r>
        <w:rPr>
          <w:rFonts w:asciiTheme="minorHAnsi" w:eastAsia="Calibri" w:hAnsiTheme="minorHAnsi" w:cs="Calibri"/>
          <w:sz w:val="22"/>
          <w:szCs w:val="22"/>
        </w:rPr>
        <w:t xml:space="preserve">Service </w:t>
      </w:r>
      <w:r w:rsidRPr="00DB2048">
        <w:rPr>
          <w:rFonts w:asciiTheme="minorHAnsi" w:eastAsia="Calibri" w:hAnsiTheme="minorHAnsi" w:cs="Calibri"/>
          <w:sz w:val="22"/>
          <w:szCs w:val="22"/>
        </w:rPr>
        <w:t>in 2017 in readiness for the mandate under MiFID II/</w:t>
      </w:r>
      <w:proofErr w:type="spellStart"/>
      <w:r w:rsidRPr="00DB2048">
        <w:rPr>
          <w:rFonts w:asciiTheme="minorHAnsi" w:eastAsia="Calibri" w:hAnsiTheme="minorHAnsi" w:cs="Calibri"/>
          <w:sz w:val="22"/>
          <w:szCs w:val="22"/>
        </w:rPr>
        <w:t>MiFIR</w:t>
      </w:r>
      <w:proofErr w:type="spellEnd"/>
      <w:r w:rsidRPr="00DB2048">
        <w:rPr>
          <w:rFonts w:asciiTheme="minorHAnsi" w:eastAsia="Calibri" w:hAnsiTheme="minorHAnsi" w:cs="Calibri"/>
          <w:sz w:val="22"/>
          <w:szCs w:val="22"/>
        </w:rPr>
        <w:t xml:space="preserve"> to identify OTC derivatives in transaction reporting to support market abuse investigation and detection</w:t>
      </w:r>
      <w:r>
        <w:rPr>
          <w:rFonts w:asciiTheme="minorHAnsi" w:eastAsia="Calibri" w:hAnsiTheme="minorHAnsi" w:cs="Calibri"/>
          <w:sz w:val="22"/>
          <w:szCs w:val="22"/>
        </w:rPr>
        <w:t xml:space="preserve"> and </w:t>
      </w:r>
      <w:r w:rsidRPr="00DB2048">
        <w:rPr>
          <w:rFonts w:asciiTheme="minorHAnsi" w:hAnsiTheme="minorHAnsi"/>
          <w:sz w:val="22"/>
          <w:szCs w:val="22"/>
        </w:rPr>
        <w:t>sets out</w:t>
      </w:r>
      <w:r>
        <w:rPr>
          <w:rFonts w:asciiTheme="minorHAnsi" w:hAnsiTheme="minorHAnsi"/>
          <w:sz w:val="22"/>
          <w:szCs w:val="22"/>
        </w:rPr>
        <w:t xml:space="preserve"> below</w:t>
      </w:r>
      <w:r w:rsidRPr="00DB2048">
        <w:rPr>
          <w:rFonts w:asciiTheme="minorHAnsi" w:hAnsiTheme="minorHAnsi"/>
          <w:sz w:val="22"/>
          <w:szCs w:val="22"/>
        </w:rPr>
        <w:t xml:space="preserve"> how the OTC ISIN effectively supports the four </w:t>
      </w:r>
      <w:r>
        <w:rPr>
          <w:rFonts w:asciiTheme="minorHAnsi" w:hAnsiTheme="minorHAnsi"/>
          <w:sz w:val="22"/>
          <w:szCs w:val="22"/>
        </w:rPr>
        <w:t xml:space="preserve">proposed key </w:t>
      </w:r>
      <w:r w:rsidRPr="00DB2048">
        <w:rPr>
          <w:rFonts w:asciiTheme="minorHAnsi" w:hAnsiTheme="minorHAnsi"/>
          <w:sz w:val="22"/>
          <w:szCs w:val="22"/>
        </w:rPr>
        <w:t>principles</w:t>
      </w:r>
      <w:r>
        <w:rPr>
          <w:rFonts w:asciiTheme="minorHAnsi" w:hAnsiTheme="minorHAnsi"/>
          <w:sz w:val="22"/>
          <w:szCs w:val="22"/>
        </w:rPr>
        <w:t>.</w:t>
      </w:r>
    </w:p>
    <w:p w14:paraId="67F67A25" w14:textId="77777777" w:rsidR="00B77A83" w:rsidRPr="00DB2048" w:rsidRDefault="00B77A83" w:rsidP="00B77A83">
      <w:pPr>
        <w:rPr>
          <w:rFonts w:asciiTheme="minorHAnsi" w:hAnsiTheme="minorHAnsi"/>
          <w:sz w:val="22"/>
          <w:szCs w:val="22"/>
        </w:rPr>
      </w:pPr>
    </w:p>
    <w:p w14:paraId="75B8D16D" w14:textId="77777777" w:rsidR="00B77A83" w:rsidRPr="00DB2048" w:rsidRDefault="00B77A83" w:rsidP="00B77A83">
      <w:pPr>
        <w:spacing w:before="120"/>
        <w:jc w:val="both"/>
        <w:rPr>
          <w:rFonts w:asciiTheme="minorHAnsi" w:hAnsiTheme="minorHAnsi"/>
          <w:b/>
          <w:bCs/>
          <w:sz w:val="22"/>
          <w:szCs w:val="22"/>
        </w:rPr>
      </w:pPr>
      <w:r w:rsidRPr="00DB2048">
        <w:rPr>
          <w:rFonts w:asciiTheme="minorHAnsi" w:hAnsiTheme="minorHAnsi"/>
          <w:b/>
          <w:bCs/>
          <w:sz w:val="22"/>
          <w:szCs w:val="22"/>
        </w:rPr>
        <w:t>Ensure global alignment</w:t>
      </w:r>
    </w:p>
    <w:p w14:paraId="4E4749B1" w14:textId="77777777" w:rsidR="00B77A83" w:rsidRDefault="00B77A83" w:rsidP="000A30BD">
      <w:pPr>
        <w:spacing w:before="120"/>
        <w:rPr>
          <w:rFonts w:asciiTheme="minorHAnsi" w:hAnsiTheme="minorHAnsi"/>
          <w:bCs/>
          <w:sz w:val="22"/>
          <w:szCs w:val="22"/>
        </w:rPr>
      </w:pPr>
      <w:r w:rsidRPr="00DB2048">
        <w:rPr>
          <w:rFonts w:asciiTheme="minorHAnsi" w:hAnsiTheme="minorHAnsi"/>
          <w:sz w:val="22"/>
          <w:szCs w:val="22"/>
        </w:rPr>
        <w:t xml:space="preserve">The DSB’s globally recognised identifiers are </w:t>
      </w:r>
      <w:r>
        <w:rPr>
          <w:rFonts w:asciiTheme="minorHAnsi" w:hAnsiTheme="minorHAnsi"/>
          <w:sz w:val="22"/>
          <w:szCs w:val="22"/>
        </w:rPr>
        <w:t>developed and maintained</w:t>
      </w:r>
      <w:r w:rsidRPr="00DB2048">
        <w:rPr>
          <w:rFonts w:asciiTheme="minorHAnsi" w:hAnsiTheme="minorHAnsi"/>
          <w:sz w:val="22"/>
          <w:szCs w:val="22"/>
        </w:rPr>
        <w:t xml:space="preserve"> </w:t>
      </w:r>
      <w:r>
        <w:rPr>
          <w:rFonts w:asciiTheme="minorHAnsi" w:hAnsiTheme="minorHAnsi"/>
          <w:sz w:val="22"/>
          <w:szCs w:val="22"/>
        </w:rPr>
        <w:t>within</w:t>
      </w:r>
      <w:r w:rsidRPr="00DB2048">
        <w:rPr>
          <w:rFonts w:asciiTheme="minorHAnsi" w:hAnsiTheme="minorHAnsi"/>
          <w:sz w:val="22"/>
          <w:szCs w:val="22"/>
        </w:rPr>
        <w:t xml:space="preserve"> the </w:t>
      </w:r>
      <w:r w:rsidRPr="00DB2048">
        <w:rPr>
          <w:rFonts w:asciiTheme="minorHAnsi" w:hAnsiTheme="minorHAnsi"/>
          <w:bCs/>
          <w:sz w:val="22"/>
          <w:szCs w:val="22"/>
        </w:rPr>
        <w:t>International Organization for Standardization (ISO)</w:t>
      </w:r>
      <w:r>
        <w:rPr>
          <w:rFonts w:asciiTheme="minorHAnsi" w:hAnsiTheme="minorHAnsi"/>
          <w:bCs/>
          <w:sz w:val="22"/>
          <w:szCs w:val="22"/>
        </w:rPr>
        <w:t xml:space="preserve"> framework</w:t>
      </w:r>
      <w:r w:rsidRPr="00DB2048">
        <w:rPr>
          <w:rFonts w:asciiTheme="minorHAnsi" w:hAnsiTheme="minorHAnsi"/>
          <w:bCs/>
          <w:sz w:val="22"/>
          <w:szCs w:val="22"/>
        </w:rPr>
        <w:t xml:space="preserve">. </w:t>
      </w:r>
    </w:p>
    <w:p w14:paraId="6CA90F9A" w14:textId="77777777" w:rsidR="007C2409" w:rsidRPr="00DB2048" w:rsidRDefault="007C2409" w:rsidP="000A30BD">
      <w:pPr>
        <w:spacing w:before="120"/>
        <w:rPr>
          <w:rFonts w:asciiTheme="minorHAnsi" w:hAnsiTheme="minorHAnsi"/>
          <w:sz w:val="22"/>
          <w:szCs w:val="22"/>
        </w:rPr>
      </w:pPr>
    </w:p>
    <w:p w14:paraId="1FE2F853" w14:textId="5CC880ED" w:rsidR="00B77A83" w:rsidRPr="001551CD" w:rsidRDefault="00B77A83" w:rsidP="000A30BD">
      <w:pPr>
        <w:rPr>
          <w:rFonts w:asciiTheme="minorHAnsi" w:hAnsiTheme="minorHAnsi"/>
          <w:sz w:val="22"/>
          <w:szCs w:val="22"/>
        </w:rPr>
      </w:pPr>
      <w:r w:rsidRPr="001551CD">
        <w:rPr>
          <w:rFonts w:asciiTheme="minorHAnsi" w:hAnsiTheme="minorHAnsi"/>
          <w:sz w:val="22"/>
          <w:szCs w:val="22"/>
        </w:rPr>
        <w:t xml:space="preserve">The </w:t>
      </w:r>
      <w:r w:rsidR="00A368AD">
        <w:rPr>
          <w:rFonts w:asciiTheme="minorHAnsi" w:hAnsiTheme="minorHAnsi"/>
          <w:sz w:val="22"/>
          <w:szCs w:val="22"/>
        </w:rPr>
        <w:t xml:space="preserve">OTC </w:t>
      </w:r>
      <w:r w:rsidRPr="001551CD">
        <w:rPr>
          <w:rFonts w:asciiTheme="minorHAnsi" w:hAnsiTheme="minorHAnsi"/>
          <w:sz w:val="22"/>
          <w:szCs w:val="22"/>
        </w:rPr>
        <w:t xml:space="preserve">ISIN, UPI, CFI and FISN are globally recognised and adopted </w:t>
      </w:r>
      <w:r>
        <w:rPr>
          <w:rFonts w:asciiTheme="minorHAnsi" w:hAnsiTheme="minorHAnsi"/>
          <w:sz w:val="22"/>
          <w:szCs w:val="22"/>
        </w:rPr>
        <w:t>I</w:t>
      </w:r>
      <w:r w:rsidRPr="001551CD">
        <w:rPr>
          <w:rFonts w:asciiTheme="minorHAnsi" w:hAnsiTheme="minorHAnsi"/>
          <w:bCs/>
          <w:sz w:val="22"/>
          <w:szCs w:val="22"/>
        </w:rPr>
        <w:t>SO standards for identifying, cl</w:t>
      </w:r>
      <w:r w:rsidRPr="001551CD">
        <w:rPr>
          <w:rFonts w:asciiTheme="minorHAnsi" w:hAnsiTheme="minorHAnsi"/>
          <w:sz w:val="22"/>
          <w:szCs w:val="22"/>
        </w:rPr>
        <w:t>assifying and describing OTC derivatives. Each of these OTC derivative identifiers is available for use to trade, clear, settle, administer or report OTC derivatives transactions.</w:t>
      </w:r>
    </w:p>
    <w:p w14:paraId="615D46A4" w14:textId="77777777" w:rsidR="00B77A83" w:rsidRPr="001551CD" w:rsidRDefault="00B77A83" w:rsidP="00B77A83">
      <w:pPr>
        <w:jc w:val="both"/>
        <w:rPr>
          <w:rFonts w:asciiTheme="minorHAnsi" w:hAnsiTheme="minorHAnsi"/>
          <w:sz w:val="22"/>
          <w:szCs w:val="22"/>
        </w:rPr>
      </w:pPr>
    </w:p>
    <w:p w14:paraId="526BEE26" w14:textId="77777777" w:rsidR="00B77A83" w:rsidRDefault="00B77A83" w:rsidP="00FA6760">
      <w:pPr>
        <w:spacing w:before="120"/>
        <w:rPr>
          <w:rFonts w:asciiTheme="minorHAnsi" w:hAnsiTheme="minorHAnsi"/>
          <w:sz w:val="22"/>
          <w:szCs w:val="22"/>
        </w:rPr>
      </w:pPr>
      <w:r w:rsidRPr="001551CD">
        <w:rPr>
          <w:rFonts w:asciiTheme="minorHAnsi" w:hAnsiTheme="minorHAnsi"/>
          <w:sz w:val="22"/>
          <w:szCs w:val="22"/>
        </w:rPr>
        <w:t xml:space="preserve">Together they form the </w:t>
      </w:r>
      <w:hyperlink r:id="rId20" w:history="1">
        <w:r>
          <w:rPr>
            <w:rStyle w:val="Hyperlink"/>
            <w:rFonts w:asciiTheme="minorHAnsi" w:eastAsiaTheme="majorEastAsia" w:hAnsiTheme="minorHAnsi"/>
            <w:sz w:val="22"/>
            <w:szCs w:val="22"/>
          </w:rPr>
          <w:t>OTC derivative identifier framework</w:t>
        </w:r>
      </w:hyperlink>
      <w:r w:rsidRPr="00726522">
        <w:rPr>
          <w:rFonts w:asciiTheme="minorHAnsi" w:hAnsiTheme="minorHAnsi"/>
          <w:sz w:val="22"/>
          <w:szCs w:val="22"/>
        </w:rPr>
        <w:t xml:space="preserve"> and are designed to be complementary whilst having different levels of granularity. The level of granularity depends on the purpose for which the identifier has been created.</w:t>
      </w:r>
    </w:p>
    <w:p w14:paraId="119C0937" w14:textId="77777777" w:rsidR="00B77A83" w:rsidRPr="00726522" w:rsidRDefault="00B77A83" w:rsidP="00B77A83">
      <w:pPr>
        <w:spacing w:before="120"/>
        <w:jc w:val="both"/>
        <w:rPr>
          <w:rFonts w:asciiTheme="minorHAnsi" w:hAnsiTheme="minorHAnsi"/>
          <w:i/>
          <w:iCs/>
          <w:color w:val="000000"/>
          <w:sz w:val="22"/>
          <w:szCs w:val="22"/>
          <w:shd w:val="clear" w:color="auto" w:fill="FFFFFF"/>
        </w:rPr>
      </w:pPr>
    </w:p>
    <w:p w14:paraId="2A1A3B8E" w14:textId="77777777" w:rsidR="00B77A83" w:rsidRPr="00726522" w:rsidRDefault="00B77A83" w:rsidP="00811CBF">
      <w:pPr>
        <w:pStyle w:val="ListParagraph"/>
        <w:numPr>
          <w:ilvl w:val="0"/>
          <w:numId w:val="37"/>
        </w:numPr>
      </w:pPr>
      <w:r w:rsidRPr="00726522">
        <w:rPr>
          <w:b/>
          <w:bCs/>
        </w:rPr>
        <w:t>CFI</w:t>
      </w:r>
      <w:r w:rsidRPr="00726522">
        <w:t>: Enables consistent grouping of instruments with similar features by providing a common set of classification definitions.</w:t>
      </w:r>
    </w:p>
    <w:p w14:paraId="4B6B6F62" w14:textId="77777777" w:rsidR="00B77A83" w:rsidRPr="00726522" w:rsidRDefault="00B77A83" w:rsidP="00811CBF">
      <w:pPr>
        <w:pStyle w:val="ListParagraph"/>
        <w:numPr>
          <w:ilvl w:val="0"/>
          <w:numId w:val="37"/>
        </w:numPr>
      </w:pPr>
      <w:r w:rsidRPr="00726522">
        <w:rPr>
          <w:b/>
          <w:bCs/>
        </w:rPr>
        <w:lastRenderedPageBreak/>
        <w:t>UPI</w:t>
      </w:r>
      <w:r w:rsidRPr="00726522">
        <w:t>: Product level identification to enable aggregation of OTC derivatives transaction reports to provide regulators with a consistent view of systemic risks.</w:t>
      </w:r>
    </w:p>
    <w:p w14:paraId="739CD04D" w14:textId="77777777" w:rsidR="00B77A83" w:rsidRPr="00726522" w:rsidRDefault="00B77A83" w:rsidP="00811CBF">
      <w:pPr>
        <w:pStyle w:val="ListParagraph"/>
        <w:numPr>
          <w:ilvl w:val="0"/>
          <w:numId w:val="37"/>
        </w:numPr>
      </w:pPr>
      <w:r w:rsidRPr="00726522">
        <w:rPr>
          <w:b/>
          <w:bCs/>
        </w:rPr>
        <w:t>OTC ISIN</w:t>
      </w:r>
      <w:r w:rsidRPr="00726522">
        <w:t xml:space="preserve">: Instrument identification for market abuse detection. </w:t>
      </w:r>
    </w:p>
    <w:p w14:paraId="61F001AC" w14:textId="77777777" w:rsidR="00B77A83" w:rsidRPr="00726522" w:rsidRDefault="00B77A83" w:rsidP="00811CBF">
      <w:pPr>
        <w:pStyle w:val="ListParagraph"/>
        <w:numPr>
          <w:ilvl w:val="0"/>
          <w:numId w:val="37"/>
        </w:numPr>
      </w:pPr>
      <w:r w:rsidRPr="00726522">
        <w:rPr>
          <w:b/>
          <w:bCs/>
        </w:rPr>
        <w:t>FISN</w:t>
      </w:r>
      <w:r w:rsidRPr="00726522">
        <w:t>: Provides short descriptions of essential information about financial instruments in a human-readable format, assigned concurrently with the CFI, UPI and ISIN.</w:t>
      </w:r>
    </w:p>
    <w:p w14:paraId="4F7D0C4F" w14:textId="1C1DD2D5" w:rsidR="00B77A83" w:rsidRDefault="00B77A83" w:rsidP="00B77A83">
      <w:pPr>
        <w:rPr>
          <w:rFonts w:asciiTheme="minorHAnsi" w:hAnsiTheme="minorHAnsi"/>
          <w:sz w:val="22"/>
          <w:szCs w:val="22"/>
        </w:rPr>
      </w:pPr>
      <w:r w:rsidRPr="008972CB">
        <w:rPr>
          <w:rFonts w:asciiTheme="minorHAnsi" w:hAnsiTheme="minorHAnsi"/>
          <w:sz w:val="22"/>
          <w:szCs w:val="22"/>
        </w:rPr>
        <w:t xml:space="preserve">The CFI dataset is a subset of the UPI dataset and the UPI dataset is a subset of the OTC ISIN dataset. </w:t>
      </w:r>
      <w:r w:rsidRPr="004B7326">
        <w:rPr>
          <w:rFonts w:asciiTheme="minorHAnsi" w:hAnsiTheme="minorHAnsi"/>
          <w:sz w:val="22"/>
          <w:szCs w:val="22"/>
        </w:rPr>
        <w:t>This means that</w:t>
      </w:r>
      <w:r>
        <w:rPr>
          <w:rFonts w:asciiTheme="minorHAnsi" w:hAnsiTheme="minorHAnsi"/>
          <w:sz w:val="22"/>
          <w:szCs w:val="22"/>
        </w:rPr>
        <w:t xml:space="preserve"> the data attributes and codes</w:t>
      </w:r>
      <w:r w:rsidRPr="004B7326">
        <w:rPr>
          <w:rFonts w:asciiTheme="minorHAnsi" w:hAnsiTheme="minorHAnsi"/>
          <w:sz w:val="22"/>
          <w:szCs w:val="22"/>
        </w:rPr>
        <w:t xml:space="preserve"> </w:t>
      </w:r>
      <w:r>
        <w:rPr>
          <w:rFonts w:asciiTheme="minorHAnsi" w:hAnsiTheme="minorHAnsi"/>
          <w:sz w:val="22"/>
          <w:szCs w:val="22"/>
        </w:rPr>
        <w:t xml:space="preserve">for the corresponding UPI and CFI </w:t>
      </w:r>
      <w:r w:rsidRPr="004B7326">
        <w:rPr>
          <w:rFonts w:asciiTheme="minorHAnsi" w:hAnsiTheme="minorHAnsi"/>
          <w:sz w:val="22"/>
          <w:szCs w:val="22"/>
        </w:rPr>
        <w:t xml:space="preserve">can be accessed within </w:t>
      </w:r>
      <w:r>
        <w:rPr>
          <w:rFonts w:asciiTheme="minorHAnsi" w:hAnsiTheme="minorHAnsi"/>
          <w:sz w:val="22"/>
          <w:szCs w:val="22"/>
        </w:rPr>
        <w:t>each</w:t>
      </w:r>
      <w:r w:rsidRPr="004B7326">
        <w:rPr>
          <w:rFonts w:asciiTheme="minorHAnsi" w:hAnsiTheme="minorHAnsi"/>
          <w:sz w:val="22"/>
          <w:szCs w:val="22"/>
        </w:rPr>
        <w:t xml:space="preserve"> OTC ISIN</w:t>
      </w:r>
      <w:r>
        <w:rPr>
          <w:rFonts w:asciiTheme="minorHAnsi" w:hAnsiTheme="minorHAnsi"/>
          <w:sz w:val="22"/>
          <w:szCs w:val="22"/>
        </w:rPr>
        <w:t xml:space="preserve"> record</w:t>
      </w:r>
      <w:r w:rsidRPr="004B7326">
        <w:rPr>
          <w:rFonts w:asciiTheme="minorHAnsi" w:hAnsiTheme="minorHAnsi"/>
          <w:sz w:val="22"/>
          <w:szCs w:val="22"/>
        </w:rPr>
        <w:t xml:space="preserve">. </w:t>
      </w:r>
      <w:r>
        <w:rPr>
          <w:rFonts w:asciiTheme="minorHAnsi" w:hAnsiTheme="minorHAnsi"/>
          <w:sz w:val="22"/>
          <w:szCs w:val="22"/>
        </w:rPr>
        <w:t xml:space="preserve">This is illustrated below in Table 1 which shows the data attributes of the CFI, UPI and OTC ISIN for an index Credit Default Swap. </w:t>
      </w:r>
    </w:p>
    <w:p w14:paraId="0B4E10F6" w14:textId="77777777" w:rsidR="00B77A83" w:rsidRDefault="00B77A83" w:rsidP="00B77A83">
      <w:pPr>
        <w:rPr>
          <w:rFonts w:asciiTheme="minorHAnsi" w:hAnsiTheme="minorHAnsi"/>
          <w:sz w:val="22"/>
          <w:szCs w:val="22"/>
        </w:rPr>
      </w:pPr>
    </w:p>
    <w:p w14:paraId="4CED742D" w14:textId="10948135" w:rsidR="00B77A83" w:rsidRPr="00332BD6" w:rsidRDefault="00B77A83" w:rsidP="00B77A83">
      <w:pPr>
        <w:rPr>
          <w:rFonts w:asciiTheme="minorHAnsi" w:hAnsiTheme="minorHAnsi"/>
          <w:b/>
          <w:bCs/>
          <w:sz w:val="22"/>
          <w:szCs w:val="22"/>
        </w:rPr>
      </w:pPr>
      <w:r w:rsidRPr="00332BD6">
        <w:rPr>
          <w:rFonts w:asciiTheme="minorHAnsi" w:hAnsiTheme="minorHAnsi"/>
          <w:b/>
          <w:bCs/>
          <w:sz w:val="22"/>
          <w:szCs w:val="22"/>
        </w:rPr>
        <w:t>Table 1: Example data attributes of a CFI</w:t>
      </w:r>
      <w:r w:rsidR="008F7E80">
        <w:rPr>
          <w:rFonts w:asciiTheme="minorHAnsi" w:hAnsiTheme="minorHAnsi"/>
          <w:b/>
          <w:bCs/>
          <w:sz w:val="22"/>
          <w:szCs w:val="22"/>
        </w:rPr>
        <w:t>,</w:t>
      </w:r>
      <w:r w:rsidRPr="00332BD6">
        <w:rPr>
          <w:rFonts w:asciiTheme="minorHAnsi" w:hAnsiTheme="minorHAnsi"/>
          <w:b/>
          <w:bCs/>
          <w:sz w:val="22"/>
          <w:szCs w:val="22"/>
        </w:rPr>
        <w:t xml:space="preserve"> UPI and OTC ISIN for an Index Credit Default Swap </w:t>
      </w:r>
    </w:p>
    <w:p w14:paraId="437CB3AA" w14:textId="08265061" w:rsidR="00B77A83" w:rsidRPr="00BD5A1F" w:rsidRDefault="00BE4834" w:rsidP="00B77A83">
      <w:pPr>
        <w:rPr>
          <w:rFonts w:asciiTheme="minorHAnsi" w:hAnsiTheme="minorHAnsi"/>
          <w:sz w:val="22"/>
          <w:szCs w:val="22"/>
        </w:rPr>
      </w:pPr>
      <w:r w:rsidRPr="00BE4834">
        <w:rPr>
          <w:noProof/>
        </w:rPr>
        <w:drawing>
          <wp:inline distT="0" distB="0" distL="0" distR="0" wp14:anchorId="4A8E561C" wp14:editId="559AC1E7">
            <wp:extent cx="5759450" cy="5121275"/>
            <wp:effectExtent l="0" t="0" r="0" b="0"/>
            <wp:docPr id="17971011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9450" cy="5121275"/>
                    </a:xfrm>
                    <a:prstGeom prst="rect">
                      <a:avLst/>
                    </a:prstGeom>
                    <a:noFill/>
                    <a:ln>
                      <a:noFill/>
                    </a:ln>
                  </pic:spPr>
                </pic:pic>
              </a:graphicData>
            </a:graphic>
          </wp:inline>
        </w:drawing>
      </w:r>
    </w:p>
    <w:p w14:paraId="2205501C" w14:textId="77777777" w:rsidR="00B77A83" w:rsidRPr="00BD5A1F" w:rsidRDefault="00B77A83" w:rsidP="00B77A83">
      <w:pPr>
        <w:rPr>
          <w:rFonts w:asciiTheme="minorHAnsi" w:hAnsiTheme="minorHAnsi"/>
          <w:sz w:val="22"/>
          <w:szCs w:val="22"/>
        </w:rPr>
      </w:pPr>
    </w:p>
    <w:p w14:paraId="40DF035C" w14:textId="77777777" w:rsidR="00B77A83" w:rsidRPr="00BD5A1F" w:rsidRDefault="00B77A83" w:rsidP="00B77A83">
      <w:pPr>
        <w:rPr>
          <w:rFonts w:asciiTheme="minorHAnsi" w:hAnsiTheme="minorHAnsi"/>
          <w:sz w:val="22"/>
          <w:szCs w:val="22"/>
        </w:rPr>
      </w:pPr>
      <w:r>
        <w:rPr>
          <w:rFonts w:asciiTheme="minorHAnsi" w:eastAsia="Calibri" w:hAnsiTheme="minorHAnsi" w:cs="Calibri"/>
          <w:sz w:val="22"/>
          <w:szCs w:val="22"/>
        </w:rPr>
        <w:t>T</w:t>
      </w:r>
      <w:r w:rsidRPr="00BD5A1F">
        <w:rPr>
          <w:rFonts w:asciiTheme="minorHAnsi" w:eastAsia="Calibri" w:hAnsiTheme="minorHAnsi" w:cs="Calibri"/>
          <w:sz w:val="22"/>
          <w:szCs w:val="22"/>
        </w:rPr>
        <w:t>he OTC ISIN was designed from the outset to be consistent with CPMI-IOSCO UPI technical guidance</w:t>
      </w:r>
      <w:r w:rsidRPr="00BD5A1F">
        <w:rPr>
          <w:rStyle w:val="FootnoteReference"/>
          <w:rFonts w:asciiTheme="minorHAnsi" w:eastAsia="Calibri" w:hAnsiTheme="minorHAnsi" w:cs="Calibri"/>
          <w:sz w:val="22"/>
          <w:szCs w:val="22"/>
        </w:rPr>
        <w:footnoteReference w:id="2"/>
      </w:r>
      <w:r w:rsidRPr="00BD5A1F">
        <w:rPr>
          <w:rFonts w:asciiTheme="minorHAnsi" w:eastAsia="Calibri" w:hAnsiTheme="minorHAnsi" w:cs="Calibri"/>
          <w:sz w:val="22"/>
          <w:szCs w:val="22"/>
        </w:rPr>
        <w:t xml:space="preserve"> meaning it is complementary to the UPI, with alignment of the core dataset. </w:t>
      </w:r>
      <w:r w:rsidRPr="00BD5A1F">
        <w:rPr>
          <w:rFonts w:asciiTheme="minorHAnsi" w:hAnsiTheme="minorHAnsi" w:cs="Arial"/>
          <w:sz w:val="22"/>
          <w:szCs w:val="22"/>
        </w:rPr>
        <w:t xml:space="preserve">This holistic design is deliberate and in line with </w:t>
      </w:r>
      <w:r w:rsidRPr="00BD5A1F">
        <w:rPr>
          <w:rFonts w:asciiTheme="minorHAnsi" w:eastAsia="Calibri" w:hAnsiTheme="minorHAnsi" w:cs="Calibri"/>
          <w:sz w:val="22"/>
          <w:szCs w:val="22"/>
        </w:rPr>
        <w:t xml:space="preserve">the CPMI-IOSCO UPI technical </w:t>
      </w:r>
      <w:r w:rsidRPr="00BD5A1F">
        <w:rPr>
          <w:rFonts w:asciiTheme="minorHAnsi" w:eastAsia="Calibri" w:hAnsiTheme="minorHAnsi" w:cs="Calibri"/>
          <w:sz w:val="22"/>
          <w:szCs w:val="22"/>
        </w:rPr>
        <w:lastRenderedPageBreak/>
        <w:t>guidance which states that whilst the primary use case of the UPI is risk aggregation, “</w:t>
      </w:r>
      <w:r w:rsidRPr="00BD5A1F">
        <w:rPr>
          <w:rFonts w:asciiTheme="minorHAnsi" w:eastAsia="Calibri" w:hAnsiTheme="minorHAnsi" w:cs="Calibri"/>
          <w:i/>
          <w:sz w:val="22"/>
          <w:szCs w:val="22"/>
        </w:rPr>
        <w:t>the UPI could be leveraged to create other more granular derivatives identifiers for other purposes</w:t>
      </w:r>
      <w:r w:rsidRPr="00BD5A1F">
        <w:rPr>
          <w:rFonts w:asciiTheme="minorHAnsi" w:eastAsia="Calibri" w:hAnsiTheme="minorHAnsi" w:cs="Calibri"/>
          <w:sz w:val="22"/>
          <w:szCs w:val="22"/>
        </w:rPr>
        <w:t>”.</w:t>
      </w:r>
      <w:r>
        <w:rPr>
          <w:rFonts w:asciiTheme="minorHAnsi" w:eastAsia="Calibri" w:hAnsiTheme="minorHAnsi" w:cs="Calibri"/>
          <w:sz w:val="22"/>
          <w:szCs w:val="22"/>
        </w:rPr>
        <w:t xml:space="preserve"> </w:t>
      </w:r>
    </w:p>
    <w:p w14:paraId="4690BB4F" w14:textId="77777777" w:rsidR="00B77A83" w:rsidRPr="00BD5A1F" w:rsidRDefault="00B77A83" w:rsidP="00B77A83">
      <w:pPr>
        <w:rPr>
          <w:rFonts w:asciiTheme="minorHAnsi" w:hAnsiTheme="minorHAnsi"/>
          <w:sz w:val="22"/>
          <w:szCs w:val="22"/>
        </w:rPr>
      </w:pPr>
    </w:p>
    <w:p w14:paraId="396EAC34" w14:textId="77777777" w:rsidR="00B77A83" w:rsidRPr="00BD5A1F" w:rsidRDefault="00B77A83" w:rsidP="00B77A83">
      <w:pPr>
        <w:rPr>
          <w:rFonts w:asciiTheme="minorHAnsi" w:hAnsiTheme="minorHAnsi"/>
          <w:sz w:val="22"/>
          <w:szCs w:val="22"/>
        </w:rPr>
      </w:pPr>
      <w:r w:rsidRPr="00BD5A1F">
        <w:rPr>
          <w:rFonts w:asciiTheme="minorHAnsi" w:hAnsiTheme="minorHAnsi"/>
          <w:sz w:val="22"/>
          <w:szCs w:val="22"/>
        </w:rPr>
        <w:t xml:space="preserve">More broadly, the ISO standards issued by the DSB work in conjunction with the wider family of ISO standards for financial services. The </w:t>
      </w:r>
      <w:r>
        <w:rPr>
          <w:rFonts w:asciiTheme="minorHAnsi" w:hAnsiTheme="minorHAnsi"/>
          <w:sz w:val="22"/>
          <w:szCs w:val="22"/>
        </w:rPr>
        <w:t xml:space="preserve">OTC </w:t>
      </w:r>
      <w:r w:rsidRPr="00BD5A1F">
        <w:rPr>
          <w:rFonts w:asciiTheme="minorHAnsi" w:hAnsiTheme="minorHAnsi"/>
          <w:sz w:val="22"/>
          <w:szCs w:val="22"/>
        </w:rPr>
        <w:t>ISIN as the instrument identifier and the UPI as the product identifier utilise other ISO standards where possible to define the underlier. For example, the underlying legal entity of a single name CDS is identified based on the LEI (ISO 17442); the underlying currency pairs for FX Derivatives are identified based on the currency code (ISO 4217).</w:t>
      </w:r>
    </w:p>
    <w:p w14:paraId="65D10CF2" w14:textId="77777777" w:rsidR="00B77A83" w:rsidRPr="00BD5A1F" w:rsidRDefault="00B77A83" w:rsidP="00B77A83">
      <w:pPr>
        <w:rPr>
          <w:rFonts w:asciiTheme="minorHAnsi" w:hAnsiTheme="minorHAnsi"/>
          <w:sz w:val="22"/>
          <w:szCs w:val="22"/>
        </w:rPr>
      </w:pPr>
    </w:p>
    <w:p w14:paraId="1FEA99C0" w14:textId="77777777" w:rsidR="00B77A83" w:rsidRPr="006C2975" w:rsidRDefault="00B77A83" w:rsidP="00B77A83">
      <w:pPr>
        <w:spacing w:before="120"/>
        <w:jc w:val="both"/>
        <w:rPr>
          <w:rFonts w:asciiTheme="minorHAnsi" w:hAnsiTheme="minorHAnsi"/>
          <w:b/>
          <w:bCs/>
          <w:sz w:val="22"/>
          <w:szCs w:val="22"/>
        </w:rPr>
      </w:pPr>
      <w:r w:rsidRPr="006C2975">
        <w:rPr>
          <w:rFonts w:asciiTheme="minorHAnsi" w:hAnsiTheme="minorHAnsi"/>
          <w:b/>
          <w:bCs/>
          <w:sz w:val="22"/>
          <w:szCs w:val="22"/>
        </w:rPr>
        <w:t>Decrease overlaps to reduce reporting burden</w:t>
      </w:r>
    </w:p>
    <w:p w14:paraId="06191B91" w14:textId="34B5545D" w:rsidR="00B77A83" w:rsidRPr="006C2975" w:rsidRDefault="00B77A83" w:rsidP="00FA6760">
      <w:pPr>
        <w:spacing w:before="120"/>
        <w:rPr>
          <w:rFonts w:asciiTheme="minorHAnsi" w:hAnsiTheme="minorHAnsi" w:cs="Arial"/>
          <w:sz w:val="22"/>
          <w:szCs w:val="22"/>
        </w:rPr>
      </w:pPr>
      <w:r w:rsidRPr="006C2975">
        <w:rPr>
          <w:rFonts w:asciiTheme="minorHAnsi" w:hAnsiTheme="minorHAnsi" w:cs="Arial"/>
          <w:sz w:val="22"/>
          <w:szCs w:val="22"/>
        </w:rPr>
        <w:t xml:space="preserve">Where the data attributes are already within the OTC ISIN record the DSB suggests ESMA give consideration to not requiring separate reporting of such data. Data quality is higher when data attributes are within the OTC ISIN ‘wrapper’ </w:t>
      </w:r>
      <w:r>
        <w:rPr>
          <w:rFonts w:asciiTheme="minorHAnsi" w:hAnsiTheme="minorHAnsi" w:cs="Arial"/>
          <w:sz w:val="22"/>
          <w:szCs w:val="22"/>
        </w:rPr>
        <w:t>as the data is cleansed and normalised leading to a harmonised approach</w:t>
      </w:r>
      <w:r w:rsidRPr="006C2975">
        <w:rPr>
          <w:rFonts w:asciiTheme="minorHAnsi" w:hAnsiTheme="minorHAnsi" w:cs="Arial"/>
          <w:sz w:val="22"/>
          <w:szCs w:val="22"/>
        </w:rPr>
        <w:t xml:space="preserve">. Equally, duplicative reporting can be avoided </w:t>
      </w:r>
      <w:r>
        <w:rPr>
          <w:rFonts w:asciiTheme="minorHAnsi" w:hAnsiTheme="minorHAnsi" w:cs="Arial"/>
          <w:sz w:val="22"/>
          <w:szCs w:val="22"/>
        </w:rPr>
        <w:t>when</w:t>
      </w:r>
      <w:r w:rsidRPr="006C2975">
        <w:rPr>
          <w:rFonts w:asciiTheme="minorHAnsi" w:hAnsiTheme="minorHAnsi" w:cs="Arial"/>
          <w:sz w:val="22"/>
          <w:szCs w:val="22"/>
        </w:rPr>
        <w:t xml:space="preserve"> the data </w:t>
      </w:r>
      <w:r w:rsidR="002B0723">
        <w:rPr>
          <w:rFonts w:asciiTheme="minorHAnsi" w:hAnsiTheme="minorHAnsi" w:cs="Arial"/>
          <w:sz w:val="22"/>
          <w:szCs w:val="22"/>
        </w:rPr>
        <w:t>attributes</w:t>
      </w:r>
      <w:r w:rsidRPr="006C2975">
        <w:rPr>
          <w:rFonts w:asciiTheme="minorHAnsi" w:hAnsiTheme="minorHAnsi" w:cs="Arial"/>
          <w:sz w:val="22"/>
          <w:szCs w:val="22"/>
        </w:rPr>
        <w:t xml:space="preserve"> </w:t>
      </w:r>
      <w:r>
        <w:rPr>
          <w:rFonts w:asciiTheme="minorHAnsi" w:hAnsiTheme="minorHAnsi" w:cs="Arial"/>
          <w:sz w:val="22"/>
          <w:szCs w:val="22"/>
        </w:rPr>
        <w:t xml:space="preserve">which are embedded </w:t>
      </w:r>
      <w:r w:rsidRPr="006C2975">
        <w:rPr>
          <w:rFonts w:asciiTheme="minorHAnsi" w:hAnsiTheme="minorHAnsi" w:cs="Arial"/>
          <w:sz w:val="22"/>
          <w:szCs w:val="22"/>
        </w:rPr>
        <w:t xml:space="preserve">within </w:t>
      </w:r>
      <w:r>
        <w:rPr>
          <w:rFonts w:asciiTheme="minorHAnsi" w:hAnsiTheme="minorHAnsi" w:cs="Arial"/>
          <w:sz w:val="22"/>
          <w:szCs w:val="22"/>
        </w:rPr>
        <w:t>an</w:t>
      </w:r>
      <w:r w:rsidRPr="006C2975">
        <w:rPr>
          <w:rFonts w:asciiTheme="minorHAnsi" w:hAnsiTheme="minorHAnsi" w:cs="Arial"/>
          <w:sz w:val="22"/>
          <w:szCs w:val="22"/>
        </w:rPr>
        <w:t xml:space="preserve"> identifier </w:t>
      </w:r>
      <w:r>
        <w:rPr>
          <w:rFonts w:asciiTheme="minorHAnsi" w:hAnsiTheme="minorHAnsi" w:cs="Arial"/>
          <w:sz w:val="22"/>
          <w:szCs w:val="22"/>
        </w:rPr>
        <w:t>are not required to be reported separately,</w:t>
      </w:r>
      <w:r w:rsidRPr="006C2975">
        <w:rPr>
          <w:rFonts w:asciiTheme="minorHAnsi" w:hAnsiTheme="minorHAnsi" w:cs="Arial"/>
          <w:sz w:val="22"/>
          <w:szCs w:val="22"/>
        </w:rPr>
        <w:t xml:space="preserve"> </w:t>
      </w:r>
      <w:r>
        <w:rPr>
          <w:rFonts w:asciiTheme="minorHAnsi" w:hAnsiTheme="minorHAnsi" w:cs="Arial"/>
          <w:sz w:val="22"/>
          <w:szCs w:val="22"/>
        </w:rPr>
        <w:t>thereby assisting in</w:t>
      </w:r>
      <w:r w:rsidRPr="006C2975">
        <w:rPr>
          <w:rFonts w:asciiTheme="minorHAnsi" w:hAnsiTheme="minorHAnsi" w:cs="Arial"/>
          <w:sz w:val="22"/>
          <w:szCs w:val="22"/>
        </w:rPr>
        <w:t xml:space="preserve"> decreasing the</w:t>
      </w:r>
      <w:r w:rsidRPr="00756CE0">
        <w:rPr>
          <w:rFonts w:asciiTheme="minorHAnsi" w:hAnsiTheme="minorHAnsi" w:cs="Arial"/>
          <w:sz w:val="22"/>
          <w:szCs w:val="22"/>
        </w:rPr>
        <w:t xml:space="preserve"> overlap </w:t>
      </w:r>
      <w:r w:rsidRPr="006C2975">
        <w:rPr>
          <w:rFonts w:asciiTheme="minorHAnsi" w:hAnsiTheme="minorHAnsi" w:cs="Arial"/>
          <w:sz w:val="22"/>
          <w:szCs w:val="22"/>
        </w:rPr>
        <w:t>of reporting.</w:t>
      </w:r>
    </w:p>
    <w:p w14:paraId="4AC0FB20" w14:textId="77777777" w:rsidR="00F71FC6" w:rsidRDefault="00F71FC6" w:rsidP="00B77A83">
      <w:pPr>
        <w:spacing w:before="120"/>
        <w:jc w:val="both"/>
        <w:rPr>
          <w:rFonts w:asciiTheme="minorHAnsi" w:hAnsiTheme="minorHAnsi"/>
          <w:b/>
          <w:bCs/>
          <w:sz w:val="22"/>
          <w:szCs w:val="22"/>
          <w:lang w:val="en-US"/>
        </w:rPr>
      </w:pPr>
    </w:p>
    <w:p w14:paraId="0B3D2AF4" w14:textId="2262FE42" w:rsidR="00B77A83" w:rsidRPr="006C2975" w:rsidRDefault="00B77A83" w:rsidP="00B77A83">
      <w:pPr>
        <w:spacing w:before="120"/>
        <w:jc w:val="both"/>
        <w:rPr>
          <w:rFonts w:asciiTheme="minorHAnsi" w:hAnsiTheme="minorHAnsi"/>
          <w:b/>
          <w:bCs/>
          <w:sz w:val="22"/>
          <w:szCs w:val="22"/>
          <w:lang w:val="en-US"/>
        </w:rPr>
      </w:pPr>
      <w:r w:rsidRPr="006C2975">
        <w:rPr>
          <w:rFonts w:asciiTheme="minorHAnsi" w:hAnsiTheme="minorHAnsi"/>
          <w:b/>
          <w:bCs/>
          <w:sz w:val="22"/>
          <w:szCs w:val="22"/>
          <w:lang w:val="en-US"/>
        </w:rPr>
        <w:t>Preserve information scope</w:t>
      </w:r>
    </w:p>
    <w:p w14:paraId="44A596D3" w14:textId="271FABE4" w:rsidR="00B77A83" w:rsidRDefault="00B77A83" w:rsidP="00984474">
      <w:pPr>
        <w:spacing w:before="120"/>
        <w:rPr>
          <w:rFonts w:asciiTheme="minorHAnsi" w:hAnsiTheme="minorHAnsi" w:cs="Arial"/>
          <w:color w:val="000000"/>
          <w:sz w:val="22"/>
          <w:szCs w:val="22"/>
          <w:shd w:val="clear" w:color="auto" w:fill="FFFFFF"/>
        </w:rPr>
      </w:pPr>
      <w:r w:rsidRPr="006C2975">
        <w:rPr>
          <w:rFonts w:asciiTheme="minorHAnsi" w:hAnsiTheme="minorHAnsi" w:cs="Arial"/>
          <w:sz w:val="22"/>
          <w:szCs w:val="22"/>
        </w:rPr>
        <w:t>Within</w:t>
      </w:r>
      <w:r w:rsidRPr="006C2975">
        <w:rPr>
          <w:rFonts w:asciiTheme="minorHAnsi" w:hAnsiTheme="minorHAnsi" w:cs="Arial"/>
          <w:color w:val="000000"/>
          <w:sz w:val="22"/>
          <w:szCs w:val="22"/>
          <w:shd w:val="clear" w:color="auto" w:fill="FFFFFF"/>
        </w:rPr>
        <w:t xml:space="preserve"> the </w:t>
      </w:r>
      <w:r>
        <w:rPr>
          <w:rFonts w:asciiTheme="minorHAnsi" w:hAnsiTheme="minorHAnsi" w:cs="Arial"/>
          <w:color w:val="000000"/>
          <w:sz w:val="22"/>
          <w:szCs w:val="22"/>
          <w:shd w:val="clear" w:color="auto" w:fill="FFFFFF"/>
        </w:rPr>
        <w:t xml:space="preserve">OTC derivative identifier </w:t>
      </w:r>
      <w:r w:rsidRPr="006C2975">
        <w:rPr>
          <w:rFonts w:asciiTheme="minorHAnsi" w:hAnsiTheme="minorHAnsi"/>
          <w:sz w:val="22"/>
          <w:szCs w:val="22"/>
        </w:rPr>
        <w:t>framework</w:t>
      </w:r>
      <w:r w:rsidRPr="006C2975">
        <w:rPr>
          <w:rFonts w:asciiTheme="minorHAnsi" w:hAnsiTheme="minorHAnsi" w:cs="Arial"/>
          <w:color w:val="000000"/>
          <w:sz w:val="22"/>
          <w:szCs w:val="22"/>
          <w:shd w:val="clear" w:color="auto" w:fill="FFFFFF"/>
        </w:rPr>
        <w:t xml:space="preserve">, the </w:t>
      </w:r>
      <w:r w:rsidR="00984474">
        <w:rPr>
          <w:rFonts w:asciiTheme="minorHAnsi" w:hAnsiTheme="minorHAnsi" w:cs="Arial"/>
          <w:color w:val="000000"/>
          <w:sz w:val="22"/>
          <w:szCs w:val="22"/>
          <w:shd w:val="clear" w:color="auto" w:fill="FFFFFF"/>
        </w:rPr>
        <w:t xml:space="preserve">OTC </w:t>
      </w:r>
      <w:r w:rsidRPr="006C2975">
        <w:rPr>
          <w:rFonts w:asciiTheme="minorHAnsi" w:hAnsiTheme="minorHAnsi" w:cs="Arial"/>
          <w:color w:val="000000"/>
          <w:sz w:val="22"/>
          <w:szCs w:val="22"/>
          <w:shd w:val="clear" w:color="auto" w:fill="FFFFFF"/>
        </w:rPr>
        <w:t>ISIN is the instrument identifier and the granular</w:t>
      </w:r>
      <w:r>
        <w:rPr>
          <w:rFonts w:asciiTheme="minorHAnsi" w:hAnsiTheme="minorHAnsi" w:cs="Arial"/>
          <w:color w:val="000000"/>
          <w:sz w:val="22"/>
          <w:szCs w:val="22"/>
          <w:shd w:val="clear" w:color="auto" w:fill="FFFFFF"/>
        </w:rPr>
        <w:t>ity of the</w:t>
      </w:r>
      <w:r w:rsidRPr="006C2975">
        <w:rPr>
          <w:rFonts w:asciiTheme="minorHAnsi" w:hAnsiTheme="minorHAnsi" w:cs="Arial"/>
          <w:color w:val="000000"/>
          <w:sz w:val="22"/>
          <w:szCs w:val="22"/>
          <w:shd w:val="clear" w:color="auto" w:fill="FFFFFF"/>
        </w:rPr>
        <w:t xml:space="preserve"> </w:t>
      </w:r>
      <w:r w:rsidR="000550F4">
        <w:rPr>
          <w:rFonts w:asciiTheme="minorHAnsi" w:hAnsiTheme="minorHAnsi" w:cs="Arial"/>
          <w:color w:val="000000"/>
          <w:sz w:val="22"/>
          <w:szCs w:val="22"/>
          <w:shd w:val="clear" w:color="auto" w:fill="FFFFFF"/>
        </w:rPr>
        <w:t xml:space="preserve">OTC </w:t>
      </w:r>
      <w:r w:rsidRPr="006C2975">
        <w:rPr>
          <w:rFonts w:asciiTheme="minorHAnsi" w:hAnsiTheme="minorHAnsi" w:cs="Arial"/>
          <w:color w:val="000000"/>
          <w:sz w:val="22"/>
          <w:szCs w:val="22"/>
          <w:shd w:val="clear" w:color="auto" w:fill="FFFFFF"/>
        </w:rPr>
        <w:t xml:space="preserve">ISIN has been designed specifically </w:t>
      </w:r>
      <w:r w:rsidRPr="006C2975">
        <w:rPr>
          <w:rFonts w:asciiTheme="minorHAnsi" w:eastAsia="Calibri" w:hAnsiTheme="minorHAnsi" w:cs="Calibri"/>
          <w:sz w:val="22"/>
          <w:szCs w:val="22"/>
        </w:rPr>
        <w:t>to identify OTC derivatives in transaction reporting to support market abuse investigation and detection.</w:t>
      </w:r>
    </w:p>
    <w:p w14:paraId="1F9801BC" w14:textId="77777777" w:rsidR="00B77A83" w:rsidRDefault="00B77A83" w:rsidP="00C70A12">
      <w:pPr>
        <w:spacing w:before="120"/>
        <w:rPr>
          <w:rFonts w:asciiTheme="minorHAnsi" w:hAnsiTheme="minorHAnsi" w:cs="Arial"/>
          <w:color w:val="000000"/>
          <w:sz w:val="22"/>
          <w:szCs w:val="22"/>
          <w:shd w:val="clear" w:color="auto" w:fill="FFFFFF"/>
        </w:rPr>
      </w:pPr>
      <w:r w:rsidRPr="006C2975">
        <w:rPr>
          <w:rFonts w:asciiTheme="minorHAnsi" w:hAnsiTheme="minorHAnsi"/>
          <w:sz w:val="22"/>
          <w:szCs w:val="22"/>
        </w:rPr>
        <w:t xml:space="preserve">The granularity of information within the OTC ISIN ensures that the information scope is preserved by reporting the identifier alone. </w:t>
      </w:r>
      <w:r>
        <w:rPr>
          <w:rFonts w:asciiTheme="minorHAnsi" w:hAnsiTheme="minorHAnsi"/>
          <w:sz w:val="22"/>
          <w:szCs w:val="22"/>
        </w:rPr>
        <w:t>Utilising a less</w:t>
      </w:r>
      <w:r w:rsidRPr="006C2975">
        <w:rPr>
          <w:rFonts w:asciiTheme="minorHAnsi" w:hAnsiTheme="minorHAnsi"/>
          <w:sz w:val="22"/>
          <w:szCs w:val="22"/>
        </w:rPr>
        <w:t xml:space="preserve"> granular </w:t>
      </w:r>
      <w:r>
        <w:rPr>
          <w:rFonts w:asciiTheme="minorHAnsi" w:hAnsiTheme="minorHAnsi"/>
          <w:sz w:val="22"/>
          <w:szCs w:val="22"/>
        </w:rPr>
        <w:t>identifier such as the CFI or</w:t>
      </w:r>
      <w:r w:rsidRPr="006C2975">
        <w:rPr>
          <w:rFonts w:asciiTheme="minorHAnsi" w:hAnsiTheme="minorHAnsi"/>
          <w:sz w:val="22"/>
          <w:szCs w:val="22"/>
        </w:rPr>
        <w:t xml:space="preserve"> UPI, </w:t>
      </w:r>
      <w:r>
        <w:rPr>
          <w:rFonts w:asciiTheme="minorHAnsi" w:hAnsiTheme="minorHAnsi"/>
          <w:sz w:val="22"/>
          <w:szCs w:val="22"/>
        </w:rPr>
        <w:t>which have been designed for different, specific purposes</w:t>
      </w:r>
      <w:r w:rsidRPr="006C2975">
        <w:rPr>
          <w:rFonts w:asciiTheme="minorHAnsi" w:hAnsiTheme="minorHAnsi"/>
          <w:sz w:val="22"/>
          <w:szCs w:val="22"/>
        </w:rPr>
        <w:t xml:space="preserve">, would </w:t>
      </w:r>
      <w:r>
        <w:rPr>
          <w:rFonts w:asciiTheme="minorHAnsi" w:hAnsiTheme="minorHAnsi"/>
          <w:sz w:val="22"/>
          <w:szCs w:val="22"/>
        </w:rPr>
        <w:t>require the separate reporting of</w:t>
      </w:r>
      <w:r w:rsidRPr="006C2975">
        <w:rPr>
          <w:rFonts w:asciiTheme="minorHAnsi" w:hAnsiTheme="minorHAnsi"/>
          <w:sz w:val="22"/>
          <w:szCs w:val="22"/>
        </w:rPr>
        <w:t xml:space="preserve"> additional data attributes to preserve the information scope</w:t>
      </w:r>
      <w:r>
        <w:rPr>
          <w:rFonts w:asciiTheme="minorHAnsi" w:hAnsiTheme="minorHAnsi"/>
          <w:sz w:val="22"/>
          <w:szCs w:val="22"/>
        </w:rPr>
        <w:t xml:space="preserve">. </w:t>
      </w:r>
    </w:p>
    <w:p w14:paraId="25873E0C" w14:textId="77777777" w:rsidR="00B77A83" w:rsidRDefault="00B77A83" w:rsidP="00C70A12">
      <w:pPr>
        <w:spacing w:before="120"/>
        <w:rPr>
          <w:rFonts w:asciiTheme="minorHAnsi" w:hAnsiTheme="minorHAnsi"/>
          <w:sz w:val="22"/>
          <w:szCs w:val="22"/>
        </w:rPr>
      </w:pPr>
      <w:r w:rsidRPr="006C2975">
        <w:rPr>
          <w:rFonts w:asciiTheme="minorHAnsi" w:hAnsiTheme="minorHAnsi"/>
          <w:sz w:val="22"/>
          <w:szCs w:val="22"/>
        </w:rPr>
        <w:t xml:space="preserve">When considering preservation of information scope, the choice of OTC identifier for baskets is also critically important. The OTC ISIN embeds within it information on underlying basket constituents whereas </w:t>
      </w:r>
      <w:r>
        <w:rPr>
          <w:rFonts w:asciiTheme="minorHAnsi" w:hAnsiTheme="minorHAnsi"/>
          <w:sz w:val="22"/>
          <w:szCs w:val="22"/>
        </w:rPr>
        <w:t>neither the CFI nor the UPI include this information</w:t>
      </w:r>
      <w:r w:rsidRPr="006C2975">
        <w:rPr>
          <w:rFonts w:asciiTheme="minorHAnsi" w:hAnsiTheme="minorHAnsi"/>
          <w:sz w:val="22"/>
          <w:szCs w:val="22"/>
        </w:rPr>
        <w:t xml:space="preserve">. </w:t>
      </w:r>
    </w:p>
    <w:p w14:paraId="50642767" w14:textId="70BB075F" w:rsidR="00B77A83" w:rsidRDefault="00B77A83" w:rsidP="00912B46">
      <w:pPr>
        <w:spacing w:before="120"/>
        <w:rPr>
          <w:rFonts w:asciiTheme="minorHAnsi" w:hAnsiTheme="minorHAnsi"/>
          <w:b/>
          <w:bCs/>
          <w:sz w:val="22"/>
          <w:szCs w:val="22"/>
        </w:rPr>
      </w:pPr>
      <w:r w:rsidRPr="006C2975">
        <w:rPr>
          <w:rFonts w:asciiTheme="minorHAnsi" w:hAnsiTheme="minorHAnsi"/>
          <w:sz w:val="22"/>
          <w:szCs w:val="22"/>
        </w:rPr>
        <w:t xml:space="preserve">As set out in the </w:t>
      </w:r>
      <w:r>
        <w:rPr>
          <w:rFonts w:asciiTheme="minorHAnsi" w:hAnsiTheme="minorHAnsi"/>
          <w:sz w:val="22"/>
          <w:szCs w:val="22"/>
        </w:rPr>
        <w:t xml:space="preserve">DSB </w:t>
      </w:r>
      <w:r w:rsidRPr="006C2975">
        <w:rPr>
          <w:rFonts w:asciiTheme="minorHAnsi" w:hAnsiTheme="minorHAnsi"/>
          <w:sz w:val="22"/>
          <w:szCs w:val="22"/>
        </w:rPr>
        <w:t>analysis provide</w:t>
      </w:r>
      <w:r>
        <w:rPr>
          <w:rFonts w:asciiTheme="minorHAnsi" w:hAnsiTheme="minorHAnsi"/>
          <w:sz w:val="22"/>
          <w:szCs w:val="22"/>
        </w:rPr>
        <w:t>d</w:t>
      </w:r>
      <w:r w:rsidRPr="006C2975">
        <w:rPr>
          <w:rFonts w:asciiTheme="minorHAnsi" w:hAnsiTheme="minorHAnsi"/>
          <w:sz w:val="22"/>
          <w:szCs w:val="22"/>
        </w:rPr>
        <w:t xml:space="preserve"> to question 5, in a sample of approximately 85,000 OTC ISINs created </w:t>
      </w:r>
      <w:r>
        <w:rPr>
          <w:rFonts w:asciiTheme="minorHAnsi" w:hAnsiTheme="minorHAnsi"/>
          <w:sz w:val="22"/>
          <w:szCs w:val="22"/>
        </w:rPr>
        <w:t xml:space="preserve">for </w:t>
      </w:r>
      <w:r w:rsidRPr="006C2975">
        <w:rPr>
          <w:rFonts w:asciiTheme="minorHAnsi" w:hAnsiTheme="minorHAnsi"/>
          <w:sz w:val="22"/>
          <w:szCs w:val="22"/>
        </w:rPr>
        <w:t>derivative basket</w:t>
      </w:r>
      <w:r>
        <w:rPr>
          <w:rFonts w:asciiTheme="minorHAnsi" w:hAnsiTheme="minorHAnsi"/>
          <w:sz w:val="22"/>
          <w:szCs w:val="22"/>
        </w:rPr>
        <w:t>s</w:t>
      </w:r>
      <w:r w:rsidRPr="006C2975">
        <w:rPr>
          <w:rFonts w:asciiTheme="minorHAnsi" w:hAnsiTheme="minorHAnsi"/>
          <w:sz w:val="22"/>
          <w:szCs w:val="22"/>
        </w:rPr>
        <w:t xml:space="preserve"> in </w:t>
      </w:r>
      <w:r w:rsidRPr="00442FAF">
        <w:rPr>
          <w:rFonts w:asciiTheme="minorHAnsi" w:hAnsiTheme="minorHAnsi"/>
          <w:sz w:val="22"/>
          <w:szCs w:val="22"/>
        </w:rPr>
        <w:t xml:space="preserve">Q1 2025, </w:t>
      </w:r>
      <w:r w:rsidRPr="00442FAF">
        <w:rPr>
          <w:rFonts w:asciiTheme="minorHAnsi" w:hAnsiTheme="minorHAnsi"/>
          <w:b/>
          <w:bCs/>
          <w:sz w:val="22"/>
          <w:szCs w:val="22"/>
        </w:rPr>
        <w:t>the number of underlying constituent</w:t>
      </w:r>
      <w:r w:rsidR="00971C54">
        <w:rPr>
          <w:rFonts w:asciiTheme="minorHAnsi" w:hAnsiTheme="minorHAnsi"/>
          <w:b/>
          <w:bCs/>
          <w:sz w:val="22"/>
          <w:szCs w:val="22"/>
        </w:rPr>
        <w:t>s</w:t>
      </w:r>
      <w:r w:rsidRPr="00442FAF">
        <w:rPr>
          <w:rFonts w:asciiTheme="minorHAnsi" w:hAnsiTheme="minorHAnsi"/>
          <w:b/>
          <w:bCs/>
          <w:sz w:val="22"/>
          <w:szCs w:val="22"/>
        </w:rPr>
        <w:t xml:space="preserve"> averaged at </w:t>
      </w:r>
      <w:r>
        <w:rPr>
          <w:rFonts w:asciiTheme="minorHAnsi" w:hAnsiTheme="minorHAnsi"/>
          <w:b/>
          <w:bCs/>
          <w:sz w:val="22"/>
          <w:szCs w:val="22"/>
        </w:rPr>
        <w:t>38</w:t>
      </w:r>
      <w:r w:rsidRPr="00442FAF">
        <w:rPr>
          <w:rFonts w:asciiTheme="minorHAnsi" w:hAnsiTheme="minorHAnsi"/>
          <w:b/>
          <w:bCs/>
          <w:sz w:val="22"/>
          <w:szCs w:val="22"/>
        </w:rPr>
        <w:t>, and ranged from 2 to 2,347.</w:t>
      </w:r>
      <w:r w:rsidRPr="006C2975">
        <w:rPr>
          <w:rFonts w:asciiTheme="minorHAnsi" w:hAnsiTheme="minorHAnsi"/>
          <w:b/>
          <w:bCs/>
          <w:sz w:val="22"/>
          <w:szCs w:val="22"/>
        </w:rPr>
        <w:t xml:space="preserve"> </w:t>
      </w:r>
    </w:p>
    <w:p w14:paraId="2D487A7A" w14:textId="589A8569" w:rsidR="00B77A83" w:rsidRDefault="00B77A83" w:rsidP="00912B46">
      <w:pPr>
        <w:spacing w:before="120"/>
        <w:rPr>
          <w:rFonts w:asciiTheme="minorHAnsi" w:hAnsiTheme="minorHAnsi"/>
          <w:sz w:val="22"/>
          <w:szCs w:val="22"/>
        </w:rPr>
      </w:pPr>
      <w:r>
        <w:rPr>
          <w:rFonts w:asciiTheme="minorHAnsi" w:hAnsiTheme="minorHAnsi"/>
          <w:sz w:val="22"/>
          <w:szCs w:val="22"/>
        </w:rPr>
        <w:t>If the OTC ISIN were not used</w:t>
      </w:r>
      <w:r w:rsidRPr="00E00BCA">
        <w:rPr>
          <w:rFonts w:asciiTheme="minorHAnsi" w:hAnsiTheme="minorHAnsi"/>
          <w:sz w:val="22"/>
          <w:szCs w:val="22"/>
        </w:rPr>
        <w:t>, this would</w:t>
      </w:r>
      <w:r>
        <w:rPr>
          <w:rFonts w:asciiTheme="minorHAnsi" w:hAnsiTheme="minorHAnsi"/>
          <w:sz w:val="22"/>
          <w:szCs w:val="22"/>
        </w:rPr>
        <w:t xml:space="preserve"> lead</w:t>
      </w:r>
      <w:r w:rsidRPr="00E00BCA">
        <w:rPr>
          <w:rFonts w:asciiTheme="minorHAnsi" w:hAnsiTheme="minorHAnsi"/>
          <w:sz w:val="22"/>
          <w:szCs w:val="22"/>
        </w:rPr>
        <w:t xml:space="preserve"> to additional data fields</w:t>
      </w:r>
      <w:r>
        <w:rPr>
          <w:rFonts w:asciiTheme="minorHAnsi" w:hAnsiTheme="minorHAnsi"/>
          <w:sz w:val="22"/>
          <w:szCs w:val="22"/>
        </w:rPr>
        <w:t>, from 2 to 2,000+</w:t>
      </w:r>
      <w:r w:rsidR="002D32C8">
        <w:rPr>
          <w:rFonts w:asciiTheme="minorHAnsi" w:hAnsiTheme="minorHAnsi"/>
          <w:sz w:val="22"/>
          <w:szCs w:val="22"/>
        </w:rPr>
        <w:t>,</w:t>
      </w:r>
      <w:r w:rsidRPr="00E00BCA">
        <w:rPr>
          <w:rFonts w:asciiTheme="minorHAnsi" w:hAnsiTheme="minorHAnsi"/>
          <w:sz w:val="22"/>
          <w:szCs w:val="22"/>
        </w:rPr>
        <w:t xml:space="preserve"> being reported </w:t>
      </w:r>
      <w:r>
        <w:rPr>
          <w:rFonts w:asciiTheme="minorHAnsi" w:hAnsiTheme="minorHAnsi"/>
          <w:sz w:val="22"/>
          <w:szCs w:val="22"/>
        </w:rPr>
        <w:t xml:space="preserve">outside the identifier </w:t>
      </w:r>
      <w:r w:rsidRPr="00E00BCA">
        <w:rPr>
          <w:rFonts w:asciiTheme="minorHAnsi" w:hAnsiTheme="minorHAnsi"/>
          <w:sz w:val="22"/>
          <w:szCs w:val="22"/>
        </w:rPr>
        <w:t>by firms</w:t>
      </w:r>
      <w:r>
        <w:rPr>
          <w:rFonts w:asciiTheme="minorHAnsi" w:hAnsiTheme="minorHAnsi"/>
          <w:sz w:val="22"/>
          <w:szCs w:val="22"/>
        </w:rPr>
        <w:t xml:space="preserve"> for one OTC derivative,</w:t>
      </w:r>
      <w:r w:rsidRPr="00E00BCA">
        <w:rPr>
          <w:rFonts w:asciiTheme="minorHAnsi" w:hAnsiTheme="minorHAnsi"/>
          <w:sz w:val="22"/>
          <w:szCs w:val="22"/>
        </w:rPr>
        <w:t xml:space="preserve"> increas</w:t>
      </w:r>
      <w:r>
        <w:rPr>
          <w:rFonts w:asciiTheme="minorHAnsi" w:hAnsiTheme="minorHAnsi"/>
          <w:sz w:val="22"/>
          <w:szCs w:val="22"/>
        </w:rPr>
        <w:t>ing significantly</w:t>
      </w:r>
      <w:r w:rsidRPr="00E00BCA">
        <w:rPr>
          <w:rFonts w:asciiTheme="minorHAnsi" w:hAnsiTheme="minorHAnsi"/>
          <w:sz w:val="22"/>
          <w:szCs w:val="22"/>
        </w:rPr>
        <w:t xml:space="preserve"> the potential for data errors.</w:t>
      </w:r>
      <w:r>
        <w:rPr>
          <w:rFonts w:asciiTheme="minorHAnsi" w:hAnsiTheme="minorHAnsi"/>
          <w:sz w:val="22"/>
          <w:szCs w:val="22"/>
        </w:rPr>
        <w:t xml:space="preserve"> It could also increase the difficulty </w:t>
      </w:r>
      <w:r w:rsidR="00912B46">
        <w:rPr>
          <w:rFonts w:asciiTheme="minorHAnsi" w:hAnsiTheme="minorHAnsi"/>
          <w:sz w:val="22"/>
          <w:szCs w:val="22"/>
        </w:rPr>
        <w:t>in</w:t>
      </w:r>
      <w:r>
        <w:rPr>
          <w:rFonts w:asciiTheme="minorHAnsi" w:hAnsiTheme="minorHAnsi"/>
          <w:sz w:val="22"/>
          <w:szCs w:val="22"/>
        </w:rPr>
        <w:t xml:space="preserve"> regulators consuming and analysing this data because two firms can report information on the same underlying</w:t>
      </w:r>
      <w:r w:rsidR="000E0710">
        <w:rPr>
          <w:rFonts w:asciiTheme="minorHAnsi" w:hAnsiTheme="minorHAnsi"/>
          <w:sz w:val="22"/>
          <w:szCs w:val="22"/>
        </w:rPr>
        <w:t xml:space="preserve"> basket</w:t>
      </w:r>
      <w:r>
        <w:rPr>
          <w:rFonts w:asciiTheme="minorHAnsi" w:hAnsiTheme="minorHAnsi"/>
          <w:sz w:val="22"/>
          <w:szCs w:val="22"/>
        </w:rPr>
        <w:t xml:space="preserve"> constituents differently e.g. list the constituents in different orders, formats etc. Through the use of the OTC ISIN</w:t>
      </w:r>
      <w:r w:rsidR="00143220">
        <w:rPr>
          <w:rFonts w:asciiTheme="minorHAnsi" w:hAnsiTheme="minorHAnsi"/>
          <w:sz w:val="22"/>
          <w:szCs w:val="22"/>
        </w:rPr>
        <w:t>,</w:t>
      </w:r>
      <w:r>
        <w:rPr>
          <w:rFonts w:asciiTheme="minorHAnsi" w:hAnsiTheme="minorHAnsi"/>
          <w:sz w:val="22"/>
          <w:szCs w:val="22"/>
        </w:rPr>
        <w:t xml:space="preserve"> the constituent data is cleansed and normalised, ensuring harmonisation of the data provided by firms to ensure such issues do not arise. </w:t>
      </w:r>
    </w:p>
    <w:p w14:paraId="508F6EEA" w14:textId="76C14065" w:rsidR="00B77A83" w:rsidRPr="00E00BCA" w:rsidRDefault="00B77A83" w:rsidP="000E0710">
      <w:pPr>
        <w:spacing w:before="120"/>
        <w:rPr>
          <w:rFonts w:asciiTheme="minorHAnsi" w:hAnsiTheme="minorHAnsi"/>
          <w:sz w:val="22"/>
          <w:szCs w:val="22"/>
        </w:rPr>
      </w:pPr>
      <w:r w:rsidRPr="00E00BCA">
        <w:rPr>
          <w:rFonts w:asciiTheme="minorHAnsi" w:hAnsiTheme="minorHAnsi"/>
          <w:sz w:val="22"/>
          <w:szCs w:val="22"/>
        </w:rPr>
        <w:t xml:space="preserve">As part of </w:t>
      </w:r>
      <w:r>
        <w:rPr>
          <w:rFonts w:asciiTheme="minorHAnsi" w:hAnsiTheme="minorHAnsi"/>
          <w:sz w:val="22"/>
          <w:szCs w:val="22"/>
        </w:rPr>
        <w:t>consideration regarding the principle of</w:t>
      </w:r>
      <w:r w:rsidRPr="00E00BCA">
        <w:rPr>
          <w:rFonts w:asciiTheme="minorHAnsi" w:hAnsiTheme="minorHAnsi"/>
          <w:sz w:val="22"/>
          <w:szCs w:val="22"/>
        </w:rPr>
        <w:t xml:space="preserve"> preserve information </w:t>
      </w:r>
      <w:r>
        <w:rPr>
          <w:rFonts w:asciiTheme="minorHAnsi" w:hAnsiTheme="minorHAnsi"/>
          <w:sz w:val="22"/>
          <w:szCs w:val="22"/>
        </w:rPr>
        <w:t>scope,</w:t>
      </w:r>
      <w:r w:rsidRPr="00E00BCA">
        <w:rPr>
          <w:rFonts w:asciiTheme="minorHAnsi" w:hAnsiTheme="minorHAnsi"/>
          <w:sz w:val="22"/>
          <w:szCs w:val="22"/>
        </w:rPr>
        <w:t xml:space="preserve"> ESMA may also wish to consider </w:t>
      </w:r>
      <w:r w:rsidR="00226840">
        <w:rPr>
          <w:rFonts w:asciiTheme="minorHAnsi" w:hAnsiTheme="minorHAnsi"/>
          <w:sz w:val="22"/>
          <w:szCs w:val="22"/>
        </w:rPr>
        <w:t>for</w:t>
      </w:r>
      <w:r w:rsidRPr="00E00BCA">
        <w:rPr>
          <w:rFonts w:asciiTheme="minorHAnsi" w:hAnsiTheme="minorHAnsi"/>
          <w:sz w:val="22"/>
          <w:szCs w:val="22"/>
        </w:rPr>
        <w:t xml:space="preserve"> instruments that are similar in risk and characteristics across both ETD and OTC derivatives</w:t>
      </w:r>
      <w:r w:rsidR="00226840">
        <w:rPr>
          <w:rFonts w:asciiTheme="minorHAnsi" w:hAnsiTheme="minorHAnsi"/>
          <w:sz w:val="22"/>
          <w:szCs w:val="22"/>
        </w:rPr>
        <w:t xml:space="preserve">, whether </w:t>
      </w:r>
      <w:r w:rsidR="00C64502">
        <w:rPr>
          <w:rFonts w:asciiTheme="minorHAnsi" w:hAnsiTheme="minorHAnsi"/>
          <w:sz w:val="22"/>
          <w:szCs w:val="22"/>
        </w:rPr>
        <w:t xml:space="preserve">the </w:t>
      </w:r>
      <w:r w:rsidR="00226840">
        <w:rPr>
          <w:rFonts w:asciiTheme="minorHAnsi" w:hAnsiTheme="minorHAnsi"/>
          <w:sz w:val="22"/>
          <w:szCs w:val="22"/>
        </w:rPr>
        <w:t>identifier</w:t>
      </w:r>
      <w:r w:rsidR="00E276F1">
        <w:rPr>
          <w:rFonts w:asciiTheme="minorHAnsi" w:hAnsiTheme="minorHAnsi"/>
          <w:sz w:val="22"/>
          <w:szCs w:val="22"/>
        </w:rPr>
        <w:t>s</w:t>
      </w:r>
      <w:r w:rsidR="00226840">
        <w:rPr>
          <w:rFonts w:asciiTheme="minorHAnsi" w:hAnsiTheme="minorHAnsi"/>
          <w:sz w:val="22"/>
          <w:szCs w:val="22"/>
        </w:rPr>
        <w:t xml:space="preserve"> </w:t>
      </w:r>
      <w:r w:rsidR="00847E6A">
        <w:rPr>
          <w:rFonts w:asciiTheme="minorHAnsi" w:hAnsiTheme="minorHAnsi"/>
          <w:sz w:val="22"/>
          <w:szCs w:val="22"/>
        </w:rPr>
        <w:t xml:space="preserve">used </w:t>
      </w:r>
      <w:r w:rsidR="00226840">
        <w:rPr>
          <w:rFonts w:asciiTheme="minorHAnsi" w:hAnsiTheme="minorHAnsi"/>
          <w:sz w:val="22"/>
          <w:szCs w:val="22"/>
        </w:rPr>
        <w:t>should</w:t>
      </w:r>
      <w:r w:rsidRPr="00E00BCA">
        <w:rPr>
          <w:rFonts w:asciiTheme="minorHAnsi" w:hAnsiTheme="minorHAnsi"/>
          <w:sz w:val="22"/>
          <w:szCs w:val="22"/>
        </w:rPr>
        <w:t xml:space="preserve"> have similar data to make </w:t>
      </w:r>
      <w:r w:rsidR="00847E6A">
        <w:rPr>
          <w:rFonts w:asciiTheme="minorHAnsi" w:hAnsiTheme="minorHAnsi"/>
          <w:sz w:val="22"/>
          <w:szCs w:val="22"/>
        </w:rPr>
        <w:t xml:space="preserve">comparison </w:t>
      </w:r>
      <w:r w:rsidRPr="00E00BCA">
        <w:rPr>
          <w:rFonts w:asciiTheme="minorHAnsi" w:hAnsiTheme="minorHAnsi"/>
          <w:sz w:val="22"/>
          <w:szCs w:val="22"/>
        </w:rPr>
        <w:t xml:space="preserve">easier. As set out </w:t>
      </w:r>
      <w:r>
        <w:rPr>
          <w:rFonts w:asciiTheme="minorHAnsi" w:hAnsiTheme="minorHAnsi"/>
          <w:sz w:val="22"/>
          <w:szCs w:val="22"/>
        </w:rPr>
        <w:t>in the DSB</w:t>
      </w:r>
      <w:r w:rsidR="0056160D">
        <w:rPr>
          <w:rFonts w:asciiTheme="minorHAnsi" w:hAnsiTheme="minorHAnsi"/>
          <w:sz w:val="22"/>
          <w:szCs w:val="22"/>
        </w:rPr>
        <w:t>’s</w:t>
      </w:r>
      <w:r>
        <w:rPr>
          <w:rFonts w:asciiTheme="minorHAnsi" w:hAnsiTheme="minorHAnsi"/>
          <w:sz w:val="22"/>
          <w:szCs w:val="22"/>
        </w:rPr>
        <w:t xml:space="preserve"> response to Question 5</w:t>
      </w:r>
      <w:r w:rsidRPr="00E00BCA">
        <w:rPr>
          <w:rFonts w:asciiTheme="minorHAnsi" w:hAnsiTheme="minorHAnsi"/>
          <w:sz w:val="22"/>
          <w:szCs w:val="22"/>
        </w:rPr>
        <w:t xml:space="preserve">, the </w:t>
      </w:r>
      <w:r>
        <w:rPr>
          <w:rFonts w:asciiTheme="minorHAnsi" w:hAnsiTheme="minorHAnsi"/>
          <w:sz w:val="22"/>
          <w:szCs w:val="22"/>
        </w:rPr>
        <w:t xml:space="preserve">analysis indicates the </w:t>
      </w:r>
      <w:r w:rsidRPr="00E00BCA">
        <w:rPr>
          <w:rFonts w:asciiTheme="minorHAnsi" w:hAnsiTheme="minorHAnsi"/>
          <w:sz w:val="22"/>
          <w:szCs w:val="22"/>
        </w:rPr>
        <w:t xml:space="preserve">OTC ISIN would be </w:t>
      </w:r>
      <w:r>
        <w:rPr>
          <w:rFonts w:asciiTheme="minorHAnsi" w:hAnsiTheme="minorHAnsi"/>
          <w:sz w:val="22"/>
          <w:szCs w:val="22"/>
        </w:rPr>
        <w:t>the</w:t>
      </w:r>
      <w:r w:rsidRPr="00E00BCA">
        <w:rPr>
          <w:rFonts w:asciiTheme="minorHAnsi" w:hAnsiTheme="minorHAnsi"/>
          <w:sz w:val="22"/>
          <w:szCs w:val="22"/>
        </w:rPr>
        <w:t xml:space="preserve"> mo</w:t>
      </w:r>
      <w:r>
        <w:rPr>
          <w:rFonts w:asciiTheme="minorHAnsi" w:hAnsiTheme="minorHAnsi"/>
          <w:sz w:val="22"/>
          <w:szCs w:val="22"/>
        </w:rPr>
        <w:t>st</w:t>
      </w:r>
      <w:r w:rsidRPr="00E00BCA">
        <w:rPr>
          <w:rFonts w:asciiTheme="minorHAnsi" w:hAnsiTheme="minorHAnsi"/>
          <w:sz w:val="22"/>
          <w:szCs w:val="22"/>
        </w:rPr>
        <w:t xml:space="preserve"> effective identifier to support this comparison</w:t>
      </w:r>
      <w:r>
        <w:rPr>
          <w:rFonts w:asciiTheme="minorHAnsi" w:hAnsiTheme="minorHAnsi"/>
          <w:sz w:val="22"/>
          <w:szCs w:val="22"/>
        </w:rPr>
        <w:t xml:space="preserve"> given the </w:t>
      </w:r>
      <w:r w:rsidRPr="002915CF">
        <w:rPr>
          <w:rFonts w:asciiTheme="minorHAnsi" w:hAnsiTheme="minorHAnsi"/>
          <w:sz w:val="22"/>
          <w:szCs w:val="22"/>
        </w:rPr>
        <w:t>data</w:t>
      </w:r>
      <w:r>
        <w:rPr>
          <w:rFonts w:asciiTheme="minorHAnsi" w:hAnsiTheme="minorHAnsi"/>
          <w:sz w:val="22"/>
          <w:szCs w:val="22"/>
        </w:rPr>
        <w:t xml:space="preserve"> </w:t>
      </w:r>
      <w:r>
        <w:rPr>
          <w:rFonts w:asciiTheme="minorHAnsi" w:hAnsiTheme="minorHAnsi"/>
          <w:sz w:val="22"/>
          <w:szCs w:val="22"/>
        </w:rPr>
        <w:lastRenderedPageBreak/>
        <w:t>attributes</w:t>
      </w:r>
      <w:r w:rsidRPr="002915CF">
        <w:rPr>
          <w:rFonts w:asciiTheme="minorHAnsi" w:hAnsiTheme="minorHAnsi"/>
          <w:sz w:val="22"/>
          <w:szCs w:val="22"/>
        </w:rPr>
        <w:t xml:space="preserve"> embedded </w:t>
      </w:r>
      <w:r>
        <w:rPr>
          <w:rFonts w:asciiTheme="minorHAnsi" w:hAnsiTheme="minorHAnsi"/>
          <w:sz w:val="22"/>
          <w:szCs w:val="22"/>
        </w:rPr>
        <w:t>in the OTC ISIN are consistent with the data attributes embedded in the ETD ISIN</w:t>
      </w:r>
      <w:r w:rsidRPr="00E00BCA">
        <w:rPr>
          <w:rFonts w:asciiTheme="minorHAnsi" w:hAnsiTheme="minorHAnsi"/>
          <w:sz w:val="22"/>
          <w:szCs w:val="22"/>
        </w:rPr>
        <w:t>.</w:t>
      </w:r>
    </w:p>
    <w:p w14:paraId="299EE39F" w14:textId="77777777" w:rsidR="00B77A83" w:rsidRPr="00E00BCA" w:rsidRDefault="00B77A83" w:rsidP="00B77A83">
      <w:pPr>
        <w:spacing w:before="120"/>
        <w:jc w:val="both"/>
        <w:rPr>
          <w:rFonts w:asciiTheme="minorHAnsi" w:hAnsiTheme="minorHAnsi"/>
          <w:sz w:val="22"/>
          <w:szCs w:val="22"/>
        </w:rPr>
      </w:pPr>
    </w:p>
    <w:p w14:paraId="4F8F11B8" w14:textId="77777777" w:rsidR="00B77A83" w:rsidRPr="00E00BCA" w:rsidRDefault="00B77A83" w:rsidP="00B77A83">
      <w:pPr>
        <w:spacing w:before="120"/>
        <w:jc w:val="both"/>
        <w:rPr>
          <w:rFonts w:asciiTheme="minorHAnsi" w:hAnsiTheme="minorHAnsi"/>
          <w:b/>
          <w:bCs/>
          <w:sz w:val="22"/>
          <w:szCs w:val="22"/>
        </w:rPr>
      </w:pPr>
      <w:r w:rsidRPr="00E00BCA">
        <w:rPr>
          <w:rFonts w:asciiTheme="minorHAnsi" w:hAnsiTheme="minorHAnsi"/>
          <w:b/>
          <w:bCs/>
          <w:sz w:val="22"/>
          <w:szCs w:val="22"/>
        </w:rPr>
        <w:t xml:space="preserve">Balance cost and benefit </w:t>
      </w:r>
    </w:p>
    <w:p w14:paraId="3EA79A35" w14:textId="77777777" w:rsidR="00B77A83" w:rsidRDefault="00B77A83" w:rsidP="00A111D2">
      <w:pPr>
        <w:spacing w:before="120"/>
        <w:rPr>
          <w:rFonts w:asciiTheme="minorHAnsi" w:hAnsiTheme="minorHAnsi" w:cs="Arial"/>
          <w:sz w:val="22"/>
          <w:szCs w:val="22"/>
        </w:rPr>
      </w:pPr>
      <w:r w:rsidRPr="00CE6C1C">
        <w:rPr>
          <w:rFonts w:asciiTheme="minorHAnsi" w:hAnsiTheme="minorHAnsi"/>
          <w:color w:val="111111"/>
          <w:spacing w:val="5"/>
          <w:sz w:val="22"/>
          <w:szCs w:val="22"/>
          <w:shd w:val="clear" w:color="auto" w:fill="FFFFFF"/>
        </w:rPr>
        <w:t xml:space="preserve">The existing infrastructure and workflows already built by industry and the </w:t>
      </w:r>
      <w:r>
        <w:rPr>
          <w:rFonts w:asciiTheme="minorHAnsi" w:hAnsiTheme="minorHAnsi"/>
          <w:color w:val="111111"/>
          <w:spacing w:val="5"/>
          <w:sz w:val="22"/>
          <w:szCs w:val="22"/>
          <w:shd w:val="clear" w:color="auto" w:fill="FFFFFF"/>
        </w:rPr>
        <w:t>regulators</w:t>
      </w:r>
      <w:r w:rsidRPr="00CE6C1C">
        <w:rPr>
          <w:rFonts w:asciiTheme="minorHAnsi" w:hAnsiTheme="minorHAnsi"/>
          <w:color w:val="111111"/>
          <w:spacing w:val="5"/>
          <w:sz w:val="22"/>
          <w:szCs w:val="22"/>
          <w:shd w:val="clear" w:color="auto" w:fill="FFFFFF"/>
        </w:rPr>
        <w:t xml:space="preserve"> </w:t>
      </w:r>
      <w:r w:rsidRPr="00CE6C1C">
        <w:rPr>
          <w:rFonts w:asciiTheme="minorHAnsi" w:hAnsiTheme="minorHAnsi"/>
          <w:sz w:val="22"/>
          <w:szCs w:val="22"/>
        </w:rPr>
        <w:t>are based on the ISIN across all asset classes including for OTC derivatives</w:t>
      </w:r>
      <w:r>
        <w:rPr>
          <w:rFonts w:asciiTheme="minorHAnsi" w:hAnsiTheme="minorHAnsi"/>
          <w:sz w:val="22"/>
          <w:szCs w:val="22"/>
        </w:rPr>
        <w:t>. Therefore, the OTC ISIN has the benefit of not requiring any additional implementation costs.</w:t>
      </w:r>
    </w:p>
    <w:p w14:paraId="3ED3BF57" w14:textId="77777777" w:rsidR="00B77A83" w:rsidRPr="00D13F3F" w:rsidRDefault="00B77A83" w:rsidP="00A111D2">
      <w:pPr>
        <w:spacing w:before="120"/>
        <w:rPr>
          <w:rFonts w:asciiTheme="minorHAnsi" w:hAnsiTheme="minorHAnsi" w:cs="Arial"/>
          <w:sz w:val="22"/>
          <w:szCs w:val="22"/>
        </w:rPr>
      </w:pPr>
      <w:r w:rsidRPr="00FA326B">
        <w:rPr>
          <w:rFonts w:asciiTheme="minorHAnsi" w:hAnsiTheme="minorHAnsi"/>
          <w:sz w:val="22"/>
          <w:szCs w:val="22"/>
        </w:rPr>
        <w:t xml:space="preserve">Should ESMA decide to implement the revised OTC ISIN for interest rate </w:t>
      </w:r>
      <w:r>
        <w:rPr>
          <w:rFonts w:asciiTheme="minorHAnsi" w:hAnsiTheme="minorHAnsi"/>
          <w:sz w:val="22"/>
          <w:szCs w:val="22"/>
        </w:rPr>
        <w:t>swaps</w:t>
      </w:r>
      <w:r w:rsidRPr="00DD7700">
        <w:rPr>
          <w:rFonts w:asciiTheme="minorHAnsi" w:hAnsiTheme="minorHAnsi"/>
          <w:sz w:val="22"/>
          <w:szCs w:val="22"/>
        </w:rPr>
        <w:t xml:space="preserve"> (IRS) in accordance with the</w:t>
      </w:r>
      <w:r w:rsidRPr="00A13B96">
        <w:rPr>
          <w:rFonts w:asciiTheme="minorHAnsi" w:hAnsiTheme="minorHAnsi"/>
          <w:sz w:val="22"/>
          <w:szCs w:val="22"/>
        </w:rPr>
        <w:t xml:space="preserve"> </w:t>
      </w:r>
      <w:hyperlink r:id="rId22" w:history="1">
        <w:r w:rsidRPr="007312C9">
          <w:rPr>
            <w:rStyle w:val="Hyperlink"/>
            <w:rFonts w:asciiTheme="minorHAnsi" w:eastAsiaTheme="majorEastAsia" w:hAnsiTheme="minorHAnsi"/>
            <w:sz w:val="22"/>
            <w:szCs w:val="22"/>
          </w:rPr>
          <w:t>European Commission Delegated Act on OTC derivative identifying reference data</w:t>
        </w:r>
      </w:hyperlink>
      <w:r>
        <w:rPr>
          <w:rFonts w:asciiTheme="minorHAnsi" w:hAnsiTheme="minorHAnsi"/>
          <w:sz w:val="22"/>
          <w:szCs w:val="22"/>
        </w:rPr>
        <w:t xml:space="preserve"> (“DA”) </w:t>
      </w:r>
      <w:r w:rsidRPr="00DD7700">
        <w:rPr>
          <w:rFonts w:asciiTheme="minorHAnsi" w:hAnsiTheme="minorHAnsi"/>
          <w:sz w:val="22"/>
          <w:szCs w:val="22"/>
        </w:rPr>
        <w:t xml:space="preserve">as proposed in ESMA’s </w:t>
      </w:r>
      <w:hyperlink r:id="rId23" w:history="1">
        <w:r w:rsidRPr="003E5298">
          <w:rPr>
            <w:rStyle w:val="Hyperlink"/>
            <w:rFonts w:asciiTheme="minorHAnsi" w:eastAsiaTheme="majorEastAsia" w:hAnsiTheme="minorHAnsi"/>
            <w:sz w:val="22"/>
            <w:szCs w:val="22"/>
          </w:rPr>
          <w:t>MIFIR Review Consultation Package 4</w:t>
        </w:r>
      </w:hyperlink>
      <w:r w:rsidRPr="00DD7700">
        <w:rPr>
          <w:rFonts w:asciiTheme="minorHAnsi" w:hAnsiTheme="minorHAnsi"/>
          <w:sz w:val="22"/>
          <w:szCs w:val="22"/>
        </w:rPr>
        <w:t xml:space="preserve"> on the derivatives tran</w:t>
      </w:r>
      <w:r w:rsidRPr="00D049D3">
        <w:rPr>
          <w:rFonts w:asciiTheme="minorHAnsi" w:hAnsiTheme="minorHAnsi"/>
          <w:sz w:val="22"/>
          <w:szCs w:val="22"/>
        </w:rPr>
        <w:t xml:space="preserve">sparency regime, the following benefits should </w:t>
      </w:r>
      <w:r>
        <w:rPr>
          <w:rFonts w:asciiTheme="minorHAnsi" w:hAnsiTheme="minorHAnsi"/>
          <w:sz w:val="22"/>
          <w:szCs w:val="22"/>
        </w:rPr>
        <w:t xml:space="preserve">also </w:t>
      </w:r>
      <w:r w:rsidRPr="00D049D3">
        <w:rPr>
          <w:rFonts w:asciiTheme="minorHAnsi" w:hAnsiTheme="minorHAnsi"/>
          <w:sz w:val="22"/>
          <w:szCs w:val="22"/>
        </w:rPr>
        <w:t xml:space="preserve">accrue. </w:t>
      </w:r>
    </w:p>
    <w:p w14:paraId="5C604F82" w14:textId="77777777" w:rsidR="00B77A83" w:rsidRDefault="00B77A83" w:rsidP="00A111D2">
      <w:pPr>
        <w:spacing w:before="120"/>
        <w:rPr>
          <w:rFonts w:asciiTheme="minorHAnsi" w:hAnsiTheme="minorHAnsi"/>
          <w:sz w:val="22"/>
          <w:szCs w:val="22"/>
        </w:rPr>
      </w:pPr>
      <w:r w:rsidRPr="00D049D3">
        <w:rPr>
          <w:rFonts w:asciiTheme="minorHAnsi" w:hAnsiTheme="minorHAnsi"/>
          <w:sz w:val="22"/>
          <w:szCs w:val="22"/>
        </w:rPr>
        <w:t xml:space="preserve">The revised </w:t>
      </w:r>
      <w:r>
        <w:rPr>
          <w:rFonts w:asciiTheme="minorHAnsi" w:hAnsiTheme="minorHAnsi"/>
          <w:sz w:val="22"/>
          <w:szCs w:val="22"/>
        </w:rPr>
        <w:t xml:space="preserve">IRS </w:t>
      </w:r>
      <w:r w:rsidRPr="00D049D3">
        <w:rPr>
          <w:rFonts w:asciiTheme="minorHAnsi" w:hAnsiTheme="minorHAnsi"/>
          <w:sz w:val="22"/>
          <w:szCs w:val="22"/>
        </w:rPr>
        <w:t>OTC ISIN would remove the expiry date and include additional data elements</w:t>
      </w:r>
      <w:r>
        <w:rPr>
          <w:rFonts w:asciiTheme="minorHAnsi" w:hAnsiTheme="minorHAnsi"/>
          <w:sz w:val="22"/>
          <w:szCs w:val="22"/>
        </w:rPr>
        <w:t xml:space="preserve">. This would </w:t>
      </w:r>
      <w:r w:rsidRPr="00D049D3">
        <w:rPr>
          <w:rFonts w:asciiTheme="minorHAnsi" w:hAnsiTheme="minorHAnsi"/>
          <w:sz w:val="22"/>
          <w:szCs w:val="22"/>
        </w:rPr>
        <w:t>replac</w:t>
      </w:r>
      <w:r>
        <w:rPr>
          <w:rFonts w:asciiTheme="minorHAnsi" w:hAnsiTheme="minorHAnsi"/>
          <w:sz w:val="22"/>
          <w:szCs w:val="22"/>
        </w:rPr>
        <w:t>e</w:t>
      </w:r>
      <w:r w:rsidRPr="00D049D3">
        <w:rPr>
          <w:rFonts w:asciiTheme="minorHAnsi" w:hAnsiTheme="minorHAnsi"/>
          <w:sz w:val="22"/>
          <w:szCs w:val="22"/>
        </w:rPr>
        <w:t xml:space="preserve"> redundant daily ISIN creation with a single ISIN representing each</w:t>
      </w:r>
      <w:r>
        <w:rPr>
          <w:rFonts w:asciiTheme="minorHAnsi" w:hAnsiTheme="minorHAnsi"/>
          <w:sz w:val="22"/>
          <w:szCs w:val="22"/>
        </w:rPr>
        <w:t xml:space="preserve"> IRS</w:t>
      </w:r>
      <w:r w:rsidRPr="00D049D3">
        <w:rPr>
          <w:rFonts w:asciiTheme="minorHAnsi" w:hAnsiTheme="minorHAnsi"/>
          <w:sz w:val="22"/>
          <w:szCs w:val="22"/>
        </w:rPr>
        <w:t xml:space="preserve"> OTC derivative which the market considers distinct.</w:t>
      </w:r>
      <w:r>
        <w:rPr>
          <w:rFonts w:asciiTheme="minorHAnsi" w:hAnsiTheme="minorHAnsi"/>
          <w:sz w:val="22"/>
          <w:szCs w:val="22"/>
        </w:rPr>
        <w:t xml:space="preserve"> </w:t>
      </w:r>
    </w:p>
    <w:p w14:paraId="75D7256F" w14:textId="67A5B773" w:rsidR="00B77A83" w:rsidRPr="00775FB1" w:rsidRDefault="00B77A83" w:rsidP="00A111D2">
      <w:pPr>
        <w:spacing w:before="120"/>
        <w:rPr>
          <w:rFonts w:asciiTheme="minorHAnsi" w:hAnsiTheme="minorHAnsi"/>
          <w:sz w:val="22"/>
          <w:szCs w:val="22"/>
        </w:rPr>
      </w:pPr>
      <w:r w:rsidRPr="00C90BB1">
        <w:rPr>
          <w:rFonts w:asciiTheme="minorHAnsi" w:hAnsiTheme="minorHAnsi"/>
          <w:sz w:val="22"/>
          <w:szCs w:val="22"/>
        </w:rPr>
        <w:t xml:space="preserve">The DSB estimates that the </w:t>
      </w:r>
      <w:r w:rsidRPr="00682628">
        <w:rPr>
          <w:rFonts w:asciiTheme="minorHAnsi" w:hAnsiTheme="minorHAnsi"/>
          <w:sz w:val="22"/>
          <w:szCs w:val="22"/>
        </w:rPr>
        <w:t xml:space="preserve">move to this revised </w:t>
      </w:r>
      <w:r w:rsidR="00621E11">
        <w:rPr>
          <w:rFonts w:asciiTheme="minorHAnsi" w:hAnsiTheme="minorHAnsi"/>
          <w:sz w:val="22"/>
          <w:szCs w:val="22"/>
        </w:rPr>
        <w:t xml:space="preserve">ISIN </w:t>
      </w:r>
      <w:r w:rsidRPr="00682628">
        <w:rPr>
          <w:rFonts w:asciiTheme="minorHAnsi" w:hAnsiTheme="minorHAnsi"/>
          <w:sz w:val="22"/>
          <w:szCs w:val="22"/>
        </w:rPr>
        <w:t xml:space="preserve">could result in </w:t>
      </w:r>
      <w:r>
        <w:rPr>
          <w:rFonts w:asciiTheme="minorHAnsi" w:hAnsiTheme="minorHAnsi"/>
          <w:b/>
          <w:bCs/>
          <w:sz w:val="22"/>
          <w:szCs w:val="22"/>
        </w:rPr>
        <w:t xml:space="preserve">approximately </w:t>
      </w:r>
      <w:r w:rsidRPr="00682628">
        <w:rPr>
          <w:rFonts w:asciiTheme="minorHAnsi" w:hAnsiTheme="minorHAnsi"/>
          <w:b/>
          <w:bCs/>
          <w:sz w:val="22"/>
          <w:szCs w:val="22"/>
        </w:rPr>
        <w:t>9</w:t>
      </w:r>
      <w:r>
        <w:rPr>
          <w:rFonts w:asciiTheme="minorHAnsi" w:hAnsiTheme="minorHAnsi"/>
          <w:b/>
          <w:bCs/>
          <w:sz w:val="22"/>
          <w:szCs w:val="22"/>
        </w:rPr>
        <w:t>6</w:t>
      </w:r>
      <w:r w:rsidRPr="00682628">
        <w:rPr>
          <w:rFonts w:asciiTheme="minorHAnsi" w:hAnsiTheme="minorHAnsi"/>
          <w:b/>
          <w:bCs/>
          <w:sz w:val="22"/>
          <w:szCs w:val="22"/>
        </w:rPr>
        <w:t xml:space="preserve">% </w:t>
      </w:r>
      <w:r>
        <w:rPr>
          <w:rFonts w:asciiTheme="minorHAnsi" w:hAnsiTheme="minorHAnsi"/>
          <w:b/>
          <w:bCs/>
          <w:sz w:val="22"/>
          <w:szCs w:val="22"/>
        </w:rPr>
        <w:t xml:space="preserve">to 99% </w:t>
      </w:r>
      <w:r w:rsidRPr="00682628">
        <w:rPr>
          <w:rFonts w:asciiTheme="minorHAnsi" w:hAnsiTheme="minorHAnsi"/>
          <w:b/>
          <w:bCs/>
          <w:sz w:val="22"/>
          <w:szCs w:val="22"/>
        </w:rPr>
        <w:t>reduction of ISINs being created for fixed-float interest rate swaps</w:t>
      </w:r>
      <w:r w:rsidRPr="00682628">
        <w:rPr>
          <w:rFonts w:asciiTheme="minorHAnsi" w:hAnsiTheme="minorHAnsi"/>
          <w:sz w:val="22"/>
          <w:szCs w:val="22"/>
        </w:rPr>
        <w:t xml:space="preserve"> supporting a better cost</w:t>
      </w:r>
      <w:r>
        <w:rPr>
          <w:rFonts w:asciiTheme="minorHAnsi" w:hAnsiTheme="minorHAnsi"/>
          <w:sz w:val="22"/>
          <w:szCs w:val="22"/>
        </w:rPr>
        <w:t xml:space="preserve"> and benefit outcome for the industry. </w:t>
      </w:r>
    </w:p>
    <w:p w14:paraId="226AC011" w14:textId="77777777" w:rsidR="00D41F38" w:rsidRDefault="00D41F38" w:rsidP="00926BDA"/>
    <w:p w14:paraId="4B9FB88D" w14:textId="77777777" w:rsidR="00D41F38" w:rsidRDefault="00D41F38" w:rsidP="00926BDA"/>
    <w:permEnd w:id="545925079"/>
    <w:p w14:paraId="042B0F0C" w14:textId="745713CE" w:rsidR="00926BDA" w:rsidRDefault="00926BDA" w:rsidP="00926BDA">
      <w:r>
        <w:t>&lt;ESMA_QUESTION_CASR_2&gt;</w:t>
      </w:r>
    </w:p>
    <w:p w14:paraId="02ECE67A" w14:textId="77777777" w:rsidR="00926BDA" w:rsidRDefault="00926BDA" w:rsidP="00926BDA"/>
    <w:p w14:paraId="555282C0" w14:textId="77777777" w:rsidR="00926BDA" w:rsidRDefault="00926BDA" w:rsidP="00926BDA">
      <w:pPr>
        <w:pStyle w:val="Questionstyle"/>
        <w:spacing w:before="120" w:after="120"/>
        <w:ind w:left="851" w:hanging="709"/>
      </w:pPr>
      <w:r>
        <w:t>What are the key advantages of option 1a and how do these benefits address the issues in section 3?</w:t>
      </w:r>
    </w:p>
    <w:p w14:paraId="596EF4F0" w14:textId="77777777" w:rsidR="00926BDA" w:rsidRDefault="00926BDA" w:rsidP="00926BDA">
      <w:r>
        <w:t>&lt;ESMA_QUESTION_CASR_3&gt;</w:t>
      </w:r>
    </w:p>
    <w:p w14:paraId="10B78F54" w14:textId="77777777" w:rsidR="00926BDA" w:rsidRDefault="00926BDA" w:rsidP="00926BDA">
      <w:permStart w:id="666895774" w:edGrp="everyone"/>
      <w:r>
        <w:t>TYPE YOUR TEXT HERE</w:t>
      </w:r>
    </w:p>
    <w:permEnd w:id="666895774"/>
    <w:p w14:paraId="6D0251D2" w14:textId="77777777" w:rsidR="00926BDA" w:rsidRDefault="00926BDA" w:rsidP="00926BDA">
      <w:r>
        <w:t>&lt;ESMA_QUESTION_CASR_3&gt;</w:t>
      </w:r>
    </w:p>
    <w:p w14:paraId="0D09C9FF" w14:textId="77777777" w:rsidR="00926BDA" w:rsidRDefault="00926BDA" w:rsidP="00926BDA"/>
    <w:p w14:paraId="4B96F3E8" w14:textId="77777777" w:rsidR="00926BDA" w:rsidRDefault="00926BDA" w:rsidP="00926BDA">
      <w:pPr>
        <w:pStyle w:val="Questionstyle"/>
        <w:spacing w:before="120" w:after="120"/>
        <w:ind w:left="851" w:hanging="709"/>
      </w:pPr>
      <w:r>
        <w:t>What are the key limitations and potential risks of option 1a? For example, do you consider the adaptation of the emir template to cover the data points used for market abuse surveillance as meeting the general objective of reducing the reporting burden, and why?</w:t>
      </w:r>
    </w:p>
    <w:p w14:paraId="7917F4ED" w14:textId="77777777" w:rsidR="00926BDA" w:rsidRDefault="00926BDA" w:rsidP="00926BDA">
      <w:r>
        <w:t>&lt;ESMA_QUESTION_CASR_4&gt;</w:t>
      </w:r>
    </w:p>
    <w:p w14:paraId="271C2CA6" w14:textId="77777777" w:rsidR="00926BDA" w:rsidRDefault="00926BDA" w:rsidP="00926BDA">
      <w:permStart w:id="1901729855" w:edGrp="everyone"/>
      <w:r>
        <w:t>TYPE YOUR TEXT HERE</w:t>
      </w:r>
    </w:p>
    <w:permEnd w:id="1901729855"/>
    <w:p w14:paraId="7EE99C37" w14:textId="77777777" w:rsidR="00926BDA" w:rsidRDefault="00926BDA" w:rsidP="00926BDA">
      <w:r>
        <w:t>&lt;ESMA_QUESTION_CASR_4&gt;</w:t>
      </w:r>
    </w:p>
    <w:p w14:paraId="631AE7DC" w14:textId="77777777" w:rsidR="00926BDA" w:rsidRDefault="00926BDA" w:rsidP="00926BDA"/>
    <w:p w14:paraId="1A3DC2C2" w14:textId="77777777" w:rsidR="00926BDA" w:rsidRDefault="00926BDA" w:rsidP="00926BDA">
      <w:pPr>
        <w:pStyle w:val="Questionstyle"/>
        <w:spacing w:before="120" w:after="120"/>
        <w:ind w:left="851" w:hanging="709"/>
      </w:pPr>
      <w:r>
        <w:t>What components are missing or not adequately addressed in option 1a? Why are these elements important, and how might their inclusion change the evaluation or implementation of option 1a?</w:t>
      </w:r>
    </w:p>
    <w:p w14:paraId="4E654C2A" w14:textId="77777777" w:rsidR="00926BDA" w:rsidRDefault="00926BDA" w:rsidP="00926BDA">
      <w:r>
        <w:t>&lt;ESMA_QUESTION_CASR_5&gt;</w:t>
      </w:r>
    </w:p>
    <w:p w14:paraId="5F9F040C" w14:textId="769E5FD5" w:rsidR="00EC7C3B" w:rsidRDefault="00EC7C3B" w:rsidP="00307BFF">
      <w:pPr>
        <w:spacing w:before="240"/>
        <w:rPr>
          <w:rFonts w:asciiTheme="minorHAnsi" w:hAnsiTheme="minorHAnsi"/>
          <w:sz w:val="22"/>
          <w:szCs w:val="22"/>
        </w:rPr>
      </w:pPr>
      <w:permStart w:id="1034637762" w:edGrp="everyone"/>
      <w:r w:rsidRPr="00201754">
        <w:rPr>
          <w:rFonts w:asciiTheme="minorHAnsi" w:hAnsiTheme="minorHAnsi"/>
          <w:sz w:val="22"/>
          <w:szCs w:val="22"/>
        </w:rPr>
        <w:lastRenderedPageBreak/>
        <w:t>The DSB notes that firms are best placed to advise ESMA on their preferred option depending on their reporting obligations, model and systems</w:t>
      </w:r>
      <w:r>
        <w:rPr>
          <w:rFonts w:asciiTheme="minorHAnsi" w:hAnsiTheme="minorHAnsi"/>
          <w:sz w:val="22"/>
          <w:szCs w:val="22"/>
        </w:rPr>
        <w:t xml:space="preserve">. </w:t>
      </w:r>
      <w:r w:rsidR="00DC3178">
        <w:rPr>
          <w:rFonts w:asciiTheme="minorHAnsi" w:hAnsiTheme="minorHAnsi"/>
          <w:sz w:val="22"/>
          <w:szCs w:val="22"/>
        </w:rPr>
        <w:t xml:space="preserve">The </w:t>
      </w:r>
      <w:r>
        <w:rPr>
          <w:rFonts w:asciiTheme="minorHAnsi" w:hAnsiTheme="minorHAnsi"/>
          <w:sz w:val="22"/>
          <w:szCs w:val="22"/>
        </w:rPr>
        <w:t>DSB</w:t>
      </w:r>
      <w:r w:rsidRPr="00201754">
        <w:rPr>
          <w:rFonts w:asciiTheme="minorHAnsi" w:hAnsiTheme="minorHAnsi"/>
          <w:sz w:val="22"/>
          <w:szCs w:val="22"/>
        </w:rPr>
        <w:t xml:space="preserve"> </w:t>
      </w:r>
      <w:r>
        <w:rPr>
          <w:rFonts w:asciiTheme="minorHAnsi" w:hAnsiTheme="minorHAnsi"/>
          <w:sz w:val="22"/>
          <w:szCs w:val="22"/>
        </w:rPr>
        <w:t xml:space="preserve">provides </w:t>
      </w:r>
      <w:r w:rsidRPr="00201754">
        <w:rPr>
          <w:rFonts w:asciiTheme="minorHAnsi" w:hAnsiTheme="minorHAnsi"/>
          <w:sz w:val="22"/>
          <w:szCs w:val="22"/>
        </w:rPr>
        <w:t>data analysis</w:t>
      </w:r>
      <w:r>
        <w:rPr>
          <w:rFonts w:asciiTheme="minorHAnsi" w:hAnsiTheme="minorHAnsi"/>
          <w:sz w:val="22"/>
          <w:szCs w:val="22"/>
        </w:rPr>
        <w:t xml:space="preserve"> </w:t>
      </w:r>
      <w:r w:rsidRPr="00201754">
        <w:rPr>
          <w:rFonts w:asciiTheme="minorHAnsi" w:hAnsiTheme="minorHAnsi"/>
          <w:sz w:val="22"/>
          <w:szCs w:val="22"/>
        </w:rPr>
        <w:t xml:space="preserve">below which is relevant across all options to aid consideration </w:t>
      </w:r>
      <w:r>
        <w:rPr>
          <w:rFonts w:asciiTheme="minorHAnsi" w:hAnsiTheme="minorHAnsi"/>
          <w:sz w:val="22"/>
          <w:szCs w:val="22"/>
        </w:rPr>
        <w:t>of:</w:t>
      </w:r>
    </w:p>
    <w:p w14:paraId="726B3A31" w14:textId="2AA539E7" w:rsidR="00EC7C3B" w:rsidRDefault="00EC7C3B" w:rsidP="00811CBF">
      <w:pPr>
        <w:pStyle w:val="ListParagraph"/>
        <w:numPr>
          <w:ilvl w:val="0"/>
          <w:numId w:val="42"/>
        </w:numPr>
      </w:pPr>
      <w:r>
        <w:t xml:space="preserve">Maintaining </w:t>
      </w:r>
      <w:r w:rsidRPr="00942E72">
        <w:t xml:space="preserve">data quality in the context of </w:t>
      </w:r>
      <w:r w:rsidR="000C11CD">
        <w:t>a</w:t>
      </w:r>
      <w:r w:rsidRPr="00942E72">
        <w:t xml:space="preserve"> potential move to single sided reporting</w:t>
      </w:r>
      <w:r>
        <w:t>;</w:t>
      </w:r>
      <w:r w:rsidRPr="00942E72">
        <w:t xml:space="preserve"> and </w:t>
      </w:r>
    </w:p>
    <w:p w14:paraId="16A450FB" w14:textId="77777777" w:rsidR="00EC7C3B" w:rsidRDefault="00EC7C3B" w:rsidP="00811CBF">
      <w:pPr>
        <w:pStyle w:val="ListParagraph"/>
        <w:numPr>
          <w:ilvl w:val="0"/>
          <w:numId w:val="42"/>
        </w:numPr>
      </w:pPr>
      <w:r w:rsidRPr="00942E72">
        <w:t>supporting effective instrument comparability</w:t>
      </w:r>
      <w:r>
        <w:t xml:space="preserve"> across OTC derivatives and ETDs</w:t>
      </w:r>
      <w:r w:rsidRPr="00942E72">
        <w:t xml:space="preserve">. </w:t>
      </w:r>
    </w:p>
    <w:p w14:paraId="38C3654E" w14:textId="77777777" w:rsidR="00EC7C3B" w:rsidRDefault="00EC7C3B" w:rsidP="00EC7C3B">
      <w:pPr>
        <w:spacing w:before="240"/>
        <w:jc w:val="both"/>
        <w:rPr>
          <w:rFonts w:asciiTheme="minorHAnsi" w:hAnsiTheme="minorHAnsi"/>
          <w:sz w:val="22"/>
          <w:szCs w:val="22"/>
        </w:rPr>
      </w:pPr>
      <w:r>
        <w:rPr>
          <w:rFonts w:asciiTheme="minorHAnsi" w:hAnsiTheme="minorHAnsi"/>
          <w:sz w:val="22"/>
          <w:szCs w:val="22"/>
        </w:rPr>
        <w:t>T</w:t>
      </w:r>
      <w:r w:rsidRPr="00942E72">
        <w:rPr>
          <w:rFonts w:asciiTheme="minorHAnsi" w:hAnsiTheme="minorHAnsi"/>
          <w:sz w:val="22"/>
          <w:szCs w:val="22"/>
        </w:rPr>
        <w:t xml:space="preserve">hese points </w:t>
      </w:r>
      <w:r>
        <w:rPr>
          <w:rFonts w:asciiTheme="minorHAnsi" w:hAnsiTheme="minorHAnsi"/>
          <w:sz w:val="22"/>
          <w:szCs w:val="22"/>
        </w:rPr>
        <w:t xml:space="preserve">are expanded </w:t>
      </w:r>
      <w:r w:rsidRPr="00942E72">
        <w:rPr>
          <w:rFonts w:asciiTheme="minorHAnsi" w:hAnsiTheme="minorHAnsi"/>
          <w:sz w:val="22"/>
          <w:szCs w:val="22"/>
        </w:rPr>
        <w:t xml:space="preserve">below with </w:t>
      </w:r>
      <w:r>
        <w:rPr>
          <w:rFonts w:asciiTheme="minorHAnsi" w:hAnsiTheme="minorHAnsi"/>
          <w:sz w:val="22"/>
          <w:szCs w:val="22"/>
        </w:rPr>
        <w:t xml:space="preserve">supporting </w:t>
      </w:r>
      <w:r w:rsidRPr="00942E72">
        <w:rPr>
          <w:rFonts w:asciiTheme="minorHAnsi" w:hAnsiTheme="minorHAnsi"/>
          <w:sz w:val="22"/>
          <w:szCs w:val="22"/>
        </w:rPr>
        <w:t xml:space="preserve">data analysis. </w:t>
      </w:r>
    </w:p>
    <w:p w14:paraId="3B123D0C" w14:textId="77777777" w:rsidR="00EC7C3B" w:rsidRPr="00942E72" w:rsidRDefault="00EC7C3B" w:rsidP="00EC7C3B">
      <w:pPr>
        <w:spacing w:before="240"/>
        <w:jc w:val="both"/>
        <w:rPr>
          <w:rFonts w:asciiTheme="minorHAnsi" w:hAnsiTheme="minorHAnsi"/>
          <w:sz w:val="22"/>
          <w:szCs w:val="22"/>
        </w:rPr>
      </w:pPr>
    </w:p>
    <w:p w14:paraId="79489378" w14:textId="27762348" w:rsidR="00EC7C3B" w:rsidRPr="00670A56" w:rsidRDefault="00EC7C3B" w:rsidP="00811CBF">
      <w:pPr>
        <w:pStyle w:val="ListParagraph"/>
        <w:numPr>
          <w:ilvl w:val="0"/>
          <w:numId w:val="38"/>
        </w:numPr>
        <w:rPr>
          <w:b/>
          <w:bCs/>
        </w:rPr>
      </w:pPr>
      <w:r w:rsidRPr="00670A56">
        <w:rPr>
          <w:b/>
          <w:bCs/>
        </w:rPr>
        <w:t xml:space="preserve">Maintaining data quality in the context of </w:t>
      </w:r>
      <w:r w:rsidR="000C11CD" w:rsidRPr="00670A56">
        <w:rPr>
          <w:b/>
          <w:bCs/>
        </w:rPr>
        <w:t>a</w:t>
      </w:r>
      <w:r w:rsidRPr="00670A56">
        <w:rPr>
          <w:b/>
          <w:bCs/>
        </w:rPr>
        <w:t xml:space="preserve"> potential move to single-sided reporting</w:t>
      </w:r>
    </w:p>
    <w:p w14:paraId="15C01069" w14:textId="77777777" w:rsidR="00E616C6" w:rsidRPr="00E616C6" w:rsidRDefault="00E616C6" w:rsidP="00811CBF">
      <w:pPr>
        <w:ind w:left="720"/>
      </w:pPr>
    </w:p>
    <w:p w14:paraId="704E608C" w14:textId="77777777" w:rsidR="00EC7C3B" w:rsidRDefault="00EC7C3B" w:rsidP="00EC7C3B">
      <w:pPr>
        <w:rPr>
          <w:rFonts w:asciiTheme="minorHAnsi" w:hAnsiTheme="minorHAnsi"/>
          <w:sz w:val="22"/>
          <w:szCs w:val="22"/>
        </w:rPr>
      </w:pPr>
      <w:r>
        <w:rPr>
          <w:rFonts w:asciiTheme="minorHAnsi" w:hAnsiTheme="minorHAnsi"/>
          <w:sz w:val="22"/>
          <w:szCs w:val="22"/>
        </w:rPr>
        <w:t xml:space="preserve">Whilst revision of dual sided reporting is a feature of all four options, the DSB notes the concern regarding whether a move to single sided reporting will risk a decrease in data quality. To that end, the DSB has undertaken analysis with respect to the information encapsulated in the OTC ISIN and the UPI to assist ESMA’s decision-making.  </w:t>
      </w:r>
    </w:p>
    <w:p w14:paraId="09DAC1BD" w14:textId="77777777" w:rsidR="00EC7C3B" w:rsidRDefault="00EC7C3B" w:rsidP="00EC7C3B">
      <w:pPr>
        <w:rPr>
          <w:rFonts w:asciiTheme="minorHAnsi" w:hAnsiTheme="minorHAnsi"/>
          <w:sz w:val="22"/>
          <w:szCs w:val="22"/>
        </w:rPr>
      </w:pPr>
    </w:p>
    <w:p w14:paraId="28473246" w14:textId="77777777" w:rsidR="00EC7C3B" w:rsidRDefault="00EC7C3B" w:rsidP="00EC7C3B">
      <w:pPr>
        <w:rPr>
          <w:rFonts w:asciiTheme="minorHAnsi" w:hAnsiTheme="minorHAnsi"/>
          <w:sz w:val="22"/>
          <w:szCs w:val="22"/>
        </w:rPr>
      </w:pPr>
      <w:r>
        <w:rPr>
          <w:rFonts w:asciiTheme="minorHAnsi" w:hAnsiTheme="minorHAnsi"/>
          <w:sz w:val="22"/>
          <w:szCs w:val="22"/>
        </w:rPr>
        <w:t>In summary and based on this analysis, the DSB considers the</w:t>
      </w:r>
      <w:r w:rsidRPr="002915CF">
        <w:rPr>
          <w:rFonts w:asciiTheme="minorHAnsi" w:hAnsiTheme="minorHAnsi"/>
          <w:sz w:val="22"/>
          <w:szCs w:val="22"/>
        </w:rPr>
        <w:t xml:space="preserve"> </w:t>
      </w:r>
      <w:r>
        <w:rPr>
          <w:rFonts w:asciiTheme="minorHAnsi" w:hAnsiTheme="minorHAnsi"/>
          <w:sz w:val="22"/>
          <w:szCs w:val="22"/>
        </w:rPr>
        <w:t xml:space="preserve">continued </w:t>
      </w:r>
      <w:r w:rsidRPr="002915CF">
        <w:rPr>
          <w:rFonts w:asciiTheme="minorHAnsi" w:hAnsiTheme="minorHAnsi"/>
          <w:sz w:val="22"/>
          <w:szCs w:val="22"/>
        </w:rPr>
        <w:t xml:space="preserve">use of the OTC ISIN </w:t>
      </w:r>
      <w:r>
        <w:rPr>
          <w:rFonts w:asciiTheme="minorHAnsi" w:hAnsiTheme="minorHAnsi"/>
          <w:sz w:val="22"/>
          <w:szCs w:val="22"/>
        </w:rPr>
        <w:t xml:space="preserve">for transaction reporting </w:t>
      </w:r>
      <w:r w:rsidRPr="002915CF">
        <w:rPr>
          <w:rFonts w:asciiTheme="minorHAnsi" w:hAnsiTheme="minorHAnsi"/>
          <w:sz w:val="22"/>
          <w:szCs w:val="22"/>
        </w:rPr>
        <w:t xml:space="preserve">will </w:t>
      </w:r>
      <w:r>
        <w:rPr>
          <w:rFonts w:asciiTheme="minorHAnsi" w:hAnsiTheme="minorHAnsi"/>
          <w:sz w:val="22"/>
          <w:szCs w:val="22"/>
        </w:rPr>
        <w:t>best support ESMA’s objective to maintain data quality in a move to single sided reporting,</w:t>
      </w:r>
      <w:r w:rsidRPr="002915CF">
        <w:rPr>
          <w:rFonts w:asciiTheme="minorHAnsi" w:hAnsiTheme="minorHAnsi"/>
          <w:sz w:val="22"/>
          <w:szCs w:val="22"/>
        </w:rPr>
        <w:t xml:space="preserve"> for the following reasons:</w:t>
      </w:r>
    </w:p>
    <w:p w14:paraId="4E606D43" w14:textId="77777777" w:rsidR="00EC7C3B" w:rsidRDefault="00EC7C3B" w:rsidP="00EC7C3B">
      <w:pPr>
        <w:rPr>
          <w:rFonts w:asciiTheme="minorHAnsi" w:hAnsiTheme="minorHAnsi"/>
          <w:sz w:val="22"/>
          <w:szCs w:val="22"/>
        </w:rPr>
      </w:pPr>
    </w:p>
    <w:p w14:paraId="644C8844" w14:textId="77777777" w:rsidR="00EC7C3B" w:rsidRPr="00806F21" w:rsidRDefault="00EC7C3B" w:rsidP="00811CBF">
      <w:pPr>
        <w:pStyle w:val="ListParagraph"/>
      </w:pPr>
      <w:r w:rsidRPr="007D168F">
        <w:rPr>
          <w:rFonts w:cs="Arial"/>
          <w:color w:val="000000"/>
          <w:shd w:val="clear" w:color="auto" w:fill="FFFFFF"/>
        </w:rPr>
        <w:t xml:space="preserve">The granularity of the OTC ISIN has been designed specifically </w:t>
      </w:r>
      <w:r w:rsidRPr="007D168F">
        <w:rPr>
          <w:rFonts w:eastAsia="Calibri"/>
        </w:rPr>
        <w:t xml:space="preserve">to identify OTC derivatives in transaction reporting to support market abuse investigation and detection, </w:t>
      </w:r>
      <w:r w:rsidRPr="007D168F">
        <w:t>meaning only a single data point (the OTC ISIN) needs to</w:t>
      </w:r>
      <w:r>
        <w:t xml:space="preserve"> be</w:t>
      </w:r>
      <w:r w:rsidRPr="007D168F">
        <w:t xml:space="preserve"> reported. A single data point of information means fewer errors. </w:t>
      </w:r>
      <w:r w:rsidRPr="00806F21">
        <w:t xml:space="preserve">ESMA’s data analysis of June 2023 EMIR data (see page 5 of </w:t>
      </w:r>
      <w:hyperlink r:id="rId24" w:history="1">
        <w:r w:rsidRPr="00806F21">
          <w:rPr>
            <w:rStyle w:val="Hyperlink"/>
          </w:rPr>
          <w:t>ESMA’s response to EC’s consultation on OTC derivative identifiers</w:t>
        </w:r>
      </w:hyperlink>
      <w:r w:rsidRPr="00806F21">
        <w:t xml:space="preserve">) showed the rate of consistent reporting was significantly higher with less data points – </w:t>
      </w:r>
      <w:r w:rsidRPr="00806F21">
        <w:rPr>
          <w:b/>
          <w:bCs/>
        </w:rPr>
        <w:t>88% compared to 63%</w:t>
      </w:r>
      <w:r w:rsidRPr="00806F21">
        <w:t>.</w:t>
      </w:r>
    </w:p>
    <w:p w14:paraId="67148C3E" w14:textId="7C104863" w:rsidR="00EC7C3B" w:rsidRPr="0051735A" w:rsidRDefault="00EC7C3B" w:rsidP="00811CBF">
      <w:pPr>
        <w:pStyle w:val="ListParagraph"/>
      </w:pPr>
      <w:r>
        <w:t>The OTC ISIN and UPI</w:t>
      </w:r>
      <w:r w:rsidRPr="00726522">
        <w:t xml:space="preserve"> hav</w:t>
      </w:r>
      <w:r>
        <w:t>e</w:t>
      </w:r>
      <w:r w:rsidRPr="00726522">
        <w:t xml:space="preserve"> different levels of granularity</w:t>
      </w:r>
      <w:r>
        <w:t xml:space="preserve"> suited to their specific use cases,</w:t>
      </w:r>
      <w:r w:rsidR="004F02AF">
        <w:t xml:space="preserve"> with</w:t>
      </w:r>
      <w:r>
        <w:t xml:space="preserve"> </w:t>
      </w:r>
      <w:r w:rsidR="004F02AF">
        <w:t>t</w:t>
      </w:r>
      <w:r>
        <w:t xml:space="preserve">he </w:t>
      </w:r>
      <w:r w:rsidRPr="0051735A">
        <w:t xml:space="preserve">DSB </w:t>
      </w:r>
      <w:r>
        <w:t xml:space="preserve">comparative </w:t>
      </w:r>
      <w:r w:rsidRPr="0051735A">
        <w:t>analysis show</w:t>
      </w:r>
      <w:r>
        <w:t>ing</w:t>
      </w:r>
      <w:r w:rsidRPr="0051735A">
        <w:t xml:space="preserve"> that the</w:t>
      </w:r>
      <w:r>
        <w:t xml:space="preserve"> OTC</w:t>
      </w:r>
      <w:r w:rsidRPr="0051735A">
        <w:t xml:space="preserve"> ISIN </w:t>
      </w:r>
      <w:r>
        <w:t xml:space="preserve">can encapsulate up to </w:t>
      </w:r>
      <w:r>
        <w:rPr>
          <w:b/>
          <w:bCs/>
        </w:rPr>
        <w:t xml:space="preserve">7 additional data </w:t>
      </w:r>
      <w:r w:rsidR="00FE178E">
        <w:rPr>
          <w:b/>
          <w:bCs/>
        </w:rPr>
        <w:t>attributes</w:t>
      </w:r>
      <w:r>
        <w:rPr>
          <w:b/>
          <w:bCs/>
        </w:rPr>
        <w:t xml:space="preserve"> </w:t>
      </w:r>
      <w:r>
        <w:t>than the UPI for some OTC derivatives.</w:t>
      </w:r>
    </w:p>
    <w:p w14:paraId="1A5503D0" w14:textId="205CB199" w:rsidR="00EC7C3B" w:rsidRDefault="00EC7C3B" w:rsidP="00811CBF">
      <w:pPr>
        <w:pStyle w:val="ListParagraph"/>
      </w:pPr>
      <w:r>
        <w:t xml:space="preserve">For OTC derivative baskets, the OTC ISIN </w:t>
      </w:r>
      <w:r w:rsidRPr="006C2975">
        <w:t xml:space="preserve">embeds within it information on </w:t>
      </w:r>
      <w:r>
        <w:t xml:space="preserve">the </w:t>
      </w:r>
      <w:r w:rsidRPr="006C2975">
        <w:t xml:space="preserve">underlying basket constituents whereas </w:t>
      </w:r>
      <w:r>
        <w:t xml:space="preserve">the UPI does not. In a sample basket product </w:t>
      </w:r>
      <w:r w:rsidRPr="000B29D1">
        <w:t>analys</w:t>
      </w:r>
      <w:r>
        <w:t>ed</w:t>
      </w:r>
      <w:r w:rsidR="00C914AA">
        <w:t xml:space="preserve"> by the DSB</w:t>
      </w:r>
      <w:r>
        <w:t xml:space="preserve">, the number of </w:t>
      </w:r>
      <w:r w:rsidRPr="00541A9D">
        <w:rPr>
          <w:b/>
          <w:bCs/>
        </w:rPr>
        <w:t xml:space="preserve">underlying constituents averaged at </w:t>
      </w:r>
      <w:r>
        <w:rPr>
          <w:b/>
          <w:bCs/>
        </w:rPr>
        <w:t>38</w:t>
      </w:r>
      <w:r w:rsidRPr="00541A9D">
        <w:rPr>
          <w:b/>
          <w:bCs/>
        </w:rPr>
        <w:t xml:space="preserve"> and ranged from 2 to 2,347</w:t>
      </w:r>
      <w:r w:rsidRPr="000B29D1">
        <w:t>.</w:t>
      </w:r>
      <w:r>
        <w:t xml:space="preserve"> </w:t>
      </w:r>
      <w:r w:rsidRPr="000B29D1">
        <w:t>This could significantly increase the potential for data errors</w:t>
      </w:r>
      <w:r>
        <w:t xml:space="preserve"> if these constituents were reported separately, outside the identifier.</w:t>
      </w:r>
    </w:p>
    <w:p w14:paraId="4A7FFB82" w14:textId="43054863" w:rsidR="00EC7C3B" w:rsidRDefault="00EC7C3B" w:rsidP="00811CBF">
      <w:pPr>
        <w:pStyle w:val="ListParagraph"/>
      </w:pPr>
      <w:r w:rsidRPr="00D67463">
        <w:t xml:space="preserve">Should ESMA decide to implement the revised OTC ISIN for interest rate swaps (IRS) in accordance with the </w:t>
      </w:r>
      <w:hyperlink r:id="rId25" w:history="1">
        <w:r w:rsidRPr="00D67463">
          <w:rPr>
            <w:rStyle w:val="Hyperlink"/>
          </w:rPr>
          <w:t>European Commission Delegated Act on OTC derivative identifying reference data</w:t>
        </w:r>
      </w:hyperlink>
      <w:r w:rsidRPr="00D67463">
        <w:t xml:space="preserve"> (“DA”)</w:t>
      </w:r>
      <w:r>
        <w:t>,</w:t>
      </w:r>
      <w:r w:rsidRPr="00D67463">
        <w:t xml:space="preserve"> </w:t>
      </w:r>
      <w:r>
        <w:t xml:space="preserve">the reduction in the number of </w:t>
      </w:r>
      <w:r w:rsidR="00040F3D">
        <w:t xml:space="preserve">OTC </w:t>
      </w:r>
      <w:r>
        <w:t xml:space="preserve">ISINs created for IRS will be significant. DSB estimates that for fixed-floating </w:t>
      </w:r>
      <w:r w:rsidR="007146AA">
        <w:t>IRS</w:t>
      </w:r>
      <w:r>
        <w:t xml:space="preserve">, the reduction in the number of </w:t>
      </w:r>
      <w:r w:rsidR="00040F3D">
        <w:t xml:space="preserve">OTC </w:t>
      </w:r>
      <w:r>
        <w:t xml:space="preserve">ISINs would be </w:t>
      </w:r>
      <w:r w:rsidRPr="00E741E3">
        <w:rPr>
          <w:b/>
          <w:bCs/>
        </w:rPr>
        <w:t>almost 9</w:t>
      </w:r>
      <w:r>
        <w:rPr>
          <w:b/>
          <w:bCs/>
        </w:rPr>
        <w:t>6</w:t>
      </w:r>
      <w:r w:rsidRPr="00E741E3">
        <w:rPr>
          <w:b/>
          <w:bCs/>
        </w:rPr>
        <w:t>% for all term contracts and 99.7% for benchmark term contracts</w:t>
      </w:r>
      <w:r>
        <w:t xml:space="preserve">. This reduction of data points will further support ESMA’s goal for reducing burden by removing any redundant identifiers, whilst not eliminating key instrument information or compromising data quality. </w:t>
      </w:r>
    </w:p>
    <w:p w14:paraId="39C0FFCC" w14:textId="77777777" w:rsidR="00670A56" w:rsidRDefault="00670A56" w:rsidP="00EC7C3B">
      <w:pPr>
        <w:spacing w:after="160" w:line="278" w:lineRule="auto"/>
        <w:rPr>
          <w:rFonts w:asciiTheme="minorHAnsi" w:hAnsiTheme="minorHAnsi"/>
          <w:sz w:val="22"/>
          <w:szCs w:val="22"/>
        </w:rPr>
      </w:pPr>
    </w:p>
    <w:p w14:paraId="2AE085DE" w14:textId="46655D81" w:rsidR="00EC7C3B" w:rsidRPr="00910445" w:rsidRDefault="00EC7C3B" w:rsidP="00EC7C3B">
      <w:pPr>
        <w:spacing w:after="160" w:line="278" w:lineRule="auto"/>
        <w:rPr>
          <w:rFonts w:asciiTheme="minorHAnsi" w:hAnsiTheme="minorHAnsi"/>
          <w:sz w:val="22"/>
          <w:szCs w:val="22"/>
        </w:rPr>
      </w:pPr>
      <w:r w:rsidRPr="00910445">
        <w:rPr>
          <w:rFonts w:asciiTheme="minorHAnsi" w:hAnsiTheme="minorHAnsi"/>
          <w:sz w:val="22"/>
          <w:szCs w:val="22"/>
        </w:rPr>
        <w:lastRenderedPageBreak/>
        <w:t xml:space="preserve">Taken together, the above can significantly reduce interpretation issues, inconsistencies and errors in data. </w:t>
      </w:r>
      <w:r>
        <w:rPr>
          <w:rFonts w:asciiTheme="minorHAnsi" w:hAnsiTheme="minorHAnsi"/>
          <w:sz w:val="22"/>
          <w:szCs w:val="22"/>
        </w:rPr>
        <w:t>F</w:t>
      </w:r>
      <w:r w:rsidRPr="00910445">
        <w:rPr>
          <w:rFonts w:asciiTheme="minorHAnsi" w:hAnsiTheme="minorHAnsi"/>
          <w:sz w:val="22"/>
          <w:szCs w:val="22"/>
        </w:rPr>
        <w:t xml:space="preserve">urther details </w:t>
      </w:r>
      <w:r>
        <w:rPr>
          <w:rFonts w:asciiTheme="minorHAnsi" w:hAnsiTheme="minorHAnsi"/>
          <w:sz w:val="22"/>
          <w:szCs w:val="22"/>
        </w:rPr>
        <w:t>are provided below</w:t>
      </w:r>
      <w:r w:rsidRPr="00910445">
        <w:rPr>
          <w:rFonts w:asciiTheme="minorHAnsi" w:hAnsiTheme="minorHAnsi"/>
          <w:sz w:val="22"/>
          <w:szCs w:val="22"/>
        </w:rPr>
        <w:t xml:space="preserve"> to support the above. </w:t>
      </w:r>
    </w:p>
    <w:p w14:paraId="7435BF0F" w14:textId="77777777" w:rsidR="001B59AD" w:rsidRPr="002915CF" w:rsidRDefault="001B59AD" w:rsidP="00EC7C3B">
      <w:pPr>
        <w:rPr>
          <w:rFonts w:asciiTheme="minorHAnsi" w:hAnsiTheme="minorHAnsi"/>
          <w:b/>
          <w:bCs/>
          <w:sz w:val="22"/>
          <w:szCs w:val="22"/>
        </w:rPr>
      </w:pPr>
    </w:p>
    <w:p w14:paraId="75E5B898" w14:textId="77777777" w:rsidR="00EC7C3B" w:rsidRPr="00FC60AC" w:rsidRDefault="00EC7C3B" w:rsidP="00811CBF">
      <w:pPr>
        <w:pStyle w:val="ListParagraph"/>
        <w:numPr>
          <w:ilvl w:val="1"/>
          <w:numId w:val="43"/>
        </w:numPr>
        <w:rPr>
          <w:b/>
          <w:bCs/>
        </w:rPr>
      </w:pPr>
      <w:r w:rsidRPr="00FC60AC">
        <w:rPr>
          <w:b/>
          <w:bCs/>
        </w:rPr>
        <w:t xml:space="preserve">Attributes embedded within the OTC ISIN and the UPI </w:t>
      </w:r>
    </w:p>
    <w:p w14:paraId="08E79CCE" w14:textId="77777777" w:rsidR="00EC7C3B" w:rsidRPr="002915CF" w:rsidRDefault="00EC7C3B" w:rsidP="00EC7C3B">
      <w:pPr>
        <w:rPr>
          <w:rFonts w:asciiTheme="minorHAnsi" w:hAnsiTheme="minorHAnsi"/>
          <w:sz w:val="22"/>
          <w:szCs w:val="22"/>
        </w:rPr>
      </w:pPr>
    </w:p>
    <w:p w14:paraId="38773F83" w14:textId="77777777" w:rsidR="00EC7C3B" w:rsidRPr="002915CF" w:rsidRDefault="00EC7C3B" w:rsidP="00EC7C3B">
      <w:pPr>
        <w:rPr>
          <w:rFonts w:asciiTheme="minorHAnsi" w:hAnsiTheme="minorHAnsi"/>
          <w:sz w:val="22"/>
          <w:szCs w:val="22"/>
        </w:rPr>
      </w:pPr>
      <w:r>
        <w:rPr>
          <w:rFonts w:asciiTheme="minorHAnsi" w:hAnsiTheme="minorHAnsi"/>
          <w:sz w:val="22"/>
          <w:szCs w:val="22"/>
        </w:rPr>
        <w:t>As illustrated in Table 1 under question 2, t</w:t>
      </w:r>
      <w:r w:rsidRPr="002915CF">
        <w:rPr>
          <w:rFonts w:asciiTheme="minorHAnsi" w:hAnsiTheme="minorHAnsi"/>
          <w:sz w:val="22"/>
          <w:szCs w:val="22"/>
        </w:rPr>
        <w:t xml:space="preserve">he OTC ISIN </w:t>
      </w:r>
      <w:r>
        <w:rPr>
          <w:rFonts w:asciiTheme="minorHAnsi" w:hAnsiTheme="minorHAnsi"/>
          <w:sz w:val="22"/>
          <w:szCs w:val="22"/>
        </w:rPr>
        <w:t>has more embedded data</w:t>
      </w:r>
      <w:r w:rsidRPr="002915CF">
        <w:rPr>
          <w:rFonts w:asciiTheme="minorHAnsi" w:hAnsiTheme="minorHAnsi"/>
          <w:sz w:val="22"/>
          <w:szCs w:val="22"/>
        </w:rPr>
        <w:t xml:space="preserve"> attributes than the UPI for the same </w:t>
      </w:r>
      <w:r>
        <w:rPr>
          <w:rFonts w:asciiTheme="minorHAnsi" w:hAnsiTheme="minorHAnsi"/>
          <w:sz w:val="22"/>
          <w:szCs w:val="22"/>
        </w:rPr>
        <w:t>OTC derivative</w:t>
      </w:r>
      <w:r w:rsidRPr="002915CF">
        <w:rPr>
          <w:rFonts w:asciiTheme="minorHAnsi" w:hAnsiTheme="minorHAnsi"/>
          <w:sz w:val="22"/>
          <w:szCs w:val="22"/>
        </w:rPr>
        <w:t xml:space="preserve">. </w:t>
      </w:r>
    </w:p>
    <w:p w14:paraId="51CC52AA" w14:textId="77777777" w:rsidR="00EC7C3B" w:rsidRPr="002915CF" w:rsidRDefault="00EC7C3B" w:rsidP="00EC7C3B">
      <w:pPr>
        <w:rPr>
          <w:rFonts w:asciiTheme="minorHAnsi" w:hAnsiTheme="minorHAnsi"/>
          <w:sz w:val="22"/>
          <w:szCs w:val="22"/>
        </w:rPr>
      </w:pPr>
    </w:p>
    <w:p w14:paraId="268C27F0" w14:textId="77777777" w:rsidR="00EC7C3B" w:rsidRDefault="00EC7C3B" w:rsidP="00EC7C3B">
      <w:pPr>
        <w:rPr>
          <w:rFonts w:asciiTheme="minorHAnsi" w:hAnsiTheme="minorHAnsi"/>
          <w:sz w:val="22"/>
          <w:szCs w:val="22"/>
        </w:rPr>
      </w:pPr>
      <w:r>
        <w:rPr>
          <w:rFonts w:asciiTheme="minorHAnsi" w:hAnsiTheme="minorHAnsi"/>
          <w:sz w:val="22"/>
          <w:szCs w:val="22"/>
        </w:rPr>
        <w:t>The DSB maintains 106 product templates across 6 asset classes. Table 1.1A</w:t>
      </w:r>
      <w:r w:rsidRPr="002915CF">
        <w:rPr>
          <w:rFonts w:asciiTheme="minorHAnsi" w:hAnsiTheme="minorHAnsi"/>
          <w:sz w:val="22"/>
          <w:szCs w:val="22"/>
        </w:rPr>
        <w:t xml:space="preserve"> below shows</w:t>
      </w:r>
      <w:r>
        <w:rPr>
          <w:rFonts w:asciiTheme="minorHAnsi" w:hAnsiTheme="minorHAnsi"/>
          <w:sz w:val="22"/>
          <w:szCs w:val="22"/>
        </w:rPr>
        <w:t>:</w:t>
      </w:r>
    </w:p>
    <w:p w14:paraId="69E4F668" w14:textId="6A4AC84C" w:rsidR="00EC7C3B" w:rsidRDefault="00EC7C3B" w:rsidP="00811CBF">
      <w:pPr>
        <w:pStyle w:val="ListParagraph"/>
        <w:numPr>
          <w:ilvl w:val="0"/>
          <w:numId w:val="45"/>
        </w:numPr>
      </w:pPr>
      <w:r w:rsidRPr="002915CF">
        <w:t xml:space="preserve">the range for the number of </w:t>
      </w:r>
      <w:r w:rsidRPr="00705D41">
        <w:t xml:space="preserve">additional </w:t>
      </w:r>
      <w:r w:rsidRPr="002915CF">
        <w:t xml:space="preserve">attributes </w:t>
      </w:r>
      <w:r w:rsidRPr="00705D41">
        <w:t xml:space="preserve">embedded within the </w:t>
      </w:r>
      <w:r w:rsidRPr="002915CF">
        <w:t xml:space="preserve">OTC ISIN </w:t>
      </w:r>
      <w:r w:rsidRPr="00705D41">
        <w:t xml:space="preserve"> compared to the UPI; and</w:t>
      </w:r>
    </w:p>
    <w:p w14:paraId="0FCDD3EB" w14:textId="51F30152" w:rsidR="00EC7C3B" w:rsidRPr="002915CF" w:rsidRDefault="00EC7C3B" w:rsidP="00811CBF">
      <w:pPr>
        <w:pStyle w:val="ListParagraph"/>
        <w:numPr>
          <w:ilvl w:val="0"/>
          <w:numId w:val="45"/>
        </w:numPr>
      </w:pPr>
      <w:r w:rsidRPr="002915CF">
        <w:t xml:space="preserve">those attributes </w:t>
      </w:r>
      <w:r w:rsidRPr="00705D41">
        <w:t xml:space="preserve">which are embedded </w:t>
      </w:r>
      <w:r w:rsidRPr="002915CF">
        <w:t xml:space="preserve">within an OTC ISIN </w:t>
      </w:r>
      <w:r w:rsidRPr="00705D41">
        <w:t>but not</w:t>
      </w:r>
      <w:r w:rsidRPr="002915CF">
        <w:t xml:space="preserve"> </w:t>
      </w:r>
      <w:r>
        <w:t>with</w:t>
      </w:r>
      <w:r w:rsidRPr="002915CF">
        <w:t xml:space="preserve">in the </w:t>
      </w:r>
      <w:r w:rsidRPr="00705D41">
        <w:t xml:space="preserve">parent </w:t>
      </w:r>
      <w:r w:rsidRPr="002915CF">
        <w:t>UPI</w:t>
      </w:r>
      <w:r>
        <w:t>.</w:t>
      </w:r>
    </w:p>
    <w:p w14:paraId="66479391" w14:textId="77777777" w:rsidR="00EC7C3B" w:rsidRPr="002915CF" w:rsidRDefault="00EC7C3B" w:rsidP="00EC7C3B">
      <w:pPr>
        <w:rPr>
          <w:rFonts w:asciiTheme="minorHAnsi" w:hAnsiTheme="minorHAnsi"/>
          <w:sz w:val="22"/>
          <w:szCs w:val="22"/>
        </w:rPr>
      </w:pPr>
    </w:p>
    <w:p w14:paraId="07CBD1EA" w14:textId="6642E43F" w:rsidR="00481AD0" w:rsidRDefault="00EC7C3B" w:rsidP="00EC7C3B">
      <w:pPr>
        <w:rPr>
          <w:rFonts w:asciiTheme="minorHAnsi" w:hAnsiTheme="minorHAnsi"/>
          <w:b/>
          <w:bCs/>
          <w:sz w:val="22"/>
          <w:szCs w:val="22"/>
        </w:rPr>
      </w:pPr>
      <w:r w:rsidRPr="094141A6">
        <w:rPr>
          <w:rFonts w:asciiTheme="minorHAnsi" w:hAnsiTheme="minorHAnsi"/>
          <w:b/>
          <w:bCs/>
          <w:sz w:val="22"/>
          <w:szCs w:val="22"/>
        </w:rPr>
        <w:t xml:space="preserve">Table 1.1A: Range of attributes embedded in OTC ISIN compared to UPI </w:t>
      </w:r>
    </w:p>
    <w:p w14:paraId="0CBA491F" w14:textId="77777777" w:rsidR="00F860C6" w:rsidRPr="00B905F5" w:rsidRDefault="00F860C6" w:rsidP="00EC7C3B">
      <w:pPr>
        <w:rPr>
          <w:rFonts w:asciiTheme="minorHAnsi" w:hAnsiTheme="minorHAnsi"/>
          <w:b/>
          <w:bCs/>
          <w:sz w:val="22"/>
          <w:szCs w:val="22"/>
        </w:rPr>
      </w:pPr>
    </w:p>
    <w:tbl>
      <w:tblPr>
        <w:tblStyle w:val="TableGrid"/>
        <w:tblW w:w="0" w:type="auto"/>
        <w:tblLook w:val="04A0" w:firstRow="1" w:lastRow="0" w:firstColumn="1" w:lastColumn="0" w:noHBand="0" w:noVBand="1"/>
      </w:tblPr>
      <w:tblGrid>
        <w:gridCol w:w="1627"/>
        <w:gridCol w:w="2044"/>
        <w:gridCol w:w="3925"/>
      </w:tblGrid>
      <w:tr w:rsidR="00EC7C3B" w:rsidRPr="00DC0CD3" w14:paraId="586A39B1" w14:textId="77777777" w:rsidTr="00D216E8">
        <w:tc>
          <w:tcPr>
            <w:tcW w:w="1627" w:type="dxa"/>
            <w:tcBorders>
              <w:top w:val="single" w:sz="4" w:space="0" w:color="auto"/>
              <w:left w:val="single" w:sz="4" w:space="0" w:color="auto"/>
              <w:bottom w:val="double" w:sz="4" w:space="0" w:color="auto"/>
              <w:right w:val="single" w:sz="4" w:space="0" w:color="auto"/>
            </w:tcBorders>
          </w:tcPr>
          <w:p w14:paraId="70EDC8BC" w14:textId="77777777" w:rsidR="00EC7C3B" w:rsidRPr="00DC0CD3" w:rsidRDefault="00EC7C3B" w:rsidP="00723357">
            <w:pPr>
              <w:rPr>
                <w:rFonts w:asciiTheme="minorHAnsi" w:hAnsiTheme="minorHAnsi"/>
                <w:b/>
                <w:bCs/>
                <w:sz w:val="22"/>
                <w:szCs w:val="22"/>
              </w:rPr>
            </w:pPr>
            <w:r w:rsidRPr="00DC0CD3">
              <w:rPr>
                <w:rFonts w:asciiTheme="minorHAnsi" w:hAnsiTheme="minorHAnsi"/>
                <w:b/>
                <w:bCs/>
                <w:sz w:val="22"/>
                <w:szCs w:val="22"/>
              </w:rPr>
              <w:t>OTC Derivative asset class</w:t>
            </w:r>
          </w:p>
        </w:tc>
        <w:tc>
          <w:tcPr>
            <w:tcW w:w="2044" w:type="dxa"/>
            <w:tcBorders>
              <w:top w:val="single" w:sz="4" w:space="0" w:color="auto"/>
              <w:left w:val="single" w:sz="4" w:space="0" w:color="auto"/>
              <w:bottom w:val="double" w:sz="4" w:space="0" w:color="auto"/>
              <w:right w:val="single" w:sz="4" w:space="0" w:color="auto"/>
            </w:tcBorders>
          </w:tcPr>
          <w:p w14:paraId="6D3AD180" w14:textId="77777777" w:rsidR="00EC7C3B" w:rsidRPr="00DC0CD3" w:rsidRDefault="00EC7C3B" w:rsidP="00723357">
            <w:pPr>
              <w:rPr>
                <w:rFonts w:asciiTheme="minorHAnsi" w:hAnsiTheme="minorHAnsi"/>
                <w:b/>
                <w:bCs/>
                <w:sz w:val="22"/>
                <w:szCs w:val="22"/>
              </w:rPr>
            </w:pPr>
            <w:r w:rsidRPr="00DC0CD3">
              <w:rPr>
                <w:rFonts w:asciiTheme="minorHAnsi" w:hAnsiTheme="minorHAnsi"/>
                <w:b/>
                <w:bCs/>
                <w:sz w:val="22"/>
                <w:szCs w:val="22"/>
              </w:rPr>
              <w:t>Range of number of attributes within OTC ISIN greater than UPI</w:t>
            </w:r>
          </w:p>
        </w:tc>
        <w:tc>
          <w:tcPr>
            <w:tcW w:w="3925" w:type="dxa"/>
            <w:tcBorders>
              <w:top w:val="single" w:sz="4" w:space="0" w:color="auto"/>
              <w:left w:val="single" w:sz="4" w:space="0" w:color="auto"/>
              <w:bottom w:val="double" w:sz="4" w:space="0" w:color="auto"/>
              <w:right w:val="single" w:sz="4" w:space="0" w:color="auto"/>
            </w:tcBorders>
          </w:tcPr>
          <w:p w14:paraId="0484096C" w14:textId="77777777" w:rsidR="00EC7C3B" w:rsidRPr="00DC0CD3" w:rsidRDefault="00EC7C3B" w:rsidP="00723357">
            <w:pPr>
              <w:rPr>
                <w:rFonts w:asciiTheme="minorHAnsi" w:hAnsiTheme="minorHAnsi"/>
                <w:b/>
                <w:bCs/>
                <w:sz w:val="22"/>
                <w:szCs w:val="22"/>
              </w:rPr>
            </w:pPr>
            <w:r w:rsidRPr="00DC0CD3">
              <w:rPr>
                <w:rFonts w:asciiTheme="minorHAnsi" w:hAnsiTheme="minorHAnsi"/>
                <w:b/>
                <w:bCs/>
                <w:sz w:val="22"/>
                <w:szCs w:val="22"/>
              </w:rPr>
              <w:t>Attributes in the OTC ISIN which are not in the UPI</w:t>
            </w:r>
          </w:p>
        </w:tc>
      </w:tr>
      <w:tr w:rsidR="00EC7C3B" w:rsidRPr="00DC0CD3" w14:paraId="1D85BCB7" w14:textId="77777777" w:rsidTr="00D216E8">
        <w:tc>
          <w:tcPr>
            <w:tcW w:w="1627" w:type="dxa"/>
            <w:tcBorders>
              <w:top w:val="double" w:sz="4" w:space="0" w:color="auto"/>
            </w:tcBorders>
          </w:tcPr>
          <w:p w14:paraId="7E3423BF" w14:textId="77777777" w:rsidR="00EC7C3B" w:rsidRPr="00DC0CD3" w:rsidRDefault="00EC7C3B" w:rsidP="00723357">
            <w:pPr>
              <w:rPr>
                <w:rFonts w:asciiTheme="minorHAnsi" w:hAnsiTheme="minorHAnsi"/>
                <w:sz w:val="22"/>
                <w:szCs w:val="22"/>
              </w:rPr>
            </w:pPr>
            <w:r w:rsidRPr="00DC0CD3">
              <w:rPr>
                <w:rFonts w:asciiTheme="minorHAnsi" w:hAnsiTheme="minorHAnsi"/>
                <w:sz w:val="22"/>
                <w:szCs w:val="22"/>
              </w:rPr>
              <w:t>Credit</w:t>
            </w:r>
          </w:p>
        </w:tc>
        <w:tc>
          <w:tcPr>
            <w:tcW w:w="2044" w:type="dxa"/>
            <w:tcBorders>
              <w:top w:val="double" w:sz="4" w:space="0" w:color="auto"/>
            </w:tcBorders>
          </w:tcPr>
          <w:p w14:paraId="314C5E88" w14:textId="77777777" w:rsidR="00EC7C3B" w:rsidRPr="00DC0CD3" w:rsidRDefault="00EC7C3B" w:rsidP="00723357">
            <w:pPr>
              <w:rPr>
                <w:rFonts w:asciiTheme="minorHAnsi" w:hAnsiTheme="minorHAnsi"/>
                <w:sz w:val="22"/>
                <w:szCs w:val="22"/>
              </w:rPr>
            </w:pPr>
            <w:r w:rsidRPr="00DC0CD3">
              <w:rPr>
                <w:rFonts w:asciiTheme="minorHAnsi" w:hAnsiTheme="minorHAnsi"/>
                <w:sz w:val="22"/>
                <w:szCs w:val="22"/>
              </w:rPr>
              <w:t>3 to 7</w:t>
            </w:r>
          </w:p>
        </w:tc>
        <w:tc>
          <w:tcPr>
            <w:tcW w:w="3925" w:type="dxa"/>
            <w:tcBorders>
              <w:top w:val="double" w:sz="4" w:space="0" w:color="auto"/>
            </w:tcBorders>
          </w:tcPr>
          <w:p w14:paraId="59D362E4" w14:textId="77777777" w:rsidR="00EC7C3B" w:rsidRPr="00DC0CD3" w:rsidRDefault="00EC7C3B" w:rsidP="00723357">
            <w:pPr>
              <w:rPr>
                <w:rFonts w:asciiTheme="minorHAnsi" w:hAnsiTheme="minorHAnsi"/>
                <w:sz w:val="22"/>
                <w:szCs w:val="22"/>
              </w:rPr>
            </w:pPr>
            <w:r w:rsidRPr="00DC0CD3">
              <w:rPr>
                <w:rFonts w:asciiTheme="minorHAnsi" w:hAnsiTheme="minorHAnsi"/>
                <w:sz w:val="22"/>
                <w:szCs w:val="22"/>
              </w:rPr>
              <w:t>Expiry Date, Notional Currency, Price Multiplier</w:t>
            </w:r>
          </w:p>
        </w:tc>
      </w:tr>
      <w:tr w:rsidR="00EC7C3B" w:rsidRPr="00DC0CD3" w14:paraId="12130046" w14:textId="77777777" w:rsidTr="00723357">
        <w:tc>
          <w:tcPr>
            <w:tcW w:w="1627" w:type="dxa"/>
          </w:tcPr>
          <w:p w14:paraId="2EA583EF" w14:textId="77777777" w:rsidR="00EC7C3B" w:rsidRPr="00DC0CD3" w:rsidRDefault="00EC7C3B" w:rsidP="00723357">
            <w:pPr>
              <w:rPr>
                <w:rFonts w:asciiTheme="minorHAnsi" w:hAnsiTheme="minorHAnsi"/>
                <w:sz w:val="22"/>
                <w:szCs w:val="22"/>
              </w:rPr>
            </w:pPr>
            <w:r w:rsidRPr="00DC0CD3">
              <w:rPr>
                <w:rFonts w:asciiTheme="minorHAnsi" w:hAnsiTheme="minorHAnsi"/>
                <w:sz w:val="22"/>
                <w:szCs w:val="22"/>
              </w:rPr>
              <w:t>Commodities</w:t>
            </w:r>
          </w:p>
        </w:tc>
        <w:tc>
          <w:tcPr>
            <w:tcW w:w="2044" w:type="dxa"/>
          </w:tcPr>
          <w:p w14:paraId="1EC33E4B" w14:textId="77777777" w:rsidR="00EC7C3B" w:rsidRPr="00DC0CD3" w:rsidRDefault="00EC7C3B" w:rsidP="00723357">
            <w:pPr>
              <w:rPr>
                <w:rFonts w:asciiTheme="minorHAnsi" w:hAnsiTheme="minorHAnsi"/>
                <w:sz w:val="22"/>
                <w:szCs w:val="22"/>
              </w:rPr>
            </w:pPr>
            <w:r w:rsidRPr="00DC0CD3">
              <w:rPr>
                <w:rFonts w:asciiTheme="minorHAnsi" w:hAnsiTheme="minorHAnsi"/>
                <w:sz w:val="22"/>
                <w:szCs w:val="22"/>
              </w:rPr>
              <w:t>3 to 7</w:t>
            </w:r>
          </w:p>
        </w:tc>
        <w:tc>
          <w:tcPr>
            <w:tcW w:w="3925" w:type="dxa"/>
          </w:tcPr>
          <w:p w14:paraId="43398E40" w14:textId="77777777" w:rsidR="00EC7C3B" w:rsidRPr="00DC0CD3" w:rsidRDefault="00EC7C3B" w:rsidP="00723357">
            <w:pPr>
              <w:rPr>
                <w:rFonts w:asciiTheme="minorHAnsi" w:hAnsiTheme="minorHAnsi"/>
                <w:sz w:val="22"/>
                <w:szCs w:val="22"/>
              </w:rPr>
            </w:pPr>
            <w:r w:rsidRPr="00DC0CD3">
              <w:rPr>
                <w:rFonts w:asciiTheme="minorHAnsi" w:hAnsiTheme="minorHAnsi"/>
                <w:sz w:val="22"/>
                <w:szCs w:val="22"/>
              </w:rPr>
              <w:t xml:space="preserve">Expiry Date, Final Price Type, Notional Currency, Price Multiplier, Reference Rate, Transaction Type, Underlier identifier </w:t>
            </w:r>
          </w:p>
        </w:tc>
      </w:tr>
      <w:tr w:rsidR="00EC7C3B" w:rsidRPr="00DC0CD3" w14:paraId="44F08AA3" w14:textId="77777777" w:rsidTr="00723357">
        <w:tc>
          <w:tcPr>
            <w:tcW w:w="1627" w:type="dxa"/>
          </w:tcPr>
          <w:p w14:paraId="7DFE3ACB" w14:textId="77777777" w:rsidR="00EC7C3B" w:rsidRPr="00DC0CD3" w:rsidRDefault="00EC7C3B" w:rsidP="00723357">
            <w:pPr>
              <w:rPr>
                <w:rFonts w:asciiTheme="minorHAnsi" w:hAnsiTheme="minorHAnsi"/>
                <w:sz w:val="22"/>
                <w:szCs w:val="22"/>
              </w:rPr>
            </w:pPr>
            <w:r w:rsidRPr="00DC0CD3">
              <w:rPr>
                <w:rFonts w:asciiTheme="minorHAnsi" w:hAnsiTheme="minorHAnsi"/>
                <w:sz w:val="22"/>
                <w:szCs w:val="22"/>
              </w:rPr>
              <w:t>FX</w:t>
            </w:r>
          </w:p>
        </w:tc>
        <w:tc>
          <w:tcPr>
            <w:tcW w:w="2044" w:type="dxa"/>
          </w:tcPr>
          <w:p w14:paraId="1D2274E2" w14:textId="77777777" w:rsidR="00EC7C3B" w:rsidRPr="00DC0CD3" w:rsidRDefault="00EC7C3B" w:rsidP="00723357">
            <w:pPr>
              <w:rPr>
                <w:rFonts w:asciiTheme="minorHAnsi" w:hAnsiTheme="minorHAnsi"/>
                <w:sz w:val="22"/>
                <w:szCs w:val="22"/>
              </w:rPr>
            </w:pPr>
            <w:r w:rsidRPr="00DC0CD3">
              <w:rPr>
                <w:rFonts w:asciiTheme="minorHAnsi" w:hAnsiTheme="minorHAnsi"/>
                <w:sz w:val="22"/>
                <w:szCs w:val="22"/>
              </w:rPr>
              <w:t>0 to 3</w:t>
            </w:r>
          </w:p>
        </w:tc>
        <w:tc>
          <w:tcPr>
            <w:tcW w:w="3925" w:type="dxa"/>
          </w:tcPr>
          <w:p w14:paraId="4DEAD4BF" w14:textId="77777777" w:rsidR="00EC7C3B" w:rsidRPr="00DC0CD3" w:rsidRDefault="00EC7C3B" w:rsidP="00723357">
            <w:pPr>
              <w:rPr>
                <w:rFonts w:asciiTheme="minorHAnsi" w:hAnsiTheme="minorHAnsi"/>
                <w:sz w:val="22"/>
                <w:szCs w:val="22"/>
              </w:rPr>
            </w:pPr>
            <w:r w:rsidRPr="00DC0CD3">
              <w:rPr>
                <w:rFonts w:asciiTheme="minorHAnsi" w:hAnsiTheme="minorHAnsi"/>
                <w:sz w:val="22"/>
                <w:szCs w:val="22"/>
              </w:rPr>
              <w:t>Delivery Type, Expiry Date, Instrument ISIN Near Leg, Instrument ISIN Far leg, Place of Settlement, Price Multiplier, Settlement Currency</w:t>
            </w:r>
          </w:p>
        </w:tc>
      </w:tr>
      <w:tr w:rsidR="00EC7C3B" w:rsidRPr="00DC0CD3" w14:paraId="01C3781B" w14:textId="77777777" w:rsidTr="00723357">
        <w:tc>
          <w:tcPr>
            <w:tcW w:w="1627" w:type="dxa"/>
          </w:tcPr>
          <w:p w14:paraId="5B037497" w14:textId="77777777" w:rsidR="00EC7C3B" w:rsidRPr="00DC0CD3" w:rsidRDefault="00EC7C3B" w:rsidP="00723357">
            <w:pPr>
              <w:rPr>
                <w:rFonts w:asciiTheme="minorHAnsi" w:hAnsiTheme="minorHAnsi"/>
                <w:sz w:val="22"/>
                <w:szCs w:val="22"/>
              </w:rPr>
            </w:pPr>
            <w:r w:rsidRPr="00DC0CD3">
              <w:rPr>
                <w:rFonts w:asciiTheme="minorHAnsi" w:hAnsiTheme="minorHAnsi"/>
                <w:sz w:val="22"/>
                <w:szCs w:val="22"/>
              </w:rPr>
              <w:t>Rates</w:t>
            </w:r>
          </w:p>
        </w:tc>
        <w:tc>
          <w:tcPr>
            <w:tcW w:w="2044" w:type="dxa"/>
          </w:tcPr>
          <w:p w14:paraId="2E9CBBD8" w14:textId="77777777" w:rsidR="00EC7C3B" w:rsidRPr="00DC0CD3" w:rsidRDefault="00EC7C3B" w:rsidP="00723357">
            <w:pPr>
              <w:rPr>
                <w:rFonts w:asciiTheme="minorHAnsi" w:hAnsiTheme="minorHAnsi"/>
                <w:sz w:val="22"/>
                <w:szCs w:val="22"/>
              </w:rPr>
            </w:pPr>
            <w:r w:rsidRPr="00DC0CD3">
              <w:rPr>
                <w:rFonts w:asciiTheme="minorHAnsi" w:hAnsiTheme="minorHAnsi"/>
                <w:sz w:val="22"/>
                <w:szCs w:val="22"/>
              </w:rPr>
              <w:t>1 to 4</w:t>
            </w:r>
          </w:p>
        </w:tc>
        <w:tc>
          <w:tcPr>
            <w:tcW w:w="3925" w:type="dxa"/>
          </w:tcPr>
          <w:p w14:paraId="4DDF1207" w14:textId="77777777" w:rsidR="00EC7C3B" w:rsidRPr="00DC0CD3" w:rsidRDefault="00EC7C3B" w:rsidP="00723357">
            <w:pPr>
              <w:rPr>
                <w:rFonts w:asciiTheme="minorHAnsi" w:hAnsiTheme="minorHAnsi"/>
                <w:sz w:val="22"/>
                <w:szCs w:val="22"/>
              </w:rPr>
            </w:pPr>
            <w:r w:rsidRPr="00DC0CD3">
              <w:rPr>
                <w:rFonts w:asciiTheme="minorHAnsi" w:hAnsiTheme="minorHAnsi"/>
                <w:sz w:val="22"/>
                <w:szCs w:val="22"/>
              </w:rPr>
              <w:t>Expiry Date, Price Multiplier, Term of Contract Value, Term of Contract Unit</w:t>
            </w:r>
          </w:p>
        </w:tc>
      </w:tr>
      <w:tr w:rsidR="00EC7C3B" w:rsidRPr="00DC0CD3" w14:paraId="4E839C02" w14:textId="77777777" w:rsidTr="00723357">
        <w:tc>
          <w:tcPr>
            <w:tcW w:w="1627" w:type="dxa"/>
          </w:tcPr>
          <w:p w14:paraId="42E343F4" w14:textId="77777777" w:rsidR="00EC7C3B" w:rsidRPr="00DC0CD3" w:rsidRDefault="00EC7C3B" w:rsidP="00723357">
            <w:pPr>
              <w:rPr>
                <w:rFonts w:asciiTheme="minorHAnsi" w:hAnsiTheme="minorHAnsi"/>
                <w:sz w:val="22"/>
                <w:szCs w:val="22"/>
              </w:rPr>
            </w:pPr>
            <w:r w:rsidRPr="00DC0CD3">
              <w:rPr>
                <w:rFonts w:asciiTheme="minorHAnsi" w:hAnsiTheme="minorHAnsi"/>
                <w:sz w:val="22"/>
                <w:szCs w:val="22"/>
              </w:rPr>
              <w:t>Equity</w:t>
            </w:r>
          </w:p>
        </w:tc>
        <w:tc>
          <w:tcPr>
            <w:tcW w:w="2044" w:type="dxa"/>
          </w:tcPr>
          <w:p w14:paraId="23B2BE90" w14:textId="77777777" w:rsidR="00EC7C3B" w:rsidRPr="00DC0CD3" w:rsidRDefault="00EC7C3B" w:rsidP="00723357">
            <w:pPr>
              <w:rPr>
                <w:rFonts w:asciiTheme="minorHAnsi" w:hAnsiTheme="minorHAnsi"/>
                <w:sz w:val="22"/>
                <w:szCs w:val="22"/>
              </w:rPr>
            </w:pPr>
            <w:r w:rsidRPr="00DC0CD3">
              <w:rPr>
                <w:rFonts w:asciiTheme="minorHAnsi" w:hAnsiTheme="minorHAnsi"/>
                <w:sz w:val="22"/>
                <w:szCs w:val="22"/>
              </w:rPr>
              <w:t>2 to 6</w:t>
            </w:r>
          </w:p>
        </w:tc>
        <w:tc>
          <w:tcPr>
            <w:tcW w:w="3925" w:type="dxa"/>
          </w:tcPr>
          <w:p w14:paraId="1B455968" w14:textId="77777777" w:rsidR="00EC7C3B" w:rsidRPr="00DC0CD3" w:rsidRDefault="00EC7C3B" w:rsidP="00723357">
            <w:pPr>
              <w:rPr>
                <w:rFonts w:asciiTheme="minorHAnsi" w:hAnsiTheme="minorHAnsi"/>
                <w:sz w:val="22"/>
                <w:szCs w:val="22"/>
              </w:rPr>
            </w:pPr>
            <w:r w:rsidRPr="00DC0CD3">
              <w:rPr>
                <w:rFonts w:asciiTheme="minorHAnsi" w:hAnsiTheme="minorHAnsi"/>
                <w:sz w:val="22"/>
                <w:szCs w:val="22"/>
              </w:rPr>
              <w:t xml:space="preserve">Expiry Date, Notional Currency, Price Multiple, Strike Price Type, Strike Price, Underlier identifier </w:t>
            </w:r>
          </w:p>
        </w:tc>
      </w:tr>
      <w:tr w:rsidR="00EC7C3B" w:rsidRPr="00DC0CD3" w14:paraId="00DBD384" w14:textId="77777777" w:rsidTr="00723357">
        <w:trPr>
          <w:trHeight w:val="70"/>
        </w:trPr>
        <w:tc>
          <w:tcPr>
            <w:tcW w:w="1627" w:type="dxa"/>
          </w:tcPr>
          <w:p w14:paraId="2A04DF88" w14:textId="77777777" w:rsidR="00EC7C3B" w:rsidRPr="00DC0CD3" w:rsidRDefault="00EC7C3B" w:rsidP="00723357">
            <w:pPr>
              <w:rPr>
                <w:rFonts w:asciiTheme="minorHAnsi" w:hAnsiTheme="minorHAnsi"/>
                <w:sz w:val="22"/>
                <w:szCs w:val="22"/>
              </w:rPr>
            </w:pPr>
            <w:r w:rsidRPr="00DC0CD3">
              <w:rPr>
                <w:rFonts w:asciiTheme="minorHAnsi" w:hAnsiTheme="minorHAnsi"/>
                <w:sz w:val="22"/>
                <w:szCs w:val="22"/>
              </w:rPr>
              <w:t>Multi-assets</w:t>
            </w:r>
          </w:p>
        </w:tc>
        <w:tc>
          <w:tcPr>
            <w:tcW w:w="2044" w:type="dxa"/>
          </w:tcPr>
          <w:p w14:paraId="18001FFA" w14:textId="77777777" w:rsidR="00EC7C3B" w:rsidRPr="00DC0CD3" w:rsidRDefault="00EC7C3B" w:rsidP="00723357">
            <w:pPr>
              <w:rPr>
                <w:rFonts w:asciiTheme="minorHAnsi" w:hAnsiTheme="minorHAnsi"/>
                <w:sz w:val="22"/>
                <w:szCs w:val="22"/>
              </w:rPr>
            </w:pPr>
            <w:r w:rsidRPr="00DC0CD3">
              <w:rPr>
                <w:rFonts w:asciiTheme="minorHAnsi" w:hAnsiTheme="minorHAnsi"/>
                <w:sz w:val="22"/>
                <w:szCs w:val="22"/>
              </w:rPr>
              <w:t>6</w:t>
            </w:r>
          </w:p>
        </w:tc>
        <w:tc>
          <w:tcPr>
            <w:tcW w:w="3925" w:type="dxa"/>
          </w:tcPr>
          <w:p w14:paraId="57D77CCE" w14:textId="77777777" w:rsidR="00EC7C3B" w:rsidRPr="00DC0CD3" w:rsidRDefault="00EC7C3B" w:rsidP="00723357">
            <w:pPr>
              <w:rPr>
                <w:rFonts w:asciiTheme="minorHAnsi" w:hAnsiTheme="minorHAnsi"/>
                <w:sz w:val="22"/>
                <w:szCs w:val="22"/>
              </w:rPr>
            </w:pPr>
            <w:r w:rsidRPr="00DC0CD3">
              <w:rPr>
                <w:rFonts w:asciiTheme="minorHAnsi" w:hAnsiTheme="minorHAnsi"/>
                <w:sz w:val="22"/>
                <w:szCs w:val="22"/>
              </w:rPr>
              <w:t>Expiry Date, Commodities Final Price Type, Commodities Transaction Type, Price Multiplier, Term of Contract Unit, Term of Contract Value</w:t>
            </w:r>
          </w:p>
        </w:tc>
      </w:tr>
    </w:tbl>
    <w:p w14:paraId="7EEA780F" w14:textId="77777777" w:rsidR="00B5643E" w:rsidRDefault="00B5643E" w:rsidP="00EC7C3B">
      <w:pPr>
        <w:spacing w:after="200" w:line="276" w:lineRule="auto"/>
        <w:rPr>
          <w:rFonts w:asciiTheme="minorHAnsi" w:hAnsiTheme="minorHAnsi"/>
          <w:sz w:val="22"/>
          <w:szCs w:val="22"/>
        </w:rPr>
      </w:pPr>
    </w:p>
    <w:p w14:paraId="2B1E980F" w14:textId="50BAEA58" w:rsidR="00EC7C3B" w:rsidRDefault="00EC7C3B" w:rsidP="00EC7C3B">
      <w:pPr>
        <w:spacing w:after="200" w:line="276" w:lineRule="auto"/>
        <w:rPr>
          <w:rFonts w:asciiTheme="minorHAnsi" w:hAnsiTheme="minorHAnsi"/>
          <w:sz w:val="22"/>
          <w:szCs w:val="22"/>
        </w:rPr>
      </w:pPr>
      <w:r>
        <w:rPr>
          <w:rFonts w:asciiTheme="minorHAnsi" w:hAnsiTheme="minorHAnsi"/>
          <w:sz w:val="22"/>
          <w:szCs w:val="22"/>
        </w:rPr>
        <w:t>T</w:t>
      </w:r>
      <w:r w:rsidRPr="002915CF">
        <w:rPr>
          <w:rFonts w:asciiTheme="minorHAnsi" w:hAnsiTheme="minorHAnsi"/>
          <w:sz w:val="22"/>
          <w:szCs w:val="22"/>
        </w:rPr>
        <w:t xml:space="preserve">able </w:t>
      </w:r>
      <w:r>
        <w:rPr>
          <w:rFonts w:asciiTheme="minorHAnsi" w:hAnsiTheme="minorHAnsi"/>
          <w:sz w:val="22"/>
          <w:szCs w:val="22"/>
        </w:rPr>
        <w:t>1.1A illustrates:</w:t>
      </w:r>
      <w:r w:rsidRPr="002915CF">
        <w:rPr>
          <w:rFonts w:asciiTheme="minorHAnsi" w:hAnsiTheme="minorHAnsi"/>
          <w:sz w:val="22"/>
          <w:szCs w:val="22"/>
        </w:rPr>
        <w:t xml:space="preserve"> </w:t>
      </w:r>
    </w:p>
    <w:p w14:paraId="4FBC4EA1" w14:textId="77777777" w:rsidR="00EC7C3B" w:rsidRDefault="00EC7C3B" w:rsidP="00811CBF">
      <w:pPr>
        <w:pStyle w:val="ListParagraph"/>
        <w:numPr>
          <w:ilvl w:val="0"/>
          <w:numId w:val="44"/>
        </w:numPr>
      </w:pPr>
      <w:r w:rsidRPr="00BD15B9">
        <w:t>that the range for the number of attributes embedded within the OTC ISIN is greater than the range for the UPI</w:t>
      </w:r>
      <w:r>
        <w:t xml:space="preserve"> for each</w:t>
      </w:r>
      <w:r w:rsidRPr="00BD15B9">
        <w:t xml:space="preserve"> asset class</w:t>
      </w:r>
      <w:r>
        <w:t xml:space="preserve">; and </w:t>
      </w:r>
      <w:r w:rsidRPr="00BD15B9">
        <w:t xml:space="preserve"> </w:t>
      </w:r>
    </w:p>
    <w:p w14:paraId="06214A26" w14:textId="77777777" w:rsidR="00EC7C3B" w:rsidRPr="008120AC" w:rsidRDefault="00EC7C3B" w:rsidP="00811CBF">
      <w:pPr>
        <w:pStyle w:val="ListParagraph"/>
        <w:numPr>
          <w:ilvl w:val="0"/>
          <w:numId w:val="44"/>
        </w:numPr>
      </w:pPr>
      <w:r w:rsidRPr="00BD15B9">
        <w:t xml:space="preserve">an OTC ISIN can encapsulate up to </w:t>
      </w:r>
      <w:r w:rsidRPr="00106824">
        <w:t>7 additional data attributes</w:t>
      </w:r>
      <w:r w:rsidRPr="00BD15B9">
        <w:rPr>
          <w:b/>
          <w:bCs/>
        </w:rPr>
        <w:t xml:space="preserve"> </w:t>
      </w:r>
      <w:r w:rsidRPr="00BD15B9">
        <w:t>than the UPI for some OTC derivatives.</w:t>
      </w:r>
      <w:r w:rsidRPr="002915CF">
        <w:t xml:space="preserve"> </w:t>
      </w:r>
      <w:r w:rsidRPr="008120AC">
        <w:t xml:space="preserve"> </w:t>
      </w:r>
    </w:p>
    <w:p w14:paraId="462652E5" w14:textId="77777777" w:rsidR="00EC7C3B" w:rsidRPr="002915CF" w:rsidRDefault="00EC7C3B" w:rsidP="00EC7C3B">
      <w:pPr>
        <w:rPr>
          <w:rFonts w:asciiTheme="minorHAnsi" w:hAnsiTheme="minorHAnsi"/>
          <w:sz w:val="22"/>
          <w:szCs w:val="22"/>
        </w:rPr>
      </w:pPr>
    </w:p>
    <w:p w14:paraId="07DCC976" w14:textId="77777777" w:rsidR="00EC7C3B" w:rsidRPr="00AF080B" w:rsidRDefault="00EC7C3B" w:rsidP="00811CBF">
      <w:pPr>
        <w:pStyle w:val="ListParagraph"/>
        <w:numPr>
          <w:ilvl w:val="1"/>
          <w:numId w:val="43"/>
        </w:numPr>
        <w:rPr>
          <w:b/>
          <w:bCs/>
        </w:rPr>
      </w:pPr>
      <w:r w:rsidRPr="00AF080B">
        <w:rPr>
          <w:b/>
          <w:bCs/>
        </w:rPr>
        <w:lastRenderedPageBreak/>
        <w:t>Analysis on OTC derivatives underlying basket constituents</w:t>
      </w:r>
    </w:p>
    <w:p w14:paraId="3C296F70" w14:textId="77777777" w:rsidR="00EC7C3B" w:rsidRPr="002915CF" w:rsidRDefault="00EC7C3B" w:rsidP="00EC7C3B">
      <w:pPr>
        <w:rPr>
          <w:rFonts w:asciiTheme="minorHAnsi" w:hAnsiTheme="minorHAnsi"/>
          <w:b/>
          <w:bCs/>
          <w:sz w:val="22"/>
          <w:szCs w:val="22"/>
        </w:rPr>
      </w:pPr>
    </w:p>
    <w:p w14:paraId="1CA4DEAD" w14:textId="195D670A" w:rsidR="00EC7C3B" w:rsidRPr="002915CF" w:rsidRDefault="00EC7C3B" w:rsidP="00EC7C3B">
      <w:pPr>
        <w:rPr>
          <w:rFonts w:asciiTheme="minorHAnsi" w:hAnsiTheme="minorHAnsi"/>
          <w:sz w:val="22"/>
          <w:szCs w:val="22"/>
        </w:rPr>
      </w:pPr>
      <w:r w:rsidRPr="002915CF">
        <w:rPr>
          <w:rFonts w:asciiTheme="minorHAnsi" w:hAnsiTheme="minorHAnsi"/>
          <w:sz w:val="22"/>
          <w:szCs w:val="22"/>
        </w:rPr>
        <w:t>The choice of identifier for</w:t>
      </w:r>
      <w:r>
        <w:rPr>
          <w:rFonts w:asciiTheme="minorHAnsi" w:hAnsiTheme="minorHAnsi"/>
          <w:sz w:val="22"/>
          <w:szCs w:val="22"/>
        </w:rPr>
        <w:t xml:space="preserve"> OTC derivatives with underlying</w:t>
      </w:r>
      <w:r w:rsidRPr="002915CF">
        <w:rPr>
          <w:rFonts w:asciiTheme="minorHAnsi" w:hAnsiTheme="minorHAnsi"/>
          <w:sz w:val="22"/>
          <w:szCs w:val="22"/>
        </w:rPr>
        <w:t xml:space="preserve"> baskets is critically important. The OTC ISIN embeds within it information on underlying basket constituents whereas the UPI does not</w:t>
      </w:r>
      <w:r>
        <w:rPr>
          <w:rFonts w:asciiTheme="minorHAnsi" w:hAnsiTheme="minorHAnsi"/>
          <w:sz w:val="22"/>
          <w:szCs w:val="22"/>
        </w:rPr>
        <w:t xml:space="preserve"> </w:t>
      </w:r>
      <w:r w:rsidR="009151D7">
        <w:rPr>
          <w:rFonts w:asciiTheme="minorHAnsi" w:hAnsiTheme="minorHAnsi"/>
          <w:sz w:val="22"/>
          <w:szCs w:val="22"/>
        </w:rPr>
        <w:t>because</w:t>
      </w:r>
      <w:r>
        <w:rPr>
          <w:rFonts w:asciiTheme="minorHAnsi" w:hAnsiTheme="minorHAnsi"/>
          <w:sz w:val="22"/>
          <w:szCs w:val="22"/>
        </w:rPr>
        <w:t xml:space="preserve"> it was created to facilitate risk aggregation and </w:t>
      </w:r>
      <w:r w:rsidR="009151D7">
        <w:rPr>
          <w:rFonts w:asciiTheme="minorHAnsi" w:hAnsiTheme="minorHAnsi"/>
          <w:sz w:val="22"/>
          <w:szCs w:val="22"/>
        </w:rPr>
        <w:t xml:space="preserve">is </w:t>
      </w:r>
      <w:r>
        <w:rPr>
          <w:rFonts w:asciiTheme="minorHAnsi" w:hAnsiTheme="minorHAnsi"/>
          <w:sz w:val="22"/>
          <w:szCs w:val="22"/>
        </w:rPr>
        <w:t>therefore a less granular identifier</w:t>
      </w:r>
      <w:r w:rsidRPr="002915CF">
        <w:rPr>
          <w:rFonts w:asciiTheme="minorHAnsi" w:hAnsiTheme="minorHAnsi"/>
          <w:sz w:val="22"/>
          <w:szCs w:val="22"/>
        </w:rPr>
        <w:t xml:space="preserve">. </w:t>
      </w:r>
    </w:p>
    <w:p w14:paraId="7BFF5528" w14:textId="77777777" w:rsidR="00EC7C3B" w:rsidRPr="002915CF" w:rsidRDefault="00EC7C3B" w:rsidP="00EC7C3B">
      <w:pPr>
        <w:rPr>
          <w:rFonts w:asciiTheme="minorHAnsi" w:hAnsiTheme="minorHAnsi"/>
          <w:sz w:val="22"/>
          <w:szCs w:val="22"/>
        </w:rPr>
      </w:pPr>
    </w:p>
    <w:p w14:paraId="0D72D639" w14:textId="77777777" w:rsidR="00EC7C3B" w:rsidRPr="002915CF" w:rsidRDefault="00EC7C3B" w:rsidP="00EC7C3B">
      <w:pPr>
        <w:rPr>
          <w:rFonts w:asciiTheme="minorHAnsi" w:hAnsiTheme="minorHAnsi"/>
          <w:sz w:val="22"/>
          <w:szCs w:val="22"/>
        </w:rPr>
      </w:pPr>
      <w:r>
        <w:rPr>
          <w:rFonts w:asciiTheme="minorHAnsi" w:hAnsiTheme="minorHAnsi"/>
          <w:sz w:val="22"/>
          <w:szCs w:val="22"/>
        </w:rPr>
        <w:t>T</w:t>
      </w:r>
      <w:r w:rsidRPr="002915CF">
        <w:rPr>
          <w:rFonts w:asciiTheme="minorHAnsi" w:hAnsiTheme="minorHAnsi"/>
          <w:sz w:val="22"/>
          <w:szCs w:val="22"/>
        </w:rPr>
        <w:t xml:space="preserve">able </w:t>
      </w:r>
      <w:r>
        <w:rPr>
          <w:rFonts w:asciiTheme="minorHAnsi" w:hAnsiTheme="minorHAnsi"/>
          <w:sz w:val="22"/>
          <w:szCs w:val="22"/>
        </w:rPr>
        <w:t xml:space="preserve">1.2A </w:t>
      </w:r>
      <w:r w:rsidRPr="002915CF">
        <w:rPr>
          <w:rFonts w:asciiTheme="minorHAnsi" w:hAnsiTheme="minorHAnsi"/>
          <w:sz w:val="22"/>
          <w:szCs w:val="22"/>
        </w:rPr>
        <w:t xml:space="preserve">shows the total number of </w:t>
      </w:r>
      <w:r>
        <w:rPr>
          <w:rFonts w:asciiTheme="minorHAnsi" w:hAnsiTheme="minorHAnsi"/>
          <w:sz w:val="22"/>
          <w:szCs w:val="22"/>
        </w:rPr>
        <w:t xml:space="preserve">OTC ISINs created for </w:t>
      </w:r>
      <w:r w:rsidRPr="002915CF">
        <w:rPr>
          <w:rFonts w:asciiTheme="minorHAnsi" w:hAnsiTheme="minorHAnsi"/>
          <w:sz w:val="22"/>
          <w:szCs w:val="22"/>
        </w:rPr>
        <w:t>OTC derivative</w:t>
      </w:r>
      <w:r>
        <w:rPr>
          <w:rFonts w:asciiTheme="minorHAnsi" w:hAnsiTheme="minorHAnsi"/>
          <w:sz w:val="22"/>
          <w:szCs w:val="22"/>
        </w:rPr>
        <w:t>s with underlying</w:t>
      </w:r>
      <w:r w:rsidRPr="002915CF">
        <w:rPr>
          <w:rFonts w:asciiTheme="minorHAnsi" w:hAnsiTheme="minorHAnsi"/>
          <w:sz w:val="22"/>
          <w:szCs w:val="22"/>
        </w:rPr>
        <w:t xml:space="preserve"> </w:t>
      </w:r>
      <w:r w:rsidRPr="008C25E4">
        <w:rPr>
          <w:rFonts w:asciiTheme="minorHAnsi" w:hAnsiTheme="minorHAnsi"/>
          <w:sz w:val="22"/>
          <w:szCs w:val="22"/>
        </w:rPr>
        <w:t xml:space="preserve">baskets since </w:t>
      </w:r>
      <w:r>
        <w:rPr>
          <w:rFonts w:asciiTheme="minorHAnsi" w:hAnsiTheme="minorHAnsi"/>
          <w:sz w:val="22"/>
          <w:szCs w:val="22"/>
        </w:rPr>
        <w:t>the launch of the OTC ISIN Service in 2018</w:t>
      </w:r>
      <w:r w:rsidRPr="008C25E4">
        <w:rPr>
          <w:rFonts w:asciiTheme="minorHAnsi" w:hAnsiTheme="minorHAnsi"/>
          <w:sz w:val="22"/>
          <w:szCs w:val="22"/>
        </w:rPr>
        <w:t xml:space="preserve"> to 1 July 2025</w:t>
      </w:r>
      <w:r>
        <w:rPr>
          <w:rFonts w:asciiTheme="minorHAnsi" w:hAnsiTheme="minorHAnsi"/>
          <w:sz w:val="22"/>
          <w:szCs w:val="22"/>
        </w:rPr>
        <w:t xml:space="preserve"> </w:t>
      </w:r>
      <w:r w:rsidRPr="002915CF">
        <w:rPr>
          <w:rFonts w:asciiTheme="minorHAnsi" w:hAnsiTheme="minorHAnsi"/>
          <w:sz w:val="22"/>
          <w:szCs w:val="22"/>
        </w:rPr>
        <w:t xml:space="preserve">by type of basket. </w:t>
      </w:r>
      <w:r>
        <w:rPr>
          <w:rFonts w:asciiTheme="minorHAnsi" w:hAnsiTheme="minorHAnsi"/>
          <w:sz w:val="22"/>
          <w:szCs w:val="22"/>
        </w:rPr>
        <w:t xml:space="preserve">The table </w:t>
      </w:r>
      <w:r w:rsidRPr="002915CF">
        <w:rPr>
          <w:rFonts w:asciiTheme="minorHAnsi" w:hAnsiTheme="minorHAnsi"/>
          <w:sz w:val="22"/>
          <w:szCs w:val="22"/>
        </w:rPr>
        <w:t>also shows the maximum number of UPI</w:t>
      </w:r>
      <w:r>
        <w:rPr>
          <w:rFonts w:asciiTheme="minorHAnsi" w:hAnsiTheme="minorHAnsi"/>
          <w:sz w:val="22"/>
          <w:szCs w:val="22"/>
        </w:rPr>
        <w:t xml:space="preserve"> permutations that could be created </w:t>
      </w:r>
      <w:r w:rsidRPr="002915CF">
        <w:rPr>
          <w:rFonts w:asciiTheme="minorHAnsi" w:hAnsiTheme="minorHAnsi"/>
          <w:sz w:val="22"/>
          <w:szCs w:val="22"/>
        </w:rPr>
        <w:t xml:space="preserve">for each type of OTC derivatives basket. </w:t>
      </w:r>
    </w:p>
    <w:p w14:paraId="0990F166" w14:textId="77777777" w:rsidR="00EC7C3B" w:rsidRPr="002915CF" w:rsidRDefault="00EC7C3B" w:rsidP="00EC7C3B">
      <w:pPr>
        <w:rPr>
          <w:rFonts w:asciiTheme="minorHAnsi" w:hAnsiTheme="minorHAnsi"/>
          <w:sz w:val="22"/>
          <w:szCs w:val="22"/>
        </w:rPr>
      </w:pPr>
    </w:p>
    <w:p w14:paraId="17895313" w14:textId="2136EBF1" w:rsidR="00582C43" w:rsidRDefault="00EC7C3B" w:rsidP="00EC7C3B">
      <w:pPr>
        <w:rPr>
          <w:rFonts w:asciiTheme="minorHAnsi" w:hAnsiTheme="minorHAnsi"/>
          <w:b/>
          <w:bCs/>
          <w:sz w:val="22"/>
          <w:szCs w:val="22"/>
        </w:rPr>
      </w:pPr>
      <w:r w:rsidRPr="00A07389">
        <w:rPr>
          <w:rFonts w:asciiTheme="minorHAnsi" w:hAnsiTheme="minorHAnsi"/>
          <w:b/>
          <w:bCs/>
          <w:sz w:val="22"/>
          <w:szCs w:val="22"/>
        </w:rPr>
        <w:t xml:space="preserve">Table </w:t>
      </w:r>
      <w:r>
        <w:rPr>
          <w:rFonts w:asciiTheme="minorHAnsi" w:hAnsiTheme="minorHAnsi"/>
          <w:b/>
          <w:bCs/>
          <w:sz w:val="22"/>
          <w:szCs w:val="22"/>
        </w:rPr>
        <w:t>1.2A</w:t>
      </w:r>
      <w:r w:rsidRPr="00A07389">
        <w:rPr>
          <w:rFonts w:asciiTheme="minorHAnsi" w:hAnsiTheme="minorHAnsi"/>
          <w:b/>
          <w:bCs/>
          <w:sz w:val="22"/>
          <w:szCs w:val="22"/>
        </w:rPr>
        <w:t xml:space="preserve">: Total number of </w:t>
      </w:r>
      <w:r w:rsidR="00130402">
        <w:rPr>
          <w:rFonts w:asciiTheme="minorHAnsi" w:hAnsiTheme="minorHAnsi"/>
          <w:b/>
          <w:bCs/>
          <w:sz w:val="22"/>
          <w:szCs w:val="22"/>
        </w:rPr>
        <w:t xml:space="preserve">OTC </w:t>
      </w:r>
      <w:r w:rsidRPr="00A07389">
        <w:rPr>
          <w:rFonts w:asciiTheme="minorHAnsi" w:hAnsiTheme="minorHAnsi"/>
          <w:b/>
          <w:bCs/>
          <w:sz w:val="22"/>
          <w:szCs w:val="22"/>
        </w:rPr>
        <w:t xml:space="preserve">ISINs created for different OTC derivative baskets </w:t>
      </w:r>
    </w:p>
    <w:p w14:paraId="294D78E3" w14:textId="77777777" w:rsidR="00483484" w:rsidRPr="00913335" w:rsidRDefault="00483484" w:rsidP="00EC7C3B">
      <w:pPr>
        <w:rPr>
          <w:rFonts w:asciiTheme="minorHAnsi" w:hAnsiTheme="minorHAnsi" w:cstheme="minorHAnsi"/>
          <w:b/>
          <w:bCs/>
          <w:sz w:val="20"/>
          <w:szCs w:val="20"/>
        </w:rPr>
      </w:pPr>
    </w:p>
    <w:tbl>
      <w:tblPr>
        <w:tblStyle w:val="TableGrid"/>
        <w:tblW w:w="9493" w:type="dxa"/>
        <w:tblLayout w:type="fixed"/>
        <w:tblLook w:val="04A0" w:firstRow="1" w:lastRow="0" w:firstColumn="1" w:lastColumn="0" w:noHBand="0" w:noVBand="1"/>
      </w:tblPr>
      <w:tblGrid>
        <w:gridCol w:w="1509"/>
        <w:gridCol w:w="1265"/>
        <w:gridCol w:w="4025"/>
        <w:gridCol w:w="1134"/>
        <w:gridCol w:w="1560"/>
      </w:tblGrid>
      <w:tr w:rsidR="00913335" w:rsidRPr="00913335" w14:paraId="33678288" w14:textId="77777777" w:rsidTr="005F18ED">
        <w:tc>
          <w:tcPr>
            <w:tcW w:w="1509" w:type="dxa"/>
            <w:tcBorders>
              <w:top w:val="single" w:sz="4" w:space="0" w:color="auto"/>
              <w:left w:val="single" w:sz="4" w:space="0" w:color="auto"/>
              <w:bottom w:val="double" w:sz="4" w:space="0" w:color="auto"/>
              <w:right w:val="single" w:sz="4" w:space="0" w:color="auto"/>
            </w:tcBorders>
          </w:tcPr>
          <w:p w14:paraId="2211CEDF" w14:textId="77777777" w:rsidR="00913335" w:rsidRPr="00913335" w:rsidRDefault="00913335" w:rsidP="00723357">
            <w:pPr>
              <w:rPr>
                <w:rFonts w:asciiTheme="minorHAnsi" w:hAnsiTheme="minorHAnsi" w:cstheme="minorHAnsi"/>
                <w:b/>
                <w:bCs/>
                <w:sz w:val="20"/>
                <w:szCs w:val="20"/>
              </w:rPr>
            </w:pPr>
            <w:r w:rsidRPr="00913335">
              <w:rPr>
                <w:rFonts w:asciiTheme="minorHAnsi" w:hAnsiTheme="minorHAnsi" w:cstheme="minorHAnsi"/>
                <w:b/>
                <w:bCs/>
                <w:sz w:val="20"/>
                <w:szCs w:val="20"/>
              </w:rPr>
              <w:t>Asset Class</w:t>
            </w:r>
          </w:p>
        </w:tc>
        <w:tc>
          <w:tcPr>
            <w:tcW w:w="1265" w:type="dxa"/>
            <w:tcBorders>
              <w:top w:val="single" w:sz="4" w:space="0" w:color="auto"/>
              <w:left w:val="single" w:sz="4" w:space="0" w:color="auto"/>
              <w:bottom w:val="double" w:sz="4" w:space="0" w:color="auto"/>
              <w:right w:val="single" w:sz="4" w:space="0" w:color="auto"/>
            </w:tcBorders>
          </w:tcPr>
          <w:p w14:paraId="203A0B6B" w14:textId="77777777" w:rsidR="00913335" w:rsidRPr="00913335" w:rsidRDefault="00913335" w:rsidP="00723357">
            <w:pPr>
              <w:rPr>
                <w:rFonts w:asciiTheme="minorHAnsi" w:hAnsiTheme="minorHAnsi" w:cstheme="minorHAnsi"/>
                <w:b/>
                <w:bCs/>
                <w:sz w:val="20"/>
                <w:szCs w:val="20"/>
              </w:rPr>
            </w:pPr>
            <w:r w:rsidRPr="00913335">
              <w:rPr>
                <w:rFonts w:asciiTheme="minorHAnsi" w:hAnsiTheme="minorHAnsi" w:cstheme="minorHAnsi"/>
                <w:b/>
                <w:bCs/>
                <w:sz w:val="20"/>
                <w:szCs w:val="20"/>
              </w:rPr>
              <w:t>Instrument Type</w:t>
            </w:r>
          </w:p>
        </w:tc>
        <w:tc>
          <w:tcPr>
            <w:tcW w:w="4025" w:type="dxa"/>
            <w:tcBorders>
              <w:top w:val="single" w:sz="4" w:space="0" w:color="auto"/>
              <w:left w:val="single" w:sz="4" w:space="0" w:color="auto"/>
              <w:bottom w:val="double" w:sz="4" w:space="0" w:color="auto"/>
              <w:right w:val="single" w:sz="4" w:space="0" w:color="auto"/>
            </w:tcBorders>
          </w:tcPr>
          <w:p w14:paraId="6DD4C981" w14:textId="77777777" w:rsidR="00913335" w:rsidRPr="00913335" w:rsidRDefault="00913335" w:rsidP="00723357">
            <w:pPr>
              <w:rPr>
                <w:rFonts w:asciiTheme="minorHAnsi" w:hAnsiTheme="minorHAnsi" w:cstheme="minorHAnsi"/>
                <w:b/>
                <w:bCs/>
                <w:sz w:val="20"/>
                <w:szCs w:val="20"/>
              </w:rPr>
            </w:pPr>
            <w:r w:rsidRPr="00913335">
              <w:rPr>
                <w:rFonts w:asciiTheme="minorHAnsi" w:hAnsiTheme="minorHAnsi" w:cstheme="minorHAnsi"/>
                <w:b/>
                <w:bCs/>
                <w:sz w:val="20"/>
                <w:szCs w:val="20"/>
              </w:rPr>
              <w:t xml:space="preserve">Product* </w:t>
            </w:r>
          </w:p>
        </w:tc>
        <w:tc>
          <w:tcPr>
            <w:tcW w:w="1134" w:type="dxa"/>
            <w:tcBorders>
              <w:top w:val="single" w:sz="4" w:space="0" w:color="auto"/>
              <w:left w:val="single" w:sz="4" w:space="0" w:color="auto"/>
              <w:bottom w:val="double" w:sz="4" w:space="0" w:color="auto"/>
              <w:right w:val="single" w:sz="4" w:space="0" w:color="auto"/>
            </w:tcBorders>
          </w:tcPr>
          <w:p w14:paraId="17435E90" w14:textId="77777777" w:rsidR="00913335" w:rsidRPr="00913335" w:rsidRDefault="00913335" w:rsidP="00723357">
            <w:pPr>
              <w:rPr>
                <w:rFonts w:asciiTheme="minorHAnsi" w:hAnsiTheme="minorHAnsi" w:cstheme="minorHAnsi"/>
                <w:b/>
                <w:bCs/>
                <w:sz w:val="20"/>
                <w:szCs w:val="20"/>
              </w:rPr>
            </w:pPr>
            <w:r w:rsidRPr="00913335">
              <w:rPr>
                <w:rFonts w:asciiTheme="minorHAnsi" w:hAnsiTheme="minorHAnsi" w:cstheme="minorHAnsi"/>
                <w:b/>
                <w:bCs/>
                <w:sz w:val="20"/>
                <w:szCs w:val="20"/>
              </w:rPr>
              <w:t>Number of Total OTC ISINs Created</w:t>
            </w:r>
          </w:p>
        </w:tc>
        <w:tc>
          <w:tcPr>
            <w:tcW w:w="1560" w:type="dxa"/>
            <w:tcBorders>
              <w:top w:val="single" w:sz="4" w:space="0" w:color="auto"/>
              <w:left w:val="single" w:sz="4" w:space="0" w:color="auto"/>
              <w:bottom w:val="double" w:sz="4" w:space="0" w:color="auto"/>
              <w:right w:val="single" w:sz="4" w:space="0" w:color="auto"/>
            </w:tcBorders>
          </w:tcPr>
          <w:p w14:paraId="0E8F882B" w14:textId="77777777" w:rsidR="00913335" w:rsidRPr="00913335" w:rsidRDefault="00913335" w:rsidP="00723357">
            <w:pPr>
              <w:rPr>
                <w:rFonts w:asciiTheme="minorHAnsi" w:hAnsiTheme="minorHAnsi" w:cstheme="minorHAnsi"/>
                <w:b/>
                <w:bCs/>
                <w:sz w:val="20"/>
                <w:szCs w:val="20"/>
              </w:rPr>
            </w:pPr>
            <w:r w:rsidRPr="00913335">
              <w:rPr>
                <w:rFonts w:asciiTheme="minorHAnsi" w:hAnsiTheme="minorHAnsi" w:cstheme="minorHAnsi"/>
                <w:b/>
                <w:bCs/>
                <w:sz w:val="20"/>
                <w:szCs w:val="20"/>
              </w:rPr>
              <w:t>Max Number of UPI permutations</w:t>
            </w:r>
          </w:p>
        </w:tc>
      </w:tr>
      <w:tr w:rsidR="005F18ED" w:rsidRPr="00913335" w14:paraId="432349E9" w14:textId="77777777" w:rsidTr="005F18ED">
        <w:tc>
          <w:tcPr>
            <w:tcW w:w="1509" w:type="dxa"/>
            <w:tcBorders>
              <w:top w:val="double" w:sz="4" w:space="0" w:color="auto"/>
            </w:tcBorders>
          </w:tcPr>
          <w:p w14:paraId="25077BFE" w14:textId="77777777" w:rsidR="00913335" w:rsidRPr="00913335" w:rsidRDefault="00913335" w:rsidP="00723357">
            <w:pPr>
              <w:rPr>
                <w:rFonts w:asciiTheme="minorHAnsi" w:hAnsiTheme="minorHAnsi" w:cstheme="minorHAnsi"/>
                <w:sz w:val="20"/>
                <w:szCs w:val="20"/>
              </w:rPr>
            </w:pPr>
            <w:r w:rsidRPr="00913335">
              <w:rPr>
                <w:rFonts w:asciiTheme="minorHAnsi" w:hAnsiTheme="minorHAnsi" w:cstheme="minorHAnsi"/>
                <w:sz w:val="20"/>
                <w:szCs w:val="20"/>
              </w:rPr>
              <w:t>Commodities</w:t>
            </w:r>
          </w:p>
        </w:tc>
        <w:tc>
          <w:tcPr>
            <w:tcW w:w="1265" w:type="dxa"/>
            <w:tcBorders>
              <w:top w:val="double" w:sz="4" w:space="0" w:color="auto"/>
            </w:tcBorders>
          </w:tcPr>
          <w:p w14:paraId="2B2C77EC" w14:textId="77777777" w:rsidR="00913335" w:rsidRPr="00913335" w:rsidRDefault="00913335" w:rsidP="00723357">
            <w:pPr>
              <w:rPr>
                <w:rFonts w:asciiTheme="minorHAnsi" w:hAnsiTheme="minorHAnsi" w:cstheme="minorHAnsi"/>
                <w:sz w:val="20"/>
                <w:szCs w:val="20"/>
              </w:rPr>
            </w:pPr>
            <w:r w:rsidRPr="00913335">
              <w:rPr>
                <w:rFonts w:asciiTheme="minorHAnsi" w:hAnsiTheme="minorHAnsi" w:cstheme="minorHAnsi"/>
                <w:sz w:val="20"/>
                <w:szCs w:val="20"/>
              </w:rPr>
              <w:t>Forward</w:t>
            </w:r>
          </w:p>
        </w:tc>
        <w:tc>
          <w:tcPr>
            <w:tcW w:w="4025" w:type="dxa"/>
            <w:tcBorders>
              <w:top w:val="double" w:sz="4" w:space="0" w:color="auto"/>
            </w:tcBorders>
          </w:tcPr>
          <w:p w14:paraId="6401587F" w14:textId="77777777" w:rsidR="00913335" w:rsidRPr="00913335" w:rsidRDefault="00913335" w:rsidP="00723357">
            <w:pPr>
              <w:rPr>
                <w:rFonts w:asciiTheme="minorHAnsi" w:hAnsiTheme="minorHAnsi" w:cstheme="minorHAnsi"/>
                <w:sz w:val="20"/>
                <w:szCs w:val="20"/>
              </w:rPr>
            </w:pPr>
            <w:proofErr w:type="spellStart"/>
            <w:r w:rsidRPr="00913335">
              <w:rPr>
                <w:rFonts w:asciiTheme="minorHAnsi" w:hAnsiTheme="minorHAnsi" w:cstheme="minorHAnsi"/>
                <w:sz w:val="20"/>
                <w:szCs w:val="20"/>
              </w:rPr>
              <w:t>Multi_Exotic_Forward</w:t>
            </w:r>
            <w:proofErr w:type="spellEnd"/>
          </w:p>
        </w:tc>
        <w:tc>
          <w:tcPr>
            <w:tcW w:w="1134" w:type="dxa"/>
            <w:tcBorders>
              <w:top w:val="double" w:sz="4" w:space="0" w:color="auto"/>
            </w:tcBorders>
          </w:tcPr>
          <w:p w14:paraId="22ACF015" w14:textId="77777777" w:rsidR="00913335" w:rsidRPr="00913335" w:rsidRDefault="00913335" w:rsidP="00723357">
            <w:pPr>
              <w:jc w:val="right"/>
              <w:rPr>
                <w:rFonts w:asciiTheme="minorHAnsi" w:hAnsiTheme="minorHAnsi" w:cstheme="minorHAnsi"/>
                <w:sz w:val="20"/>
                <w:szCs w:val="20"/>
              </w:rPr>
            </w:pPr>
            <w:r w:rsidRPr="00913335">
              <w:rPr>
                <w:rFonts w:asciiTheme="minorHAnsi" w:hAnsiTheme="minorHAnsi" w:cstheme="minorHAnsi"/>
                <w:sz w:val="20"/>
                <w:szCs w:val="20"/>
              </w:rPr>
              <w:t>25,082</w:t>
            </w:r>
          </w:p>
        </w:tc>
        <w:tc>
          <w:tcPr>
            <w:tcW w:w="1560" w:type="dxa"/>
            <w:tcBorders>
              <w:top w:val="double" w:sz="4" w:space="0" w:color="auto"/>
            </w:tcBorders>
          </w:tcPr>
          <w:p w14:paraId="5F831757" w14:textId="77777777" w:rsidR="00913335" w:rsidRPr="00913335" w:rsidRDefault="00913335" w:rsidP="00723357">
            <w:pPr>
              <w:jc w:val="right"/>
              <w:rPr>
                <w:rFonts w:asciiTheme="minorHAnsi" w:hAnsiTheme="minorHAnsi" w:cstheme="minorHAnsi"/>
                <w:sz w:val="20"/>
                <w:szCs w:val="20"/>
              </w:rPr>
            </w:pPr>
            <w:r w:rsidRPr="00913335">
              <w:rPr>
                <w:rFonts w:asciiTheme="minorHAnsi" w:hAnsiTheme="minorHAnsi" w:cstheme="minorHAnsi"/>
                <w:sz w:val="20"/>
                <w:szCs w:val="20"/>
              </w:rPr>
              <w:t>56</w:t>
            </w:r>
          </w:p>
        </w:tc>
      </w:tr>
      <w:tr w:rsidR="00913335" w:rsidRPr="00913335" w14:paraId="35A19903" w14:textId="77777777" w:rsidTr="005F18ED">
        <w:tc>
          <w:tcPr>
            <w:tcW w:w="1509" w:type="dxa"/>
          </w:tcPr>
          <w:p w14:paraId="3BD7394D" w14:textId="77777777" w:rsidR="00913335" w:rsidRPr="00913335" w:rsidRDefault="00913335" w:rsidP="00723357">
            <w:pPr>
              <w:rPr>
                <w:rFonts w:asciiTheme="minorHAnsi" w:hAnsiTheme="minorHAnsi" w:cstheme="minorHAnsi"/>
                <w:sz w:val="20"/>
                <w:szCs w:val="20"/>
              </w:rPr>
            </w:pPr>
            <w:r w:rsidRPr="00913335">
              <w:rPr>
                <w:rFonts w:asciiTheme="minorHAnsi" w:hAnsiTheme="minorHAnsi" w:cstheme="minorHAnsi"/>
                <w:sz w:val="20"/>
                <w:szCs w:val="20"/>
              </w:rPr>
              <w:t>Commodities</w:t>
            </w:r>
          </w:p>
        </w:tc>
        <w:tc>
          <w:tcPr>
            <w:tcW w:w="1265" w:type="dxa"/>
          </w:tcPr>
          <w:p w14:paraId="4ABE07A7" w14:textId="77777777" w:rsidR="00913335" w:rsidRPr="00913335" w:rsidRDefault="00913335" w:rsidP="00723357">
            <w:pPr>
              <w:rPr>
                <w:rFonts w:asciiTheme="minorHAnsi" w:hAnsiTheme="minorHAnsi" w:cstheme="minorHAnsi"/>
                <w:sz w:val="20"/>
                <w:szCs w:val="20"/>
              </w:rPr>
            </w:pPr>
            <w:r w:rsidRPr="00913335">
              <w:rPr>
                <w:rFonts w:asciiTheme="minorHAnsi" w:hAnsiTheme="minorHAnsi" w:cstheme="minorHAnsi"/>
                <w:sz w:val="20"/>
                <w:szCs w:val="20"/>
              </w:rPr>
              <w:t>Option</w:t>
            </w:r>
          </w:p>
        </w:tc>
        <w:tc>
          <w:tcPr>
            <w:tcW w:w="4025" w:type="dxa"/>
          </w:tcPr>
          <w:p w14:paraId="773872D9" w14:textId="77777777" w:rsidR="00913335" w:rsidRPr="00913335" w:rsidRDefault="00913335" w:rsidP="00723357">
            <w:pPr>
              <w:rPr>
                <w:rFonts w:asciiTheme="minorHAnsi" w:hAnsiTheme="minorHAnsi" w:cstheme="minorHAnsi"/>
                <w:sz w:val="20"/>
                <w:szCs w:val="20"/>
              </w:rPr>
            </w:pPr>
            <w:proofErr w:type="spellStart"/>
            <w:r w:rsidRPr="00913335">
              <w:rPr>
                <w:rFonts w:asciiTheme="minorHAnsi" w:hAnsiTheme="minorHAnsi" w:cstheme="minorHAnsi"/>
                <w:sz w:val="20"/>
                <w:szCs w:val="20"/>
              </w:rPr>
              <w:t>Multi_Exotic_Option</w:t>
            </w:r>
            <w:proofErr w:type="spellEnd"/>
          </w:p>
        </w:tc>
        <w:tc>
          <w:tcPr>
            <w:tcW w:w="1134" w:type="dxa"/>
          </w:tcPr>
          <w:p w14:paraId="4B9ADF39" w14:textId="77777777" w:rsidR="00913335" w:rsidRPr="00913335" w:rsidRDefault="00913335" w:rsidP="00723357">
            <w:pPr>
              <w:jc w:val="right"/>
              <w:rPr>
                <w:rFonts w:asciiTheme="minorHAnsi" w:hAnsiTheme="minorHAnsi" w:cstheme="minorHAnsi"/>
                <w:sz w:val="20"/>
                <w:szCs w:val="20"/>
              </w:rPr>
            </w:pPr>
            <w:r w:rsidRPr="00913335">
              <w:rPr>
                <w:rFonts w:asciiTheme="minorHAnsi" w:hAnsiTheme="minorHAnsi" w:cstheme="minorHAnsi"/>
                <w:sz w:val="20"/>
                <w:szCs w:val="20"/>
              </w:rPr>
              <w:t>18,018</w:t>
            </w:r>
          </w:p>
        </w:tc>
        <w:tc>
          <w:tcPr>
            <w:tcW w:w="1560" w:type="dxa"/>
          </w:tcPr>
          <w:p w14:paraId="0F72793B" w14:textId="77777777" w:rsidR="00913335" w:rsidRPr="00913335" w:rsidRDefault="00913335" w:rsidP="00723357">
            <w:pPr>
              <w:jc w:val="right"/>
              <w:rPr>
                <w:rFonts w:asciiTheme="minorHAnsi" w:hAnsiTheme="minorHAnsi" w:cstheme="minorHAnsi"/>
                <w:sz w:val="20"/>
                <w:szCs w:val="20"/>
              </w:rPr>
            </w:pPr>
            <w:r w:rsidRPr="00913335">
              <w:rPr>
                <w:rFonts w:asciiTheme="minorHAnsi" w:hAnsiTheme="minorHAnsi" w:cstheme="minorHAnsi"/>
                <w:sz w:val="20"/>
                <w:szCs w:val="20"/>
              </w:rPr>
              <w:t>3024</w:t>
            </w:r>
          </w:p>
        </w:tc>
      </w:tr>
      <w:tr w:rsidR="00913335" w:rsidRPr="00913335" w14:paraId="3F00B3A2" w14:textId="77777777" w:rsidTr="005F18ED">
        <w:tc>
          <w:tcPr>
            <w:tcW w:w="1509" w:type="dxa"/>
          </w:tcPr>
          <w:p w14:paraId="1377D3FF" w14:textId="77777777" w:rsidR="00913335" w:rsidRPr="00913335" w:rsidRDefault="00913335" w:rsidP="00723357">
            <w:pPr>
              <w:rPr>
                <w:rFonts w:asciiTheme="minorHAnsi" w:hAnsiTheme="minorHAnsi" w:cstheme="minorHAnsi"/>
                <w:sz w:val="20"/>
                <w:szCs w:val="20"/>
              </w:rPr>
            </w:pPr>
            <w:r w:rsidRPr="00913335">
              <w:rPr>
                <w:rFonts w:asciiTheme="minorHAnsi" w:hAnsiTheme="minorHAnsi" w:cstheme="minorHAnsi"/>
                <w:sz w:val="20"/>
                <w:szCs w:val="20"/>
              </w:rPr>
              <w:t>Commodities</w:t>
            </w:r>
          </w:p>
        </w:tc>
        <w:tc>
          <w:tcPr>
            <w:tcW w:w="1265" w:type="dxa"/>
          </w:tcPr>
          <w:p w14:paraId="770C912F" w14:textId="77777777" w:rsidR="00913335" w:rsidRPr="00913335" w:rsidRDefault="00913335" w:rsidP="00723357">
            <w:pPr>
              <w:rPr>
                <w:rFonts w:asciiTheme="minorHAnsi" w:hAnsiTheme="minorHAnsi" w:cstheme="minorHAnsi"/>
                <w:sz w:val="20"/>
                <w:szCs w:val="20"/>
              </w:rPr>
            </w:pPr>
            <w:r w:rsidRPr="00913335">
              <w:rPr>
                <w:rFonts w:asciiTheme="minorHAnsi" w:hAnsiTheme="minorHAnsi" w:cstheme="minorHAnsi"/>
                <w:sz w:val="20"/>
                <w:szCs w:val="20"/>
              </w:rPr>
              <w:t>Swap</w:t>
            </w:r>
          </w:p>
        </w:tc>
        <w:tc>
          <w:tcPr>
            <w:tcW w:w="4025" w:type="dxa"/>
          </w:tcPr>
          <w:p w14:paraId="382AB714" w14:textId="77777777" w:rsidR="00913335" w:rsidRPr="00913335" w:rsidRDefault="00913335" w:rsidP="00723357">
            <w:pPr>
              <w:rPr>
                <w:rFonts w:asciiTheme="minorHAnsi" w:hAnsiTheme="minorHAnsi" w:cstheme="minorHAnsi"/>
                <w:sz w:val="20"/>
                <w:szCs w:val="20"/>
              </w:rPr>
            </w:pPr>
            <w:proofErr w:type="spellStart"/>
            <w:r w:rsidRPr="00913335">
              <w:rPr>
                <w:rFonts w:asciiTheme="minorHAnsi" w:hAnsiTheme="minorHAnsi" w:cstheme="minorHAnsi"/>
                <w:sz w:val="20"/>
                <w:szCs w:val="20"/>
              </w:rPr>
              <w:t>Multi_Exotic_Swap</w:t>
            </w:r>
            <w:proofErr w:type="spellEnd"/>
          </w:p>
        </w:tc>
        <w:tc>
          <w:tcPr>
            <w:tcW w:w="1134" w:type="dxa"/>
          </w:tcPr>
          <w:p w14:paraId="59BE4F9C" w14:textId="77777777" w:rsidR="00913335" w:rsidRPr="00913335" w:rsidRDefault="00913335" w:rsidP="00723357">
            <w:pPr>
              <w:jc w:val="right"/>
              <w:rPr>
                <w:rFonts w:asciiTheme="minorHAnsi" w:hAnsiTheme="minorHAnsi" w:cstheme="minorHAnsi"/>
                <w:sz w:val="20"/>
                <w:szCs w:val="20"/>
              </w:rPr>
            </w:pPr>
            <w:r w:rsidRPr="00913335">
              <w:rPr>
                <w:rFonts w:asciiTheme="minorHAnsi" w:hAnsiTheme="minorHAnsi" w:cstheme="minorHAnsi"/>
                <w:sz w:val="20"/>
                <w:szCs w:val="20"/>
              </w:rPr>
              <w:t>37,615</w:t>
            </w:r>
          </w:p>
        </w:tc>
        <w:tc>
          <w:tcPr>
            <w:tcW w:w="1560" w:type="dxa"/>
          </w:tcPr>
          <w:p w14:paraId="7500E93D" w14:textId="77777777" w:rsidR="00913335" w:rsidRPr="00913335" w:rsidRDefault="00913335" w:rsidP="00723357">
            <w:pPr>
              <w:jc w:val="right"/>
              <w:rPr>
                <w:rFonts w:asciiTheme="minorHAnsi" w:hAnsiTheme="minorHAnsi" w:cstheme="minorHAnsi"/>
                <w:sz w:val="20"/>
                <w:szCs w:val="20"/>
              </w:rPr>
            </w:pPr>
            <w:r w:rsidRPr="00913335">
              <w:rPr>
                <w:rFonts w:asciiTheme="minorHAnsi" w:hAnsiTheme="minorHAnsi" w:cstheme="minorHAnsi"/>
                <w:sz w:val="20"/>
                <w:szCs w:val="20"/>
              </w:rPr>
              <w:t>84</w:t>
            </w:r>
          </w:p>
        </w:tc>
      </w:tr>
      <w:tr w:rsidR="00913335" w:rsidRPr="00913335" w14:paraId="0AB7D885" w14:textId="77777777" w:rsidTr="005F18ED">
        <w:tc>
          <w:tcPr>
            <w:tcW w:w="1509" w:type="dxa"/>
          </w:tcPr>
          <w:p w14:paraId="18F82C0A" w14:textId="77777777" w:rsidR="00913335" w:rsidRPr="00913335" w:rsidRDefault="00913335" w:rsidP="00723357">
            <w:pPr>
              <w:rPr>
                <w:rFonts w:asciiTheme="minorHAnsi" w:hAnsiTheme="minorHAnsi" w:cstheme="minorHAnsi"/>
                <w:sz w:val="20"/>
                <w:szCs w:val="20"/>
              </w:rPr>
            </w:pPr>
            <w:r w:rsidRPr="00913335">
              <w:rPr>
                <w:rFonts w:asciiTheme="minorHAnsi" w:hAnsiTheme="minorHAnsi" w:cstheme="minorHAnsi"/>
                <w:sz w:val="20"/>
                <w:szCs w:val="20"/>
              </w:rPr>
              <w:t>Equity</w:t>
            </w:r>
          </w:p>
        </w:tc>
        <w:tc>
          <w:tcPr>
            <w:tcW w:w="1265" w:type="dxa"/>
          </w:tcPr>
          <w:p w14:paraId="03BE3B7A" w14:textId="77777777" w:rsidR="00913335" w:rsidRPr="00913335" w:rsidRDefault="00913335" w:rsidP="00723357">
            <w:pPr>
              <w:rPr>
                <w:rFonts w:asciiTheme="minorHAnsi" w:hAnsiTheme="minorHAnsi" w:cstheme="minorHAnsi"/>
                <w:sz w:val="20"/>
                <w:szCs w:val="20"/>
              </w:rPr>
            </w:pPr>
            <w:r w:rsidRPr="00913335">
              <w:rPr>
                <w:rFonts w:asciiTheme="minorHAnsi" w:hAnsiTheme="minorHAnsi" w:cstheme="minorHAnsi"/>
                <w:sz w:val="20"/>
                <w:szCs w:val="20"/>
              </w:rPr>
              <w:t>Swap</w:t>
            </w:r>
          </w:p>
        </w:tc>
        <w:tc>
          <w:tcPr>
            <w:tcW w:w="4025" w:type="dxa"/>
          </w:tcPr>
          <w:p w14:paraId="33FC6182" w14:textId="77777777" w:rsidR="00913335" w:rsidRPr="00913335" w:rsidRDefault="00913335" w:rsidP="00723357">
            <w:pPr>
              <w:rPr>
                <w:rFonts w:asciiTheme="minorHAnsi" w:hAnsiTheme="minorHAnsi" w:cstheme="minorHAnsi"/>
                <w:sz w:val="20"/>
                <w:szCs w:val="20"/>
              </w:rPr>
            </w:pPr>
            <w:proofErr w:type="spellStart"/>
            <w:r w:rsidRPr="00913335">
              <w:rPr>
                <w:rFonts w:asciiTheme="minorHAnsi" w:hAnsiTheme="minorHAnsi" w:cstheme="minorHAnsi"/>
                <w:sz w:val="20"/>
                <w:szCs w:val="20"/>
              </w:rPr>
              <w:t>Parameter_Return_Dividend_Basket</w:t>
            </w:r>
            <w:proofErr w:type="spellEnd"/>
          </w:p>
        </w:tc>
        <w:tc>
          <w:tcPr>
            <w:tcW w:w="1134" w:type="dxa"/>
          </w:tcPr>
          <w:p w14:paraId="743575D1" w14:textId="77777777" w:rsidR="00913335" w:rsidRPr="00913335" w:rsidRDefault="00913335" w:rsidP="00723357">
            <w:pPr>
              <w:jc w:val="right"/>
              <w:rPr>
                <w:rFonts w:asciiTheme="minorHAnsi" w:hAnsiTheme="minorHAnsi" w:cstheme="minorHAnsi"/>
                <w:sz w:val="20"/>
                <w:szCs w:val="20"/>
              </w:rPr>
            </w:pPr>
            <w:r w:rsidRPr="00913335">
              <w:rPr>
                <w:rFonts w:asciiTheme="minorHAnsi" w:hAnsiTheme="minorHAnsi" w:cstheme="minorHAnsi"/>
                <w:sz w:val="20"/>
                <w:szCs w:val="20"/>
              </w:rPr>
              <w:t>205</w:t>
            </w:r>
          </w:p>
        </w:tc>
        <w:tc>
          <w:tcPr>
            <w:tcW w:w="1560" w:type="dxa"/>
          </w:tcPr>
          <w:p w14:paraId="41F5B89B" w14:textId="77777777" w:rsidR="00913335" w:rsidRPr="00913335" w:rsidRDefault="00913335" w:rsidP="00723357">
            <w:pPr>
              <w:jc w:val="right"/>
              <w:rPr>
                <w:rFonts w:asciiTheme="minorHAnsi" w:hAnsiTheme="minorHAnsi" w:cstheme="minorHAnsi"/>
                <w:sz w:val="20"/>
                <w:szCs w:val="20"/>
              </w:rPr>
            </w:pPr>
            <w:r w:rsidRPr="00913335">
              <w:rPr>
                <w:rFonts w:asciiTheme="minorHAnsi" w:hAnsiTheme="minorHAnsi" w:cstheme="minorHAnsi"/>
                <w:sz w:val="20"/>
                <w:szCs w:val="20"/>
              </w:rPr>
              <w:t>3</w:t>
            </w:r>
          </w:p>
        </w:tc>
      </w:tr>
      <w:tr w:rsidR="00913335" w:rsidRPr="00913335" w14:paraId="28294F7E" w14:textId="77777777" w:rsidTr="005F18ED">
        <w:tc>
          <w:tcPr>
            <w:tcW w:w="1509" w:type="dxa"/>
          </w:tcPr>
          <w:p w14:paraId="49FA215C" w14:textId="77777777" w:rsidR="00913335" w:rsidRPr="00913335" w:rsidRDefault="00913335" w:rsidP="00723357">
            <w:pPr>
              <w:rPr>
                <w:rFonts w:asciiTheme="minorHAnsi" w:hAnsiTheme="minorHAnsi" w:cstheme="minorHAnsi"/>
                <w:sz w:val="20"/>
                <w:szCs w:val="20"/>
              </w:rPr>
            </w:pPr>
            <w:r w:rsidRPr="00913335">
              <w:rPr>
                <w:rFonts w:asciiTheme="minorHAnsi" w:hAnsiTheme="minorHAnsi" w:cstheme="minorHAnsi"/>
                <w:sz w:val="20"/>
                <w:szCs w:val="20"/>
              </w:rPr>
              <w:t>Equity</w:t>
            </w:r>
          </w:p>
        </w:tc>
        <w:tc>
          <w:tcPr>
            <w:tcW w:w="1265" w:type="dxa"/>
          </w:tcPr>
          <w:p w14:paraId="1BDEA55C" w14:textId="77777777" w:rsidR="00913335" w:rsidRPr="00913335" w:rsidRDefault="00913335" w:rsidP="00723357">
            <w:pPr>
              <w:rPr>
                <w:rFonts w:asciiTheme="minorHAnsi" w:hAnsiTheme="minorHAnsi" w:cstheme="minorHAnsi"/>
                <w:sz w:val="20"/>
                <w:szCs w:val="20"/>
              </w:rPr>
            </w:pPr>
            <w:r w:rsidRPr="00913335">
              <w:rPr>
                <w:rFonts w:asciiTheme="minorHAnsi" w:hAnsiTheme="minorHAnsi" w:cstheme="minorHAnsi"/>
                <w:sz w:val="20"/>
                <w:szCs w:val="20"/>
              </w:rPr>
              <w:t>Swap</w:t>
            </w:r>
          </w:p>
        </w:tc>
        <w:tc>
          <w:tcPr>
            <w:tcW w:w="4025" w:type="dxa"/>
          </w:tcPr>
          <w:p w14:paraId="477A7338" w14:textId="77777777" w:rsidR="00913335" w:rsidRPr="00913335" w:rsidRDefault="00913335" w:rsidP="00723357">
            <w:pPr>
              <w:rPr>
                <w:rFonts w:asciiTheme="minorHAnsi" w:hAnsiTheme="minorHAnsi" w:cstheme="minorHAnsi"/>
                <w:sz w:val="20"/>
                <w:szCs w:val="20"/>
              </w:rPr>
            </w:pPr>
            <w:proofErr w:type="spellStart"/>
            <w:r w:rsidRPr="00913335">
              <w:rPr>
                <w:rFonts w:asciiTheme="minorHAnsi" w:hAnsiTheme="minorHAnsi" w:cstheme="minorHAnsi"/>
                <w:sz w:val="20"/>
                <w:szCs w:val="20"/>
              </w:rPr>
              <w:t>Parameter_Return_Variance_Basket</w:t>
            </w:r>
            <w:proofErr w:type="spellEnd"/>
          </w:p>
        </w:tc>
        <w:tc>
          <w:tcPr>
            <w:tcW w:w="1134" w:type="dxa"/>
          </w:tcPr>
          <w:p w14:paraId="3FA2F90B" w14:textId="77777777" w:rsidR="00913335" w:rsidRPr="00913335" w:rsidRDefault="00913335" w:rsidP="00723357">
            <w:pPr>
              <w:jc w:val="right"/>
              <w:rPr>
                <w:rFonts w:asciiTheme="minorHAnsi" w:hAnsiTheme="minorHAnsi" w:cstheme="minorHAnsi"/>
                <w:sz w:val="20"/>
                <w:szCs w:val="20"/>
              </w:rPr>
            </w:pPr>
            <w:r w:rsidRPr="00913335">
              <w:rPr>
                <w:rFonts w:asciiTheme="minorHAnsi" w:hAnsiTheme="minorHAnsi" w:cstheme="minorHAnsi"/>
                <w:sz w:val="20"/>
                <w:szCs w:val="20"/>
              </w:rPr>
              <w:t>201</w:t>
            </w:r>
          </w:p>
        </w:tc>
        <w:tc>
          <w:tcPr>
            <w:tcW w:w="1560" w:type="dxa"/>
          </w:tcPr>
          <w:p w14:paraId="6A3902B2" w14:textId="77777777" w:rsidR="00913335" w:rsidRPr="00913335" w:rsidRDefault="00913335" w:rsidP="00723357">
            <w:pPr>
              <w:jc w:val="right"/>
              <w:rPr>
                <w:rFonts w:asciiTheme="minorHAnsi" w:hAnsiTheme="minorHAnsi" w:cstheme="minorHAnsi"/>
                <w:sz w:val="20"/>
                <w:szCs w:val="20"/>
              </w:rPr>
            </w:pPr>
            <w:r w:rsidRPr="00913335">
              <w:rPr>
                <w:rFonts w:asciiTheme="minorHAnsi" w:hAnsiTheme="minorHAnsi" w:cstheme="minorHAnsi"/>
                <w:sz w:val="20"/>
                <w:szCs w:val="20"/>
              </w:rPr>
              <w:t>3</w:t>
            </w:r>
          </w:p>
        </w:tc>
      </w:tr>
      <w:tr w:rsidR="00913335" w:rsidRPr="00913335" w14:paraId="137E43BD" w14:textId="77777777" w:rsidTr="005F18ED">
        <w:tc>
          <w:tcPr>
            <w:tcW w:w="1509" w:type="dxa"/>
          </w:tcPr>
          <w:p w14:paraId="53DB4CAB" w14:textId="77777777" w:rsidR="00913335" w:rsidRPr="00913335" w:rsidRDefault="00913335" w:rsidP="00723357">
            <w:pPr>
              <w:rPr>
                <w:rFonts w:asciiTheme="minorHAnsi" w:hAnsiTheme="minorHAnsi" w:cstheme="minorHAnsi"/>
                <w:sz w:val="20"/>
                <w:szCs w:val="20"/>
              </w:rPr>
            </w:pPr>
            <w:r w:rsidRPr="00913335">
              <w:rPr>
                <w:rFonts w:asciiTheme="minorHAnsi" w:hAnsiTheme="minorHAnsi" w:cstheme="minorHAnsi"/>
                <w:sz w:val="20"/>
                <w:szCs w:val="20"/>
              </w:rPr>
              <w:t>Equity</w:t>
            </w:r>
          </w:p>
        </w:tc>
        <w:tc>
          <w:tcPr>
            <w:tcW w:w="1265" w:type="dxa"/>
          </w:tcPr>
          <w:p w14:paraId="1F19294B" w14:textId="77777777" w:rsidR="00913335" w:rsidRPr="00913335" w:rsidRDefault="00913335" w:rsidP="00723357">
            <w:pPr>
              <w:rPr>
                <w:rFonts w:asciiTheme="minorHAnsi" w:hAnsiTheme="minorHAnsi" w:cstheme="minorHAnsi"/>
                <w:sz w:val="20"/>
                <w:szCs w:val="20"/>
              </w:rPr>
            </w:pPr>
            <w:r w:rsidRPr="00913335">
              <w:rPr>
                <w:rFonts w:asciiTheme="minorHAnsi" w:hAnsiTheme="minorHAnsi" w:cstheme="minorHAnsi"/>
                <w:sz w:val="20"/>
                <w:szCs w:val="20"/>
              </w:rPr>
              <w:t>Swap</w:t>
            </w:r>
          </w:p>
        </w:tc>
        <w:tc>
          <w:tcPr>
            <w:tcW w:w="4025" w:type="dxa"/>
          </w:tcPr>
          <w:p w14:paraId="2351EEAD" w14:textId="77777777" w:rsidR="00913335" w:rsidRPr="00913335" w:rsidRDefault="00913335" w:rsidP="00723357">
            <w:pPr>
              <w:rPr>
                <w:rFonts w:asciiTheme="minorHAnsi" w:hAnsiTheme="minorHAnsi" w:cstheme="minorHAnsi"/>
                <w:sz w:val="20"/>
                <w:szCs w:val="20"/>
              </w:rPr>
            </w:pPr>
            <w:proofErr w:type="spellStart"/>
            <w:r w:rsidRPr="00913335">
              <w:rPr>
                <w:rFonts w:asciiTheme="minorHAnsi" w:hAnsiTheme="minorHAnsi" w:cstheme="minorHAnsi"/>
                <w:sz w:val="20"/>
                <w:szCs w:val="20"/>
              </w:rPr>
              <w:t>Parameter_Return_Volatility_Basket</w:t>
            </w:r>
            <w:proofErr w:type="spellEnd"/>
          </w:p>
        </w:tc>
        <w:tc>
          <w:tcPr>
            <w:tcW w:w="1134" w:type="dxa"/>
          </w:tcPr>
          <w:p w14:paraId="193E20D1" w14:textId="77777777" w:rsidR="00913335" w:rsidRPr="00913335" w:rsidRDefault="00913335" w:rsidP="00723357">
            <w:pPr>
              <w:jc w:val="right"/>
              <w:rPr>
                <w:rFonts w:asciiTheme="minorHAnsi" w:hAnsiTheme="minorHAnsi" w:cstheme="minorHAnsi"/>
                <w:sz w:val="20"/>
                <w:szCs w:val="20"/>
              </w:rPr>
            </w:pPr>
            <w:r w:rsidRPr="00913335">
              <w:rPr>
                <w:rFonts w:asciiTheme="minorHAnsi" w:hAnsiTheme="minorHAnsi" w:cstheme="minorHAnsi"/>
                <w:sz w:val="20"/>
                <w:szCs w:val="20"/>
              </w:rPr>
              <w:t>412</w:t>
            </w:r>
          </w:p>
        </w:tc>
        <w:tc>
          <w:tcPr>
            <w:tcW w:w="1560" w:type="dxa"/>
          </w:tcPr>
          <w:p w14:paraId="7F7DADB7" w14:textId="77777777" w:rsidR="00913335" w:rsidRPr="00913335" w:rsidRDefault="00913335" w:rsidP="00723357">
            <w:pPr>
              <w:jc w:val="right"/>
              <w:rPr>
                <w:rFonts w:asciiTheme="minorHAnsi" w:hAnsiTheme="minorHAnsi" w:cstheme="minorHAnsi"/>
                <w:sz w:val="20"/>
                <w:szCs w:val="20"/>
              </w:rPr>
            </w:pPr>
            <w:r w:rsidRPr="00913335">
              <w:rPr>
                <w:rFonts w:asciiTheme="minorHAnsi" w:hAnsiTheme="minorHAnsi" w:cstheme="minorHAnsi"/>
                <w:sz w:val="20"/>
                <w:szCs w:val="20"/>
              </w:rPr>
              <w:t>3</w:t>
            </w:r>
          </w:p>
        </w:tc>
      </w:tr>
      <w:tr w:rsidR="00913335" w:rsidRPr="00913335" w14:paraId="1BFBC53A" w14:textId="77777777" w:rsidTr="005F18ED">
        <w:tc>
          <w:tcPr>
            <w:tcW w:w="1509" w:type="dxa"/>
          </w:tcPr>
          <w:p w14:paraId="6DF95FAE" w14:textId="77777777" w:rsidR="00913335" w:rsidRPr="00913335" w:rsidRDefault="00913335" w:rsidP="00723357">
            <w:pPr>
              <w:rPr>
                <w:rFonts w:asciiTheme="minorHAnsi" w:hAnsiTheme="minorHAnsi" w:cstheme="minorHAnsi"/>
                <w:sz w:val="20"/>
                <w:szCs w:val="20"/>
              </w:rPr>
            </w:pPr>
            <w:r w:rsidRPr="00913335">
              <w:rPr>
                <w:rFonts w:asciiTheme="minorHAnsi" w:hAnsiTheme="minorHAnsi" w:cstheme="minorHAnsi"/>
                <w:sz w:val="20"/>
                <w:szCs w:val="20"/>
              </w:rPr>
              <w:t>Equity</w:t>
            </w:r>
          </w:p>
        </w:tc>
        <w:tc>
          <w:tcPr>
            <w:tcW w:w="1265" w:type="dxa"/>
          </w:tcPr>
          <w:p w14:paraId="12D894FE" w14:textId="77777777" w:rsidR="00913335" w:rsidRPr="00913335" w:rsidRDefault="00913335" w:rsidP="00723357">
            <w:pPr>
              <w:rPr>
                <w:rFonts w:asciiTheme="minorHAnsi" w:hAnsiTheme="minorHAnsi" w:cstheme="minorHAnsi"/>
                <w:sz w:val="20"/>
                <w:szCs w:val="20"/>
              </w:rPr>
            </w:pPr>
            <w:r w:rsidRPr="00913335">
              <w:rPr>
                <w:rFonts w:asciiTheme="minorHAnsi" w:hAnsiTheme="minorHAnsi" w:cstheme="minorHAnsi"/>
                <w:sz w:val="20"/>
                <w:szCs w:val="20"/>
              </w:rPr>
              <w:t>Swap</w:t>
            </w:r>
          </w:p>
        </w:tc>
        <w:tc>
          <w:tcPr>
            <w:tcW w:w="4025" w:type="dxa"/>
          </w:tcPr>
          <w:p w14:paraId="19D894A4" w14:textId="77777777" w:rsidR="00913335" w:rsidRPr="00913335" w:rsidRDefault="00913335" w:rsidP="00723357">
            <w:pPr>
              <w:rPr>
                <w:rFonts w:asciiTheme="minorHAnsi" w:hAnsiTheme="minorHAnsi" w:cstheme="minorHAnsi"/>
                <w:sz w:val="20"/>
                <w:szCs w:val="20"/>
              </w:rPr>
            </w:pPr>
            <w:proofErr w:type="spellStart"/>
            <w:r w:rsidRPr="00913335">
              <w:rPr>
                <w:rFonts w:asciiTheme="minorHAnsi" w:hAnsiTheme="minorHAnsi" w:cstheme="minorHAnsi"/>
                <w:sz w:val="20"/>
                <w:szCs w:val="20"/>
              </w:rPr>
              <w:t>Portfolio_Swap</w:t>
            </w:r>
            <w:proofErr w:type="spellEnd"/>
          </w:p>
        </w:tc>
        <w:tc>
          <w:tcPr>
            <w:tcW w:w="1134" w:type="dxa"/>
          </w:tcPr>
          <w:p w14:paraId="24CB0C2E" w14:textId="77777777" w:rsidR="00913335" w:rsidRPr="00913335" w:rsidRDefault="00913335" w:rsidP="00723357">
            <w:pPr>
              <w:jc w:val="right"/>
              <w:rPr>
                <w:rFonts w:asciiTheme="minorHAnsi" w:hAnsiTheme="minorHAnsi" w:cstheme="minorHAnsi"/>
                <w:sz w:val="20"/>
                <w:szCs w:val="20"/>
              </w:rPr>
            </w:pPr>
            <w:r w:rsidRPr="00913335">
              <w:rPr>
                <w:rFonts w:asciiTheme="minorHAnsi" w:hAnsiTheme="minorHAnsi" w:cstheme="minorHAnsi"/>
                <w:sz w:val="20"/>
                <w:szCs w:val="20"/>
              </w:rPr>
              <w:t>812,005</w:t>
            </w:r>
          </w:p>
        </w:tc>
        <w:tc>
          <w:tcPr>
            <w:tcW w:w="1560" w:type="dxa"/>
          </w:tcPr>
          <w:p w14:paraId="1C9F07D2" w14:textId="77777777" w:rsidR="00913335" w:rsidRPr="00913335" w:rsidRDefault="00913335" w:rsidP="00723357">
            <w:pPr>
              <w:jc w:val="right"/>
              <w:rPr>
                <w:rFonts w:asciiTheme="minorHAnsi" w:hAnsiTheme="minorHAnsi" w:cstheme="minorHAnsi"/>
                <w:sz w:val="20"/>
                <w:szCs w:val="20"/>
              </w:rPr>
            </w:pPr>
            <w:r w:rsidRPr="00913335">
              <w:rPr>
                <w:rFonts w:asciiTheme="minorHAnsi" w:hAnsiTheme="minorHAnsi" w:cstheme="minorHAnsi"/>
                <w:sz w:val="20"/>
                <w:szCs w:val="20"/>
              </w:rPr>
              <w:t>21</w:t>
            </w:r>
          </w:p>
        </w:tc>
      </w:tr>
      <w:tr w:rsidR="00913335" w:rsidRPr="00913335" w14:paraId="48A66916" w14:textId="77777777" w:rsidTr="005F18ED">
        <w:tc>
          <w:tcPr>
            <w:tcW w:w="1509" w:type="dxa"/>
          </w:tcPr>
          <w:p w14:paraId="24CA15EB" w14:textId="77777777" w:rsidR="00913335" w:rsidRPr="00913335" w:rsidRDefault="00913335" w:rsidP="00723357">
            <w:pPr>
              <w:rPr>
                <w:rFonts w:asciiTheme="minorHAnsi" w:hAnsiTheme="minorHAnsi" w:cstheme="minorHAnsi"/>
                <w:sz w:val="20"/>
                <w:szCs w:val="20"/>
              </w:rPr>
            </w:pPr>
            <w:r w:rsidRPr="00913335">
              <w:rPr>
                <w:rFonts w:asciiTheme="minorHAnsi" w:hAnsiTheme="minorHAnsi" w:cstheme="minorHAnsi"/>
                <w:sz w:val="20"/>
                <w:szCs w:val="20"/>
              </w:rPr>
              <w:t>Equity</w:t>
            </w:r>
          </w:p>
        </w:tc>
        <w:tc>
          <w:tcPr>
            <w:tcW w:w="1265" w:type="dxa"/>
          </w:tcPr>
          <w:p w14:paraId="77B795A9" w14:textId="77777777" w:rsidR="00913335" w:rsidRPr="00913335" w:rsidRDefault="00913335" w:rsidP="00723357">
            <w:pPr>
              <w:rPr>
                <w:rFonts w:asciiTheme="minorHAnsi" w:hAnsiTheme="minorHAnsi" w:cstheme="minorHAnsi"/>
                <w:sz w:val="20"/>
                <w:szCs w:val="20"/>
              </w:rPr>
            </w:pPr>
            <w:r w:rsidRPr="00913335">
              <w:rPr>
                <w:rFonts w:asciiTheme="minorHAnsi" w:hAnsiTheme="minorHAnsi" w:cstheme="minorHAnsi"/>
                <w:sz w:val="20"/>
                <w:szCs w:val="20"/>
              </w:rPr>
              <w:t>Swap</w:t>
            </w:r>
          </w:p>
        </w:tc>
        <w:tc>
          <w:tcPr>
            <w:tcW w:w="4025" w:type="dxa"/>
          </w:tcPr>
          <w:p w14:paraId="58F56490" w14:textId="77777777" w:rsidR="00913335" w:rsidRPr="00913335" w:rsidRDefault="00913335" w:rsidP="00723357">
            <w:pPr>
              <w:rPr>
                <w:rFonts w:asciiTheme="minorHAnsi" w:hAnsiTheme="minorHAnsi" w:cstheme="minorHAnsi"/>
                <w:sz w:val="20"/>
                <w:szCs w:val="20"/>
              </w:rPr>
            </w:pPr>
            <w:proofErr w:type="spellStart"/>
            <w:r w:rsidRPr="00913335">
              <w:rPr>
                <w:rFonts w:asciiTheme="minorHAnsi" w:hAnsiTheme="minorHAnsi" w:cstheme="minorHAnsi"/>
                <w:sz w:val="20"/>
                <w:szCs w:val="20"/>
              </w:rPr>
              <w:t>Price_Return_Basic_Performance_Basket</w:t>
            </w:r>
            <w:proofErr w:type="spellEnd"/>
          </w:p>
        </w:tc>
        <w:tc>
          <w:tcPr>
            <w:tcW w:w="1134" w:type="dxa"/>
          </w:tcPr>
          <w:p w14:paraId="591FBF01" w14:textId="77777777" w:rsidR="00913335" w:rsidRPr="00913335" w:rsidRDefault="00913335" w:rsidP="00723357">
            <w:pPr>
              <w:jc w:val="right"/>
              <w:rPr>
                <w:rFonts w:asciiTheme="minorHAnsi" w:hAnsiTheme="minorHAnsi" w:cstheme="minorHAnsi"/>
                <w:sz w:val="20"/>
                <w:szCs w:val="20"/>
              </w:rPr>
            </w:pPr>
            <w:r w:rsidRPr="00913335">
              <w:rPr>
                <w:rFonts w:asciiTheme="minorHAnsi" w:hAnsiTheme="minorHAnsi" w:cstheme="minorHAnsi"/>
                <w:sz w:val="20"/>
                <w:szCs w:val="20"/>
              </w:rPr>
              <w:t>1,099,930</w:t>
            </w:r>
          </w:p>
        </w:tc>
        <w:tc>
          <w:tcPr>
            <w:tcW w:w="1560" w:type="dxa"/>
          </w:tcPr>
          <w:p w14:paraId="31EF6946" w14:textId="77777777" w:rsidR="00913335" w:rsidRPr="00913335" w:rsidRDefault="00913335" w:rsidP="00723357">
            <w:pPr>
              <w:jc w:val="right"/>
              <w:rPr>
                <w:rFonts w:asciiTheme="minorHAnsi" w:hAnsiTheme="minorHAnsi" w:cstheme="minorHAnsi"/>
                <w:sz w:val="20"/>
                <w:szCs w:val="20"/>
              </w:rPr>
            </w:pPr>
            <w:r w:rsidRPr="00913335">
              <w:rPr>
                <w:rFonts w:asciiTheme="minorHAnsi" w:hAnsiTheme="minorHAnsi" w:cstheme="minorHAnsi"/>
                <w:sz w:val="20"/>
                <w:szCs w:val="20"/>
              </w:rPr>
              <w:t>9</w:t>
            </w:r>
          </w:p>
        </w:tc>
      </w:tr>
      <w:tr w:rsidR="00913335" w:rsidRPr="00913335" w14:paraId="00261399" w14:textId="77777777" w:rsidTr="005F18ED">
        <w:tc>
          <w:tcPr>
            <w:tcW w:w="1509" w:type="dxa"/>
          </w:tcPr>
          <w:p w14:paraId="331A55D9" w14:textId="77777777" w:rsidR="00913335" w:rsidRPr="00913335" w:rsidRDefault="00913335" w:rsidP="00723357">
            <w:pPr>
              <w:rPr>
                <w:rFonts w:asciiTheme="minorHAnsi" w:hAnsiTheme="minorHAnsi" w:cstheme="minorHAnsi"/>
                <w:sz w:val="20"/>
                <w:szCs w:val="20"/>
              </w:rPr>
            </w:pPr>
            <w:r w:rsidRPr="00913335">
              <w:rPr>
                <w:rFonts w:asciiTheme="minorHAnsi" w:hAnsiTheme="minorHAnsi" w:cstheme="minorHAnsi"/>
                <w:sz w:val="20"/>
                <w:szCs w:val="20"/>
              </w:rPr>
              <w:t>Equity</w:t>
            </w:r>
          </w:p>
        </w:tc>
        <w:tc>
          <w:tcPr>
            <w:tcW w:w="1265" w:type="dxa"/>
          </w:tcPr>
          <w:p w14:paraId="145C2C0B" w14:textId="77777777" w:rsidR="00913335" w:rsidRPr="00913335" w:rsidRDefault="00913335" w:rsidP="00723357">
            <w:pPr>
              <w:rPr>
                <w:rFonts w:asciiTheme="minorHAnsi" w:hAnsiTheme="minorHAnsi" w:cstheme="minorHAnsi"/>
                <w:sz w:val="20"/>
                <w:szCs w:val="20"/>
              </w:rPr>
            </w:pPr>
            <w:r w:rsidRPr="00913335">
              <w:rPr>
                <w:rFonts w:asciiTheme="minorHAnsi" w:hAnsiTheme="minorHAnsi" w:cstheme="minorHAnsi"/>
                <w:sz w:val="20"/>
                <w:szCs w:val="20"/>
              </w:rPr>
              <w:t>Swap</w:t>
            </w:r>
          </w:p>
        </w:tc>
        <w:tc>
          <w:tcPr>
            <w:tcW w:w="4025" w:type="dxa"/>
          </w:tcPr>
          <w:p w14:paraId="2F125D0A" w14:textId="77777777" w:rsidR="00913335" w:rsidRPr="00913335" w:rsidRDefault="00913335" w:rsidP="00723357">
            <w:pPr>
              <w:rPr>
                <w:rFonts w:asciiTheme="minorHAnsi" w:hAnsiTheme="minorHAnsi" w:cstheme="minorHAnsi"/>
                <w:sz w:val="20"/>
                <w:szCs w:val="20"/>
              </w:rPr>
            </w:pPr>
            <w:proofErr w:type="spellStart"/>
            <w:r w:rsidRPr="00913335">
              <w:rPr>
                <w:rFonts w:asciiTheme="minorHAnsi" w:hAnsiTheme="minorHAnsi" w:cstheme="minorHAnsi"/>
                <w:sz w:val="20"/>
                <w:szCs w:val="20"/>
              </w:rPr>
              <w:t>Price_Return_Basic_Performance_Basket_CFD</w:t>
            </w:r>
            <w:proofErr w:type="spellEnd"/>
          </w:p>
        </w:tc>
        <w:tc>
          <w:tcPr>
            <w:tcW w:w="1134" w:type="dxa"/>
          </w:tcPr>
          <w:p w14:paraId="6E882790" w14:textId="77777777" w:rsidR="00913335" w:rsidRPr="00913335" w:rsidRDefault="00913335" w:rsidP="00723357">
            <w:pPr>
              <w:jc w:val="right"/>
              <w:rPr>
                <w:rFonts w:asciiTheme="minorHAnsi" w:hAnsiTheme="minorHAnsi" w:cstheme="minorHAnsi"/>
                <w:sz w:val="20"/>
                <w:szCs w:val="20"/>
              </w:rPr>
            </w:pPr>
            <w:r w:rsidRPr="00913335">
              <w:rPr>
                <w:rFonts w:asciiTheme="minorHAnsi" w:hAnsiTheme="minorHAnsi" w:cstheme="minorHAnsi"/>
                <w:sz w:val="20"/>
                <w:szCs w:val="20"/>
              </w:rPr>
              <w:t>15</w:t>
            </w:r>
          </w:p>
        </w:tc>
        <w:tc>
          <w:tcPr>
            <w:tcW w:w="1560" w:type="dxa"/>
          </w:tcPr>
          <w:p w14:paraId="7862C4D5" w14:textId="77777777" w:rsidR="00913335" w:rsidRPr="00913335" w:rsidRDefault="00913335" w:rsidP="00723357">
            <w:pPr>
              <w:jc w:val="right"/>
              <w:rPr>
                <w:rFonts w:asciiTheme="minorHAnsi" w:hAnsiTheme="minorHAnsi" w:cstheme="minorHAnsi"/>
                <w:sz w:val="20"/>
                <w:szCs w:val="20"/>
              </w:rPr>
            </w:pPr>
            <w:r w:rsidRPr="00913335">
              <w:rPr>
                <w:rFonts w:asciiTheme="minorHAnsi" w:hAnsiTheme="minorHAnsi" w:cstheme="minorHAnsi"/>
                <w:sz w:val="20"/>
                <w:szCs w:val="20"/>
              </w:rPr>
              <w:t>3</w:t>
            </w:r>
          </w:p>
        </w:tc>
      </w:tr>
      <w:tr w:rsidR="00913335" w:rsidRPr="00913335" w14:paraId="224895ED" w14:textId="77777777" w:rsidTr="005F18ED">
        <w:tc>
          <w:tcPr>
            <w:tcW w:w="1509" w:type="dxa"/>
          </w:tcPr>
          <w:p w14:paraId="4FCA7D91" w14:textId="77777777" w:rsidR="00913335" w:rsidRPr="00913335" w:rsidRDefault="00913335" w:rsidP="00723357">
            <w:pPr>
              <w:rPr>
                <w:rFonts w:asciiTheme="minorHAnsi" w:hAnsiTheme="minorHAnsi" w:cstheme="minorHAnsi"/>
                <w:sz w:val="20"/>
                <w:szCs w:val="20"/>
              </w:rPr>
            </w:pPr>
            <w:r w:rsidRPr="00913335">
              <w:rPr>
                <w:rFonts w:asciiTheme="minorHAnsi" w:hAnsiTheme="minorHAnsi" w:cstheme="minorHAnsi"/>
                <w:sz w:val="20"/>
                <w:szCs w:val="20"/>
              </w:rPr>
              <w:t>Equity</w:t>
            </w:r>
          </w:p>
        </w:tc>
        <w:tc>
          <w:tcPr>
            <w:tcW w:w="1265" w:type="dxa"/>
          </w:tcPr>
          <w:p w14:paraId="26400B3B" w14:textId="77777777" w:rsidR="00913335" w:rsidRPr="00913335" w:rsidRDefault="00913335" w:rsidP="00723357">
            <w:pPr>
              <w:rPr>
                <w:rFonts w:asciiTheme="minorHAnsi" w:hAnsiTheme="minorHAnsi" w:cstheme="minorHAnsi"/>
                <w:sz w:val="20"/>
                <w:szCs w:val="20"/>
              </w:rPr>
            </w:pPr>
            <w:r w:rsidRPr="00913335">
              <w:rPr>
                <w:rFonts w:asciiTheme="minorHAnsi" w:hAnsiTheme="minorHAnsi" w:cstheme="minorHAnsi"/>
                <w:sz w:val="20"/>
                <w:szCs w:val="20"/>
              </w:rPr>
              <w:t>Forward</w:t>
            </w:r>
          </w:p>
        </w:tc>
        <w:tc>
          <w:tcPr>
            <w:tcW w:w="4025" w:type="dxa"/>
          </w:tcPr>
          <w:p w14:paraId="01FB9959" w14:textId="77777777" w:rsidR="00913335" w:rsidRPr="00913335" w:rsidRDefault="00913335" w:rsidP="00723357">
            <w:pPr>
              <w:rPr>
                <w:rFonts w:asciiTheme="minorHAnsi" w:hAnsiTheme="minorHAnsi" w:cstheme="minorHAnsi"/>
                <w:sz w:val="20"/>
                <w:szCs w:val="20"/>
              </w:rPr>
            </w:pPr>
            <w:proofErr w:type="spellStart"/>
            <w:r w:rsidRPr="00913335">
              <w:rPr>
                <w:rFonts w:asciiTheme="minorHAnsi" w:hAnsiTheme="minorHAnsi" w:cstheme="minorHAnsi"/>
                <w:sz w:val="20"/>
                <w:szCs w:val="20"/>
              </w:rPr>
              <w:t>Price_Return_Basic_Performance_Basket</w:t>
            </w:r>
            <w:proofErr w:type="spellEnd"/>
          </w:p>
        </w:tc>
        <w:tc>
          <w:tcPr>
            <w:tcW w:w="1134" w:type="dxa"/>
          </w:tcPr>
          <w:p w14:paraId="2C36A6AD" w14:textId="77777777" w:rsidR="00913335" w:rsidRPr="00913335" w:rsidRDefault="00913335" w:rsidP="00723357">
            <w:pPr>
              <w:jc w:val="right"/>
              <w:rPr>
                <w:rFonts w:asciiTheme="minorHAnsi" w:hAnsiTheme="minorHAnsi" w:cstheme="minorHAnsi"/>
                <w:sz w:val="20"/>
                <w:szCs w:val="20"/>
              </w:rPr>
            </w:pPr>
            <w:r w:rsidRPr="00913335">
              <w:rPr>
                <w:rFonts w:asciiTheme="minorHAnsi" w:hAnsiTheme="minorHAnsi" w:cstheme="minorHAnsi"/>
                <w:sz w:val="20"/>
                <w:szCs w:val="20"/>
              </w:rPr>
              <w:t>3,667</w:t>
            </w:r>
          </w:p>
        </w:tc>
        <w:tc>
          <w:tcPr>
            <w:tcW w:w="1560" w:type="dxa"/>
          </w:tcPr>
          <w:p w14:paraId="47A50F4B" w14:textId="77777777" w:rsidR="00913335" w:rsidRPr="00913335" w:rsidRDefault="00913335" w:rsidP="00723357">
            <w:pPr>
              <w:jc w:val="right"/>
              <w:rPr>
                <w:rFonts w:asciiTheme="minorHAnsi" w:hAnsiTheme="minorHAnsi" w:cstheme="minorHAnsi"/>
                <w:sz w:val="20"/>
                <w:szCs w:val="20"/>
              </w:rPr>
            </w:pPr>
            <w:r w:rsidRPr="00913335">
              <w:rPr>
                <w:rFonts w:asciiTheme="minorHAnsi" w:hAnsiTheme="minorHAnsi" w:cstheme="minorHAnsi"/>
                <w:sz w:val="20"/>
                <w:szCs w:val="20"/>
              </w:rPr>
              <w:t>4</w:t>
            </w:r>
          </w:p>
        </w:tc>
      </w:tr>
      <w:tr w:rsidR="00913335" w:rsidRPr="00913335" w14:paraId="3156FCCD" w14:textId="77777777" w:rsidTr="005F18ED">
        <w:tc>
          <w:tcPr>
            <w:tcW w:w="1509" w:type="dxa"/>
            <w:tcBorders>
              <w:bottom w:val="single" w:sz="4" w:space="0" w:color="auto"/>
            </w:tcBorders>
          </w:tcPr>
          <w:p w14:paraId="55AC6B3B" w14:textId="77777777" w:rsidR="00913335" w:rsidRPr="00913335" w:rsidRDefault="00913335" w:rsidP="00723357">
            <w:pPr>
              <w:rPr>
                <w:rFonts w:asciiTheme="minorHAnsi" w:hAnsiTheme="minorHAnsi" w:cstheme="minorHAnsi"/>
                <w:sz w:val="20"/>
                <w:szCs w:val="20"/>
              </w:rPr>
            </w:pPr>
            <w:r w:rsidRPr="00913335">
              <w:rPr>
                <w:rFonts w:asciiTheme="minorHAnsi" w:hAnsiTheme="minorHAnsi" w:cstheme="minorHAnsi"/>
                <w:sz w:val="20"/>
                <w:szCs w:val="20"/>
              </w:rPr>
              <w:t>Equity</w:t>
            </w:r>
          </w:p>
        </w:tc>
        <w:tc>
          <w:tcPr>
            <w:tcW w:w="1265" w:type="dxa"/>
            <w:tcBorders>
              <w:bottom w:val="single" w:sz="4" w:space="0" w:color="auto"/>
            </w:tcBorders>
          </w:tcPr>
          <w:p w14:paraId="529A90DF" w14:textId="77777777" w:rsidR="00913335" w:rsidRPr="00913335" w:rsidRDefault="00913335" w:rsidP="00723357">
            <w:pPr>
              <w:rPr>
                <w:rFonts w:asciiTheme="minorHAnsi" w:hAnsiTheme="minorHAnsi" w:cstheme="minorHAnsi"/>
                <w:sz w:val="20"/>
                <w:szCs w:val="20"/>
              </w:rPr>
            </w:pPr>
            <w:r w:rsidRPr="00913335">
              <w:rPr>
                <w:rFonts w:asciiTheme="minorHAnsi" w:hAnsiTheme="minorHAnsi" w:cstheme="minorHAnsi"/>
                <w:sz w:val="20"/>
                <w:szCs w:val="20"/>
              </w:rPr>
              <w:t>Forward</w:t>
            </w:r>
          </w:p>
        </w:tc>
        <w:tc>
          <w:tcPr>
            <w:tcW w:w="4025" w:type="dxa"/>
            <w:tcBorders>
              <w:bottom w:val="single" w:sz="4" w:space="0" w:color="auto"/>
            </w:tcBorders>
          </w:tcPr>
          <w:p w14:paraId="0EB49E12" w14:textId="77777777" w:rsidR="00913335" w:rsidRPr="00913335" w:rsidRDefault="00913335" w:rsidP="00723357">
            <w:pPr>
              <w:rPr>
                <w:rFonts w:asciiTheme="minorHAnsi" w:hAnsiTheme="minorHAnsi" w:cstheme="minorHAnsi"/>
                <w:sz w:val="20"/>
                <w:szCs w:val="20"/>
              </w:rPr>
            </w:pPr>
            <w:proofErr w:type="spellStart"/>
            <w:r w:rsidRPr="00913335">
              <w:rPr>
                <w:rFonts w:asciiTheme="minorHAnsi" w:hAnsiTheme="minorHAnsi" w:cstheme="minorHAnsi"/>
                <w:sz w:val="20"/>
                <w:szCs w:val="20"/>
              </w:rPr>
              <w:t>Price_Return_Basic_Performance_Basket_CFD</w:t>
            </w:r>
            <w:proofErr w:type="spellEnd"/>
          </w:p>
        </w:tc>
        <w:tc>
          <w:tcPr>
            <w:tcW w:w="1134" w:type="dxa"/>
            <w:tcBorders>
              <w:bottom w:val="single" w:sz="4" w:space="0" w:color="auto"/>
            </w:tcBorders>
          </w:tcPr>
          <w:p w14:paraId="4220D0F6" w14:textId="77777777" w:rsidR="00913335" w:rsidRPr="00913335" w:rsidRDefault="00913335" w:rsidP="00723357">
            <w:pPr>
              <w:jc w:val="right"/>
              <w:rPr>
                <w:rFonts w:asciiTheme="minorHAnsi" w:hAnsiTheme="minorHAnsi" w:cstheme="minorHAnsi"/>
                <w:sz w:val="20"/>
                <w:szCs w:val="20"/>
              </w:rPr>
            </w:pPr>
            <w:r w:rsidRPr="00913335">
              <w:rPr>
                <w:rFonts w:asciiTheme="minorHAnsi" w:hAnsiTheme="minorHAnsi" w:cstheme="minorHAnsi"/>
                <w:sz w:val="20"/>
                <w:szCs w:val="20"/>
              </w:rPr>
              <w:t>17</w:t>
            </w:r>
          </w:p>
        </w:tc>
        <w:tc>
          <w:tcPr>
            <w:tcW w:w="1560" w:type="dxa"/>
            <w:tcBorders>
              <w:bottom w:val="single" w:sz="4" w:space="0" w:color="auto"/>
            </w:tcBorders>
          </w:tcPr>
          <w:p w14:paraId="7FFD3E96" w14:textId="77777777" w:rsidR="00913335" w:rsidRPr="00913335" w:rsidRDefault="00913335" w:rsidP="00723357">
            <w:pPr>
              <w:jc w:val="right"/>
              <w:rPr>
                <w:rFonts w:asciiTheme="minorHAnsi" w:hAnsiTheme="minorHAnsi" w:cstheme="minorHAnsi"/>
                <w:sz w:val="20"/>
                <w:szCs w:val="20"/>
              </w:rPr>
            </w:pPr>
            <w:r w:rsidRPr="00913335">
              <w:rPr>
                <w:rFonts w:asciiTheme="minorHAnsi" w:hAnsiTheme="minorHAnsi" w:cstheme="minorHAnsi"/>
                <w:sz w:val="20"/>
                <w:szCs w:val="20"/>
              </w:rPr>
              <w:t>2</w:t>
            </w:r>
          </w:p>
        </w:tc>
      </w:tr>
      <w:tr w:rsidR="005F18ED" w:rsidRPr="00913335" w14:paraId="312A54A7" w14:textId="77777777" w:rsidTr="005F18ED">
        <w:tc>
          <w:tcPr>
            <w:tcW w:w="1509" w:type="dxa"/>
            <w:tcBorders>
              <w:bottom w:val="double" w:sz="4" w:space="0" w:color="auto"/>
            </w:tcBorders>
          </w:tcPr>
          <w:p w14:paraId="712D0522" w14:textId="77777777" w:rsidR="00913335" w:rsidRPr="00913335" w:rsidRDefault="00913335" w:rsidP="00723357">
            <w:pPr>
              <w:rPr>
                <w:rFonts w:asciiTheme="minorHAnsi" w:hAnsiTheme="minorHAnsi" w:cstheme="minorHAnsi"/>
                <w:sz w:val="20"/>
                <w:szCs w:val="20"/>
              </w:rPr>
            </w:pPr>
            <w:r w:rsidRPr="00913335">
              <w:rPr>
                <w:rFonts w:asciiTheme="minorHAnsi" w:hAnsiTheme="minorHAnsi" w:cstheme="minorHAnsi"/>
                <w:sz w:val="20"/>
                <w:szCs w:val="20"/>
              </w:rPr>
              <w:t>Equity</w:t>
            </w:r>
          </w:p>
        </w:tc>
        <w:tc>
          <w:tcPr>
            <w:tcW w:w="1265" w:type="dxa"/>
            <w:tcBorders>
              <w:bottom w:val="double" w:sz="4" w:space="0" w:color="auto"/>
            </w:tcBorders>
          </w:tcPr>
          <w:p w14:paraId="672AE030" w14:textId="77777777" w:rsidR="00913335" w:rsidRPr="00913335" w:rsidRDefault="00913335" w:rsidP="00723357">
            <w:pPr>
              <w:rPr>
                <w:rFonts w:asciiTheme="minorHAnsi" w:hAnsiTheme="minorHAnsi" w:cstheme="minorHAnsi"/>
                <w:sz w:val="20"/>
                <w:szCs w:val="20"/>
              </w:rPr>
            </w:pPr>
            <w:r w:rsidRPr="00913335">
              <w:rPr>
                <w:rFonts w:asciiTheme="minorHAnsi" w:hAnsiTheme="minorHAnsi" w:cstheme="minorHAnsi"/>
                <w:sz w:val="20"/>
                <w:szCs w:val="20"/>
              </w:rPr>
              <w:t>Option</w:t>
            </w:r>
          </w:p>
        </w:tc>
        <w:tc>
          <w:tcPr>
            <w:tcW w:w="4025" w:type="dxa"/>
            <w:tcBorders>
              <w:bottom w:val="double" w:sz="4" w:space="0" w:color="auto"/>
            </w:tcBorders>
          </w:tcPr>
          <w:p w14:paraId="72E76E92" w14:textId="77777777" w:rsidR="00913335" w:rsidRPr="00913335" w:rsidRDefault="00913335" w:rsidP="00723357">
            <w:pPr>
              <w:rPr>
                <w:rFonts w:asciiTheme="minorHAnsi" w:hAnsiTheme="minorHAnsi" w:cstheme="minorHAnsi"/>
                <w:sz w:val="20"/>
                <w:szCs w:val="20"/>
              </w:rPr>
            </w:pPr>
            <w:r w:rsidRPr="00913335">
              <w:rPr>
                <w:rFonts w:asciiTheme="minorHAnsi" w:hAnsiTheme="minorHAnsi" w:cstheme="minorHAnsi"/>
                <w:sz w:val="20"/>
                <w:szCs w:val="20"/>
              </w:rPr>
              <w:t>Basket</w:t>
            </w:r>
          </w:p>
        </w:tc>
        <w:tc>
          <w:tcPr>
            <w:tcW w:w="1134" w:type="dxa"/>
            <w:tcBorders>
              <w:bottom w:val="double" w:sz="4" w:space="0" w:color="auto"/>
            </w:tcBorders>
          </w:tcPr>
          <w:p w14:paraId="3389CEC7" w14:textId="77777777" w:rsidR="00913335" w:rsidRPr="00913335" w:rsidRDefault="00913335" w:rsidP="00723357">
            <w:pPr>
              <w:jc w:val="right"/>
              <w:rPr>
                <w:rFonts w:asciiTheme="minorHAnsi" w:hAnsiTheme="minorHAnsi" w:cstheme="minorHAnsi"/>
                <w:sz w:val="20"/>
                <w:szCs w:val="20"/>
              </w:rPr>
            </w:pPr>
            <w:r w:rsidRPr="00913335">
              <w:rPr>
                <w:rFonts w:asciiTheme="minorHAnsi" w:hAnsiTheme="minorHAnsi" w:cstheme="minorHAnsi"/>
                <w:sz w:val="20"/>
                <w:szCs w:val="20"/>
              </w:rPr>
              <w:t>1,104,938</w:t>
            </w:r>
          </w:p>
        </w:tc>
        <w:tc>
          <w:tcPr>
            <w:tcW w:w="1560" w:type="dxa"/>
            <w:tcBorders>
              <w:bottom w:val="double" w:sz="4" w:space="0" w:color="auto"/>
            </w:tcBorders>
          </w:tcPr>
          <w:p w14:paraId="48CE65F5" w14:textId="77777777" w:rsidR="00913335" w:rsidRPr="00913335" w:rsidRDefault="00913335" w:rsidP="00723357">
            <w:pPr>
              <w:jc w:val="right"/>
              <w:rPr>
                <w:rFonts w:asciiTheme="minorHAnsi" w:hAnsiTheme="minorHAnsi" w:cstheme="minorHAnsi"/>
                <w:sz w:val="20"/>
                <w:szCs w:val="20"/>
              </w:rPr>
            </w:pPr>
            <w:r w:rsidRPr="00913335">
              <w:rPr>
                <w:rFonts w:asciiTheme="minorHAnsi" w:hAnsiTheme="minorHAnsi" w:cstheme="minorHAnsi"/>
                <w:sz w:val="20"/>
                <w:szCs w:val="20"/>
              </w:rPr>
              <w:t>216</w:t>
            </w:r>
          </w:p>
        </w:tc>
      </w:tr>
      <w:tr w:rsidR="005F18ED" w:rsidRPr="00913335" w14:paraId="51091CD9" w14:textId="77777777" w:rsidTr="005F18ED">
        <w:tc>
          <w:tcPr>
            <w:tcW w:w="1509" w:type="dxa"/>
            <w:tcBorders>
              <w:top w:val="double" w:sz="4" w:space="0" w:color="auto"/>
            </w:tcBorders>
          </w:tcPr>
          <w:p w14:paraId="3FFE4CAE" w14:textId="77777777" w:rsidR="00913335" w:rsidRPr="005B236A" w:rsidRDefault="00913335" w:rsidP="00723357">
            <w:pPr>
              <w:rPr>
                <w:rFonts w:asciiTheme="minorHAnsi" w:hAnsiTheme="minorHAnsi" w:cstheme="minorHAnsi"/>
                <w:b/>
                <w:bCs/>
                <w:sz w:val="20"/>
                <w:szCs w:val="20"/>
              </w:rPr>
            </w:pPr>
            <w:r w:rsidRPr="005B236A">
              <w:rPr>
                <w:rFonts w:asciiTheme="minorHAnsi" w:hAnsiTheme="minorHAnsi" w:cstheme="minorHAnsi"/>
                <w:b/>
                <w:bCs/>
                <w:sz w:val="20"/>
                <w:szCs w:val="20"/>
              </w:rPr>
              <w:t>Grand Total</w:t>
            </w:r>
          </w:p>
        </w:tc>
        <w:tc>
          <w:tcPr>
            <w:tcW w:w="1265" w:type="dxa"/>
            <w:tcBorders>
              <w:top w:val="double" w:sz="4" w:space="0" w:color="auto"/>
            </w:tcBorders>
          </w:tcPr>
          <w:p w14:paraId="19D08A07" w14:textId="77777777" w:rsidR="00913335" w:rsidRPr="005B236A" w:rsidRDefault="00913335" w:rsidP="00723357">
            <w:pPr>
              <w:rPr>
                <w:rFonts w:asciiTheme="minorHAnsi" w:hAnsiTheme="minorHAnsi" w:cstheme="minorHAnsi"/>
                <w:b/>
                <w:bCs/>
                <w:sz w:val="20"/>
                <w:szCs w:val="20"/>
              </w:rPr>
            </w:pPr>
          </w:p>
        </w:tc>
        <w:tc>
          <w:tcPr>
            <w:tcW w:w="4025" w:type="dxa"/>
            <w:tcBorders>
              <w:top w:val="double" w:sz="4" w:space="0" w:color="auto"/>
            </w:tcBorders>
          </w:tcPr>
          <w:p w14:paraId="704BE7B6" w14:textId="77777777" w:rsidR="00913335" w:rsidRPr="005B236A" w:rsidRDefault="00913335" w:rsidP="00723357">
            <w:pPr>
              <w:rPr>
                <w:rFonts w:asciiTheme="minorHAnsi" w:hAnsiTheme="minorHAnsi" w:cstheme="minorHAnsi"/>
                <w:b/>
                <w:bCs/>
                <w:sz w:val="20"/>
                <w:szCs w:val="20"/>
              </w:rPr>
            </w:pPr>
          </w:p>
        </w:tc>
        <w:tc>
          <w:tcPr>
            <w:tcW w:w="1134" w:type="dxa"/>
            <w:tcBorders>
              <w:top w:val="double" w:sz="4" w:space="0" w:color="auto"/>
            </w:tcBorders>
          </w:tcPr>
          <w:p w14:paraId="2B0521A9" w14:textId="77777777" w:rsidR="00913335" w:rsidRPr="005B236A" w:rsidRDefault="00913335" w:rsidP="00723357">
            <w:pPr>
              <w:rPr>
                <w:rFonts w:asciiTheme="minorHAnsi" w:hAnsiTheme="minorHAnsi" w:cstheme="minorHAnsi"/>
                <w:b/>
                <w:bCs/>
                <w:sz w:val="20"/>
                <w:szCs w:val="20"/>
              </w:rPr>
            </w:pPr>
            <w:r w:rsidRPr="005B236A">
              <w:rPr>
                <w:rFonts w:asciiTheme="minorHAnsi" w:hAnsiTheme="minorHAnsi" w:cstheme="minorHAnsi"/>
                <w:b/>
                <w:bCs/>
                <w:sz w:val="20"/>
                <w:szCs w:val="20"/>
              </w:rPr>
              <w:t>3,102,105</w:t>
            </w:r>
          </w:p>
        </w:tc>
        <w:tc>
          <w:tcPr>
            <w:tcW w:w="1560" w:type="dxa"/>
            <w:tcBorders>
              <w:top w:val="double" w:sz="4" w:space="0" w:color="auto"/>
            </w:tcBorders>
          </w:tcPr>
          <w:p w14:paraId="7EE923A3" w14:textId="77777777" w:rsidR="00913335" w:rsidRPr="005B236A" w:rsidRDefault="00913335" w:rsidP="00723357">
            <w:pPr>
              <w:jc w:val="right"/>
              <w:rPr>
                <w:rFonts w:asciiTheme="minorHAnsi" w:hAnsiTheme="minorHAnsi" w:cstheme="minorHAnsi"/>
                <w:b/>
                <w:bCs/>
                <w:sz w:val="20"/>
                <w:szCs w:val="20"/>
              </w:rPr>
            </w:pPr>
            <w:r w:rsidRPr="005B236A">
              <w:rPr>
                <w:rFonts w:asciiTheme="minorHAnsi" w:hAnsiTheme="minorHAnsi" w:cstheme="minorHAnsi"/>
                <w:b/>
                <w:bCs/>
                <w:sz w:val="20"/>
                <w:szCs w:val="20"/>
              </w:rPr>
              <w:t>3,428</w:t>
            </w:r>
          </w:p>
        </w:tc>
      </w:tr>
    </w:tbl>
    <w:p w14:paraId="3C25CCDF" w14:textId="77777777" w:rsidR="00EC7C3B" w:rsidRPr="002915CF" w:rsidRDefault="00EC7C3B" w:rsidP="00EC7C3B">
      <w:pPr>
        <w:rPr>
          <w:rFonts w:asciiTheme="minorHAnsi" w:hAnsiTheme="minorHAnsi"/>
          <w:sz w:val="22"/>
          <w:szCs w:val="22"/>
        </w:rPr>
      </w:pPr>
      <w:r w:rsidRPr="002915CF">
        <w:rPr>
          <w:rFonts w:asciiTheme="minorHAnsi" w:hAnsiTheme="minorHAnsi"/>
          <w:sz w:val="22"/>
          <w:szCs w:val="22"/>
        </w:rPr>
        <w:t xml:space="preserve">*See </w:t>
      </w:r>
      <w:hyperlink r:id="rId26" w:history="1">
        <w:r w:rsidRPr="002915CF">
          <w:rPr>
            <w:rStyle w:val="Hyperlink"/>
            <w:rFonts w:asciiTheme="minorHAnsi" w:eastAsiaTheme="majorEastAsia" w:hAnsiTheme="minorHAnsi"/>
            <w:sz w:val="22"/>
            <w:szCs w:val="22"/>
          </w:rPr>
          <w:t>here</w:t>
        </w:r>
      </w:hyperlink>
      <w:r w:rsidRPr="002915CF">
        <w:rPr>
          <w:rFonts w:asciiTheme="minorHAnsi" w:hAnsiTheme="minorHAnsi"/>
          <w:sz w:val="22"/>
          <w:szCs w:val="22"/>
        </w:rPr>
        <w:t xml:space="preserve"> for an explanation of the product descriptions </w:t>
      </w:r>
    </w:p>
    <w:p w14:paraId="11314B80" w14:textId="77777777" w:rsidR="00EC7C3B" w:rsidRPr="002915CF" w:rsidRDefault="00EC7C3B" w:rsidP="00EC7C3B">
      <w:pPr>
        <w:rPr>
          <w:rFonts w:asciiTheme="minorHAnsi" w:hAnsiTheme="minorHAnsi"/>
          <w:sz w:val="22"/>
          <w:szCs w:val="22"/>
        </w:rPr>
      </w:pPr>
    </w:p>
    <w:p w14:paraId="2B2A21BA" w14:textId="21888D3F" w:rsidR="00EC7C3B" w:rsidRPr="002915CF" w:rsidRDefault="00EC7C3B" w:rsidP="00EC7C3B">
      <w:pPr>
        <w:rPr>
          <w:rFonts w:asciiTheme="minorHAnsi" w:hAnsiTheme="minorHAnsi"/>
          <w:sz w:val="22"/>
          <w:szCs w:val="22"/>
        </w:rPr>
      </w:pPr>
      <w:r>
        <w:rPr>
          <w:rFonts w:asciiTheme="minorHAnsi" w:hAnsiTheme="minorHAnsi"/>
          <w:sz w:val="22"/>
          <w:szCs w:val="22"/>
        </w:rPr>
        <w:t>T</w:t>
      </w:r>
      <w:r w:rsidRPr="002915CF">
        <w:rPr>
          <w:rFonts w:asciiTheme="minorHAnsi" w:hAnsiTheme="minorHAnsi"/>
          <w:sz w:val="22"/>
          <w:szCs w:val="22"/>
        </w:rPr>
        <w:t>able</w:t>
      </w:r>
      <w:r>
        <w:rPr>
          <w:rFonts w:asciiTheme="minorHAnsi" w:hAnsiTheme="minorHAnsi"/>
          <w:sz w:val="22"/>
          <w:szCs w:val="22"/>
        </w:rPr>
        <w:t xml:space="preserve"> 1.2A</w:t>
      </w:r>
      <w:r w:rsidRPr="002915CF">
        <w:rPr>
          <w:rFonts w:asciiTheme="minorHAnsi" w:hAnsiTheme="minorHAnsi"/>
          <w:sz w:val="22"/>
          <w:szCs w:val="22"/>
        </w:rPr>
        <w:t xml:space="preserve"> shows</w:t>
      </w:r>
      <w:r w:rsidR="00AF53A9">
        <w:rPr>
          <w:rFonts w:asciiTheme="minorHAnsi" w:hAnsiTheme="minorHAnsi"/>
          <w:sz w:val="22"/>
          <w:szCs w:val="22"/>
        </w:rPr>
        <w:t xml:space="preserve"> that</w:t>
      </w:r>
      <w:r w:rsidRPr="002915CF">
        <w:rPr>
          <w:rFonts w:asciiTheme="minorHAnsi" w:hAnsiTheme="minorHAnsi"/>
          <w:sz w:val="22"/>
          <w:szCs w:val="22"/>
        </w:rPr>
        <w:t xml:space="preserve"> a total of 3.1 million </w:t>
      </w:r>
      <w:r>
        <w:rPr>
          <w:rFonts w:asciiTheme="minorHAnsi" w:hAnsiTheme="minorHAnsi"/>
          <w:sz w:val="22"/>
          <w:szCs w:val="22"/>
        </w:rPr>
        <w:t xml:space="preserve">OTC </w:t>
      </w:r>
      <w:r w:rsidRPr="002915CF">
        <w:rPr>
          <w:rFonts w:asciiTheme="minorHAnsi" w:hAnsiTheme="minorHAnsi"/>
          <w:sz w:val="22"/>
          <w:szCs w:val="22"/>
        </w:rPr>
        <w:t xml:space="preserve">ISINs </w:t>
      </w:r>
      <w:r>
        <w:rPr>
          <w:rFonts w:asciiTheme="minorHAnsi" w:hAnsiTheme="minorHAnsi"/>
          <w:sz w:val="22"/>
          <w:szCs w:val="22"/>
        </w:rPr>
        <w:t xml:space="preserve">have been </w:t>
      </w:r>
      <w:r w:rsidRPr="002915CF">
        <w:rPr>
          <w:rFonts w:asciiTheme="minorHAnsi" w:hAnsiTheme="minorHAnsi"/>
          <w:sz w:val="22"/>
          <w:szCs w:val="22"/>
        </w:rPr>
        <w:t xml:space="preserve">created </w:t>
      </w:r>
      <w:r>
        <w:rPr>
          <w:rFonts w:asciiTheme="minorHAnsi" w:hAnsiTheme="minorHAnsi"/>
          <w:sz w:val="22"/>
          <w:szCs w:val="22"/>
        </w:rPr>
        <w:t xml:space="preserve">for </w:t>
      </w:r>
      <w:r w:rsidRPr="002915CF">
        <w:rPr>
          <w:rFonts w:asciiTheme="minorHAnsi" w:hAnsiTheme="minorHAnsi"/>
          <w:sz w:val="22"/>
          <w:szCs w:val="22"/>
        </w:rPr>
        <w:t>OTC derivative</w:t>
      </w:r>
      <w:r>
        <w:rPr>
          <w:rFonts w:asciiTheme="minorHAnsi" w:hAnsiTheme="minorHAnsi"/>
          <w:sz w:val="22"/>
          <w:szCs w:val="22"/>
        </w:rPr>
        <w:t>s with underlying</w:t>
      </w:r>
      <w:r w:rsidRPr="002915CF">
        <w:rPr>
          <w:rFonts w:asciiTheme="minorHAnsi" w:hAnsiTheme="minorHAnsi"/>
          <w:sz w:val="22"/>
          <w:szCs w:val="22"/>
        </w:rPr>
        <w:t xml:space="preserve"> baskets</w:t>
      </w:r>
      <w:r>
        <w:rPr>
          <w:rFonts w:asciiTheme="minorHAnsi" w:hAnsiTheme="minorHAnsi"/>
          <w:sz w:val="22"/>
          <w:szCs w:val="22"/>
        </w:rPr>
        <w:t xml:space="preserve"> </w:t>
      </w:r>
      <w:r w:rsidRPr="002915CF">
        <w:rPr>
          <w:rFonts w:asciiTheme="minorHAnsi" w:hAnsiTheme="minorHAnsi"/>
          <w:sz w:val="22"/>
          <w:szCs w:val="22"/>
        </w:rPr>
        <w:t>since</w:t>
      </w:r>
      <w:r w:rsidRPr="003A7ED0">
        <w:rPr>
          <w:rFonts w:asciiTheme="minorHAnsi" w:hAnsiTheme="minorHAnsi"/>
          <w:sz w:val="22"/>
          <w:szCs w:val="22"/>
        </w:rPr>
        <w:t xml:space="preserve"> </w:t>
      </w:r>
      <w:r>
        <w:rPr>
          <w:rFonts w:asciiTheme="minorHAnsi" w:hAnsiTheme="minorHAnsi"/>
          <w:sz w:val="22"/>
          <w:szCs w:val="22"/>
        </w:rPr>
        <w:t>2018</w:t>
      </w:r>
      <w:r w:rsidRPr="008C25E4">
        <w:rPr>
          <w:rFonts w:asciiTheme="minorHAnsi" w:hAnsiTheme="minorHAnsi"/>
          <w:sz w:val="22"/>
          <w:szCs w:val="22"/>
        </w:rPr>
        <w:t xml:space="preserve"> to 1 July 2025</w:t>
      </w:r>
      <w:r w:rsidRPr="002915CF">
        <w:rPr>
          <w:rFonts w:asciiTheme="minorHAnsi" w:hAnsiTheme="minorHAnsi"/>
          <w:sz w:val="22"/>
          <w:szCs w:val="22"/>
        </w:rPr>
        <w:t>. However, the maximum number</w:t>
      </w:r>
      <w:r>
        <w:rPr>
          <w:rFonts w:asciiTheme="minorHAnsi" w:hAnsiTheme="minorHAnsi"/>
          <w:sz w:val="22"/>
          <w:szCs w:val="22"/>
        </w:rPr>
        <w:t xml:space="preserve"> of</w:t>
      </w:r>
      <w:r w:rsidRPr="002915CF">
        <w:rPr>
          <w:rFonts w:asciiTheme="minorHAnsi" w:hAnsiTheme="minorHAnsi"/>
          <w:sz w:val="22"/>
          <w:szCs w:val="22"/>
        </w:rPr>
        <w:t xml:space="preserve"> </w:t>
      </w:r>
      <w:r>
        <w:rPr>
          <w:rFonts w:asciiTheme="minorHAnsi" w:hAnsiTheme="minorHAnsi"/>
          <w:sz w:val="22"/>
          <w:szCs w:val="22"/>
        </w:rPr>
        <w:t>permutations of</w:t>
      </w:r>
      <w:r w:rsidRPr="002915CF">
        <w:rPr>
          <w:rFonts w:asciiTheme="minorHAnsi" w:hAnsiTheme="minorHAnsi"/>
          <w:sz w:val="22"/>
          <w:szCs w:val="22"/>
        </w:rPr>
        <w:t xml:space="preserve"> UPIs for </w:t>
      </w:r>
      <w:r>
        <w:rPr>
          <w:rFonts w:asciiTheme="minorHAnsi" w:hAnsiTheme="minorHAnsi"/>
          <w:sz w:val="22"/>
          <w:szCs w:val="22"/>
        </w:rPr>
        <w:t>these OTC derivatives</w:t>
      </w:r>
      <w:r w:rsidRPr="002915CF">
        <w:rPr>
          <w:rFonts w:asciiTheme="minorHAnsi" w:hAnsiTheme="minorHAnsi"/>
          <w:sz w:val="22"/>
          <w:szCs w:val="22"/>
        </w:rPr>
        <w:t xml:space="preserve"> </w:t>
      </w:r>
      <w:r>
        <w:rPr>
          <w:rFonts w:asciiTheme="minorHAnsi" w:hAnsiTheme="minorHAnsi"/>
          <w:sz w:val="22"/>
          <w:szCs w:val="22"/>
        </w:rPr>
        <w:t>is</w:t>
      </w:r>
      <w:r w:rsidRPr="002915CF">
        <w:rPr>
          <w:rFonts w:asciiTheme="minorHAnsi" w:hAnsiTheme="minorHAnsi"/>
          <w:sz w:val="22"/>
          <w:szCs w:val="22"/>
        </w:rPr>
        <w:t xml:space="preserve"> 3,428. The significantly lower number of UPIs to the actual </w:t>
      </w:r>
      <w:r>
        <w:rPr>
          <w:rFonts w:asciiTheme="minorHAnsi" w:hAnsiTheme="minorHAnsi"/>
          <w:sz w:val="22"/>
          <w:szCs w:val="22"/>
        </w:rPr>
        <w:t>number of</w:t>
      </w:r>
      <w:r w:rsidRPr="002915CF">
        <w:rPr>
          <w:rFonts w:asciiTheme="minorHAnsi" w:hAnsiTheme="minorHAnsi"/>
          <w:sz w:val="22"/>
          <w:szCs w:val="22"/>
        </w:rPr>
        <w:t xml:space="preserve"> </w:t>
      </w:r>
      <w:r>
        <w:rPr>
          <w:rFonts w:asciiTheme="minorHAnsi" w:hAnsiTheme="minorHAnsi"/>
          <w:sz w:val="22"/>
          <w:szCs w:val="22"/>
        </w:rPr>
        <w:t xml:space="preserve">OTC </w:t>
      </w:r>
      <w:r w:rsidRPr="002915CF">
        <w:rPr>
          <w:rFonts w:asciiTheme="minorHAnsi" w:hAnsiTheme="minorHAnsi"/>
          <w:sz w:val="22"/>
          <w:szCs w:val="22"/>
        </w:rPr>
        <w:t xml:space="preserve">ISINs is </w:t>
      </w:r>
      <w:r>
        <w:rPr>
          <w:rFonts w:asciiTheme="minorHAnsi" w:hAnsiTheme="minorHAnsi"/>
          <w:sz w:val="22"/>
          <w:szCs w:val="22"/>
        </w:rPr>
        <w:t>due to</w:t>
      </w:r>
      <w:r w:rsidRPr="002915CF">
        <w:rPr>
          <w:rFonts w:asciiTheme="minorHAnsi" w:hAnsiTheme="minorHAnsi"/>
          <w:sz w:val="22"/>
          <w:szCs w:val="22"/>
        </w:rPr>
        <w:t xml:space="preserve"> the less granular </w:t>
      </w:r>
      <w:r>
        <w:rPr>
          <w:rFonts w:asciiTheme="minorHAnsi" w:hAnsiTheme="minorHAnsi"/>
          <w:sz w:val="22"/>
          <w:szCs w:val="22"/>
        </w:rPr>
        <w:t xml:space="preserve">level of </w:t>
      </w:r>
      <w:r w:rsidRPr="002915CF">
        <w:rPr>
          <w:rFonts w:asciiTheme="minorHAnsi" w:hAnsiTheme="minorHAnsi"/>
          <w:sz w:val="22"/>
          <w:szCs w:val="22"/>
        </w:rPr>
        <w:t xml:space="preserve">data </w:t>
      </w:r>
      <w:r>
        <w:rPr>
          <w:rFonts w:asciiTheme="minorHAnsi" w:hAnsiTheme="minorHAnsi"/>
          <w:sz w:val="22"/>
          <w:szCs w:val="22"/>
        </w:rPr>
        <w:t>encapsulated within the</w:t>
      </w:r>
      <w:r w:rsidRPr="002915CF">
        <w:rPr>
          <w:rFonts w:asciiTheme="minorHAnsi" w:hAnsiTheme="minorHAnsi"/>
          <w:sz w:val="22"/>
          <w:szCs w:val="22"/>
        </w:rPr>
        <w:t xml:space="preserve"> UPI</w:t>
      </w:r>
      <w:r>
        <w:rPr>
          <w:rFonts w:asciiTheme="minorHAnsi" w:hAnsiTheme="minorHAnsi"/>
          <w:sz w:val="22"/>
          <w:szCs w:val="22"/>
        </w:rPr>
        <w:t>. In particular,</w:t>
      </w:r>
      <w:r w:rsidRPr="002915CF">
        <w:rPr>
          <w:rFonts w:asciiTheme="minorHAnsi" w:hAnsiTheme="minorHAnsi"/>
          <w:sz w:val="22"/>
          <w:szCs w:val="22"/>
        </w:rPr>
        <w:t xml:space="preserve"> the underlying </w:t>
      </w:r>
      <w:r>
        <w:rPr>
          <w:rFonts w:asciiTheme="minorHAnsi" w:hAnsiTheme="minorHAnsi"/>
          <w:sz w:val="22"/>
          <w:szCs w:val="22"/>
        </w:rPr>
        <w:t>basket</w:t>
      </w:r>
      <w:r w:rsidRPr="002915CF">
        <w:rPr>
          <w:rFonts w:asciiTheme="minorHAnsi" w:hAnsiTheme="minorHAnsi"/>
          <w:sz w:val="22"/>
          <w:szCs w:val="22"/>
        </w:rPr>
        <w:t xml:space="preserve"> constituent information is not included in the UPI’s attributes. </w:t>
      </w:r>
    </w:p>
    <w:p w14:paraId="0A5CA734" w14:textId="77777777" w:rsidR="00EC7C3B" w:rsidRPr="002915CF" w:rsidRDefault="00EC7C3B" w:rsidP="00EC7C3B">
      <w:pPr>
        <w:rPr>
          <w:rFonts w:asciiTheme="minorHAnsi" w:hAnsiTheme="minorHAnsi"/>
          <w:sz w:val="22"/>
          <w:szCs w:val="22"/>
        </w:rPr>
      </w:pPr>
    </w:p>
    <w:p w14:paraId="1F872612" w14:textId="77777777" w:rsidR="00EC7C3B" w:rsidRPr="002915CF" w:rsidRDefault="00EC7C3B" w:rsidP="00EC7C3B">
      <w:pPr>
        <w:rPr>
          <w:rFonts w:asciiTheme="minorHAnsi" w:hAnsiTheme="minorHAnsi"/>
          <w:sz w:val="22"/>
          <w:szCs w:val="22"/>
        </w:rPr>
      </w:pPr>
      <w:r>
        <w:rPr>
          <w:rFonts w:asciiTheme="minorHAnsi" w:hAnsiTheme="minorHAnsi"/>
          <w:sz w:val="22"/>
          <w:szCs w:val="22"/>
        </w:rPr>
        <w:t>T</w:t>
      </w:r>
      <w:r w:rsidRPr="002915CF">
        <w:rPr>
          <w:rFonts w:asciiTheme="minorHAnsi" w:hAnsiTheme="minorHAnsi"/>
          <w:sz w:val="22"/>
          <w:szCs w:val="22"/>
        </w:rPr>
        <w:t>able</w:t>
      </w:r>
      <w:r>
        <w:rPr>
          <w:rFonts w:asciiTheme="minorHAnsi" w:hAnsiTheme="minorHAnsi"/>
          <w:sz w:val="22"/>
          <w:szCs w:val="22"/>
        </w:rPr>
        <w:t xml:space="preserve"> 1.2B</w:t>
      </w:r>
      <w:r w:rsidRPr="002915CF">
        <w:rPr>
          <w:rFonts w:asciiTheme="minorHAnsi" w:hAnsiTheme="minorHAnsi"/>
          <w:sz w:val="22"/>
          <w:szCs w:val="22"/>
        </w:rPr>
        <w:t xml:space="preserve"> below shows the </w:t>
      </w:r>
      <w:r>
        <w:rPr>
          <w:rFonts w:asciiTheme="minorHAnsi" w:hAnsiTheme="minorHAnsi"/>
          <w:sz w:val="22"/>
          <w:szCs w:val="22"/>
        </w:rPr>
        <w:t>range</w:t>
      </w:r>
      <w:r w:rsidRPr="002915CF">
        <w:rPr>
          <w:rFonts w:asciiTheme="minorHAnsi" w:hAnsiTheme="minorHAnsi"/>
          <w:sz w:val="22"/>
          <w:szCs w:val="22"/>
        </w:rPr>
        <w:t xml:space="preserve"> of the number of OTC ISINs created for Q1 2025 by number of basket constituents</w:t>
      </w:r>
      <w:r>
        <w:rPr>
          <w:rFonts w:asciiTheme="minorHAnsi" w:hAnsiTheme="minorHAnsi"/>
          <w:sz w:val="22"/>
          <w:szCs w:val="22"/>
        </w:rPr>
        <w:t xml:space="preserve"> for</w:t>
      </w:r>
      <w:r w:rsidRPr="002915CF">
        <w:rPr>
          <w:rFonts w:asciiTheme="minorHAnsi" w:hAnsiTheme="minorHAnsi"/>
          <w:sz w:val="22"/>
          <w:szCs w:val="22"/>
        </w:rPr>
        <w:t xml:space="preserve"> “</w:t>
      </w:r>
      <w:proofErr w:type="spellStart"/>
      <w:r w:rsidRPr="0071578B">
        <w:rPr>
          <w:rFonts w:asciiTheme="minorHAnsi" w:hAnsiTheme="minorHAnsi"/>
          <w:b/>
          <w:bCs/>
          <w:sz w:val="22"/>
          <w:szCs w:val="22"/>
        </w:rPr>
        <w:t>Price_Return_Basic_Performance_Basket</w:t>
      </w:r>
      <w:proofErr w:type="spellEnd"/>
      <w:r w:rsidRPr="002915CF">
        <w:rPr>
          <w:rFonts w:asciiTheme="minorHAnsi" w:hAnsiTheme="minorHAnsi"/>
          <w:sz w:val="22"/>
          <w:szCs w:val="22"/>
        </w:rPr>
        <w:t>” Equity Swap product type</w:t>
      </w:r>
      <w:r>
        <w:rPr>
          <w:rFonts w:asciiTheme="minorHAnsi" w:hAnsiTheme="minorHAnsi"/>
          <w:sz w:val="22"/>
          <w:szCs w:val="22"/>
        </w:rPr>
        <w:t>.</w:t>
      </w:r>
      <w:r w:rsidRPr="002915CF">
        <w:rPr>
          <w:rFonts w:asciiTheme="minorHAnsi" w:hAnsiTheme="minorHAnsi"/>
          <w:sz w:val="22"/>
          <w:szCs w:val="22"/>
        </w:rPr>
        <w:t xml:space="preserve"> </w:t>
      </w:r>
      <w:r>
        <w:rPr>
          <w:rFonts w:asciiTheme="minorHAnsi" w:hAnsiTheme="minorHAnsi"/>
          <w:sz w:val="22"/>
          <w:szCs w:val="22"/>
        </w:rPr>
        <w:t>F</w:t>
      </w:r>
      <w:r w:rsidRPr="002915CF">
        <w:rPr>
          <w:rFonts w:asciiTheme="minorHAnsi" w:hAnsiTheme="minorHAnsi"/>
          <w:sz w:val="22"/>
          <w:szCs w:val="22"/>
        </w:rPr>
        <w:t xml:space="preserve">urther analysis on </w:t>
      </w:r>
      <w:r>
        <w:rPr>
          <w:rFonts w:asciiTheme="minorHAnsi" w:hAnsiTheme="minorHAnsi"/>
          <w:sz w:val="22"/>
          <w:szCs w:val="22"/>
        </w:rPr>
        <w:t xml:space="preserve">other </w:t>
      </w:r>
      <w:r w:rsidRPr="002915CF">
        <w:rPr>
          <w:rFonts w:asciiTheme="minorHAnsi" w:hAnsiTheme="minorHAnsi"/>
          <w:sz w:val="22"/>
          <w:szCs w:val="22"/>
        </w:rPr>
        <w:t>product types</w:t>
      </w:r>
      <w:r>
        <w:rPr>
          <w:rFonts w:asciiTheme="minorHAnsi" w:hAnsiTheme="minorHAnsi"/>
          <w:sz w:val="22"/>
          <w:szCs w:val="22"/>
        </w:rPr>
        <w:t xml:space="preserve"> can be undertaken by the DSB,</w:t>
      </w:r>
      <w:r w:rsidRPr="002915CF">
        <w:rPr>
          <w:rFonts w:asciiTheme="minorHAnsi" w:hAnsiTheme="minorHAnsi"/>
          <w:sz w:val="22"/>
          <w:szCs w:val="22"/>
        </w:rPr>
        <w:t xml:space="preserve"> if required by ESMA. </w:t>
      </w:r>
    </w:p>
    <w:p w14:paraId="1ECC5283" w14:textId="77777777" w:rsidR="00EC7C3B" w:rsidRPr="002915CF" w:rsidRDefault="00EC7C3B" w:rsidP="00EC7C3B">
      <w:pPr>
        <w:rPr>
          <w:rFonts w:asciiTheme="minorHAnsi" w:hAnsiTheme="minorHAnsi"/>
          <w:sz w:val="22"/>
          <w:szCs w:val="22"/>
        </w:rPr>
      </w:pPr>
    </w:p>
    <w:p w14:paraId="16D759DF" w14:textId="644D65F6" w:rsidR="003F3CDE" w:rsidRDefault="00EC7C3B" w:rsidP="00EC7C3B">
      <w:pPr>
        <w:rPr>
          <w:rFonts w:asciiTheme="minorHAnsi" w:hAnsiTheme="minorHAnsi"/>
          <w:b/>
          <w:bCs/>
          <w:sz w:val="22"/>
          <w:szCs w:val="22"/>
        </w:rPr>
      </w:pPr>
      <w:r w:rsidRPr="002915CF">
        <w:rPr>
          <w:rFonts w:asciiTheme="minorHAnsi" w:hAnsiTheme="minorHAnsi"/>
          <w:b/>
          <w:bCs/>
          <w:sz w:val="22"/>
          <w:szCs w:val="22"/>
        </w:rPr>
        <w:t xml:space="preserve">Table </w:t>
      </w:r>
      <w:r>
        <w:rPr>
          <w:rFonts w:asciiTheme="minorHAnsi" w:hAnsiTheme="minorHAnsi"/>
          <w:b/>
          <w:bCs/>
          <w:sz w:val="22"/>
          <w:szCs w:val="22"/>
        </w:rPr>
        <w:t>1.2B</w:t>
      </w:r>
      <w:r w:rsidRPr="002915CF">
        <w:rPr>
          <w:rFonts w:asciiTheme="minorHAnsi" w:hAnsiTheme="minorHAnsi"/>
          <w:b/>
          <w:bCs/>
          <w:sz w:val="22"/>
          <w:szCs w:val="22"/>
        </w:rPr>
        <w:t xml:space="preserve">: Distribution of OTC </w:t>
      </w:r>
      <w:r>
        <w:rPr>
          <w:rFonts w:asciiTheme="minorHAnsi" w:hAnsiTheme="minorHAnsi"/>
          <w:b/>
          <w:bCs/>
          <w:sz w:val="22"/>
          <w:szCs w:val="22"/>
        </w:rPr>
        <w:t xml:space="preserve">ISINs created for OTC derivatives with underlying </w:t>
      </w:r>
      <w:r w:rsidRPr="002915CF">
        <w:rPr>
          <w:rFonts w:asciiTheme="minorHAnsi" w:hAnsiTheme="minorHAnsi"/>
          <w:b/>
          <w:bCs/>
          <w:sz w:val="22"/>
          <w:szCs w:val="22"/>
        </w:rPr>
        <w:t>basket</w:t>
      </w:r>
      <w:r>
        <w:rPr>
          <w:rFonts w:asciiTheme="minorHAnsi" w:hAnsiTheme="minorHAnsi"/>
          <w:b/>
          <w:bCs/>
          <w:sz w:val="22"/>
          <w:szCs w:val="22"/>
        </w:rPr>
        <w:t>s</w:t>
      </w:r>
      <w:r w:rsidRPr="002915CF">
        <w:rPr>
          <w:rFonts w:asciiTheme="minorHAnsi" w:hAnsiTheme="minorHAnsi"/>
          <w:b/>
          <w:bCs/>
          <w:sz w:val="22"/>
          <w:szCs w:val="22"/>
        </w:rPr>
        <w:t xml:space="preserve"> in Q1 2025 by size of the basket for a “</w:t>
      </w:r>
      <w:proofErr w:type="spellStart"/>
      <w:r w:rsidRPr="002915CF">
        <w:rPr>
          <w:rFonts w:asciiTheme="minorHAnsi" w:hAnsiTheme="minorHAnsi"/>
          <w:b/>
          <w:bCs/>
          <w:sz w:val="22"/>
          <w:szCs w:val="22"/>
        </w:rPr>
        <w:t>Price_Return_Basic_Performance_Basket</w:t>
      </w:r>
      <w:proofErr w:type="spellEnd"/>
      <w:r w:rsidRPr="002915CF">
        <w:rPr>
          <w:rFonts w:asciiTheme="minorHAnsi" w:hAnsiTheme="minorHAnsi"/>
          <w:b/>
          <w:bCs/>
          <w:sz w:val="22"/>
          <w:szCs w:val="22"/>
        </w:rPr>
        <w:t xml:space="preserve">” equity swap </w:t>
      </w:r>
    </w:p>
    <w:p w14:paraId="121A9E16" w14:textId="77777777" w:rsidR="00483484" w:rsidRPr="002915CF" w:rsidRDefault="00483484" w:rsidP="00EC7C3B">
      <w:pPr>
        <w:rPr>
          <w:rFonts w:asciiTheme="minorHAnsi" w:hAnsiTheme="minorHAnsi"/>
          <w:sz w:val="22"/>
          <w:szCs w:val="22"/>
        </w:rPr>
      </w:pPr>
    </w:p>
    <w:tbl>
      <w:tblPr>
        <w:tblStyle w:val="TableGrid"/>
        <w:tblW w:w="0" w:type="auto"/>
        <w:tblLook w:val="04A0" w:firstRow="1" w:lastRow="0" w:firstColumn="1" w:lastColumn="0" w:noHBand="0" w:noVBand="1"/>
      </w:tblPr>
      <w:tblGrid>
        <w:gridCol w:w="3128"/>
        <w:gridCol w:w="3037"/>
        <w:gridCol w:w="2875"/>
      </w:tblGrid>
      <w:tr w:rsidR="003F3CDE" w:rsidRPr="00773272" w14:paraId="4FEA4B80" w14:textId="77777777" w:rsidTr="003F3CDE">
        <w:trPr>
          <w:trHeight w:val="300"/>
        </w:trPr>
        <w:tc>
          <w:tcPr>
            <w:tcW w:w="3128" w:type="dxa"/>
            <w:tcBorders>
              <w:top w:val="single" w:sz="4" w:space="0" w:color="auto"/>
              <w:left w:val="single" w:sz="4" w:space="0" w:color="auto"/>
              <w:bottom w:val="double" w:sz="4" w:space="0" w:color="auto"/>
              <w:right w:val="single" w:sz="4" w:space="0" w:color="auto"/>
            </w:tcBorders>
          </w:tcPr>
          <w:p w14:paraId="7B7EB183" w14:textId="77777777" w:rsidR="00EC7C3B" w:rsidRPr="00773272" w:rsidRDefault="00EC7C3B" w:rsidP="00723357">
            <w:pPr>
              <w:rPr>
                <w:rFonts w:asciiTheme="minorHAnsi" w:hAnsiTheme="minorHAnsi"/>
                <w:b/>
                <w:bCs/>
                <w:sz w:val="22"/>
                <w:szCs w:val="22"/>
              </w:rPr>
            </w:pPr>
            <w:r w:rsidRPr="00773272">
              <w:rPr>
                <w:rFonts w:asciiTheme="minorHAnsi" w:hAnsiTheme="minorHAnsi"/>
                <w:b/>
                <w:bCs/>
                <w:sz w:val="22"/>
                <w:szCs w:val="22"/>
              </w:rPr>
              <w:t xml:space="preserve">Number of basket constituents </w:t>
            </w:r>
          </w:p>
        </w:tc>
        <w:tc>
          <w:tcPr>
            <w:tcW w:w="3037" w:type="dxa"/>
            <w:tcBorders>
              <w:top w:val="single" w:sz="4" w:space="0" w:color="auto"/>
              <w:left w:val="single" w:sz="4" w:space="0" w:color="auto"/>
              <w:bottom w:val="double" w:sz="4" w:space="0" w:color="auto"/>
              <w:right w:val="single" w:sz="4" w:space="0" w:color="auto"/>
            </w:tcBorders>
          </w:tcPr>
          <w:p w14:paraId="466CE234" w14:textId="77777777" w:rsidR="00EC7C3B" w:rsidRPr="00773272" w:rsidRDefault="00EC7C3B" w:rsidP="00723357">
            <w:pPr>
              <w:jc w:val="right"/>
              <w:rPr>
                <w:rFonts w:asciiTheme="minorHAnsi" w:hAnsiTheme="minorHAnsi"/>
                <w:sz w:val="22"/>
                <w:szCs w:val="22"/>
              </w:rPr>
            </w:pPr>
            <w:r w:rsidRPr="00773272">
              <w:rPr>
                <w:rFonts w:asciiTheme="minorHAnsi" w:hAnsiTheme="minorHAnsi"/>
                <w:b/>
                <w:bCs/>
                <w:sz w:val="22"/>
                <w:szCs w:val="22"/>
              </w:rPr>
              <w:t>Number of OTC ISINs</w:t>
            </w:r>
            <w:r w:rsidRPr="00773272">
              <w:rPr>
                <w:rFonts w:asciiTheme="minorHAnsi" w:hAnsiTheme="minorHAnsi"/>
                <w:sz w:val="22"/>
                <w:szCs w:val="22"/>
              </w:rPr>
              <w:t xml:space="preserve"> </w:t>
            </w:r>
          </w:p>
        </w:tc>
        <w:tc>
          <w:tcPr>
            <w:tcW w:w="2875" w:type="dxa"/>
            <w:tcBorders>
              <w:top w:val="single" w:sz="4" w:space="0" w:color="auto"/>
              <w:left w:val="single" w:sz="4" w:space="0" w:color="auto"/>
              <w:bottom w:val="double" w:sz="4" w:space="0" w:color="auto"/>
              <w:right w:val="single" w:sz="4" w:space="0" w:color="auto"/>
            </w:tcBorders>
          </w:tcPr>
          <w:p w14:paraId="5A2EC938" w14:textId="77777777" w:rsidR="00EC7C3B" w:rsidRPr="00773272" w:rsidRDefault="00EC7C3B" w:rsidP="00723357">
            <w:pPr>
              <w:jc w:val="right"/>
              <w:rPr>
                <w:rFonts w:asciiTheme="minorHAnsi" w:hAnsiTheme="minorHAnsi"/>
                <w:b/>
                <w:bCs/>
                <w:sz w:val="22"/>
                <w:szCs w:val="22"/>
              </w:rPr>
            </w:pPr>
            <w:r w:rsidRPr="00773272">
              <w:rPr>
                <w:rFonts w:asciiTheme="minorHAnsi" w:hAnsiTheme="minorHAnsi"/>
                <w:b/>
                <w:bCs/>
                <w:sz w:val="22"/>
                <w:szCs w:val="22"/>
              </w:rPr>
              <w:t>Percentage of OTC ISINs (%)</w:t>
            </w:r>
          </w:p>
        </w:tc>
      </w:tr>
      <w:tr w:rsidR="00EC7C3B" w:rsidRPr="00773272" w14:paraId="64BA7307" w14:textId="77777777" w:rsidTr="003F3CDE">
        <w:trPr>
          <w:trHeight w:val="300"/>
        </w:trPr>
        <w:tc>
          <w:tcPr>
            <w:tcW w:w="3128" w:type="dxa"/>
            <w:tcBorders>
              <w:top w:val="double" w:sz="4" w:space="0" w:color="auto"/>
            </w:tcBorders>
          </w:tcPr>
          <w:p w14:paraId="6A5F4563" w14:textId="77777777" w:rsidR="00EC7C3B" w:rsidRPr="00773272" w:rsidRDefault="00EC7C3B" w:rsidP="00723357">
            <w:pPr>
              <w:rPr>
                <w:rFonts w:asciiTheme="minorHAnsi" w:hAnsiTheme="minorHAnsi"/>
                <w:sz w:val="22"/>
                <w:szCs w:val="22"/>
              </w:rPr>
            </w:pPr>
            <w:r w:rsidRPr="00773272">
              <w:rPr>
                <w:rFonts w:asciiTheme="minorHAnsi" w:hAnsiTheme="minorHAnsi"/>
                <w:sz w:val="22"/>
                <w:szCs w:val="22"/>
              </w:rPr>
              <w:t xml:space="preserve">2-5 </w:t>
            </w:r>
          </w:p>
        </w:tc>
        <w:tc>
          <w:tcPr>
            <w:tcW w:w="3037" w:type="dxa"/>
            <w:tcBorders>
              <w:top w:val="double" w:sz="4" w:space="0" w:color="auto"/>
            </w:tcBorders>
          </w:tcPr>
          <w:p w14:paraId="63F5E9A3" w14:textId="77777777" w:rsidR="00EC7C3B" w:rsidRPr="00773272" w:rsidRDefault="00EC7C3B" w:rsidP="00723357">
            <w:pPr>
              <w:jc w:val="right"/>
              <w:rPr>
                <w:rFonts w:asciiTheme="minorHAnsi" w:hAnsiTheme="minorHAnsi"/>
                <w:sz w:val="22"/>
                <w:szCs w:val="22"/>
              </w:rPr>
            </w:pPr>
            <w:r w:rsidRPr="00773272">
              <w:rPr>
                <w:rFonts w:asciiTheme="minorHAnsi" w:hAnsiTheme="minorHAnsi"/>
                <w:sz w:val="22"/>
                <w:szCs w:val="22"/>
              </w:rPr>
              <w:t>49,667</w:t>
            </w:r>
          </w:p>
        </w:tc>
        <w:tc>
          <w:tcPr>
            <w:tcW w:w="2875" w:type="dxa"/>
            <w:tcBorders>
              <w:top w:val="double" w:sz="4" w:space="0" w:color="auto"/>
            </w:tcBorders>
          </w:tcPr>
          <w:p w14:paraId="6C110A06" w14:textId="77777777" w:rsidR="00EC7C3B" w:rsidRPr="00773272" w:rsidRDefault="00EC7C3B" w:rsidP="00723357">
            <w:pPr>
              <w:jc w:val="right"/>
              <w:rPr>
                <w:rFonts w:asciiTheme="minorHAnsi" w:hAnsiTheme="minorHAnsi"/>
                <w:sz w:val="22"/>
                <w:szCs w:val="22"/>
              </w:rPr>
            </w:pPr>
            <w:r w:rsidRPr="00773272">
              <w:rPr>
                <w:rFonts w:asciiTheme="minorHAnsi" w:hAnsiTheme="minorHAnsi"/>
                <w:sz w:val="22"/>
                <w:szCs w:val="22"/>
              </w:rPr>
              <w:t>58.38%</w:t>
            </w:r>
          </w:p>
        </w:tc>
      </w:tr>
      <w:tr w:rsidR="00EC7C3B" w:rsidRPr="00773272" w14:paraId="7C45F0F2" w14:textId="77777777" w:rsidTr="00723357">
        <w:trPr>
          <w:trHeight w:val="300"/>
        </w:trPr>
        <w:tc>
          <w:tcPr>
            <w:tcW w:w="3128" w:type="dxa"/>
          </w:tcPr>
          <w:p w14:paraId="5FDBAE48" w14:textId="77777777" w:rsidR="00EC7C3B" w:rsidRPr="00773272" w:rsidRDefault="00EC7C3B" w:rsidP="00723357">
            <w:pPr>
              <w:rPr>
                <w:rFonts w:asciiTheme="minorHAnsi" w:hAnsiTheme="minorHAnsi"/>
                <w:sz w:val="22"/>
                <w:szCs w:val="22"/>
              </w:rPr>
            </w:pPr>
            <w:r w:rsidRPr="00773272">
              <w:rPr>
                <w:rFonts w:asciiTheme="minorHAnsi" w:hAnsiTheme="minorHAnsi"/>
                <w:sz w:val="22"/>
                <w:szCs w:val="22"/>
              </w:rPr>
              <w:t xml:space="preserve">6-10 </w:t>
            </w:r>
          </w:p>
        </w:tc>
        <w:tc>
          <w:tcPr>
            <w:tcW w:w="3037" w:type="dxa"/>
          </w:tcPr>
          <w:p w14:paraId="09B9D8BA" w14:textId="77777777" w:rsidR="00EC7C3B" w:rsidRPr="00773272" w:rsidRDefault="00EC7C3B" w:rsidP="00723357">
            <w:pPr>
              <w:jc w:val="right"/>
              <w:rPr>
                <w:rFonts w:asciiTheme="minorHAnsi" w:hAnsiTheme="minorHAnsi"/>
                <w:sz w:val="22"/>
                <w:szCs w:val="22"/>
              </w:rPr>
            </w:pPr>
            <w:r w:rsidRPr="00773272">
              <w:rPr>
                <w:rFonts w:asciiTheme="minorHAnsi" w:hAnsiTheme="minorHAnsi"/>
                <w:sz w:val="22"/>
                <w:szCs w:val="22"/>
              </w:rPr>
              <w:t>5,360</w:t>
            </w:r>
          </w:p>
        </w:tc>
        <w:tc>
          <w:tcPr>
            <w:tcW w:w="2875" w:type="dxa"/>
          </w:tcPr>
          <w:p w14:paraId="39BBFF82" w14:textId="77777777" w:rsidR="00EC7C3B" w:rsidRPr="00773272" w:rsidRDefault="00EC7C3B" w:rsidP="00723357">
            <w:pPr>
              <w:jc w:val="right"/>
              <w:rPr>
                <w:rFonts w:asciiTheme="minorHAnsi" w:hAnsiTheme="minorHAnsi"/>
                <w:sz w:val="22"/>
                <w:szCs w:val="22"/>
              </w:rPr>
            </w:pPr>
            <w:r w:rsidRPr="00773272">
              <w:rPr>
                <w:rFonts w:asciiTheme="minorHAnsi" w:hAnsiTheme="minorHAnsi"/>
                <w:sz w:val="22"/>
                <w:szCs w:val="22"/>
              </w:rPr>
              <w:t>6.30%</w:t>
            </w:r>
          </w:p>
        </w:tc>
      </w:tr>
      <w:tr w:rsidR="00EC7C3B" w:rsidRPr="00773272" w14:paraId="57792969" w14:textId="77777777" w:rsidTr="00723357">
        <w:trPr>
          <w:trHeight w:val="300"/>
        </w:trPr>
        <w:tc>
          <w:tcPr>
            <w:tcW w:w="3128" w:type="dxa"/>
          </w:tcPr>
          <w:p w14:paraId="22396223" w14:textId="77777777" w:rsidR="00EC7C3B" w:rsidRPr="00773272" w:rsidRDefault="00EC7C3B" w:rsidP="00723357">
            <w:pPr>
              <w:rPr>
                <w:rFonts w:asciiTheme="minorHAnsi" w:hAnsiTheme="minorHAnsi"/>
                <w:sz w:val="22"/>
                <w:szCs w:val="22"/>
              </w:rPr>
            </w:pPr>
            <w:r w:rsidRPr="00773272">
              <w:rPr>
                <w:rFonts w:asciiTheme="minorHAnsi" w:hAnsiTheme="minorHAnsi"/>
                <w:sz w:val="22"/>
                <w:szCs w:val="22"/>
              </w:rPr>
              <w:t xml:space="preserve">11-20 </w:t>
            </w:r>
          </w:p>
        </w:tc>
        <w:tc>
          <w:tcPr>
            <w:tcW w:w="3037" w:type="dxa"/>
          </w:tcPr>
          <w:p w14:paraId="0E7693B0" w14:textId="77777777" w:rsidR="00EC7C3B" w:rsidRPr="00773272" w:rsidRDefault="00EC7C3B" w:rsidP="00723357">
            <w:pPr>
              <w:jc w:val="right"/>
              <w:rPr>
                <w:rFonts w:asciiTheme="minorHAnsi" w:hAnsiTheme="minorHAnsi"/>
                <w:sz w:val="22"/>
                <w:szCs w:val="22"/>
              </w:rPr>
            </w:pPr>
            <w:r w:rsidRPr="00773272">
              <w:rPr>
                <w:rFonts w:asciiTheme="minorHAnsi" w:hAnsiTheme="minorHAnsi"/>
                <w:sz w:val="22"/>
                <w:szCs w:val="22"/>
              </w:rPr>
              <w:t>6,243</w:t>
            </w:r>
          </w:p>
        </w:tc>
        <w:tc>
          <w:tcPr>
            <w:tcW w:w="2875" w:type="dxa"/>
          </w:tcPr>
          <w:p w14:paraId="760C7889" w14:textId="77777777" w:rsidR="00EC7C3B" w:rsidRPr="00773272" w:rsidRDefault="00EC7C3B" w:rsidP="00723357">
            <w:pPr>
              <w:jc w:val="right"/>
              <w:rPr>
                <w:rFonts w:asciiTheme="minorHAnsi" w:hAnsiTheme="minorHAnsi"/>
                <w:sz w:val="22"/>
                <w:szCs w:val="22"/>
              </w:rPr>
            </w:pPr>
            <w:r w:rsidRPr="00773272">
              <w:rPr>
                <w:rFonts w:asciiTheme="minorHAnsi" w:hAnsiTheme="minorHAnsi"/>
                <w:sz w:val="22"/>
                <w:szCs w:val="22"/>
              </w:rPr>
              <w:t>7.34%</w:t>
            </w:r>
          </w:p>
        </w:tc>
      </w:tr>
      <w:tr w:rsidR="00EC7C3B" w:rsidRPr="00773272" w14:paraId="602AE8C1" w14:textId="77777777" w:rsidTr="00723357">
        <w:trPr>
          <w:trHeight w:val="300"/>
        </w:trPr>
        <w:tc>
          <w:tcPr>
            <w:tcW w:w="3128" w:type="dxa"/>
          </w:tcPr>
          <w:p w14:paraId="5E3694E8" w14:textId="77777777" w:rsidR="00EC7C3B" w:rsidRPr="00773272" w:rsidRDefault="00EC7C3B" w:rsidP="00723357">
            <w:pPr>
              <w:rPr>
                <w:rFonts w:asciiTheme="minorHAnsi" w:hAnsiTheme="minorHAnsi"/>
                <w:sz w:val="22"/>
                <w:szCs w:val="22"/>
              </w:rPr>
            </w:pPr>
            <w:r w:rsidRPr="00773272">
              <w:rPr>
                <w:rFonts w:asciiTheme="minorHAnsi" w:hAnsiTheme="minorHAnsi"/>
                <w:sz w:val="22"/>
                <w:szCs w:val="22"/>
              </w:rPr>
              <w:t xml:space="preserve">21-50 </w:t>
            </w:r>
          </w:p>
        </w:tc>
        <w:tc>
          <w:tcPr>
            <w:tcW w:w="3037" w:type="dxa"/>
          </w:tcPr>
          <w:p w14:paraId="6EFB7A78" w14:textId="77777777" w:rsidR="00EC7C3B" w:rsidRPr="00773272" w:rsidRDefault="00EC7C3B" w:rsidP="00723357">
            <w:pPr>
              <w:jc w:val="right"/>
              <w:rPr>
                <w:rFonts w:asciiTheme="minorHAnsi" w:hAnsiTheme="minorHAnsi"/>
                <w:sz w:val="22"/>
                <w:szCs w:val="22"/>
              </w:rPr>
            </w:pPr>
            <w:r w:rsidRPr="00773272">
              <w:rPr>
                <w:rFonts w:asciiTheme="minorHAnsi" w:hAnsiTheme="minorHAnsi"/>
                <w:sz w:val="22"/>
                <w:szCs w:val="22"/>
              </w:rPr>
              <w:t>10,257</w:t>
            </w:r>
          </w:p>
        </w:tc>
        <w:tc>
          <w:tcPr>
            <w:tcW w:w="2875" w:type="dxa"/>
          </w:tcPr>
          <w:p w14:paraId="409646E7" w14:textId="77777777" w:rsidR="00EC7C3B" w:rsidRPr="00773272" w:rsidRDefault="00EC7C3B" w:rsidP="00723357">
            <w:pPr>
              <w:jc w:val="right"/>
              <w:rPr>
                <w:rFonts w:asciiTheme="minorHAnsi" w:hAnsiTheme="minorHAnsi"/>
                <w:sz w:val="22"/>
                <w:szCs w:val="22"/>
              </w:rPr>
            </w:pPr>
            <w:r w:rsidRPr="00773272">
              <w:rPr>
                <w:rFonts w:asciiTheme="minorHAnsi" w:hAnsiTheme="minorHAnsi"/>
                <w:sz w:val="22"/>
                <w:szCs w:val="22"/>
              </w:rPr>
              <w:t>12.06%</w:t>
            </w:r>
          </w:p>
        </w:tc>
      </w:tr>
      <w:tr w:rsidR="00EC7C3B" w:rsidRPr="00773272" w14:paraId="382C96D7" w14:textId="77777777" w:rsidTr="00723357">
        <w:trPr>
          <w:trHeight w:val="300"/>
        </w:trPr>
        <w:tc>
          <w:tcPr>
            <w:tcW w:w="3128" w:type="dxa"/>
          </w:tcPr>
          <w:p w14:paraId="69300FF9" w14:textId="77777777" w:rsidR="00EC7C3B" w:rsidRPr="00773272" w:rsidRDefault="00EC7C3B" w:rsidP="00723357">
            <w:pPr>
              <w:rPr>
                <w:rFonts w:asciiTheme="minorHAnsi" w:hAnsiTheme="minorHAnsi"/>
                <w:sz w:val="22"/>
                <w:szCs w:val="22"/>
              </w:rPr>
            </w:pPr>
            <w:r w:rsidRPr="00773272">
              <w:rPr>
                <w:rFonts w:asciiTheme="minorHAnsi" w:hAnsiTheme="minorHAnsi"/>
                <w:sz w:val="22"/>
                <w:szCs w:val="22"/>
              </w:rPr>
              <w:t xml:space="preserve">51-100 </w:t>
            </w:r>
          </w:p>
        </w:tc>
        <w:tc>
          <w:tcPr>
            <w:tcW w:w="3037" w:type="dxa"/>
          </w:tcPr>
          <w:p w14:paraId="73E1B7D1" w14:textId="77777777" w:rsidR="00EC7C3B" w:rsidRPr="00773272" w:rsidRDefault="00EC7C3B" w:rsidP="00723357">
            <w:pPr>
              <w:jc w:val="right"/>
              <w:rPr>
                <w:rFonts w:asciiTheme="minorHAnsi" w:hAnsiTheme="minorHAnsi"/>
                <w:sz w:val="22"/>
                <w:szCs w:val="22"/>
              </w:rPr>
            </w:pPr>
            <w:r w:rsidRPr="00773272">
              <w:rPr>
                <w:rFonts w:asciiTheme="minorHAnsi" w:hAnsiTheme="minorHAnsi"/>
                <w:sz w:val="22"/>
                <w:szCs w:val="22"/>
              </w:rPr>
              <w:t>6,558</w:t>
            </w:r>
          </w:p>
        </w:tc>
        <w:tc>
          <w:tcPr>
            <w:tcW w:w="2875" w:type="dxa"/>
          </w:tcPr>
          <w:p w14:paraId="3555D080" w14:textId="77777777" w:rsidR="00EC7C3B" w:rsidRPr="00773272" w:rsidRDefault="00EC7C3B" w:rsidP="00723357">
            <w:pPr>
              <w:jc w:val="right"/>
              <w:rPr>
                <w:rFonts w:asciiTheme="minorHAnsi" w:hAnsiTheme="minorHAnsi"/>
                <w:sz w:val="22"/>
                <w:szCs w:val="22"/>
              </w:rPr>
            </w:pPr>
            <w:r w:rsidRPr="00773272">
              <w:rPr>
                <w:rFonts w:asciiTheme="minorHAnsi" w:hAnsiTheme="minorHAnsi"/>
                <w:sz w:val="22"/>
                <w:szCs w:val="22"/>
              </w:rPr>
              <w:t>7.71%</w:t>
            </w:r>
          </w:p>
        </w:tc>
      </w:tr>
      <w:tr w:rsidR="00EC7C3B" w:rsidRPr="00773272" w14:paraId="47D6DB58" w14:textId="77777777" w:rsidTr="00723357">
        <w:trPr>
          <w:trHeight w:val="300"/>
        </w:trPr>
        <w:tc>
          <w:tcPr>
            <w:tcW w:w="3128" w:type="dxa"/>
          </w:tcPr>
          <w:p w14:paraId="21A395DE" w14:textId="77777777" w:rsidR="00EC7C3B" w:rsidRPr="00773272" w:rsidRDefault="00EC7C3B" w:rsidP="00723357">
            <w:pPr>
              <w:rPr>
                <w:rFonts w:asciiTheme="minorHAnsi" w:hAnsiTheme="minorHAnsi"/>
                <w:sz w:val="22"/>
                <w:szCs w:val="22"/>
              </w:rPr>
            </w:pPr>
            <w:r w:rsidRPr="00773272">
              <w:rPr>
                <w:rFonts w:asciiTheme="minorHAnsi" w:hAnsiTheme="minorHAnsi"/>
                <w:sz w:val="22"/>
                <w:szCs w:val="22"/>
              </w:rPr>
              <w:t xml:space="preserve">101-500 </w:t>
            </w:r>
          </w:p>
        </w:tc>
        <w:tc>
          <w:tcPr>
            <w:tcW w:w="3037" w:type="dxa"/>
          </w:tcPr>
          <w:p w14:paraId="1BB91E5F" w14:textId="77777777" w:rsidR="00EC7C3B" w:rsidRPr="00773272" w:rsidRDefault="00EC7C3B" w:rsidP="00723357">
            <w:pPr>
              <w:jc w:val="right"/>
              <w:rPr>
                <w:rFonts w:asciiTheme="minorHAnsi" w:hAnsiTheme="minorHAnsi"/>
                <w:sz w:val="22"/>
                <w:szCs w:val="22"/>
              </w:rPr>
            </w:pPr>
            <w:r w:rsidRPr="00773272">
              <w:rPr>
                <w:rFonts w:asciiTheme="minorHAnsi" w:hAnsiTheme="minorHAnsi"/>
                <w:sz w:val="22"/>
                <w:szCs w:val="22"/>
              </w:rPr>
              <w:t>5,952</w:t>
            </w:r>
          </w:p>
        </w:tc>
        <w:tc>
          <w:tcPr>
            <w:tcW w:w="2875" w:type="dxa"/>
          </w:tcPr>
          <w:p w14:paraId="27CEE93F" w14:textId="77777777" w:rsidR="00EC7C3B" w:rsidRPr="00773272" w:rsidRDefault="00EC7C3B" w:rsidP="00723357">
            <w:pPr>
              <w:jc w:val="right"/>
              <w:rPr>
                <w:rFonts w:asciiTheme="minorHAnsi" w:hAnsiTheme="minorHAnsi"/>
                <w:sz w:val="22"/>
                <w:szCs w:val="22"/>
              </w:rPr>
            </w:pPr>
            <w:r w:rsidRPr="00773272">
              <w:rPr>
                <w:rFonts w:asciiTheme="minorHAnsi" w:hAnsiTheme="minorHAnsi"/>
                <w:sz w:val="22"/>
                <w:szCs w:val="22"/>
              </w:rPr>
              <w:t>7.00%</w:t>
            </w:r>
          </w:p>
        </w:tc>
      </w:tr>
      <w:tr w:rsidR="00EC7C3B" w:rsidRPr="00773272" w14:paraId="7A9D072E" w14:textId="77777777" w:rsidTr="00723357">
        <w:trPr>
          <w:trHeight w:val="300"/>
        </w:trPr>
        <w:tc>
          <w:tcPr>
            <w:tcW w:w="3128" w:type="dxa"/>
          </w:tcPr>
          <w:p w14:paraId="18A9A76C" w14:textId="77777777" w:rsidR="00EC7C3B" w:rsidRPr="00773272" w:rsidRDefault="00EC7C3B" w:rsidP="00723357">
            <w:pPr>
              <w:rPr>
                <w:rFonts w:asciiTheme="minorHAnsi" w:hAnsiTheme="minorHAnsi"/>
                <w:sz w:val="22"/>
                <w:szCs w:val="22"/>
              </w:rPr>
            </w:pPr>
            <w:r w:rsidRPr="00773272">
              <w:rPr>
                <w:rFonts w:asciiTheme="minorHAnsi" w:hAnsiTheme="minorHAnsi"/>
                <w:sz w:val="22"/>
                <w:szCs w:val="22"/>
              </w:rPr>
              <w:t xml:space="preserve">501-1000 </w:t>
            </w:r>
          </w:p>
        </w:tc>
        <w:tc>
          <w:tcPr>
            <w:tcW w:w="3037" w:type="dxa"/>
          </w:tcPr>
          <w:p w14:paraId="3F8895A7" w14:textId="77777777" w:rsidR="00EC7C3B" w:rsidRPr="00773272" w:rsidRDefault="00EC7C3B" w:rsidP="00723357">
            <w:pPr>
              <w:jc w:val="right"/>
              <w:rPr>
                <w:rFonts w:asciiTheme="minorHAnsi" w:hAnsiTheme="minorHAnsi"/>
                <w:sz w:val="22"/>
                <w:szCs w:val="22"/>
              </w:rPr>
            </w:pPr>
            <w:r w:rsidRPr="00773272">
              <w:rPr>
                <w:rFonts w:asciiTheme="minorHAnsi" w:hAnsiTheme="minorHAnsi"/>
                <w:sz w:val="22"/>
                <w:szCs w:val="22"/>
              </w:rPr>
              <w:t>762</w:t>
            </w:r>
          </w:p>
        </w:tc>
        <w:tc>
          <w:tcPr>
            <w:tcW w:w="2875" w:type="dxa"/>
          </w:tcPr>
          <w:p w14:paraId="75E20314" w14:textId="77777777" w:rsidR="00EC7C3B" w:rsidRPr="00773272" w:rsidRDefault="00EC7C3B" w:rsidP="00723357">
            <w:pPr>
              <w:jc w:val="right"/>
              <w:rPr>
                <w:rFonts w:asciiTheme="minorHAnsi" w:hAnsiTheme="minorHAnsi"/>
                <w:sz w:val="22"/>
                <w:szCs w:val="22"/>
              </w:rPr>
            </w:pPr>
            <w:r w:rsidRPr="00773272">
              <w:rPr>
                <w:rFonts w:asciiTheme="minorHAnsi" w:hAnsiTheme="minorHAnsi"/>
                <w:sz w:val="22"/>
                <w:szCs w:val="22"/>
              </w:rPr>
              <w:t>0.90%</w:t>
            </w:r>
          </w:p>
        </w:tc>
      </w:tr>
      <w:tr w:rsidR="00EC7C3B" w:rsidRPr="00773272" w14:paraId="6307E95B" w14:textId="77777777" w:rsidTr="00723357">
        <w:trPr>
          <w:trHeight w:val="300"/>
        </w:trPr>
        <w:tc>
          <w:tcPr>
            <w:tcW w:w="3128" w:type="dxa"/>
          </w:tcPr>
          <w:p w14:paraId="752965B8" w14:textId="77777777" w:rsidR="00EC7C3B" w:rsidRPr="00773272" w:rsidRDefault="00EC7C3B" w:rsidP="00723357">
            <w:pPr>
              <w:rPr>
                <w:rFonts w:asciiTheme="minorHAnsi" w:hAnsiTheme="minorHAnsi"/>
                <w:sz w:val="22"/>
                <w:szCs w:val="22"/>
              </w:rPr>
            </w:pPr>
            <w:r w:rsidRPr="00773272">
              <w:rPr>
                <w:rFonts w:asciiTheme="minorHAnsi" w:hAnsiTheme="minorHAnsi"/>
                <w:sz w:val="22"/>
                <w:szCs w:val="22"/>
              </w:rPr>
              <w:t xml:space="preserve">1001-2000 </w:t>
            </w:r>
          </w:p>
        </w:tc>
        <w:tc>
          <w:tcPr>
            <w:tcW w:w="3037" w:type="dxa"/>
          </w:tcPr>
          <w:p w14:paraId="50304758" w14:textId="77777777" w:rsidR="00EC7C3B" w:rsidRPr="00773272" w:rsidRDefault="00EC7C3B" w:rsidP="00723357">
            <w:pPr>
              <w:jc w:val="right"/>
              <w:rPr>
                <w:rFonts w:asciiTheme="minorHAnsi" w:hAnsiTheme="minorHAnsi"/>
                <w:sz w:val="22"/>
                <w:szCs w:val="22"/>
              </w:rPr>
            </w:pPr>
            <w:r w:rsidRPr="00773272">
              <w:rPr>
                <w:rFonts w:asciiTheme="minorHAnsi" w:hAnsiTheme="minorHAnsi"/>
                <w:sz w:val="22"/>
                <w:szCs w:val="22"/>
              </w:rPr>
              <w:t>246</w:t>
            </w:r>
          </w:p>
        </w:tc>
        <w:tc>
          <w:tcPr>
            <w:tcW w:w="2875" w:type="dxa"/>
          </w:tcPr>
          <w:p w14:paraId="672DCC6A" w14:textId="77777777" w:rsidR="00EC7C3B" w:rsidRPr="00773272" w:rsidRDefault="00EC7C3B" w:rsidP="00723357">
            <w:pPr>
              <w:jc w:val="right"/>
              <w:rPr>
                <w:rFonts w:asciiTheme="minorHAnsi" w:hAnsiTheme="minorHAnsi"/>
                <w:sz w:val="22"/>
                <w:szCs w:val="22"/>
              </w:rPr>
            </w:pPr>
            <w:r w:rsidRPr="00773272">
              <w:rPr>
                <w:rFonts w:asciiTheme="minorHAnsi" w:hAnsiTheme="minorHAnsi"/>
                <w:sz w:val="22"/>
                <w:szCs w:val="22"/>
              </w:rPr>
              <w:t>0.29%</w:t>
            </w:r>
          </w:p>
        </w:tc>
      </w:tr>
      <w:tr w:rsidR="00EC7C3B" w:rsidRPr="00773272" w14:paraId="1206B720" w14:textId="77777777" w:rsidTr="00723357">
        <w:trPr>
          <w:trHeight w:val="300"/>
        </w:trPr>
        <w:tc>
          <w:tcPr>
            <w:tcW w:w="3128" w:type="dxa"/>
            <w:tcBorders>
              <w:bottom w:val="double" w:sz="4" w:space="0" w:color="auto"/>
            </w:tcBorders>
          </w:tcPr>
          <w:p w14:paraId="419022A6" w14:textId="77777777" w:rsidR="00EC7C3B" w:rsidRPr="00773272" w:rsidRDefault="00EC7C3B" w:rsidP="00723357">
            <w:pPr>
              <w:rPr>
                <w:rFonts w:asciiTheme="minorHAnsi" w:hAnsiTheme="minorHAnsi"/>
                <w:sz w:val="22"/>
                <w:szCs w:val="22"/>
              </w:rPr>
            </w:pPr>
            <w:r w:rsidRPr="00773272">
              <w:rPr>
                <w:rFonts w:asciiTheme="minorHAnsi" w:hAnsiTheme="minorHAnsi"/>
                <w:sz w:val="22"/>
                <w:szCs w:val="22"/>
              </w:rPr>
              <w:t>Over 2000</w:t>
            </w:r>
          </w:p>
        </w:tc>
        <w:tc>
          <w:tcPr>
            <w:tcW w:w="3037" w:type="dxa"/>
            <w:tcBorders>
              <w:bottom w:val="double" w:sz="4" w:space="0" w:color="auto"/>
            </w:tcBorders>
          </w:tcPr>
          <w:p w14:paraId="518E04EF" w14:textId="77777777" w:rsidR="00EC7C3B" w:rsidRPr="00773272" w:rsidRDefault="00EC7C3B" w:rsidP="00723357">
            <w:pPr>
              <w:jc w:val="right"/>
              <w:rPr>
                <w:rFonts w:asciiTheme="minorHAnsi" w:hAnsiTheme="minorHAnsi"/>
                <w:sz w:val="22"/>
                <w:szCs w:val="22"/>
              </w:rPr>
            </w:pPr>
            <w:r w:rsidRPr="00773272">
              <w:rPr>
                <w:rFonts w:asciiTheme="minorHAnsi" w:hAnsiTheme="minorHAnsi"/>
                <w:sz w:val="22"/>
                <w:szCs w:val="22"/>
              </w:rPr>
              <w:t>35</w:t>
            </w:r>
          </w:p>
        </w:tc>
        <w:tc>
          <w:tcPr>
            <w:tcW w:w="2875" w:type="dxa"/>
            <w:tcBorders>
              <w:bottom w:val="double" w:sz="4" w:space="0" w:color="auto"/>
            </w:tcBorders>
          </w:tcPr>
          <w:p w14:paraId="50601B5E" w14:textId="77777777" w:rsidR="00EC7C3B" w:rsidRPr="00773272" w:rsidRDefault="00EC7C3B" w:rsidP="00723357">
            <w:pPr>
              <w:jc w:val="right"/>
              <w:rPr>
                <w:rFonts w:asciiTheme="minorHAnsi" w:hAnsiTheme="minorHAnsi"/>
                <w:sz w:val="22"/>
                <w:szCs w:val="22"/>
              </w:rPr>
            </w:pPr>
            <w:r w:rsidRPr="00773272">
              <w:rPr>
                <w:rFonts w:asciiTheme="minorHAnsi" w:hAnsiTheme="minorHAnsi"/>
                <w:sz w:val="22"/>
                <w:szCs w:val="22"/>
              </w:rPr>
              <w:t>0.04%</w:t>
            </w:r>
          </w:p>
        </w:tc>
      </w:tr>
      <w:tr w:rsidR="00EC7C3B" w:rsidRPr="00773272" w14:paraId="6CD5B080" w14:textId="77777777" w:rsidTr="00723357">
        <w:trPr>
          <w:trHeight w:val="300"/>
        </w:trPr>
        <w:tc>
          <w:tcPr>
            <w:tcW w:w="3128" w:type="dxa"/>
            <w:tcBorders>
              <w:top w:val="double" w:sz="4" w:space="0" w:color="auto"/>
            </w:tcBorders>
          </w:tcPr>
          <w:p w14:paraId="26ABEF2A" w14:textId="77777777" w:rsidR="00EC7C3B" w:rsidRPr="00773272" w:rsidRDefault="00EC7C3B" w:rsidP="00723357">
            <w:pPr>
              <w:rPr>
                <w:rFonts w:asciiTheme="minorHAnsi" w:hAnsiTheme="minorHAnsi"/>
                <w:b/>
                <w:bCs/>
                <w:sz w:val="22"/>
                <w:szCs w:val="22"/>
              </w:rPr>
            </w:pPr>
            <w:r w:rsidRPr="00773272">
              <w:rPr>
                <w:rFonts w:asciiTheme="minorHAnsi" w:hAnsiTheme="minorHAnsi"/>
                <w:b/>
                <w:bCs/>
                <w:sz w:val="22"/>
                <w:szCs w:val="22"/>
              </w:rPr>
              <w:t>Total</w:t>
            </w:r>
          </w:p>
        </w:tc>
        <w:tc>
          <w:tcPr>
            <w:tcW w:w="3037" w:type="dxa"/>
            <w:tcBorders>
              <w:top w:val="double" w:sz="4" w:space="0" w:color="auto"/>
            </w:tcBorders>
          </w:tcPr>
          <w:p w14:paraId="2D02DC00" w14:textId="77777777" w:rsidR="00EC7C3B" w:rsidRPr="00773272" w:rsidRDefault="00EC7C3B" w:rsidP="00723357">
            <w:pPr>
              <w:jc w:val="right"/>
              <w:rPr>
                <w:rFonts w:asciiTheme="minorHAnsi" w:hAnsiTheme="minorHAnsi"/>
                <w:b/>
                <w:bCs/>
                <w:sz w:val="22"/>
                <w:szCs w:val="22"/>
              </w:rPr>
            </w:pPr>
            <w:r w:rsidRPr="00773272">
              <w:rPr>
                <w:rFonts w:asciiTheme="minorHAnsi" w:hAnsiTheme="minorHAnsi"/>
                <w:b/>
                <w:bCs/>
                <w:sz w:val="22"/>
                <w:szCs w:val="22"/>
              </w:rPr>
              <w:t>85,058</w:t>
            </w:r>
          </w:p>
        </w:tc>
        <w:tc>
          <w:tcPr>
            <w:tcW w:w="2875" w:type="dxa"/>
            <w:tcBorders>
              <w:top w:val="double" w:sz="4" w:space="0" w:color="auto"/>
            </w:tcBorders>
          </w:tcPr>
          <w:p w14:paraId="61BEB940" w14:textId="77777777" w:rsidR="00EC7C3B" w:rsidRPr="00773272" w:rsidRDefault="00EC7C3B" w:rsidP="00723357">
            <w:pPr>
              <w:jc w:val="right"/>
              <w:rPr>
                <w:rFonts w:asciiTheme="minorHAnsi" w:hAnsiTheme="minorHAnsi"/>
                <w:b/>
                <w:bCs/>
                <w:sz w:val="22"/>
                <w:szCs w:val="22"/>
              </w:rPr>
            </w:pPr>
            <w:r w:rsidRPr="00773272">
              <w:rPr>
                <w:rFonts w:asciiTheme="minorHAnsi" w:hAnsiTheme="minorHAnsi"/>
                <w:b/>
                <w:bCs/>
                <w:sz w:val="22"/>
                <w:szCs w:val="22"/>
              </w:rPr>
              <w:t>100%</w:t>
            </w:r>
          </w:p>
        </w:tc>
      </w:tr>
    </w:tbl>
    <w:p w14:paraId="5CE1200D" w14:textId="77777777" w:rsidR="00EC7C3B" w:rsidRPr="002915CF" w:rsidRDefault="00EC7C3B" w:rsidP="00EC7C3B">
      <w:pPr>
        <w:rPr>
          <w:rFonts w:asciiTheme="minorHAnsi" w:hAnsiTheme="minorHAnsi"/>
          <w:sz w:val="22"/>
          <w:szCs w:val="22"/>
        </w:rPr>
      </w:pPr>
    </w:p>
    <w:p w14:paraId="43976ECF" w14:textId="334A25FA" w:rsidR="00EC7C3B" w:rsidRPr="002915CF" w:rsidRDefault="00EC7C3B" w:rsidP="00EC7C3B">
      <w:pPr>
        <w:rPr>
          <w:rFonts w:asciiTheme="minorHAnsi" w:hAnsiTheme="minorHAnsi"/>
          <w:sz w:val="22"/>
          <w:szCs w:val="22"/>
        </w:rPr>
      </w:pPr>
      <w:r>
        <w:rPr>
          <w:rFonts w:asciiTheme="minorHAnsi" w:hAnsiTheme="minorHAnsi"/>
          <w:sz w:val="22"/>
          <w:szCs w:val="22"/>
        </w:rPr>
        <w:t xml:space="preserve">Table 1.2B shows that in total, </w:t>
      </w:r>
      <w:r w:rsidRPr="002915CF">
        <w:rPr>
          <w:rFonts w:asciiTheme="minorHAnsi" w:hAnsiTheme="minorHAnsi"/>
          <w:sz w:val="22"/>
          <w:szCs w:val="22"/>
        </w:rPr>
        <w:t xml:space="preserve">approximately 85,000 OTC </w:t>
      </w:r>
      <w:r>
        <w:rPr>
          <w:rFonts w:asciiTheme="minorHAnsi" w:hAnsiTheme="minorHAnsi"/>
          <w:sz w:val="22"/>
          <w:szCs w:val="22"/>
        </w:rPr>
        <w:t xml:space="preserve">ISINs for OTC </w:t>
      </w:r>
      <w:r w:rsidRPr="002915CF">
        <w:rPr>
          <w:rFonts w:asciiTheme="minorHAnsi" w:hAnsiTheme="minorHAnsi"/>
          <w:sz w:val="22"/>
          <w:szCs w:val="22"/>
        </w:rPr>
        <w:t>derivative</w:t>
      </w:r>
      <w:r>
        <w:rPr>
          <w:rFonts w:asciiTheme="minorHAnsi" w:hAnsiTheme="minorHAnsi"/>
          <w:sz w:val="22"/>
          <w:szCs w:val="22"/>
        </w:rPr>
        <w:t>s with underlying</w:t>
      </w:r>
      <w:r w:rsidRPr="002915CF">
        <w:rPr>
          <w:rFonts w:asciiTheme="minorHAnsi" w:hAnsiTheme="minorHAnsi"/>
          <w:sz w:val="22"/>
          <w:szCs w:val="22"/>
        </w:rPr>
        <w:t xml:space="preserve"> basket</w:t>
      </w:r>
      <w:r>
        <w:rPr>
          <w:rFonts w:asciiTheme="minorHAnsi" w:hAnsiTheme="minorHAnsi"/>
          <w:sz w:val="22"/>
          <w:szCs w:val="22"/>
        </w:rPr>
        <w:t>s</w:t>
      </w:r>
      <w:r w:rsidRPr="002915CF">
        <w:rPr>
          <w:rFonts w:asciiTheme="minorHAnsi" w:hAnsiTheme="minorHAnsi"/>
          <w:sz w:val="22"/>
          <w:szCs w:val="22"/>
        </w:rPr>
        <w:t xml:space="preserve"> </w:t>
      </w:r>
      <w:r>
        <w:rPr>
          <w:rFonts w:asciiTheme="minorHAnsi" w:hAnsiTheme="minorHAnsi"/>
          <w:sz w:val="22"/>
          <w:szCs w:val="22"/>
        </w:rPr>
        <w:t>were</w:t>
      </w:r>
      <w:r w:rsidRPr="002915CF">
        <w:rPr>
          <w:rFonts w:asciiTheme="minorHAnsi" w:hAnsiTheme="minorHAnsi"/>
          <w:sz w:val="22"/>
          <w:szCs w:val="22"/>
        </w:rPr>
        <w:t xml:space="preserve"> created in Q1 2025</w:t>
      </w:r>
      <w:r>
        <w:rPr>
          <w:rFonts w:asciiTheme="minorHAnsi" w:hAnsiTheme="minorHAnsi"/>
          <w:sz w:val="22"/>
          <w:szCs w:val="22"/>
        </w:rPr>
        <w:t xml:space="preserve"> for a</w:t>
      </w:r>
      <w:r w:rsidRPr="00FF6EED">
        <w:rPr>
          <w:rFonts w:asciiTheme="minorHAnsi" w:hAnsiTheme="minorHAnsi"/>
          <w:sz w:val="22"/>
          <w:szCs w:val="22"/>
        </w:rPr>
        <w:t xml:space="preserve"> </w:t>
      </w:r>
      <w:r>
        <w:rPr>
          <w:rFonts w:asciiTheme="minorHAnsi" w:hAnsiTheme="minorHAnsi"/>
          <w:sz w:val="22"/>
          <w:szCs w:val="22"/>
        </w:rPr>
        <w:t>“</w:t>
      </w:r>
      <w:proofErr w:type="spellStart"/>
      <w:r w:rsidRPr="00FF6EED">
        <w:rPr>
          <w:rFonts w:asciiTheme="minorHAnsi" w:hAnsiTheme="minorHAnsi"/>
          <w:sz w:val="22"/>
          <w:szCs w:val="22"/>
        </w:rPr>
        <w:t>Price_Return_Basic_Performance_Basket</w:t>
      </w:r>
      <w:proofErr w:type="spellEnd"/>
      <w:r w:rsidRPr="00FF6EED">
        <w:rPr>
          <w:rFonts w:asciiTheme="minorHAnsi" w:hAnsiTheme="minorHAnsi"/>
          <w:sz w:val="22"/>
          <w:szCs w:val="22"/>
        </w:rPr>
        <w:t>” equity swap.</w:t>
      </w:r>
      <w:r w:rsidRPr="002915CF">
        <w:rPr>
          <w:rFonts w:asciiTheme="minorHAnsi" w:hAnsiTheme="minorHAnsi"/>
          <w:b/>
          <w:bCs/>
          <w:sz w:val="22"/>
          <w:szCs w:val="22"/>
        </w:rPr>
        <w:t xml:space="preserve"> </w:t>
      </w:r>
      <w:r>
        <w:rPr>
          <w:rFonts w:asciiTheme="minorHAnsi" w:hAnsiTheme="minorHAnsi"/>
          <w:sz w:val="22"/>
          <w:szCs w:val="22"/>
        </w:rPr>
        <w:t xml:space="preserve">For this sample, the number of </w:t>
      </w:r>
      <w:r w:rsidRPr="002915CF">
        <w:rPr>
          <w:rFonts w:asciiTheme="minorHAnsi" w:hAnsiTheme="minorHAnsi"/>
          <w:sz w:val="22"/>
          <w:szCs w:val="22"/>
        </w:rPr>
        <w:t xml:space="preserve">underlying constituents </w:t>
      </w:r>
      <w:r w:rsidRPr="00AC30F4">
        <w:rPr>
          <w:rFonts w:asciiTheme="minorHAnsi" w:hAnsiTheme="minorHAnsi"/>
          <w:b/>
          <w:bCs/>
          <w:sz w:val="22"/>
          <w:szCs w:val="22"/>
        </w:rPr>
        <w:t xml:space="preserve">averaged at </w:t>
      </w:r>
      <w:r>
        <w:rPr>
          <w:rFonts w:asciiTheme="minorHAnsi" w:hAnsiTheme="minorHAnsi"/>
          <w:b/>
          <w:bCs/>
          <w:sz w:val="22"/>
          <w:szCs w:val="22"/>
        </w:rPr>
        <w:t>38</w:t>
      </w:r>
      <w:r w:rsidRPr="00AC30F4">
        <w:rPr>
          <w:rFonts w:asciiTheme="minorHAnsi" w:hAnsiTheme="minorHAnsi"/>
          <w:b/>
          <w:bCs/>
          <w:sz w:val="22"/>
          <w:szCs w:val="22"/>
        </w:rPr>
        <w:t xml:space="preserve"> and ranged from 2 to 2,347</w:t>
      </w:r>
      <w:r w:rsidRPr="002915CF">
        <w:rPr>
          <w:rFonts w:asciiTheme="minorHAnsi" w:hAnsiTheme="minorHAnsi"/>
          <w:sz w:val="22"/>
          <w:szCs w:val="22"/>
        </w:rPr>
        <w:t xml:space="preserve">. </w:t>
      </w:r>
    </w:p>
    <w:p w14:paraId="2382DE1B" w14:textId="77777777" w:rsidR="00EC7C3B" w:rsidRPr="002915CF" w:rsidRDefault="00EC7C3B" w:rsidP="00EC7C3B">
      <w:pPr>
        <w:rPr>
          <w:rFonts w:asciiTheme="minorHAnsi" w:hAnsiTheme="minorHAnsi"/>
          <w:sz w:val="22"/>
          <w:szCs w:val="22"/>
        </w:rPr>
      </w:pPr>
    </w:p>
    <w:p w14:paraId="6E8F82A7" w14:textId="184133C8" w:rsidR="00EC7C3B" w:rsidRDefault="00EC7C3B" w:rsidP="00EC7C3B">
      <w:pPr>
        <w:rPr>
          <w:rFonts w:asciiTheme="minorHAnsi" w:hAnsiTheme="minorHAnsi"/>
          <w:sz w:val="22"/>
          <w:szCs w:val="22"/>
        </w:rPr>
      </w:pPr>
      <w:r w:rsidRPr="002915CF">
        <w:rPr>
          <w:rFonts w:asciiTheme="minorHAnsi" w:hAnsiTheme="minorHAnsi"/>
          <w:sz w:val="22"/>
          <w:szCs w:val="22"/>
        </w:rPr>
        <w:t xml:space="preserve">The DSB calculated that </w:t>
      </w:r>
      <w:r w:rsidRPr="002915CF">
        <w:rPr>
          <w:rFonts w:asciiTheme="minorHAnsi" w:hAnsiTheme="minorHAnsi"/>
          <w:b/>
          <w:bCs/>
          <w:sz w:val="22"/>
          <w:szCs w:val="22"/>
        </w:rPr>
        <w:t>the maximum number of UPIs for this sample</w:t>
      </w:r>
      <w:r>
        <w:rPr>
          <w:rFonts w:asciiTheme="minorHAnsi" w:hAnsiTheme="minorHAnsi"/>
          <w:b/>
          <w:bCs/>
          <w:sz w:val="22"/>
          <w:szCs w:val="22"/>
        </w:rPr>
        <w:t xml:space="preserve"> of 85,000 OTC ISINs</w:t>
      </w:r>
      <w:r w:rsidRPr="002915CF">
        <w:rPr>
          <w:rFonts w:asciiTheme="minorHAnsi" w:hAnsiTheme="minorHAnsi"/>
          <w:b/>
          <w:bCs/>
          <w:sz w:val="22"/>
          <w:szCs w:val="22"/>
        </w:rPr>
        <w:t xml:space="preserve"> would be 9</w:t>
      </w:r>
      <w:r w:rsidR="00D658A1">
        <w:rPr>
          <w:rFonts w:asciiTheme="minorHAnsi" w:hAnsiTheme="minorHAnsi"/>
          <w:b/>
          <w:bCs/>
          <w:sz w:val="22"/>
          <w:szCs w:val="22"/>
        </w:rPr>
        <w:t xml:space="preserve"> only</w:t>
      </w:r>
      <w:r>
        <w:rPr>
          <w:rFonts w:asciiTheme="minorHAnsi" w:hAnsiTheme="minorHAnsi"/>
          <w:b/>
          <w:bCs/>
          <w:sz w:val="22"/>
          <w:szCs w:val="22"/>
        </w:rPr>
        <w:t xml:space="preserve">. </w:t>
      </w:r>
      <w:r w:rsidRPr="0078385C">
        <w:rPr>
          <w:rFonts w:asciiTheme="minorHAnsi" w:hAnsiTheme="minorHAnsi"/>
          <w:sz w:val="22"/>
          <w:szCs w:val="22"/>
        </w:rPr>
        <w:t>This is</w:t>
      </w:r>
      <w:r w:rsidRPr="002915CF">
        <w:rPr>
          <w:rFonts w:asciiTheme="minorHAnsi" w:hAnsiTheme="minorHAnsi"/>
          <w:sz w:val="22"/>
          <w:szCs w:val="22"/>
        </w:rPr>
        <w:t xml:space="preserve"> due to the less granular construction of the UPI</w:t>
      </w:r>
      <w:r>
        <w:rPr>
          <w:rFonts w:asciiTheme="minorHAnsi" w:hAnsiTheme="minorHAnsi"/>
          <w:sz w:val="22"/>
          <w:szCs w:val="22"/>
        </w:rPr>
        <w:t xml:space="preserve"> which does</w:t>
      </w:r>
      <w:r w:rsidRPr="002915CF">
        <w:rPr>
          <w:rFonts w:asciiTheme="minorHAnsi" w:hAnsiTheme="minorHAnsi"/>
          <w:sz w:val="22"/>
          <w:szCs w:val="22"/>
        </w:rPr>
        <w:t xml:space="preserve"> not includ</w:t>
      </w:r>
      <w:r>
        <w:rPr>
          <w:rFonts w:asciiTheme="minorHAnsi" w:hAnsiTheme="minorHAnsi"/>
          <w:sz w:val="22"/>
          <w:szCs w:val="22"/>
        </w:rPr>
        <w:t>e</w:t>
      </w:r>
      <w:r w:rsidRPr="002915CF">
        <w:rPr>
          <w:rFonts w:asciiTheme="minorHAnsi" w:hAnsiTheme="minorHAnsi"/>
          <w:sz w:val="22"/>
          <w:szCs w:val="22"/>
        </w:rPr>
        <w:t xml:space="preserve"> information</w:t>
      </w:r>
      <w:r>
        <w:rPr>
          <w:rFonts w:asciiTheme="minorHAnsi" w:hAnsiTheme="minorHAnsi"/>
          <w:sz w:val="22"/>
          <w:szCs w:val="22"/>
        </w:rPr>
        <w:t xml:space="preserve"> on underlying constituents</w:t>
      </w:r>
      <w:r w:rsidRPr="002915CF">
        <w:rPr>
          <w:rFonts w:asciiTheme="minorHAnsi" w:hAnsiTheme="minorHAnsi"/>
          <w:sz w:val="22"/>
          <w:szCs w:val="22"/>
        </w:rPr>
        <w:t>.</w:t>
      </w:r>
      <w:r>
        <w:rPr>
          <w:rFonts w:asciiTheme="minorHAnsi" w:hAnsiTheme="minorHAnsi"/>
          <w:sz w:val="22"/>
          <w:szCs w:val="22"/>
        </w:rPr>
        <w:t xml:space="preserve"> This difference is by design as the UPI was created for the purpose of monitoring build-up of global systemic risk at a broader product level, requiring less granular information. </w:t>
      </w:r>
    </w:p>
    <w:p w14:paraId="12944080" w14:textId="77777777" w:rsidR="00EC7C3B" w:rsidRPr="002915CF" w:rsidRDefault="00EC7C3B" w:rsidP="00EC7C3B">
      <w:pPr>
        <w:rPr>
          <w:rFonts w:asciiTheme="minorHAnsi" w:hAnsiTheme="minorHAnsi"/>
          <w:sz w:val="22"/>
          <w:szCs w:val="22"/>
        </w:rPr>
      </w:pPr>
    </w:p>
    <w:p w14:paraId="5C7B1D7B" w14:textId="77777777" w:rsidR="00EC7C3B" w:rsidRDefault="00EC7C3B" w:rsidP="00EC7C3B">
      <w:pPr>
        <w:rPr>
          <w:rFonts w:asciiTheme="minorHAnsi" w:hAnsiTheme="minorHAnsi"/>
          <w:sz w:val="22"/>
          <w:szCs w:val="22"/>
        </w:rPr>
      </w:pPr>
      <w:r>
        <w:rPr>
          <w:rFonts w:asciiTheme="minorHAnsi" w:hAnsiTheme="minorHAnsi"/>
          <w:sz w:val="22"/>
          <w:szCs w:val="22"/>
        </w:rPr>
        <w:t>The OTC ISIN as the identifier for OTC derivatives with underlying baskets has a number of advantages:</w:t>
      </w:r>
    </w:p>
    <w:p w14:paraId="7A26CD40" w14:textId="52378523" w:rsidR="00EC7C3B" w:rsidRDefault="00EC7C3B" w:rsidP="00811CBF">
      <w:pPr>
        <w:pStyle w:val="ListParagraph"/>
        <w:numPr>
          <w:ilvl w:val="0"/>
          <w:numId w:val="39"/>
        </w:numPr>
      </w:pPr>
      <w:r>
        <w:t xml:space="preserve">The OTC ISIN includes information on the underlying basket constituents and therefore this information will not need to be reported separately. Since the number </w:t>
      </w:r>
      <w:r w:rsidRPr="008C25E4">
        <w:t xml:space="preserve">of underlying </w:t>
      </w:r>
      <w:r>
        <w:t>basket</w:t>
      </w:r>
      <w:r w:rsidRPr="008C25E4">
        <w:t xml:space="preserve"> constituents can range from 2 to </w:t>
      </w:r>
      <w:r>
        <w:t>2,000+</w:t>
      </w:r>
      <w:r w:rsidRPr="008C25E4">
        <w:t>, this</w:t>
      </w:r>
      <w:r>
        <w:t xml:space="preserve"> can significantly reduce the potential for data errors. </w:t>
      </w:r>
    </w:p>
    <w:p w14:paraId="3D9CFAB9" w14:textId="141D4419" w:rsidR="00EC7C3B" w:rsidRDefault="00EC7C3B" w:rsidP="00811CBF">
      <w:pPr>
        <w:pStyle w:val="ListParagraph"/>
        <w:numPr>
          <w:ilvl w:val="0"/>
          <w:numId w:val="39"/>
        </w:numPr>
      </w:pPr>
      <w:r>
        <w:t>The underlying basket constituents are cleansed, normalised, and harmonised as part of the service that the DSB provides. This makes the data more meaningful for industry and authorities to consume and utilise. Without this harmonisation function, two firms could report information on the same underlying</w:t>
      </w:r>
      <w:r w:rsidR="00094D34">
        <w:t xml:space="preserve"> basket</w:t>
      </w:r>
      <w:r>
        <w:t xml:space="preserve"> constituents differently (e.g. different order, formats etc), making it difficult for consumers of the data to easily identify, compare and analyse the information. </w:t>
      </w:r>
    </w:p>
    <w:p w14:paraId="4A4B6964" w14:textId="41CA3E76" w:rsidR="00EC7C3B" w:rsidRPr="005F6D7F" w:rsidRDefault="00EC7C3B" w:rsidP="00811CBF">
      <w:pPr>
        <w:pStyle w:val="ListParagraph"/>
        <w:numPr>
          <w:ilvl w:val="0"/>
          <w:numId w:val="39"/>
        </w:numPr>
      </w:pPr>
      <w:r>
        <w:t xml:space="preserve">In the case where the underlying constituents include a proprietary index, the DSB creates and assigns an ID for the proprietary index as part of the harmonisation process for the OTC ISIN. This enables the consumer to compare and analyse the data more easily. </w:t>
      </w:r>
    </w:p>
    <w:p w14:paraId="4A170788" w14:textId="77777777" w:rsidR="00EC7C3B" w:rsidRDefault="00EC7C3B" w:rsidP="00EC7C3B">
      <w:pPr>
        <w:rPr>
          <w:rFonts w:asciiTheme="minorHAnsi" w:hAnsiTheme="minorHAnsi"/>
          <w:sz w:val="22"/>
          <w:szCs w:val="22"/>
        </w:rPr>
      </w:pPr>
    </w:p>
    <w:p w14:paraId="7088BCF4" w14:textId="77777777" w:rsidR="00EC7C3B" w:rsidRDefault="00EC7C3B" w:rsidP="00EC7C3B">
      <w:pPr>
        <w:rPr>
          <w:rFonts w:asciiTheme="minorHAnsi" w:hAnsiTheme="minorHAnsi"/>
          <w:sz w:val="22"/>
          <w:szCs w:val="22"/>
          <w:highlight w:val="yellow"/>
        </w:rPr>
      </w:pPr>
    </w:p>
    <w:p w14:paraId="48C5C098" w14:textId="77777777" w:rsidR="00EC7C3B" w:rsidRPr="005E287C" w:rsidRDefault="00EC7C3B" w:rsidP="00EC7C3B">
      <w:pPr>
        <w:rPr>
          <w:rFonts w:asciiTheme="minorHAnsi" w:hAnsiTheme="minorHAnsi"/>
          <w:b/>
          <w:bCs/>
          <w:sz w:val="22"/>
          <w:szCs w:val="22"/>
        </w:rPr>
      </w:pPr>
      <w:r>
        <w:rPr>
          <w:rFonts w:asciiTheme="minorHAnsi" w:hAnsiTheme="minorHAnsi"/>
          <w:b/>
          <w:bCs/>
          <w:sz w:val="22"/>
          <w:szCs w:val="22"/>
        </w:rPr>
        <w:t>1.3 Analysis relating to r</w:t>
      </w:r>
      <w:r w:rsidRPr="005E287C">
        <w:rPr>
          <w:rFonts w:asciiTheme="minorHAnsi" w:hAnsiTheme="minorHAnsi"/>
          <w:b/>
          <w:bCs/>
          <w:sz w:val="22"/>
          <w:szCs w:val="22"/>
        </w:rPr>
        <w:t xml:space="preserve">evised </w:t>
      </w:r>
      <w:r>
        <w:rPr>
          <w:rFonts w:asciiTheme="minorHAnsi" w:hAnsiTheme="minorHAnsi"/>
          <w:b/>
          <w:bCs/>
          <w:sz w:val="22"/>
          <w:szCs w:val="22"/>
        </w:rPr>
        <w:t>OTC</w:t>
      </w:r>
      <w:r w:rsidRPr="005E287C">
        <w:rPr>
          <w:rFonts w:asciiTheme="minorHAnsi" w:hAnsiTheme="minorHAnsi"/>
          <w:b/>
          <w:bCs/>
          <w:sz w:val="22"/>
          <w:szCs w:val="22"/>
        </w:rPr>
        <w:t xml:space="preserve"> ISIN for </w:t>
      </w:r>
      <w:r>
        <w:rPr>
          <w:rFonts w:asciiTheme="minorHAnsi" w:hAnsiTheme="minorHAnsi"/>
          <w:b/>
          <w:bCs/>
          <w:sz w:val="22"/>
          <w:szCs w:val="22"/>
        </w:rPr>
        <w:t>I</w:t>
      </w:r>
      <w:r w:rsidRPr="005E287C">
        <w:rPr>
          <w:rFonts w:asciiTheme="minorHAnsi" w:hAnsiTheme="minorHAnsi"/>
          <w:b/>
          <w:bCs/>
          <w:sz w:val="22"/>
          <w:szCs w:val="22"/>
        </w:rPr>
        <w:t xml:space="preserve">nterest </w:t>
      </w:r>
      <w:r>
        <w:rPr>
          <w:rFonts w:asciiTheme="minorHAnsi" w:hAnsiTheme="minorHAnsi"/>
          <w:b/>
          <w:bCs/>
          <w:sz w:val="22"/>
          <w:szCs w:val="22"/>
        </w:rPr>
        <w:t>R</w:t>
      </w:r>
      <w:r w:rsidRPr="005E287C">
        <w:rPr>
          <w:rFonts w:asciiTheme="minorHAnsi" w:hAnsiTheme="minorHAnsi"/>
          <w:b/>
          <w:bCs/>
          <w:sz w:val="22"/>
          <w:szCs w:val="22"/>
        </w:rPr>
        <w:t xml:space="preserve">ate </w:t>
      </w:r>
      <w:r>
        <w:rPr>
          <w:rFonts w:asciiTheme="minorHAnsi" w:hAnsiTheme="minorHAnsi"/>
          <w:b/>
          <w:bCs/>
          <w:sz w:val="22"/>
          <w:szCs w:val="22"/>
        </w:rPr>
        <w:t>S</w:t>
      </w:r>
      <w:r w:rsidRPr="005E287C">
        <w:rPr>
          <w:rFonts w:asciiTheme="minorHAnsi" w:hAnsiTheme="minorHAnsi"/>
          <w:b/>
          <w:bCs/>
          <w:sz w:val="22"/>
          <w:szCs w:val="22"/>
        </w:rPr>
        <w:t>wap</w:t>
      </w:r>
      <w:r>
        <w:rPr>
          <w:rFonts w:asciiTheme="minorHAnsi" w:hAnsiTheme="minorHAnsi"/>
          <w:b/>
          <w:bCs/>
          <w:sz w:val="22"/>
          <w:szCs w:val="22"/>
        </w:rPr>
        <w:t>s (IRS)</w:t>
      </w:r>
      <w:r w:rsidRPr="005E287C">
        <w:rPr>
          <w:rFonts w:asciiTheme="minorHAnsi" w:hAnsiTheme="minorHAnsi"/>
          <w:b/>
          <w:bCs/>
          <w:sz w:val="22"/>
          <w:szCs w:val="22"/>
        </w:rPr>
        <w:t xml:space="preserve"> </w:t>
      </w:r>
    </w:p>
    <w:p w14:paraId="657A6D0B" w14:textId="77777777" w:rsidR="00EC7C3B" w:rsidRPr="002915CF" w:rsidRDefault="00EC7C3B" w:rsidP="00EC7C3B">
      <w:pPr>
        <w:rPr>
          <w:rFonts w:asciiTheme="minorHAnsi" w:hAnsiTheme="minorHAnsi"/>
          <w:b/>
          <w:bCs/>
          <w:sz w:val="22"/>
          <w:szCs w:val="22"/>
        </w:rPr>
      </w:pPr>
    </w:p>
    <w:p w14:paraId="24B6396E" w14:textId="77777777" w:rsidR="00EC7C3B" w:rsidRPr="002915CF" w:rsidRDefault="00EC7C3B" w:rsidP="00EC7C3B">
      <w:pPr>
        <w:rPr>
          <w:rFonts w:asciiTheme="minorHAnsi" w:hAnsiTheme="minorHAnsi"/>
          <w:sz w:val="22"/>
          <w:szCs w:val="22"/>
        </w:rPr>
      </w:pPr>
      <w:r>
        <w:rPr>
          <w:rFonts w:asciiTheme="minorHAnsi" w:hAnsiTheme="minorHAnsi"/>
          <w:sz w:val="22"/>
          <w:szCs w:val="22"/>
        </w:rPr>
        <w:t xml:space="preserve">The </w:t>
      </w:r>
      <w:r w:rsidRPr="002915CF">
        <w:rPr>
          <w:rFonts w:asciiTheme="minorHAnsi" w:hAnsiTheme="minorHAnsi"/>
          <w:sz w:val="22"/>
          <w:szCs w:val="22"/>
        </w:rPr>
        <w:t xml:space="preserve">DSB supports ESMA’s proposal in the </w:t>
      </w:r>
      <w:hyperlink r:id="rId27" w:history="1">
        <w:proofErr w:type="spellStart"/>
        <w:r w:rsidRPr="002915CF">
          <w:rPr>
            <w:rStyle w:val="Hyperlink"/>
            <w:rFonts w:asciiTheme="minorHAnsi" w:eastAsiaTheme="majorEastAsia" w:hAnsiTheme="minorHAnsi"/>
            <w:sz w:val="22"/>
            <w:szCs w:val="22"/>
          </w:rPr>
          <w:t>MiFIR</w:t>
        </w:r>
        <w:proofErr w:type="spellEnd"/>
        <w:r w:rsidRPr="002915CF">
          <w:rPr>
            <w:rStyle w:val="Hyperlink"/>
            <w:rFonts w:asciiTheme="minorHAnsi" w:eastAsiaTheme="majorEastAsia" w:hAnsiTheme="minorHAnsi"/>
            <w:sz w:val="22"/>
            <w:szCs w:val="22"/>
          </w:rPr>
          <w:t xml:space="preserve"> Review Consultation Package 4</w:t>
        </w:r>
      </w:hyperlink>
      <w:r w:rsidRPr="002915CF">
        <w:rPr>
          <w:rFonts w:asciiTheme="minorHAnsi" w:hAnsiTheme="minorHAnsi"/>
          <w:sz w:val="22"/>
          <w:szCs w:val="22"/>
        </w:rPr>
        <w:t xml:space="preserve"> (“CP4”) from 3 April 2025 to use the revised ISIN as the identifier for </w:t>
      </w:r>
      <w:r>
        <w:rPr>
          <w:rFonts w:asciiTheme="minorHAnsi" w:hAnsiTheme="minorHAnsi"/>
          <w:sz w:val="22"/>
          <w:szCs w:val="22"/>
        </w:rPr>
        <w:t>Interest Rate Swaps (IRS)</w:t>
      </w:r>
      <w:r w:rsidRPr="002915CF">
        <w:rPr>
          <w:rFonts w:asciiTheme="minorHAnsi" w:hAnsiTheme="minorHAnsi"/>
          <w:sz w:val="22"/>
          <w:szCs w:val="22"/>
        </w:rPr>
        <w:t xml:space="preserve"> in </w:t>
      </w:r>
      <w:r w:rsidRPr="002915CF">
        <w:rPr>
          <w:rFonts w:asciiTheme="minorHAnsi" w:hAnsiTheme="minorHAnsi"/>
          <w:sz w:val="22"/>
          <w:szCs w:val="22"/>
        </w:rPr>
        <w:lastRenderedPageBreak/>
        <w:t>accordance with the E</w:t>
      </w:r>
      <w:r>
        <w:rPr>
          <w:rFonts w:asciiTheme="minorHAnsi" w:hAnsiTheme="minorHAnsi"/>
          <w:sz w:val="22"/>
          <w:szCs w:val="22"/>
        </w:rPr>
        <w:t>uropean Commission’s Delegated Act on OTC derivative identifying reference data (‘EC DA’)</w:t>
      </w:r>
      <w:r w:rsidRPr="002915CF">
        <w:rPr>
          <w:rFonts w:asciiTheme="minorHAnsi" w:hAnsiTheme="minorHAnsi"/>
          <w:sz w:val="22"/>
          <w:szCs w:val="22"/>
        </w:rPr>
        <w:t xml:space="preserve">. </w:t>
      </w:r>
    </w:p>
    <w:p w14:paraId="7DC60327" w14:textId="77777777" w:rsidR="00EC7C3B" w:rsidRPr="002915CF" w:rsidRDefault="00EC7C3B" w:rsidP="00EC7C3B">
      <w:pPr>
        <w:rPr>
          <w:rFonts w:asciiTheme="minorHAnsi" w:hAnsiTheme="minorHAnsi"/>
          <w:sz w:val="22"/>
          <w:szCs w:val="22"/>
        </w:rPr>
      </w:pPr>
    </w:p>
    <w:p w14:paraId="3073F956" w14:textId="67E4BFC9" w:rsidR="00EC7C3B" w:rsidRPr="002915CF" w:rsidRDefault="00EC7C3B" w:rsidP="00EC7C3B">
      <w:pPr>
        <w:rPr>
          <w:rFonts w:asciiTheme="minorHAnsi" w:hAnsiTheme="minorHAnsi"/>
          <w:sz w:val="22"/>
          <w:szCs w:val="22"/>
        </w:rPr>
      </w:pPr>
      <w:r>
        <w:rPr>
          <w:rFonts w:asciiTheme="minorHAnsi" w:hAnsiTheme="minorHAnsi"/>
          <w:sz w:val="22"/>
          <w:szCs w:val="22"/>
        </w:rPr>
        <w:t>Table 1.3A shows the</w:t>
      </w:r>
      <w:r w:rsidRPr="002915CF">
        <w:rPr>
          <w:rFonts w:asciiTheme="minorHAnsi" w:hAnsiTheme="minorHAnsi"/>
          <w:sz w:val="22"/>
          <w:szCs w:val="22"/>
        </w:rPr>
        <w:t xml:space="preserve"> DSB</w:t>
      </w:r>
      <w:r>
        <w:rPr>
          <w:rFonts w:asciiTheme="minorHAnsi" w:hAnsiTheme="minorHAnsi"/>
          <w:sz w:val="22"/>
          <w:szCs w:val="22"/>
        </w:rPr>
        <w:t>’s</w:t>
      </w:r>
      <w:r w:rsidRPr="002915CF">
        <w:rPr>
          <w:rFonts w:asciiTheme="minorHAnsi" w:hAnsiTheme="minorHAnsi"/>
          <w:sz w:val="22"/>
          <w:szCs w:val="22"/>
        </w:rPr>
        <w:t xml:space="preserve"> estimates </w:t>
      </w:r>
      <w:r>
        <w:rPr>
          <w:rFonts w:asciiTheme="minorHAnsi" w:hAnsiTheme="minorHAnsi"/>
          <w:sz w:val="22"/>
          <w:szCs w:val="22"/>
        </w:rPr>
        <w:t>for the</w:t>
      </w:r>
      <w:r w:rsidRPr="002915CF">
        <w:rPr>
          <w:rFonts w:asciiTheme="minorHAnsi" w:hAnsiTheme="minorHAnsi"/>
          <w:sz w:val="22"/>
          <w:szCs w:val="22"/>
        </w:rPr>
        <w:t xml:space="preserve"> approximate magnitude of reduction of </w:t>
      </w:r>
      <w:r>
        <w:rPr>
          <w:rFonts w:asciiTheme="minorHAnsi" w:hAnsiTheme="minorHAnsi"/>
          <w:sz w:val="22"/>
          <w:szCs w:val="22"/>
        </w:rPr>
        <w:t xml:space="preserve">current OTC </w:t>
      </w:r>
      <w:r w:rsidRPr="002915CF">
        <w:rPr>
          <w:rFonts w:asciiTheme="minorHAnsi" w:hAnsiTheme="minorHAnsi"/>
          <w:sz w:val="22"/>
          <w:szCs w:val="22"/>
        </w:rPr>
        <w:t xml:space="preserve">ISINs to revised </w:t>
      </w:r>
      <w:r>
        <w:rPr>
          <w:rFonts w:asciiTheme="minorHAnsi" w:hAnsiTheme="minorHAnsi"/>
          <w:sz w:val="22"/>
          <w:szCs w:val="22"/>
        </w:rPr>
        <w:t xml:space="preserve">OTC </w:t>
      </w:r>
      <w:r w:rsidRPr="002915CF">
        <w:rPr>
          <w:rFonts w:asciiTheme="minorHAnsi" w:hAnsiTheme="minorHAnsi"/>
          <w:sz w:val="22"/>
          <w:szCs w:val="22"/>
        </w:rPr>
        <w:t xml:space="preserve">ISINs and UPIs, for fixed-float </w:t>
      </w:r>
      <w:r w:rsidR="00766177">
        <w:rPr>
          <w:rFonts w:asciiTheme="minorHAnsi" w:hAnsiTheme="minorHAnsi"/>
          <w:sz w:val="22"/>
          <w:szCs w:val="22"/>
        </w:rPr>
        <w:t>IRS</w:t>
      </w:r>
      <w:r w:rsidRPr="002915CF">
        <w:rPr>
          <w:rFonts w:asciiTheme="minorHAnsi" w:hAnsiTheme="minorHAnsi"/>
          <w:sz w:val="22"/>
          <w:szCs w:val="22"/>
        </w:rPr>
        <w:t>. The</w:t>
      </w:r>
      <w:r>
        <w:rPr>
          <w:rFonts w:asciiTheme="minorHAnsi" w:hAnsiTheme="minorHAnsi"/>
          <w:sz w:val="22"/>
          <w:szCs w:val="22"/>
        </w:rPr>
        <w:t xml:space="preserve"> estimated</w:t>
      </w:r>
      <w:r w:rsidRPr="002915CF">
        <w:rPr>
          <w:rFonts w:asciiTheme="minorHAnsi" w:hAnsiTheme="minorHAnsi"/>
          <w:sz w:val="22"/>
          <w:szCs w:val="22"/>
        </w:rPr>
        <w:t xml:space="preserve"> revised </w:t>
      </w:r>
      <w:r>
        <w:rPr>
          <w:rFonts w:asciiTheme="minorHAnsi" w:hAnsiTheme="minorHAnsi"/>
          <w:sz w:val="22"/>
          <w:szCs w:val="22"/>
        </w:rPr>
        <w:t xml:space="preserve">OTC </w:t>
      </w:r>
      <w:r w:rsidRPr="002915CF">
        <w:rPr>
          <w:rFonts w:asciiTheme="minorHAnsi" w:hAnsiTheme="minorHAnsi"/>
          <w:sz w:val="22"/>
          <w:szCs w:val="22"/>
        </w:rPr>
        <w:t xml:space="preserve">ISIN is created by eliminating the expiry date from the current </w:t>
      </w:r>
      <w:r>
        <w:rPr>
          <w:rFonts w:asciiTheme="minorHAnsi" w:hAnsiTheme="minorHAnsi"/>
          <w:sz w:val="22"/>
          <w:szCs w:val="22"/>
        </w:rPr>
        <w:t xml:space="preserve">OTC </w:t>
      </w:r>
      <w:r w:rsidRPr="002915CF">
        <w:rPr>
          <w:rFonts w:asciiTheme="minorHAnsi" w:hAnsiTheme="minorHAnsi"/>
          <w:sz w:val="22"/>
          <w:szCs w:val="22"/>
        </w:rPr>
        <w:t xml:space="preserve">ISIN. The estimated </w:t>
      </w:r>
      <w:r>
        <w:rPr>
          <w:rFonts w:asciiTheme="minorHAnsi" w:hAnsiTheme="minorHAnsi"/>
          <w:sz w:val="22"/>
          <w:szCs w:val="22"/>
        </w:rPr>
        <w:t xml:space="preserve">number of </w:t>
      </w:r>
      <w:r w:rsidRPr="002915CF">
        <w:rPr>
          <w:rFonts w:asciiTheme="minorHAnsi" w:hAnsiTheme="minorHAnsi"/>
          <w:sz w:val="22"/>
          <w:szCs w:val="22"/>
        </w:rPr>
        <w:t>UPI</w:t>
      </w:r>
      <w:r>
        <w:rPr>
          <w:rFonts w:asciiTheme="minorHAnsi" w:hAnsiTheme="minorHAnsi"/>
          <w:sz w:val="22"/>
          <w:szCs w:val="22"/>
        </w:rPr>
        <w:t>s</w:t>
      </w:r>
      <w:r w:rsidRPr="002915CF">
        <w:rPr>
          <w:rFonts w:asciiTheme="minorHAnsi" w:hAnsiTheme="minorHAnsi"/>
          <w:sz w:val="22"/>
          <w:szCs w:val="22"/>
        </w:rPr>
        <w:t xml:space="preserve"> is created by eliminating both the expiry date and the contract term. </w:t>
      </w:r>
    </w:p>
    <w:p w14:paraId="6C312FFB" w14:textId="77777777" w:rsidR="00EC7C3B" w:rsidRPr="002915CF" w:rsidRDefault="00EC7C3B" w:rsidP="00EC7C3B">
      <w:pPr>
        <w:rPr>
          <w:rFonts w:asciiTheme="minorHAnsi" w:hAnsiTheme="minorHAnsi"/>
          <w:sz w:val="22"/>
          <w:szCs w:val="22"/>
        </w:rPr>
      </w:pPr>
    </w:p>
    <w:p w14:paraId="5165CB93" w14:textId="2149CC5E" w:rsidR="00EC7C3B" w:rsidRPr="002915CF" w:rsidRDefault="00EC7C3B" w:rsidP="00EC7C3B">
      <w:pPr>
        <w:rPr>
          <w:rFonts w:asciiTheme="minorHAnsi" w:hAnsiTheme="minorHAnsi"/>
          <w:sz w:val="22"/>
          <w:szCs w:val="22"/>
        </w:rPr>
      </w:pPr>
      <w:r w:rsidRPr="002915CF">
        <w:rPr>
          <w:rFonts w:asciiTheme="minorHAnsi" w:hAnsiTheme="minorHAnsi"/>
          <w:b/>
          <w:bCs/>
          <w:sz w:val="22"/>
          <w:szCs w:val="22"/>
        </w:rPr>
        <w:t xml:space="preserve">Table </w:t>
      </w:r>
      <w:r>
        <w:rPr>
          <w:rFonts w:asciiTheme="minorHAnsi" w:hAnsiTheme="minorHAnsi"/>
          <w:b/>
          <w:bCs/>
          <w:sz w:val="22"/>
          <w:szCs w:val="22"/>
        </w:rPr>
        <w:t>1.3A</w:t>
      </w:r>
      <w:r w:rsidRPr="002915CF">
        <w:rPr>
          <w:rFonts w:asciiTheme="minorHAnsi" w:hAnsiTheme="minorHAnsi"/>
          <w:b/>
          <w:bCs/>
          <w:sz w:val="22"/>
          <w:szCs w:val="22"/>
        </w:rPr>
        <w:t>: E</w:t>
      </w:r>
      <w:r>
        <w:rPr>
          <w:rFonts w:asciiTheme="minorHAnsi" w:hAnsiTheme="minorHAnsi"/>
          <w:b/>
          <w:bCs/>
          <w:sz w:val="22"/>
          <w:szCs w:val="22"/>
        </w:rPr>
        <w:t>stimated impact of moving to revised OTC ISIN for fixed-float IRS</w:t>
      </w:r>
      <w:r w:rsidRPr="002915CF">
        <w:rPr>
          <w:rFonts w:asciiTheme="minorHAnsi" w:hAnsiTheme="minorHAnsi"/>
          <w:b/>
          <w:bCs/>
          <w:sz w:val="22"/>
          <w:szCs w:val="22"/>
        </w:rPr>
        <w:t xml:space="preserve"> </w:t>
      </w:r>
      <w:r w:rsidRPr="005945F3">
        <w:rPr>
          <w:rFonts w:asciiTheme="minorHAnsi" w:hAnsiTheme="minorHAnsi"/>
          <w:sz w:val="22"/>
          <w:szCs w:val="22"/>
        </w:rPr>
        <w:t xml:space="preserve"> </w:t>
      </w:r>
      <w:r w:rsidRPr="005945F3">
        <w:rPr>
          <w:noProof/>
        </w:rPr>
        <w:drawing>
          <wp:inline distT="0" distB="0" distL="0" distR="0" wp14:anchorId="25E13260" wp14:editId="4B564E10">
            <wp:extent cx="5759450" cy="3913505"/>
            <wp:effectExtent l="0" t="0" r="0" b="0"/>
            <wp:docPr id="10736861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59450" cy="3913505"/>
                    </a:xfrm>
                    <a:prstGeom prst="rect">
                      <a:avLst/>
                    </a:prstGeom>
                    <a:noFill/>
                    <a:ln>
                      <a:noFill/>
                    </a:ln>
                  </pic:spPr>
                </pic:pic>
              </a:graphicData>
            </a:graphic>
          </wp:inline>
        </w:drawing>
      </w:r>
    </w:p>
    <w:p w14:paraId="493F9813" w14:textId="77777777" w:rsidR="00EC7C3B" w:rsidRPr="002915CF" w:rsidRDefault="00EC7C3B" w:rsidP="00EC7C3B">
      <w:pPr>
        <w:rPr>
          <w:rFonts w:asciiTheme="minorHAnsi" w:hAnsiTheme="minorHAnsi"/>
          <w:sz w:val="22"/>
          <w:szCs w:val="22"/>
        </w:rPr>
      </w:pPr>
    </w:p>
    <w:p w14:paraId="27B9EA4B" w14:textId="77777777" w:rsidR="00EC7C3B" w:rsidRPr="002915CF" w:rsidRDefault="00EC7C3B" w:rsidP="00EC7C3B">
      <w:pPr>
        <w:rPr>
          <w:rFonts w:asciiTheme="minorHAnsi" w:hAnsiTheme="minorHAnsi"/>
          <w:sz w:val="22"/>
          <w:szCs w:val="22"/>
        </w:rPr>
      </w:pPr>
      <w:r w:rsidRPr="002915CF">
        <w:rPr>
          <w:rFonts w:asciiTheme="minorHAnsi" w:hAnsiTheme="minorHAnsi"/>
          <w:sz w:val="22"/>
          <w:szCs w:val="22"/>
        </w:rPr>
        <w:t>T</w:t>
      </w:r>
      <w:r>
        <w:rPr>
          <w:rFonts w:asciiTheme="minorHAnsi" w:hAnsiTheme="minorHAnsi"/>
          <w:sz w:val="22"/>
          <w:szCs w:val="22"/>
        </w:rPr>
        <w:t>able 1.3A</w:t>
      </w:r>
      <w:r w:rsidRPr="002915CF">
        <w:rPr>
          <w:rFonts w:asciiTheme="minorHAnsi" w:hAnsiTheme="minorHAnsi"/>
          <w:sz w:val="22"/>
          <w:szCs w:val="22"/>
        </w:rPr>
        <w:t xml:space="preserve"> </w:t>
      </w:r>
      <w:r>
        <w:rPr>
          <w:rFonts w:asciiTheme="minorHAnsi" w:hAnsiTheme="minorHAnsi"/>
          <w:sz w:val="22"/>
          <w:szCs w:val="22"/>
        </w:rPr>
        <w:t>illustrates</w:t>
      </w:r>
      <w:r w:rsidRPr="002915CF">
        <w:rPr>
          <w:rFonts w:asciiTheme="minorHAnsi" w:hAnsiTheme="minorHAnsi"/>
          <w:sz w:val="22"/>
          <w:szCs w:val="22"/>
        </w:rPr>
        <w:t xml:space="preserve"> that </w:t>
      </w:r>
      <w:r>
        <w:rPr>
          <w:rFonts w:asciiTheme="minorHAnsi" w:hAnsiTheme="minorHAnsi"/>
          <w:sz w:val="22"/>
          <w:szCs w:val="22"/>
        </w:rPr>
        <w:t>a</w:t>
      </w:r>
      <w:r w:rsidRPr="002915CF">
        <w:rPr>
          <w:rFonts w:asciiTheme="minorHAnsi" w:hAnsiTheme="minorHAnsi"/>
          <w:sz w:val="22"/>
          <w:szCs w:val="22"/>
        </w:rPr>
        <w:t xml:space="preserve"> move </w:t>
      </w:r>
      <w:r>
        <w:rPr>
          <w:rFonts w:asciiTheme="minorHAnsi" w:hAnsiTheme="minorHAnsi"/>
          <w:sz w:val="22"/>
          <w:szCs w:val="22"/>
        </w:rPr>
        <w:t xml:space="preserve">to a </w:t>
      </w:r>
      <w:r w:rsidRPr="002915CF">
        <w:rPr>
          <w:rFonts w:asciiTheme="minorHAnsi" w:hAnsiTheme="minorHAnsi"/>
          <w:sz w:val="22"/>
          <w:szCs w:val="22"/>
        </w:rPr>
        <w:t xml:space="preserve">revised </w:t>
      </w:r>
      <w:r>
        <w:rPr>
          <w:rFonts w:asciiTheme="minorHAnsi" w:hAnsiTheme="minorHAnsi"/>
          <w:sz w:val="22"/>
          <w:szCs w:val="22"/>
        </w:rPr>
        <w:t xml:space="preserve">OTC </w:t>
      </w:r>
      <w:r w:rsidRPr="002915CF">
        <w:rPr>
          <w:rFonts w:asciiTheme="minorHAnsi" w:hAnsiTheme="minorHAnsi"/>
          <w:sz w:val="22"/>
          <w:szCs w:val="22"/>
        </w:rPr>
        <w:t>ISIN</w:t>
      </w:r>
      <w:r>
        <w:rPr>
          <w:rFonts w:asciiTheme="minorHAnsi" w:hAnsiTheme="minorHAnsi"/>
          <w:sz w:val="22"/>
          <w:szCs w:val="22"/>
        </w:rPr>
        <w:t xml:space="preserve"> </w:t>
      </w:r>
      <w:r w:rsidRPr="002915CF">
        <w:rPr>
          <w:rFonts w:asciiTheme="minorHAnsi" w:hAnsiTheme="minorHAnsi"/>
          <w:sz w:val="22"/>
          <w:szCs w:val="22"/>
        </w:rPr>
        <w:t xml:space="preserve">in accordance with the EC’s DA would significantly reduce the number of </w:t>
      </w:r>
      <w:r>
        <w:rPr>
          <w:rFonts w:asciiTheme="minorHAnsi" w:hAnsiTheme="minorHAnsi"/>
          <w:sz w:val="22"/>
          <w:szCs w:val="22"/>
        </w:rPr>
        <w:t xml:space="preserve">OTC </w:t>
      </w:r>
      <w:r w:rsidRPr="002915CF">
        <w:rPr>
          <w:rFonts w:asciiTheme="minorHAnsi" w:hAnsiTheme="minorHAnsi"/>
          <w:sz w:val="22"/>
          <w:szCs w:val="22"/>
        </w:rPr>
        <w:t xml:space="preserve">ISINs that are currently created for fixed-float </w:t>
      </w:r>
      <w:r>
        <w:rPr>
          <w:rFonts w:asciiTheme="minorHAnsi" w:hAnsiTheme="minorHAnsi"/>
          <w:sz w:val="22"/>
          <w:szCs w:val="22"/>
        </w:rPr>
        <w:t>IRS</w:t>
      </w:r>
      <w:r w:rsidRPr="002915CF">
        <w:rPr>
          <w:rFonts w:asciiTheme="minorHAnsi" w:hAnsiTheme="minorHAnsi"/>
          <w:sz w:val="22"/>
          <w:szCs w:val="22"/>
        </w:rPr>
        <w:t xml:space="preserve">. </w:t>
      </w:r>
    </w:p>
    <w:p w14:paraId="225E0D79" w14:textId="77777777" w:rsidR="00EC7C3B" w:rsidRPr="002915CF" w:rsidRDefault="00EC7C3B" w:rsidP="00EC7C3B">
      <w:pPr>
        <w:rPr>
          <w:rFonts w:asciiTheme="minorHAnsi" w:hAnsiTheme="minorHAnsi"/>
          <w:sz w:val="22"/>
          <w:szCs w:val="22"/>
        </w:rPr>
      </w:pPr>
    </w:p>
    <w:p w14:paraId="0D37A6B7" w14:textId="10DB1A9C" w:rsidR="00EC7C3B" w:rsidRDefault="00EC7C3B" w:rsidP="00EC7C3B">
      <w:pPr>
        <w:rPr>
          <w:rFonts w:asciiTheme="minorHAnsi" w:hAnsiTheme="minorHAnsi"/>
          <w:sz w:val="22"/>
          <w:szCs w:val="22"/>
        </w:rPr>
      </w:pPr>
      <w:r w:rsidRPr="002915CF">
        <w:rPr>
          <w:rFonts w:asciiTheme="minorHAnsi" w:hAnsiTheme="minorHAnsi"/>
          <w:sz w:val="22"/>
          <w:szCs w:val="22"/>
        </w:rPr>
        <w:t xml:space="preserve">Specifically, </w:t>
      </w:r>
      <w:r>
        <w:rPr>
          <w:rFonts w:asciiTheme="minorHAnsi" w:hAnsiTheme="minorHAnsi"/>
          <w:sz w:val="22"/>
          <w:szCs w:val="22"/>
        </w:rPr>
        <w:t xml:space="preserve">the </w:t>
      </w:r>
      <w:r w:rsidRPr="002915CF">
        <w:rPr>
          <w:rFonts w:asciiTheme="minorHAnsi" w:hAnsiTheme="minorHAnsi"/>
          <w:sz w:val="22"/>
          <w:szCs w:val="22"/>
        </w:rPr>
        <w:t>DSB estimates that the move to</w:t>
      </w:r>
      <w:r>
        <w:rPr>
          <w:rFonts w:asciiTheme="minorHAnsi" w:hAnsiTheme="minorHAnsi"/>
          <w:sz w:val="22"/>
          <w:szCs w:val="22"/>
        </w:rPr>
        <w:t xml:space="preserve"> the</w:t>
      </w:r>
      <w:r w:rsidRPr="002915CF">
        <w:rPr>
          <w:rFonts w:asciiTheme="minorHAnsi" w:hAnsiTheme="minorHAnsi"/>
          <w:sz w:val="22"/>
          <w:szCs w:val="22"/>
        </w:rPr>
        <w:t xml:space="preserve"> estimated revised </w:t>
      </w:r>
      <w:r>
        <w:rPr>
          <w:rFonts w:asciiTheme="minorHAnsi" w:hAnsiTheme="minorHAnsi"/>
          <w:sz w:val="22"/>
          <w:szCs w:val="22"/>
        </w:rPr>
        <w:t xml:space="preserve">OTC </w:t>
      </w:r>
      <w:r w:rsidRPr="002915CF">
        <w:rPr>
          <w:rFonts w:asciiTheme="minorHAnsi" w:hAnsiTheme="minorHAnsi"/>
          <w:sz w:val="22"/>
          <w:szCs w:val="22"/>
        </w:rPr>
        <w:t xml:space="preserve">ISIN would result in </w:t>
      </w:r>
      <w:r>
        <w:rPr>
          <w:rFonts w:asciiTheme="minorHAnsi" w:hAnsiTheme="minorHAnsi"/>
          <w:sz w:val="22"/>
          <w:szCs w:val="22"/>
        </w:rPr>
        <w:t>circa</w:t>
      </w:r>
      <w:r w:rsidRPr="002915CF">
        <w:rPr>
          <w:rFonts w:asciiTheme="minorHAnsi" w:hAnsiTheme="minorHAnsi"/>
          <w:sz w:val="22"/>
          <w:szCs w:val="22"/>
        </w:rPr>
        <w:t xml:space="preserve"> 9</w:t>
      </w:r>
      <w:r>
        <w:rPr>
          <w:rFonts w:asciiTheme="minorHAnsi" w:hAnsiTheme="minorHAnsi"/>
          <w:sz w:val="22"/>
          <w:szCs w:val="22"/>
        </w:rPr>
        <w:t>6</w:t>
      </w:r>
      <w:r w:rsidRPr="002915CF">
        <w:rPr>
          <w:rFonts w:asciiTheme="minorHAnsi" w:hAnsiTheme="minorHAnsi"/>
          <w:sz w:val="22"/>
          <w:szCs w:val="22"/>
        </w:rPr>
        <w:t xml:space="preserve">% reduction of </w:t>
      </w:r>
      <w:r>
        <w:rPr>
          <w:rFonts w:asciiTheme="minorHAnsi" w:hAnsiTheme="minorHAnsi"/>
          <w:sz w:val="22"/>
          <w:szCs w:val="22"/>
        </w:rPr>
        <w:t xml:space="preserve">all term, and 99.7% of  benchmark term, OTC </w:t>
      </w:r>
      <w:r w:rsidRPr="002915CF">
        <w:rPr>
          <w:rFonts w:asciiTheme="minorHAnsi" w:hAnsiTheme="minorHAnsi"/>
          <w:sz w:val="22"/>
          <w:szCs w:val="22"/>
        </w:rPr>
        <w:t xml:space="preserve">ISINs created for fixed-float </w:t>
      </w:r>
      <w:r>
        <w:rPr>
          <w:rFonts w:asciiTheme="minorHAnsi" w:hAnsiTheme="minorHAnsi"/>
          <w:sz w:val="22"/>
          <w:szCs w:val="22"/>
        </w:rPr>
        <w:t>IRS</w:t>
      </w:r>
      <w:r w:rsidRPr="002915CF">
        <w:rPr>
          <w:rFonts w:asciiTheme="minorHAnsi" w:hAnsiTheme="minorHAnsi"/>
          <w:sz w:val="22"/>
          <w:szCs w:val="22"/>
        </w:rPr>
        <w:t xml:space="preserve">. </w:t>
      </w:r>
      <w:r>
        <w:rPr>
          <w:rFonts w:asciiTheme="minorHAnsi" w:hAnsiTheme="minorHAnsi"/>
          <w:sz w:val="22"/>
          <w:szCs w:val="22"/>
        </w:rPr>
        <w:t xml:space="preserve">The removal of the daily redundant OTC ISINs for IRS would reduce the burden for firms whilst still ensuring that meaningful  data for this use case was not compromised. </w:t>
      </w:r>
    </w:p>
    <w:p w14:paraId="2B036019" w14:textId="77777777" w:rsidR="00EC7C3B" w:rsidRDefault="00EC7C3B" w:rsidP="00EC7C3B">
      <w:pPr>
        <w:rPr>
          <w:rFonts w:asciiTheme="minorHAnsi" w:hAnsiTheme="minorHAnsi"/>
          <w:sz w:val="22"/>
          <w:szCs w:val="22"/>
        </w:rPr>
      </w:pPr>
    </w:p>
    <w:p w14:paraId="3B8A599A" w14:textId="77777777" w:rsidR="00EC7C3B" w:rsidRPr="002915CF" w:rsidRDefault="00EC7C3B" w:rsidP="00EC7C3B">
      <w:pPr>
        <w:rPr>
          <w:rFonts w:asciiTheme="minorHAnsi" w:hAnsiTheme="minorHAnsi"/>
          <w:sz w:val="22"/>
          <w:szCs w:val="22"/>
        </w:rPr>
      </w:pPr>
      <w:r>
        <w:rPr>
          <w:rFonts w:asciiTheme="minorHAnsi" w:hAnsiTheme="minorHAnsi"/>
          <w:sz w:val="22"/>
          <w:szCs w:val="22"/>
        </w:rPr>
        <w:t xml:space="preserve">The DSB notes that whilst using the </w:t>
      </w:r>
      <w:r w:rsidRPr="002915CF">
        <w:rPr>
          <w:rFonts w:asciiTheme="minorHAnsi" w:hAnsiTheme="minorHAnsi"/>
          <w:sz w:val="22"/>
          <w:szCs w:val="22"/>
        </w:rPr>
        <w:t xml:space="preserve">UPI would reduce the number of identifiers </w:t>
      </w:r>
      <w:r>
        <w:rPr>
          <w:rFonts w:asciiTheme="minorHAnsi" w:hAnsiTheme="minorHAnsi"/>
          <w:sz w:val="22"/>
          <w:szCs w:val="22"/>
        </w:rPr>
        <w:t>for IRS f</w:t>
      </w:r>
      <w:r w:rsidRPr="002915CF">
        <w:rPr>
          <w:rFonts w:asciiTheme="minorHAnsi" w:hAnsiTheme="minorHAnsi"/>
          <w:sz w:val="22"/>
          <w:szCs w:val="22"/>
        </w:rPr>
        <w:t>urther</w:t>
      </w:r>
      <w:r>
        <w:rPr>
          <w:rFonts w:asciiTheme="minorHAnsi" w:hAnsiTheme="minorHAnsi"/>
          <w:sz w:val="22"/>
          <w:szCs w:val="22"/>
        </w:rPr>
        <w:t xml:space="preserve"> (by circa 99.95% and 99.98% for all term and benchmark term respectively)</w:t>
      </w:r>
      <w:r w:rsidRPr="002915CF">
        <w:rPr>
          <w:rFonts w:asciiTheme="minorHAnsi" w:hAnsiTheme="minorHAnsi"/>
          <w:sz w:val="22"/>
          <w:szCs w:val="22"/>
        </w:rPr>
        <w:t xml:space="preserve">, this would remove </w:t>
      </w:r>
      <w:r>
        <w:rPr>
          <w:rFonts w:asciiTheme="minorHAnsi" w:hAnsiTheme="minorHAnsi"/>
          <w:sz w:val="22"/>
          <w:szCs w:val="22"/>
        </w:rPr>
        <w:t>key</w:t>
      </w:r>
      <w:r w:rsidRPr="002915CF">
        <w:rPr>
          <w:rFonts w:asciiTheme="minorHAnsi" w:hAnsiTheme="minorHAnsi"/>
          <w:sz w:val="22"/>
          <w:szCs w:val="22"/>
        </w:rPr>
        <w:t xml:space="preserve"> information</w:t>
      </w:r>
      <w:r>
        <w:rPr>
          <w:rFonts w:asciiTheme="minorHAnsi" w:hAnsiTheme="minorHAnsi"/>
          <w:sz w:val="22"/>
          <w:szCs w:val="22"/>
        </w:rPr>
        <w:t xml:space="preserve"> – in particular, the </w:t>
      </w:r>
      <w:r w:rsidRPr="002915CF">
        <w:rPr>
          <w:rFonts w:asciiTheme="minorHAnsi" w:hAnsiTheme="minorHAnsi"/>
          <w:sz w:val="22"/>
          <w:szCs w:val="22"/>
        </w:rPr>
        <w:t>contract term</w:t>
      </w:r>
      <w:r>
        <w:rPr>
          <w:rFonts w:asciiTheme="minorHAnsi" w:hAnsiTheme="minorHAnsi"/>
          <w:sz w:val="22"/>
          <w:szCs w:val="22"/>
        </w:rPr>
        <w:t xml:space="preserve"> –</w:t>
      </w:r>
      <w:r w:rsidRPr="002915CF">
        <w:rPr>
          <w:rFonts w:asciiTheme="minorHAnsi" w:hAnsiTheme="minorHAnsi"/>
          <w:sz w:val="22"/>
          <w:szCs w:val="22"/>
        </w:rPr>
        <w:t xml:space="preserve"> </w:t>
      </w:r>
      <w:r>
        <w:rPr>
          <w:rFonts w:asciiTheme="minorHAnsi" w:hAnsiTheme="minorHAnsi"/>
          <w:sz w:val="22"/>
          <w:szCs w:val="22"/>
        </w:rPr>
        <w:t>required for transaction reporting</w:t>
      </w:r>
      <w:r w:rsidRPr="002915CF">
        <w:rPr>
          <w:rFonts w:asciiTheme="minorHAnsi" w:hAnsiTheme="minorHAnsi"/>
          <w:sz w:val="22"/>
          <w:szCs w:val="22"/>
        </w:rPr>
        <w:t xml:space="preserve"> </w:t>
      </w:r>
      <w:r>
        <w:rPr>
          <w:rFonts w:asciiTheme="minorHAnsi" w:hAnsiTheme="minorHAnsi"/>
          <w:sz w:val="22"/>
          <w:szCs w:val="22"/>
        </w:rPr>
        <w:t>and</w:t>
      </w:r>
      <w:r w:rsidRPr="002915CF">
        <w:rPr>
          <w:rFonts w:asciiTheme="minorHAnsi" w:hAnsiTheme="minorHAnsi"/>
          <w:sz w:val="22"/>
          <w:szCs w:val="22"/>
        </w:rPr>
        <w:t xml:space="preserve"> </w:t>
      </w:r>
      <w:r>
        <w:rPr>
          <w:rFonts w:asciiTheme="minorHAnsi" w:hAnsiTheme="minorHAnsi"/>
          <w:sz w:val="22"/>
          <w:szCs w:val="22"/>
        </w:rPr>
        <w:t xml:space="preserve">additional </w:t>
      </w:r>
      <w:r w:rsidRPr="002915CF">
        <w:rPr>
          <w:rFonts w:asciiTheme="minorHAnsi" w:hAnsiTheme="minorHAnsi"/>
          <w:sz w:val="22"/>
          <w:szCs w:val="22"/>
        </w:rPr>
        <w:t>data fields w</w:t>
      </w:r>
      <w:r>
        <w:rPr>
          <w:rFonts w:asciiTheme="minorHAnsi" w:hAnsiTheme="minorHAnsi"/>
          <w:sz w:val="22"/>
          <w:szCs w:val="22"/>
        </w:rPr>
        <w:t>ould</w:t>
      </w:r>
      <w:r w:rsidRPr="002915CF">
        <w:rPr>
          <w:rFonts w:asciiTheme="minorHAnsi" w:hAnsiTheme="minorHAnsi"/>
          <w:sz w:val="22"/>
          <w:szCs w:val="22"/>
        </w:rPr>
        <w:t xml:space="preserve"> need to be reported </w:t>
      </w:r>
      <w:r>
        <w:rPr>
          <w:rFonts w:asciiTheme="minorHAnsi" w:hAnsiTheme="minorHAnsi"/>
          <w:sz w:val="22"/>
          <w:szCs w:val="22"/>
        </w:rPr>
        <w:t>with</w:t>
      </w:r>
      <w:r w:rsidRPr="002915CF">
        <w:rPr>
          <w:rFonts w:asciiTheme="minorHAnsi" w:hAnsiTheme="minorHAnsi"/>
          <w:sz w:val="22"/>
          <w:szCs w:val="22"/>
        </w:rPr>
        <w:t xml:space="preserve"> the UPI to </w:t>
      </w:r>
      <w:r>
        <w:rPr>
          <w:rFonts w:asciiTheme="minorHAnsi" w:hAnsiTheme="minorHAnsi"/>
          <w:sz w:val="22"/>
          <w:szCs w:val="22"/>
        </w:rPr>
        <w:t>provide meaningful transaction data.</w:t>
      </w:r>
      <w:r w:rsidRPr="002915CF">
        <w:rPr>
          <w:rFonts w:asciiTheme="minorHAnsi" w:hAnsiTheme="minorHAnsi"/>
          <w:sz w:val="22"/>
          <w:szCs w:val="22"/>
        </w:rPr>
        <w:t xml:space="preserve"> </w:t>
      </w:r>
      <w:r>
        <w:rPr>
          <w:rFonts w:asciiTheme="minorHAnsi" w:hAnsiTheme="minorHAnsi"/>
          <w:sz w:val="22"/>
          <w:szCs w:val="22"/>
        </w:rPr>
        <w:t>This approach would also</w:t>
      </w:r>
      <w:r w:rsidRPr="002915CF">
        <w:rPr>
          <w:rFonts w:asciiTheme="minorHAnsi" w:hAnsiTheme="minorHAnsi"/>
          <w:sz w:val="22"/>
          <w:szCs w:val="22"/>
        </w:rPr>
        <w:t xml:space="preserve"> increase the potential for errors</w:t>
      </w:r>
      <w:r>
        <w:rPr>
          <w:rFonts w:asciiTheme="minorHAnsi" w:hAnsiTheme="minorHAnsi"/>
          <w:sz w:val="22"/>
          <w:szCs w:val="22"/>
        </w:rPr>
        <w:t xml:space="preserve"> through the reporting of multiple data points</w:t>
      </w:r>
      <w:r w:rsidRPr="002915CF">
        <w:rPr>
          <w:rFonts w:asciiTheme="minorHAnsi" w:hAnsiTheme="minorHAnsi"/>
          <w:sz w:val="22"/>
          <w:szCs w:val="22"/>
        </w:rPr>
        <w:t xml:space="preserve">. </w:t>
      </w:r>
    </w:p>
    <w:p w14:paraId="459C3D77" w14:textId="77777777" w:rsidR="00EC7C3B" w:rsidRPr="002915CF" w:rsidRDefault="00EC7C3B" w:rsidP="00EC7C3B">
      <w:pPr>
        <w:rPr>
          <w:rFonts w:asciiTheme="minorHAnsi" w:hAnsiTheme="minorHAnsi"/>
          <w:sz w:val="22"/>
          <w:szCs w:val="22"/>
          <w:highlight w:val="yellow"/>
        </w:rPr>
      </w:pPr>
    </w:p>
    <w:p w14:paraId="15EED3E0" w14:textId="77777777" w:rsidR="00EC7C3B" w:rsidRDefault="00EC7C3B" w:rsidP="00EC7C3B">
      <w:pPr>
        <w:rPr>
          <w:rFonts w:asciiTheme="minorHAnsi" w:hAnsiTheme="minorHAnsi"/>
          <w:b/>
          <w:bCs/>
          <w:sz w:val="22"/>
          <w:szCs w:val="22"/>
        </w:rPr>
      </w:pPr>
    </w:p>
    <w:p w14:paraId="06430375" w14:textId="77777777" w:rsidR="00EC7C3B" w:rsidRPr="005E15A2" w:rsidRDefault="00EC7C3B" w:rsidP="00811CBF">
      <w:pPr>
        <w:pStyle w:val="ListParagraph"/>
        <w:numPr>
          <w:ilvl w:val="0"/>
          <w:numId w:val="41"/>
        </w:numPr>
        <w:rPr>
          <w:b/>
          <w:bCs/>
        </w:rPr>
      </w:pPr>
      <w:r w:rsidRPr="005E15A2">
        <w:rPr>
          <w:b/>
          <w:bCs/>
        </w:rPr>
        <w:t>Comparability of similar ETD and OTC instruments</w:t>
      </w:r>
    </w:p>
    <w:p w14:paraId="53E85321" w14:textId="77777777" w:rsidR="00EC7C3B" w:rsidRDefault="00EC7C3B" w:rsidP="00EC7C3B">
      <w:pPr>
        <w:rPr>
          <w:rFonts w:asciiTheme="minorHAnsi" w:hAnsiTheme="minorHAnsi"/>
          <w:b/>
          <w:bCs/>
          <w:sz w:val="22"/>
          <w:szCs w:val="22"/>
        </w:rPr>
      </w:pPr>
    </w:p>
    <w:p w14:paraId="12C0A956" w14:textId="2DEEF616" w:rsidR="00DC5EFC" w:rsidRDefault="00EC7C3B" w:rsidP="00EC7C3B">
      <w:pPr>
        <w:rPr>
          <w:rFonts w:asciiTheme="minorHAnsi" w:hAnsiTheme="minorHAnsi"/>
          <w:sz w:val="22"/>
          <w:szCs w:val="22"/>
        </w:rPr>
      </w:pPr>
      <w:r>
        <w:rPr>
          <w:rFonts w:asciiTheme="minorHAnsi" w:hAnsiTheme="minorHAnsi"/>
          <w:sz w:val="22"/>
          <w:szCs w:val="22"/>
        </w:rPr>
        <w:t xml:space="preserve">It may also be beneficial </w:t>
      </w:r>
      <w:r w:rsidRPr="002915CF">
        <w:rPr>
          <w:rFonts w:asciiTheme="minorHAnsi" w:hAnsiTheme="minorHAnsi"/>
          <w:sz w:val="22"/>
          <w:szCs w:val="22"/>
        </w:rPr>
        <w:t xml:space="preserve">to consider </w:t>
      </w:r>
      <w:r w:rsidR="00DC5EFC">
        <w:rPr>
          <w:rFonts w:asciiTheme="minorHAnsi" w:hAnsiTheme="minorHAnsi"/>
          <w:sz w:val="22"/>
          <w:szCs w:val="22"/>
        </w:rPr>
        <w:t>for</w:t>
      </w:r>
      <w:r w:rsidRPr="002915CF">
        <w:rPr>
          <w:rFonts w:asciiTheme="minorHAnsi" w:hAnsiTheme="minorHAnsi"/>
          <w:sz w:val="22"/>
          <w:szCs w:val="22"/>
        </w:rPr>
        <w:t xml:space="preserve"> instruments that are similar in risk and characteristics across both ETD and OTC derivatives</w:t>
      </w:r>
      <w:r w:rsidR="00DC5EFC">
        <w:rPr>
          <w:rFonts w:asciiTheme="minorHAnsi" w:hAnsiTheme="minorHAnsi"/>
          <w:sz w:val="22"/>
          <w:szCs w:val="22"/>
        </w:rPr>
        <w:t>, whether the identifiers used should</w:t>
      </w:r>
      <w:r w:rsidR="00DC5EFC" w:rsidRPr="00E00BCA">
        <w:rPr>
          <w:rFonts w:asciiTheme="minorHAnsi" w:hAnsiTheme="minorHAnsi"/>
          <w:sz w:val="22"/>
          <w:szCs w:val="22"/>
        </w:rPr>
        <w:t xml:space="preserve"> have similar data to make </w:t>
      </w:r>
      <w:r w:rsidR="00DC5EFC">
        <w:rPr>
          <w:rFonts w:asciiTheme="minorHAnsi" w:hAnsiTheme="minorHAnsi"/>
          <w:sz w:val="22"/>
          <w:szCs w:val="22"/>
        </w:rPr>
        <w:t xml:space="preserve">comparison </w:t>
      </w:r>
      <w:r w:rsidR="00DC5EFC" w:rsidRPr="00E00BCA">
        <w:rPr>
          <w:rFonts w:asciiTheme="minorHAnsi" w:hAnsiTheme="minorHAnsi"/>
          <w:sz w:val="22"/>
          <w:szCs w:val="22"/>
        </w:rPr>
        <w:t>easier.</w:t>
      </w:r>
    </w:p>
    <w:p w14:paraId="6952D6BA" w14:textId="77777777" w:rsidR="00EC7C3B" w:rsidRDefault="00EC7C3B" w:rsidP="00EC7C3B">
      <w:pPr>
        <w:rPr>
          <w:rFonts w:asciiTheme="minorHAnsi" w:hAnsiTheme="minorHAnsi"/>
          <w:sz w:val="22"/>
          <w:szCs w:val="22"/>
        </w:rPr>
      </w:pPr>
    </w:p>
    <w:p w14:paraId="2A0492E9" w14:textId="77777777" w:rsidR="00EC7C3B" w:rsidRPr="002915CF" w:rsidRDefault="00EC7C3B" w:rsidP="00EC7C3B">
      <w:pPr>
        <w:rPr>
          <w:rFonts w:asciiTheme="minorHAnsi" w:hAnsiTheme="minorHAnsi"/>
          <w:sz w:val="22"/>
          <w:szCs w:val="22"/>
        </w:rPr>
      </w:pPr>
      <w:r w:rsidRPr="002915CF">
        <w:rPr>
          <w:rFonts w:asciiTheme="minorHAnsi" w:hAnsiTheme="minorHAnsi"/>
          <w:sz w:val="22"/>
          <w:szCs w:val="22"/>
        </w:rPr>
        <w:t>The</w:t>
      </w:r>
      <w:r>
        <w:rPr>
          <w:rFonts w:asciiTheme="minorHAnsi" w:hAnsiTheme="minorHAnsi"/>
          <w:sz w:val="22"/>
          <w:szCs w:val="22"/>
        </w:rPr>
        <w:t xml:space="preserve"> DSB has provided </w:t>
      </w:r>
      <w:r w:rsidRPr="002915CF">
        <w:rPr>
          <w:rFonts w:asciiTheme="minorHAnsi" w:hAnsiTheme="minorHAnsi"/>
          <w:sz w:val="22"/>
          <w:szCs w:val="22"/>
        </w:rPr>
        <w:t xml:space="preserve">examples of similar </w:t>
      </w:r>
      <w:r>
        <w:rPr>
          <w:rFonts w:asciiTheme="minorHAnsi" w:hAnsiTheme="minorHAnsi"/>
          <w:sz w:val="22"/>
          <w:szCs w:val="22"/>
        </w:rPr>
        <w:t>derivatives</w:t>
      </w:r>
      <w:r w:rsidRPr="002915CF">
        <w:rPr>
          <w:rFonts w:asciiTheme="minorHAnsi" w:hAnsiTheme="minorHAnsi"/>
          <w:sz w:val="22"/>
          <w:szCs w:val="22"/>
        </w:rPr>
        <w:t xml:space="preserve"> traded ETD versus OTC and the respective data that is embedded within a given identifier (or implied within it from the </w:t>
      </w:r>
      <w:r>
        <w:rPr>
          <w:rFonts w:asciiTheme="minorHAnsi" w:hAnsiTheme="minorHAnsi"/>
          <w:sz w:val="22"/>
          <w:szCs w:val="22"/>
        </w:rPr>
        <w:t xml:space="preserve">related </w:t>
      </w:r>
      <w:r w:rsidRPr="002915CF">
        <w:rPr>
          <w:rFonts w:asciiTheme="minorHAnsi" w:hAnsiTheme="minorHAnsi"/>
          <w:sz w:val="22"/>
          <w:szCs w:val="22"/>
        </w:rPr>
        <w:t xml:space="preserve">identifier, CFI). </w:t>
      </w:r>
    </w:p>
    <w:p w14:paraId="0C84B95B" w14:textId="77777777" w:rsidR="00EC7C3B" w:rsidRPr="002915CF" w:rsidRDefault="00EC7C3B" w:rsidP="00EC7C3B">
      <w:pPr>
        <w:rPr>
          <w:rFonts w:asciiTheme="minorHAnsi" w:hAnsiTheme="minorHAnsi"/>
          <w:sz w:val="22"/>
          <w:szCs w:val="22"/>
        </w:rPr>
      </w:pPr>
    </w:p>
    <w:p w14:paraId="5AC7A130" w14:textId="77777777" w:rsidR="00EC7C3B" w:rsidRPr="002915CF" w:rsidRDefault="00EC7C3B" w:rsidP="00EC7C3B">
      <w:pPr>
        <w:rPr>
          <w:rFonts w:asciiTheme="minorHAnsi" w:hAnsiTheme="minorHAnsi"/>
          <w:sz w:val="22"/>
          <w:szCs w:val="22"/>
        </w:rPr>
      </w:pPr>
      <w:r w:rsidRPr="002915CF">
        <w:rPr>
          <w:rFonts w:asciiTheme="minorHAnsi" w:hAnsiTheme="minorHAnsi"/>
          <w:noProof/>
          <w:sz w:val="22"/>
          <w:szCs w:val="22"/>
        </w:rPr>
        <w:drawing>
          <wp:inline distT="0" distB="0" distL="0" distR="0" wp14:anchorId="48FD96B3" wp14:editId="438B3788">
            <wp:extent cx="4381500" cy="809625"/>
            <wp:effectExtent l="0" t="0" r="0" b="9525"/>
            <wp:docPr id="2726218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81500" cy="809625"/>
                    </a:xfrm>
                    <a:prstGeom prst="rect">
                      <a:avLst/>
                    </a:prstGeom>
                    <a:noFill/>
                    <a:ln>
                      <a:noFill/>
                    </a:ln>
                  </pic:spPr>
                </pic:pic>
              </a:graphicData>
            </a:graphic>
          </wp:inline>
        </w:drawing>
      </w:r>
    </w:p>
    <w:p w14:paraId="377F9311" w14:textId="77777777" w:rsidR="00EC7C3B" w:rsidRPr="002915CF" w:rsidRDefault="00EC7C3B" w:rsidP="00EC7C3B">
      <w:pPr>
        <w:rPr>
          <w:rFonts w:asciiTheme="minorHAnsi" w:hAnsiTheme="minorHAnsi"/>
          <w:sz w:val="22"/>
          <w:szCs w:val="22"/>
        </w:rPr>
      </w:pPr>
    </w:p>
    <w:p w14:paraId="3439CAD8" w14:textId="3CFD7B5B" w:rsidR="00EC7C3B" w:rsidRPr="002915CF" w:rsidRDefault="00EC7C3B" w:rsidP="00EC7C3B">
      <w:pPr>
        <w:rPr>
          <w:rFonts w:asciiTheme="minorHAnsi" w:hAnsiTheme="minorHAnsi"/>
          <w:b/>
          <w:bCs/>
          <w:sz w:val="22"/>
          <w:szCs w:val="22"/>
        </w:rPr>
      </w:pPr>
      <w:r w:rsidRPr="002915CF">
        <w:rPr>
          <w:rFonts w:asciiTheme="minorHAnsi" w:hAnsiTheme="minorHAnsi"/>
          <w:b/>
          <w:bCs/>
          <w:sz w:val="22"/>
          <w:szCs w:val="22"/>
        </w:rPr>
        <w:t xml:space="preserve">Table </w:t>
      </w:r>
      <w:r>
        <w:rPr>
          <w:rFonts w:asciiTheme="minorHAnsi" w:hAnsiTheme="minorHAnsi"/>
          <w:b/>
          <w:bCs/>
          <w:sz w:val="22"/>
          <w:szCs w:val="22"/>
        </w:rPr>
        <w:t>2A</w:t>
      </w:r>
      <w:r w:rsidRPr="002915CF">
        <w:rPr>
          <w:rFonts w:asciiTheme="minorHAnsi" w:hAnsiTheme="minorHAnsi"/>
          <w:b/>
          <w:bCs/>
          <w:sz w:val="22"/>
          <w:szCs w:val="22"/>
        </w:rPr>
        <w:t>: Equity Option on Single Name ETD versus OTC</w:t>
      </w:r>
    </w:p>
    <w:p w14:paraId="282787E1" w14:textId="77777777" w:rsidR="00EC7C3B" w:rsidRPr="002915CF" w:rsidRDefault="00EC7C3B" w:rsidP="00EC7C3B">
      <w:pPr>
        <w:rPr>
          <w:rFonts w:asciiTheme="minorHAnsi" w:hAnsiTheme="minorHAnsi"/>
          <w:sz w:val="22"/>
          <w:szCs w:val="22"/>
        </w:rPr>
      </w:pPr>
      <w:r w:rsidRPr="002915CF">
        <w:rPr>
          <w:rFonts w:asciiTheme="minorHAnsi" w:hAnsiTheme="minorHAnsi"/>
          <w:noProof/>
          <w:sz w:val="22"/>
          <w:szCs w:val="22"/>
        </w:rPr>
        <w:drawing>
          <wp:inline distT="0" distB="0" distL="0" distR="0" wp14:anchorId="4EDE2277" wp14:editId="3E969655">
            <wp:extent cx="4705350" cy="3496723"/>
            <wp:effectExtent l="0" t="0" r="0" b="8890"/>
            <wp:docPr id="16916140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748954" cy="3529127"/>
                    </a:xfrm>
                    <a:prstGeom prst="rect">
                      <a:avLst/>
                    </a:prstGeom>
                    <a:noFill/>
                    <a:ln>
                      <a:noFill/>
                    </a:ln>
                  </pic:spPr>
                </pic:pic>
              </a:graphicData>
            </a:graphic>
          </wp:inline>
        </w:drawing>
      </w:r>
    </w:p>
    <w:p w14:paraId="0F947A30" w14:textId="77777777" w:rsidR="00EC7C3B" w:rsidRPr="002915CF" w:rsidRDefault="00EC7C3B" w:rsidP="00EC7C3B">
      <w:pPr>
        <w:rPr>
          <w:rFonts w:asciiTheme="minorHAnsi" w:hAnsiTheme="minorHAnsi"/>
          <w:sz w:val="22"/>
          <w:szCs w:val="22"/>
        </w:rPr>
      </w:pPr>
    </w:p>
    <w:p w14:paraId="4E2046CC" w14:textId="77777777" w:rsidR="00EC7C3B" w:rsidRDefault="00EC7C3B" w:rsidP="00EC7C3B">
      <w:pPr>
        <w:rPr>
          <w:rFonts w:asciiTheme="minorHAnsi" w:hAnsiTheme="minorHAnsi"/>
          <w:sz w:val="22"/>
          <w:szCs w:val="22"/>
        </w:rPr>
      </w:pPr>
    </w:p>
    <w:p w14:paraId="4748E543" w14:textId="77777777" w:rsidR="00EC7C3B" w:rsidRDefault="00EC7C3B" w:rsidP="00EC7C3B">
      <w:pPr>
        <w:rPr>
          <w:rFonts w:asciiTheme="minorHAnsi" w:hAnsiTheme="minorHAnsi"/>
          <w:sz w:val="22"/>
          <w:szCs w:val="22"/>
        </w:rPr>
      </w:pPr>
    </w:p>
    <w:p w14:paraId="52901D6C" w14:textId="77777777" w:rsidR="00EC7C3B" w:rsidRDefault="00EC7C3B" w:rsidP="00EC7C3B">
      <w:pPr>
        <w:rPr>
          <w:rFonts w:asciiTheme="minorHAnsi" w:hAnsiTheme="minorHAnsi"/>
          <w:sz w:val="22"/>
          <w:szCs w:val="22"/>
        </w:rPr>
      </w:pPr>
    </w:p>
    <w:p w14:paraId="40B461A6" w14:textId="77777777" w:rsidR="000D1E71" w:rsidRDefault="000D1E71" w:rsidP="00EC7C3B">
      <w:pPr>
        <w:rPr>
          <w:rFonts w:asciiTheme="minorHAnsi" w:hAnsiTheme="minorHAnsi"/>
          <w:sz w:val="22"/>
          <w:szCs w:val="22"/>
        </w:rPr>
      </w:pPr>
    </w:p>
    <w:p w14:paraId="67167557" w14:textId="77777777" w:rsidR="000D1E71" w:rsidRDefault="000D1E71" w:rsidP="00EC7C3B">
      <w:pPr>
        <w:rPr>
          <w:rFonts w:asciiTheme="minorHAnsi" w:hAnsiTheme="minorHAnsi"/>
          <w:sz w:val="22"/>
          <w:szCs w:val="22"/>
        </w:rPr>
      </w:pPr>
    </w:p>
    <w:p w14:paraId="1CC12980" w14:textId="77777777" w:rsidR="000D1E71" w:rsidRDefault="000D1E71" w:rsidP="00EC7C3B">
      <w:pPr>
        <w:rPr>
          <w:rFonts w:asciiTheme="minorHAnsi" w:hAnsiTheme="minorHAnsi"/>
          <w:sz w:val="22"/>
          <w:szCs w:val="22"/>
        </w:rPr>
      </w:pPr>
    </w:p>
    <w:p w14:paraId="7948DD66" w14:textId="77777777" w:rsidR="000D1E71" w:rsidRDefault="000D1E71" w:rsidP="00EC7C3B">
      <w:pPr>
        <w:rPr>
          <w:rFonts w:asciiTheme="minorHAnsi" w:hAnsiTheme="minorHAnsi"/>
          <w:sz w:val="22"/>
          <w:szCs w:val="22"/>
        </w:rPr>
      </w:pPr>
    </w:p>
    <w:p w14:paraId="106C35E6" w14:textId="77777777" w:rsidR="000D1E71" w:rsidRDefault="000D1E71" w:rsidP="00EC7C3B">
      <w:pPr>
        <w:rPr>
          <w:rFonts w:asciiTheme="minorHAnsi" w:hAnsiTheme="minorHAnsi"/>
          <w:sz w:val="22"/>
          <w:szCs w:val="22"/>
        </w:rPr>
      </w:pPr>
    </w:p>
    <w:p w14:paraId="7DC58927" w14:textId="77777777" w:rsidR="00EC7C3B" w:rsidRPr="002915CF" w:rsidRDefault="00EC7C3B" w:rsidP="00EC7C3B">
      <w:pPr>
        <w:rPr>
          <w:rFonts w:asciiTheme="minorHAnsi" w:hAnsiTheme="minorHAnsi"/>
          <w:sz w:val="22"/>
          <w:szCs w:val="22"/>
        </w:rPr>
      </w:pPr>
    </w:p>
    <w:p w14:paraId="1E2BA3F7" w14:textId="77777777" w:rsidR="00EC7C3B" w:rsidRPr="002915CF" w:rsidRDefault="00EC7C3B" w:rsidP="00EC7C3B">
      <w:pPr>
        <w:rPr>
          <w:rFonts w:asciiTheme="minorHAnsi" w:hAnsiTheme="minorHAnsi"/>
          <w:b/>
          <w:bCs/>
          <w:sz w:val="22"/>
          <w:szCs w:val="22"/>
        </w:rPr>
      </w:pPr>
      <w:r w:rsidRPr="002915CF">
        <w:rPr>
          <w:rFonts w:asciiTheme="minorHAnsi" w:hAnsiTheme="minorHAnsi"/>
          <w:b/>
          <w:bCs/>
          <w:sz w:val="22"/>
          <w:szCs w:val="22"/>
        </w:rPr>
        <w:t xml:space="preserve">Table </w:t>
      </w:r>
      <w:r>
        <w:rPr>
          <w:rFonts w:asciiTheme="minorHAnsi" w:hAnsiTheme="minorHAnsi"/>
          <w:b/>
          <w:bCs/>
          <w:sz w:val="22"/>
          <w:szCs w:val="22"/>
        </w:rPr>
        <w:t>2B</w:t>
      </w:r>
      <w:r w:rsidRPr="002915CF">
        <w:rPr>
          <w:rFonts w:asciiTheme="minorHAnsi" w:hAnsiTheme="minorHAnsi"/>
          <w:b/>
          <w:bCs/>
          <w:sz w:val="22"/>
          <w:szCs w:val="22"/>
        </w:rPr>
        <w:t>: Equity Option on Index ETD versus OTC</w:t>
      </w:r>
    </w:p>
    <w:p w14:paraId="0B3E0BE2" w14:textId="77777777" w:rsidR="00EC7C3B" w:rsidRPr="002915CF" w:rsidRDefault="00EC7C3B" w:rsidP="00EC7C3B">
      <w:pPr>
        <w:rPr>
          <w:rFonts w:asciiTheme="minorHAnsi" w:hAnsiTheme="minorHAnsi"/>
          <w:sz w:val="22"/>
          <w:szCs w:val="22"/>
        </w:rPr>
      </w:pPr>
      <w:r w:rsidRPr="002915CF">
        <w:rPr>
          <w:rFonts w:asciiTheme="minorHAnsi" w:hAnsiTheme="minorHAnsi"/>
          <w:noProof/>
          <w:sz w:val="22"/>
          <w:szCs w:val="22"/>
        </w:rPr>
        <w:drawing>
          <wp:inline distT="0" distB="0" distL="0" distR="0" wp14:anchorId="4BBD7434" wp14:editId="3E1FCD4D">
            <wp:extent cx="4800600" cy="3320123"/>
            <wp:effectExtent l="0" t="0" r="0" b="0"/>
            <wp:docPr id="6318919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806176" cy="3323979"/>
                    </a:xfrm>
                    <a:prstGeom prst="rect">
                      <a:avLst/>
                    </a:prstGeom>
                    <a:noFill/>
                    <a:ln>
                      <a:noFill/>
                    </a:ln>
                  </pic:spPr>
                </pic:pic>
              </a:graphicData>
            </a:graphic>
          </wp:inline>
        </w:drawing>
      </w:r>
    </w:p>
    <w:p w14:paraId="665A85B6" w14:textId="77777777" w:rsidR="00EC7C3B" w:rsidRDefault="00EC7C3B" w:rsidP="00EC7C3B">
      <w:pPr>
        <w:rPr>
          <w:rFonts w:asciiTheme="minorHAnsi" w:hAnsiTheme="minorHAnsi"/>
          <w:sz w:val="22"/>
          <w:szCs w:val="22"/>
        </w:rPr>
      </w:pPr>
    </w:p>
    <w:p w14:paraId="5404F757" w14:textId="77777777" w:rsidR="009A78F1" w:rsidRDefault="009A78F1" w:rsidP="00EC7C3B">
      <w:pPr>
        <w:rPr>
          <w:rFonts w:asciiTheme="minorHAnsi" w:hAnsiTheme="minorHAnsi"/>
          <w:sz w:val="22"/>
          <w:szCs w:val="22"/>
        </w:rPr>
      </w:pPr>
    </w:p>
    <w:p w14:paraId="3A637FF4" w14:textId="77777777" w:rsidR="009A78F1" w:rsidRDefault="009A78F1" w:rsidP="00EC7C3B">
      <w:pPr>
        <w:rPr>
          <w:rFonts w:asciiTheme="minorHAnsi" w:hAnsiTheme="minorHAnsi"/>
          <w:sz w:val="22"/>
          <w:szCs w:val="22"/>
        </w:rPr>
      </w:pPr>
    </w:p>
    <w:p w14:paraId="5CCDBA97" w14:textId="77777777" w:rsidR="009A78F1" w:rsidRDefault="009A78F1" w:rsidP="00EC7C3B">
      <w:pPr>
        <w:rPr>
          <w:rFonts w:asciiTheme="minorHAnsi" w:hAnsiTheme="minorHAnsi"/>
          <w:sz w:val="22"/>
          <w:szCs w:val="22"/>
        </w:rPr>
      </w:pPr>
    </w:p>
    <w:p w14:paraId="446C92E4" w14:textId="77777777" w:rsidR="009A78F1" w:rsidRPr="002915CF" w:rsidRDefault="009A78F1" w:rsidP="00EC7C3B">
      <w:pPr>
        <w:rPr>
          <w:rFonts w:asciiTheme="minorHAnsi" w:hAnsiTheme="minorHAnsi"/>
          <w:sz w:val="22"/>
          <w:szCs w:val="22"/>
        </w:rPr>
      </w:pPr>
    </w:p>
    <w:p w14:paraId="39C88231" w14:textId="77777777" w:rsidR="00EC7C3B" w:rsidRPr="002915CF" w:rsidRDefault="00EC7C3B" w:rsidP="00EC7C3B">
      <w:pPr>
        <w:rPr>
          <w:rFonts w:asciiTheme="minorHAnsi" w:hAnsiTheme="minorHAnsi"/>
          <w:b/>
          <w:bCs/>
          <w:sz w:val="22"/>
          <w:szCs w:val="22"/>
        </w:rPr>
      </w:pPr>
      <w:r w:rsidRPr="002915CF">
        <w:rPr>
          <w:rFonts w:asciiTheme="minorHAnsi" w:hAnsiTheme="minorHAnsi"/>
          <w:b/>
          <w:bCs/>
          <w:sz w:val="22"/>
          <w:szCs w:val="22"/>
        </w:rPr>
        <w:t xml:space="preserve">Table </w:t>
      </w:r>
      <w:r>
        <w:rPr>
          <w:rFonts w:asciiTheme="minorHAnsi" w:hAnsiTheme="minorHAnsi"/>
          <w:b/>
          <w:bCs/>
          <w:sz w:val="22"/>
          <w:szCs w:val="22"/>
        </w:rPr>
        <w:t>2C</w:t>
      </w:r>
      <w:r w:rsidRPr="002915CF">
        <w:rPr>
          <w:rFonts w:asciiTheme="minorHAnsi" w:hAnsiTheme="minorHAnsi"/>
          <w:b/>
          <w:bCs/>
          <w:sz w:val="22"/>
          <w:szCs w:val="22"/>
        </w:rPr>
        <w:t>: ETD Bond Futures vs OTC Bond Forward</w:t>
      </w:r>
    </w:p>
    <w:p w14:paraId="5C375AEE" w14:textId="77777777" w:rsidR="00EC7C3B" w:rsidRPr="002915CF" w:rsidRDefault="00EC7C3B" w:rsidP="00EC7C3B">
      <w:pPr>
        <w:rPr>
          <w:rFonts w:asciiTheme="minorHAnsi" w:hAnsiTheme="minorHAnsi"/>
          <w:sz w:val="22"/>
          <w:szCs w:val="22"/>
        </w:rPr>
      </w:pPr>
      <w:r w:rsidRPr="002915CF">
        <w:rPr>
          <w:rFonts w:asciiTheme="minorHAnsi" w:hAnsiTheme="minorHAnsi"/>
          <w:noProof/>
          <w:sz w:val="22"/>
          <w:szCs w:val="22"/>
        </w:rPr>
        <w:drawing>
          <wp:inline distT="0" distB="0" distL="0" distR="0" wp14:anchorId="6513D7B7" wp14:editId="7DFF39DD">
            <wp:extent cx="4810728" cy="2667000"/>
            <wp:effectExtent l="0" t="0" r="9525" b="0"/>
            <wp:docPr id="20048447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846263" cy="2686700"/>
                    </a:xfrm>
                    <a:prstGeom prst="rect">
                      <a:avLst/>
                    </a:prstGeom>
                    <a:noFill/>
                    <a:ln>
                      <a:noFill/>
                    </a:ln>
                  </pic:spPr>
                </pic:pic>
              </a:graphicData>
            </a:graphic>
          </wp:inline>
        </w:drawing>
      </w:r>
    </w:p>
    <w:p w14:paraId="52A84117" w14:textId="77777777" w:rsidR="00EC7C3B" w:rsidRDefault="00EC7C3B" w:rsidP="00EC7C3B">
      <w:pPr>
        <w:rPr>
          <w:rFonts w:asciiTheme="minorHAnsi" w:hAnsiTheme="minorHAnsi"/>
          <w:sz w:val="22"/>
          <w:szCs w:val="22"/>
        </w:rPr>
      </w:pPr>
    </w:p>
    <w:p w14:paraId="1BD5E706" w14:textId="77777777" w:rsidR="00EC7C3B" w:rsidRDefault="00EC7C3B" w:rsidP="00EC7C3B">
      <w:pPr>
        <w:rPr>
          <w:rFonts w:asciiTheme="minorHAnsi" w:hAnsiTheme="minorHAnsi"/>
          <w:sz w:val="22"/>
          <w:szCs w:val="22"/>
        </w:rPr>
      </w:pPr>
    </w:p>
    <w:p w14:paraId="780C9895" w14:textId="77777777" w:rsidR="00EC7C3B" w:rsidRDefault="00EC7C3B" w:rsidP="00EC7C3B">
      <w:pPr>
        <w:rPr>
          <w:rFonts w:asciiTheme="minorHAnsi" w:hAnsiTheme="minorHAnsi"/>
          <w:sz w:val="22"/>
          <w:szCs w:val="22"/>
        </w:rPr>
      </w:pPr>
    </w:p>
    <w:p w14:paraId="1646904E" w14:textId="77777777" w:rsidR="00EC7C3B" w:rsidRDefault="00EC7C3B" w:rsidP="00EC7C3B">
      <w:pPr>
        <w:rPr>
          <w:rFonts w:asciiTheme="minorHAnsi" w:hAnsiTheme="minorHAnsi"/>
          <w:sz w:val="22"/>
          <w:szCs w:val="22"/>
        </w:rPr>
      </w:pPr>
    </w:p>
    <w:p w14:paraId="6AC1500F" w14:textId="77777777" w:rsidR="00C850F0" w:rsidRDefault="00C850F0" w:rsidP="00EC7C3B">
      <w:pPr>
        <w:rPr>
          <w:rFonts w:asciiTheme="minorHAnsi" w:hAnsiTheme="minorHAnsi"/>
          <w:sz w:val="22"/>
          <w:szCs w:val="22"/>
        </w:rPr>
      </w:pPr>
    </w:p>
    <w:p w14:paraId="6B51FD50" w14:textId="77777777" w:rsidR="00C850F0" w:rsidRDefault="00C850F0" w:rsidP="00EC7C3B">
      <w:pPr>
        <w:rPr>
          <w:rFonts w:asciiTheme="minorHAnsi" w:hAnsiTheme="minorHAnsi"/>
          <w:sz w:val="22"/>
          <w:szCs w:val="22"/>
        </w:rPr>
      </w:pPr>
    </w:p>
    <w:p w14:paraId="366BB5D4" w14:textId="77777777" w:rsidR="00C850F0" w:rsidRDefault="00C850F0" w:rsidP="00EC7C3B">
      <w:pPr>
        <w:rPr>
          <w:rFonts w:asciiTheme="minorHAnsi" w:hAnsiTheme="minorHAnsi"/>
          <w:sz w:val="22"/>
          <w:szCs w:val="22"/>
        </w:rPr>
      </w:pPr>
    </w:p>
    <w:p w14:paraId="62A1D665" w14:textId="77777777" w:rsidR="00C850F0" w:rsidRDefault="00C850F0" w:rsidP="00EC7C3B">
      <w:pPr>
        <w:rPr>
          <w:rFonts w:asciiTheme="minorHAnsi" w:hAnsiTheme="minorHAnsi"/>
          <w:sz w:val="22"/>
          <w:szCs w:val="22"/>
        </w:rPr>
      </w:pPr>
    </w:p>
    <w:p w14:paraId="2C1AC3B3" w14:textId="77777777" w:rsidR="00EC7C3B" w:rsidRDefault="00EC7C3B" w:rsidP="00EC7C3B">
      <w:pPr>
        <w:rPr>
          <w:rFonts w:asciiTheme="minorHAnsi" w:hAnsiTheme="minorHAnsi"/>
          <w:sz w:val="22"/>
          <w:szCs w:val="22"/>
        </w:rPr>
      </w:pPr>
    </w:p>
    <w:p w14:paraId="44C6B84E" w14:textId="77777777" w:rsidR="00EC7C3B" w:rsidRPr="002915CF" w:rsidRDefault="00EC7C3B" w:rsidP="00EC7C3B">
      <w:pPr>
        <w:rPr>
          <w:rFonts w:asciiTheme="minorHAnsi" w:hAnsiTheme="minorHAnsi"/>
          <w:b/>
          <w:bCs/>
          <w:sz w:val="22"/>
          <w:szCs w:val="22"/>
        </w:rPr>
      </w:pPr>
      <w:r w:rsidRPr="002915CF">
        <w:rPr>
          <w:rFonts w:asciiTheme="minorHAnsi" w:hAnsiTheme="minorHAnsi"/>
          <w:b/>
          <w:bCs/>
          <w:sz w:val="22"/>
          <w:szCs w:val="22"/>
        </w:rPr>
        <w:t xml:space="preserve">Table </w:t>
      </w:r>
      <w:r>
        <w:rPr>
          <w:rFonts w:asciiTheme="minorHAnsi" w:hAnsiTheme="minorHAnsi"/>
          <w:b/>
          <w:bCs/>
          <w:sz w:val="22"/>
          <w:szCs w:val="22"/>
        </w:rPr>
        <w:t>2D</w:t>
      </w:r>
      <w:r w:rsidRPr="002915CF">
        <w:rPr>
          <w:rFonts w:asciiTheme="minorHAnsi" w:hAnsiTheme="minorHAnsi"/>
          <w:b/>
          <w:bCs/>
          <w:sz w:val="22"/>
          <w:szCs w:val="22"/>
        </w:rPr>
        <w:t xml:space="preserve">: ETD Equity Futures vs OTC Equity Forward </w:t>
      </w:r>
    </w:p>
    <w:p w14:paraId="1699512B" w14:textId="77777777" w:rsidR="00EC7C3B" w:rsidRPr="002915CF" w:rsidRDefault="00EC7C3B" w:rsidP="00EC7C3B">
      <w:pPr>
        <w:rPr>
          <w:rFonts w:asciiTheme="minorHAnsi" w:hAnsiTheme="minorHAnsi"/>
          <w:sz w:val="22"/>
          <w:szCs w:val="22"/>
        </w:rPr>
      </w:pPr>
      <w:r w:rsidRPr="002915CF">
        <w:rPr>
          <w:rFonts w:asciiTheme="minorHAnsi" w:hAnsiTheme="minorHAnsi"/>
          <w:noProof/>
          <w:sz w:val="22"/>
          <w:szCs w:val="22"/>
        </w:rPr>
        <w:drawing>
          <wp:inline distT="0" distB="0" distL="0" distR="0" wp14:anchorId="60EE5B9F" wp14:editId="333DBDE0">
            <wp:extent cx="4762500" cy="2612760"/>
            <wp:effectExtent l="0" t="0" r="0" b="0"/>
            <wp:docPr id="18029141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784670" cy="2624923"/>
                    </a:xfrm>
                    <a:prstGeom prst="rect">
                      <a:avLst/>
                    </a:prstGeom>
                    <a:noFill/>
                    <a:ln>
                      <a:noFill/>
                    </a:ln>
                  </pic:spPr>
                </pic:pic>
              </a:graphicData>
            </a:graphic>
          </wp:inline>
        </w:drawing>
      </w:r>
    </w:p>
    <w:p w14:paraId="12CBA761" w14:textId="77777777" w:rsidR="00EC7C3B" w:rsidRPr="002915CF" w:rsidRDefault="00EC7C3B" w:rsidP="00EC7C3B">
      <w:pPr>
        <w:rPr>
          <w:rFonts w:asciiTheme="minorHAnsi" w:hAnsiTheme="minorHAnsi"/>
          <w:sz w:val="22"/>
          <w:szCs w:val="22"/>
        </w:rPr>
      </w:pPr>
    </w:p>
    <w:p w14:paraId="29E0F607" w14:textId="77777777" w:rsidR="00EC7C3B" w:rsidRPr="002915CF" w:rsidRDefault="00EC7C3B" w:rsidP="00EC7C3B">
      <w:pPr>
        <w:rPr>
          <w:rFonts w:asciiTheme="minorHAnsi" w:hAnsiTheme="minorHAnsi"/>
          <w:sz w:val="22"/>
          <w:szCs w:val="22"/>
        </w:rPr>
      </w:pPr>
    </w:p>
    <w:p w14:paraId="364B3074" w14:textId="77777777" w:rsidR="00EC7C3B" w:rsidRPr="002915CF" w:rsidRDefault="00EC7C3B" w:rsidP="00EC7C3B">
      <w:pPr>
        <w:rPr>
          <w:rFonts w:asciiTheme="minorHAnsi" w:hAnsiTheme="minorHAnsi"/>
          <w:sz w:val="22"/>
          <w:szCs w:val="22"/>
        </w:rPr>
      </w:pPr>
      <w:r w:rsidRPr="002915CF">
        <w:rPr>
          <w:rFonts w:asciiTheme="minorHAnsi" w:hAnsiTheme="minorHAnsi"/>
          <w:sz w:val="22"/>
          <w:szCs w:val="22"/>
        </w:rPr>
        <w:t xml:space="preserve">In the examples provided above, the OTC ISIN </w:t>
      </w:r>
      <w:r>
        <w:rPr>
          <w:rFonts w:asciiTheme="minorHAnsi" w:hAnsiTheme="minorHAnsi"/>
          <w:sz w:val="22"/>
          <w:szCs w:val="22"/>
        </w:rPr>
        <w:t>comprises</w:t>
      </w:r>
      <w:r w:rsidRPr="002915CF">
        <w:rPr>
          <w:rFonts w:asciiTheme="minorHAnsi" w:hAnsiTheme="minorHAnsi"/>
          <w:sz w:val="22"/>
          <w:szCs w:val="22"/>
        </w:rPr>
        <w:t xml:space="preserve"> the same data </w:t>
      </w:r>
      <w:r>
        <w:rPr>
          <w:rFonts w:asciiTheme="minorHAnsi" w:hAnsiTheme="minorHAnsi"/>
          <w:sz w:val="22"/>
          <w:szCs w:val="22"/>
        </w:rPr>
        <w:t>attributes</w:t>
      </w:r>
      <w:r w:rsidRPr="002915CF">
        <w:rPr>
          <w:rFonts w:asciiTheme="minorHAnsi" w:hAnsiTheme="minorHAnsi"/>
          <w:sz w:val="22"/>
          <w:szCs w:val="22"/>
        </w:rPr>
        <w:t xml:space="preserve"> that </w:t>
      </w:r>
      <w:r>
        <w:rPr>
          <w:rFonts w:asciiTheme="minorHAnsi" w:hAnsiTheme="minorHAnsi"/>
          <w:sz w:val="22"/>
          <w:szCs w:val="22"/>
        </w:rPr>
        <w:t>are</w:t>
      </w:r>
      <w:r w:rsidRPr="002915CF">
        <w:rPr>
          <w:rFonts w:asciiTheme="minorHAnsi" w:hAnsiTheme="minorHAnsi"/>
          <w:sz w:val="22"/>
          <w:szCs w:val="22"/>
        </w:rPr>
        <w:t xml:space="preserve"> available within </w:t>
      </w:r>
      <w:r>
        <w:rPr>
          <w:rFonts w:asciiTheme="minorHAnsi" w:hAnsiTheme="minorHAnsi"/>
          <w:sz w:val="22"/>
          <w:szCs w:val="22"/>
        </w:rPr>
        <w:t>the ISIN for a</w:t>
      </w:r>
      <w:r w:rsidRPr="002915CF">
        <w:rPr>
          <w:rFonts w:asciiTheme="minorHAnsi" w:hAnsiTheme="minorHAnsi"/>
          <w:sz w:val="22"/>
          <w:szCs w:val="22"/>
        </w:rPr>
        <w:t xml:space="preserve"> similar ETD instrument. </w:t>
      </w:r>
    </w:p>
    <w:p w14:paraId="7D8E97AC" w14:textId="77777777" w:rsidR="00EC7C3B" w:rsidRPr="002915CF" w:rsidRDefault="00EC7C3B" w:rsidP="00EC7C3B">
      <w:pPr>
        <w:rPr>
          <w:rFonts w:asciiTheme="minorHAnsi" w:hAnsiTheme="minorHAnsi"/>
          <w:sz w:val="22"/>
          <w:szCs w:val="22"/>
        </w:rPr>
      </w:pPr>
    </w:p>
    <w:p w14:paraId="625D90E7" w14:textId="77777777" w:rsidR="00EC7C3B" w:rsidRDefault="00EC7C3B" w:rsidP="00EC7C3B">
      <w:pPr>
        <w:rPr>
          <w:rFonts w:asciiTheme="minorHAnsi" w:hAnsiTheme="minorHAnsi"/>
          <w:sz w:val="22"/>
          <w:szCs w:val="22"/>
        </w:rPr>
      </w:pPr>
      <w:r>
        <w:rPr>
          <w:rFonts w:asciiTheme="minorHAnsi" w:hAnsiTheme="minorHAnsi"/>
          <w:sz w:val="22"/>
          <w:szCs w:val="22"/>
        </w:rPr>
        <w:t>I</w:t>
      </w:r>
      <w:r w:rsidRPr="002915CF">
        <w:rPr>
          <w:rFonts w:asciiTheme="minorHAnsi" w:hAnsiTheme="minorHAnsi"/>
          <w:sz w:val="22"/>
          <w:szCs w:val="22"/>
        </w:rPr>
        <w:t xml:space="preserve">f </w:t>
      </w:r>
      <w:r>
        <w:rPr>
          <w:rFonts w:asciiTheme="minorHAnsi" w:hAnsiTheme="minorHAnsi"/>
          <w:sz w:val="22"/>
          <w:szCs w:val="22"/>
        </w:rPr>
        <w:t xml:space="preserve">the </w:t>
      </w:r>
      <w:r w:rsidRPr="002915CF">
        <w:rPr>
          <w:rFonts w:asciiTheme="minorHAnsi" w:hAnsiTheme="minorHAnsi"/>
          <w:sz w:val="22"/>
          <w:szCs w:val="22"/>
        </w:rPr>
        <w:t xml:space="preserve">UPI </w:t>
      </w:r>
      <w:r>
        <w:rPr>
          <w:rFonts w:asciiTheme="minorHAnsi" w:hAnsiTheme="minorHAnsi"/>
          <w:sz w:val="22"/>
          <w:szCs w:val="22"/>
        </w:rPr>
        <w:t>is</w:t>
      </w:r>
      <w:r w:rsidRPr="002915CF">
        <w:rPr>
          <w:rFonts w:asciiTheme="minorHAnsi" w:hAnsiTheme="minorHAnsi"/>
          <w:sz w:val="22"/>
          <w:szCs w:val="22"/>
        </w:rPr>
        <w:t xml:space="preserve"> used as the OTC derivative instrument identifier, </w:t>
      </w:r>
      <w:r>
        <w:rPr>
          <w:rFonts w:asciiTheme="minorHAnsi" w:hAnsiTheme="minorHAnsi"/>
          <w:sz w:val="22"/>
          <w:szCs w:val="22"/>
        </w:rPr>
        <w:t>additional information</w:t>
      </w:r>
      <w:r w:rsidRPr="002915CF">
        <w:rPr>
          <w:rFonts w:asciiTheme="minorHAnsi" w:hAnsiTheme="minorHAnsi"/>
          <w:sz w:val="22"/>
          <w:szCs w:val="22"/>
        </w:rPr>
        <w:t xml:space="preserve"> would need to be reported separately to ensure that authorities and industry have comparable information </w:t>
      </w:r>
      <w:r>
        <w:rPr>
          <w:rFonts w:asciiTheme="minorHAnsi" w:hAnsiTheme="minorHAnsi"/>
          <w:sz w:val="22"/>
          <w:szCs w:val="22"/>
        </w:rPr>
        <w:t>with</w:t>
      </w:r>
      <w:r w:rsidRPr="002915CF">
        <w:rPr>
          <w:rFonts w:asciiTheme="minorHAnsi" w:hAnsiTheme="minorHAnsi"/>
          <w:sz w:val="22"/>
          <w:szCs w:val="22"/>
        </w:rPr>
        <w:t xml:space="preserve"> similar ETD instrument</w:t>
      </w:r>
      <w:r>
        <w:rPr>
          <w:rFonts w:asciiTheme="minorHAnsi" w:hAnsiTheme="minorHAnsi"/>
          <w:sz w:val="22"/>
          <w:szCs w:val="22"/>
        </w:rPr>
        <w:t>s</w:t>
      </w:r>
      <w:r w:rsidRPr="002915CF">
        <w:rPr>
          <w:rFonts w:asciiTheme="minorHAnsi" w:hAnsiTheme="minorHAnsi"/>
          <w:sz w:val="22"/>
          <w:szCs w:val="22"/>
        </w:rPr>
        <w:t xml:space="preserve"> and </w:t>
      </w:r>
      <w:r>
        <w:rPr>
          <w:rFonts w:asciiTheme="minorHAnsi" w:hAnsiTheme="minorHAnsi"/>
          <w:sz w:val="22"/>
          <w:szCs w:val="22"/>
        </w:rPr>
        <w:t xml:space="preserve">to </w:t>
      </w:r>
      <w:r w:rsidRPr="002915CF">
        <w:rPr>
          <w:rFonts w:asciiTheme="minorHAnsi" w:hAnsiTheme="minorHAnsi"/>
          <w:sz w:val="22"/>
          <w:szCs w:val="22"/>
        </w:rPr>
        <w:t xml:space="preserve">ensure that their principle of 'Preserve information scope’ is maintained. </w:t>
      </w:r>
    </w:p>
    <w:p w14:paraId="3A8CCBA7" w14:textId="77777777" w:rsidR="00EC7C3B" w:rsidRDefault="00EC7C3B" w:rsidP="00EC7C3B">
      <w:pPr>
        <w:rPr>
          <w:rFonts w:asciiTheme="minorHAnsi" w:hAnsiTheme="minorHAnsi"/>
          <w:sz w:val="22"/>
          <w:szCs w:val="22"/>
        </w:rPr>
      </w:pPr>
    </w:p>
    <w:p w14:paraId="466DA86C" w14:textId="77777777" w:rsidR="00EC7C3B" w:rsidRDefault="00EC7C3B" w:rsidP="00EC7C3B">
      <w:pPr>
        <w:rPr>
          <w:rFonts w:asciiTheme="minorHAnsi" w:hAnsiTheme="minorHAnsi"/>
          <w:sz w:val="22"/>
          <w:szCs w:val="22"/>
        </w:rPr>
      </w:pPr>
    </w:p>
    <w:p w14:paraId="77E32081" w14:textId="77777777" w:rsidR="00EC7C3B" w:rsidRPr="002915CF" w:rsidRDefault="00EC7C3B" w:rsidP="00EC7C3B">
      <w:pPr>
        <w:rPr>
          <w:rFonts w:asciiTheme="minorHAnsi" w:hAnsiTheme="minorHAnsi"/>
          <w:b/>
          <w:bCs/>
          <w:sz w:val="22"/>
          <w:szCs w:val="22"/>
        </w:rPr>
      </w:pPr>
      <w:r w:rsidRPr="002915CF">
        <w:rPr>
          <w:rFonts w:asciiTheme="minorHAnsi" w:hAnsiTheme="minorHAnsi"/>
          <w:b/>
          <w:bCs/>
          <w:sz w:val="22"/>
          <w:szCs w:val="22"/>
        </w:rPr>
        <w:t>CONCLUSION</w:t>
      </w:r>
    </w:p>
    <w:p w14:paraId="5F62FCEE" w14:textId="63047092" w:rsidR="00EC7C3B" w:rsidRDefault="00EC7C3B" w:rsidP="00EC7C3B">
      <w:pPr>
        <w:rPr>
          <w:rFonts w:asciiTheme="minorHAnsi" w:hAnsiTheme="minorHAnsi"/>
          <w:sz w:val="22"/>
          <w:szCs w:val="22"/>
        </w:rPr>
      </w:pPr>
      <w:r>
        <w:rPr>
          <w:rFonts w:asciiTheme="minorHAnsi" w:hAnsiTheme="minorHAnsi"/>
          <w:sz w:val="22"/>
          <w:szCs w:val="22"/>
        </w:rPr>
        <w:t xml:space="preserve">The DSB has prepared the above analysis with the intent that it assists ESMA in its decision-making as it takes forward the proposals set out in the </w:t>
      </w:r>
      <w:r w:rsidR="00B31688">
        <w:rPr>
          <w:rFonts w:asciiTheme="minorHAnsi" w:hAnsiTheme="minorHAnsi"/>
          <w:sz w:val="22"/>
          <w:szCs w:val="22"/>
        </w:rPr>
        <w:t>C</w:t>
      </w:r>
      <w:r>
        <w:rPr>
          <w:rFonts w:asciiTheme="minorHAnsi" w:hAnsiTheme="minorHAnsi"/>
          <w:sz w:val="22"/>
          <w:szCs w:val="22"/>
        </w:rPr>
        <w:t xml:space="preserve">all for </w:t>
      </w:r>
      <w:r w:rsidR="00B31688">
        <w:rPr>
          <w:rFonts w:asciiTheme="minorHAnsi" w:hAnsiTheme="minorHAnsi"/>
          <w:sz w:val="22"/>
          <w:szCs w:val="22"/>
        </w:rPr>
        <w:t>E</w:t>
      </w:r>
      <w:r>
        <w:rPr>
          <w:rFonts w:asciiTheme="minorHAnsi" w:hAnsiTheme="minorHAnsi"/>
          <w:sz w:val="22"/>
          <w:szCs w:val="22"/>
        </w:rPr>
        <w:t xml:space="preserve">vidence. In particular, the DSB has aimed to highlight key points for consideration with respect to addressing the concern on maintaining data quality in a move to single side reporting. </w:t>
      </w:r>
    </w:p>
    <w:p w14:paraId="738E3144" w14:textId="77777777" w:rsidR="00EC7C3B" w:rsidRPr="00882A5B" w:rsidRDefault="00EC7C3B" w:rsidP="00EC7C3B">
      <w:pPr>
        <w:rPr>
          <w:rFonts w:asciiTheme="minorHAnsi" w:hAnsiTheme="minorHAnsi"/>
          <w:sz w:val="22"/>
          <w:szCs w:val="22"/>
        </w:rPr>
      </w:pPr>
    </w:p>
    <w:p w14:paraId="3104F2BE" w14:textId="77777777" w:rsidR="00EC7C3B" w:rsidRPr="00882A5B" w:rsidRDefault="00EC7C3B" w:rsidP="00EC7C3B">
      <w:pPr>
        <w:jc w:val="both"/>
        <w:rPr>
          <w:rFonts w:asciiTheme="minorHAnsi" w:hAnsiTheme="minorHAnsi"/>
          <w:sz w:val="22"/>
          <w:szCs w:val="22"/>
        </w:rPr>
      </w:pPr>
      <w:r w:rsidRPr="00882A5B">
        <w:rPr>
          <w:rFonts w:asciiTheme="minorHAnsi" w:hAnsiTheme="minorHAnsi"/>
          <w:sz w:val="22"/>
          <w:szCs w:val="22"/>
        </w:rPr>
        <w:t xml:space="preserve">The DSB is ready and willing to provide further analysis should ESMA consider that useful for its deliberations. </w:t>
      </w:r>
    </w:p>
    <w:p w14:paraId="1F27D03C" w14:textId="1DCA6194" w:rsidR="00926BDA" w:rsidRPr="00EC7C3B" w:rsidRDefault="00926BDA" w:rsidP="00926BDA"/>
    <w:p w14:paraId="11398BC4" w14:textId="77777777" w:rsidR="002809E5" w:rsidRPr="00EC7C3B" w:rsidRDefault="002809E5" w:rsidP="00926BDA"/>
    <w:permEnd w:id="1034637762"/>
    <w:p w14:paraId="556C53A1" w14:textId="77777777" w:rsidR="00926BDA" w:rsidRDefault="00926BDA" w:rsidP="00926BDA">
      <w:r>
        <w:t>&lt;ESMA_QUESTION_CASR_5&gt;</w:t>
      </w:r>
    </w:p>
    <w:p w14:paraId="37D12C6B" w14:textId="77777777" w:rsidR="00926BDA" w:rsidRDefault="00926BDA" w:rsidP="00926BDA"/>
    <w:p w14:paraId="6EA1D20B" w14:textId="77777777" w:rsidR="00926BDA" w:rsidRDefault="00926BDA" w:rsidP="00926BDA">
      <w:pPr>
        <w:pStyle w:val="Questionstyle"/>
        <w:spacing w:before="120" w:after="120"/>
        <w:ind w:left="851" w:hanging="709"/>
      </w:pPr>
      <w:r>
        <w:t>What are the key advantages of option 1b and how do these benefits address the issues in section 3?</w:t>
      </w:r>
    </w:p>
    <w:p w14:paraId="5103F3A5" w14:textId="77777777" w:rsidR="00926BDA" w:rsidRDefault="00926BDA" w:rsidP="00926BDA">
      <w:r>
        <w:t>&lt;ESMA_QUESTION_CASR_6&gt;</w:t>
      </w:r>
    </w:p>
    <w:p w14:paraId="1FA6E054" w14:textId="77777777" w:rsidR="00926BDA" w:rsidRDefault="00926BDA" w:rsidP="00926BDA">
      <w:permStart w:id="276758894" w:edGrp="everyone"/>
      <w:r>
        <w:t>TYPE YOUR TEXT HERE</w:t>
      </w:r>
    </w:p>
    <w:permEnd w:id="276758894"/>
    <w:p w14:paraId="5FF8B2C2" w14:textId="77777777" w:rsidR="00926BDA" w:rsidRDefault="00926BDA" w:rsidP="00926BDA">
      <w:r>
        <w:lastRenderedPageBreak/>
        <w:t>&lt;ESMA_QUESTION_CASR_6&gt;</w:t>
      </w:r>
    </w:p>
    <w:p w14:paraId="62EE97D0" w14:textId="77777777" w:rsidR="00926BDA" w:rsidRDefault="00926BDA" w:rsidP="00926BDA"/>
    <w:p w14:paraId="7642F082" w14:textId="77777777" w:rsidR="00926BDA" w:rsidRDefault="00926BDA" w:rsidP="00926BDA">
      <w:pPr>
        <w:pStyle w:val="Questionstyle"/>
        <w:spacing w:before="120" w:after="120"/>
        <w:ind w:left="851" w:hanging="709"/>
      </w:pPr>
      <w:r>
        <w:t>What are the key limitations and potential risks of option 1b?</w:t>
      </w:r>
    </w:p>
    <w:p w14:paraId="0111A54A" w14:textId="77777777" w:rsidR="00926BDA" w:rsidRDefault="00926BDA" w:rsidP="00926BDA">
      <w:r>
        <w:t>&lt;ESMA_QUESTION_CASR_7&gt;</w:t>
      </w:r>
    </w:p>
    <w:p w14:paraId="1CFEB751" w14:textId="77777777" w:rsidR="00926BDA" w:rsidRDefault="00926BDA" w:rsidP="00926BDA">
      <w:permStart w:id="1327239170" w:edGrp="everyone"/>
      <w:r>
        <w:t>TYPE YOUR TEXT HERE</w:t>
      </w:r>
    </w:p>
    <w:permEnd w:id="1327239170"/>
    <w:p w14:paraId="72CB5113" w14:textId="77777777" w:rsidR="00926BDA" w:rsidRDefault="00926BDA" w:rsidP="00926BDA">
      <w:r>
        <w:t>&lt;ESMA_QUESTION_CASR_7&gt;</w:t>
      </w:r>
    </w:p>
    <w:p w14:paraId="7CF24983" w14:textId="77777777" w:rsidR="00926BDA" w:rsidRDefault="00926BDA" w:rsidP="00926BDA"/>
    <w:p w14:paraId="75FB15B5" w14:textId="77777777" w:rsidR="00926BDA" w:rsidRDefault="00926BDA" w:rsidP="00926BDA">
      <w:pPr>
        <w:pStyle w:val="Questionstyle"/>
        <w:spacing w:before="120" w:after="120"/>
        <w:ind w:left="851" w:hanging="709"/>
      </w:pPr>
      <w:r>
        <w:t>What components are missing or not adequately addressed in option 1b? Why are these elements important, and how might their inclusion change the evaluation or implementation of option 1b?</w:t>
      </w:r>
    </w:p>
    <w:p w14:paraId="3C7CA8FB" w14:textId="77777777" w:rsidR="00926BDA" w:rsidRDefault="00926BDA" w:rsidP="00926BDA">
      <w:r>
        <w:t>&lt;ESMA_QUESTION_CASR_8&gt;</w:t>
      </w:r>
    </w:p>
    <w:p w14:paraId="156B7223" w14:textId="77777777" w:rsidR="00926BDA" w:rsidRDefault="00926BDA" w:rsidP="00926BDA">
      <w:permStart w:id="275065348" w:edGrp="everyone"/>
      <w:r>
        <w:t>TYPE YOUR TEXT HERE</w:t>
      </w:r>
    </w:p>
    <w:permEnd w:id="275065348"/>
    <w:p w14:paraId="56067118" w14:textId="77777777" w:rsidR="00926BDA" w:rsidRDefault="00926BDA" w:rsidP="00926BDA">
      <w:r>
        <w:t>&lt;ESMA_QUESTION_CASR_8&gt;</w:t>
      </w:r>
    </w:p>
    <w:p w14:paraId="502D9164" w14:textId="77777777" w:rsidR="00926BDA" w:rsidRDefault="00926BDA" w:rsidP="00926BDA"/>
    <w:p w14:paraId="7F2F83D7" w14:textId="77777777" w:rsidR="00926BDA" w:rsidRDefault="00926BDA" w:rsidP="00926BDA">
      <w:pPr>
        <w:pStyle w:val="Questionstyle"/>
        <w:spacing w:before="120" w:after="120"/>
        <w:ind w:left="851" w:hanging="709"/>
      </w:pPr>
      <w:r>
        <w:t>What are the key advantages of option 2a and how do these benefits address the issues in section 3?</w:t>
      </w:r>
    </w:p>
    <w:p w14:paraId="5CE1B921" w14:textId="77777777" w:rsidR="00926BDA" w:rsidRDefault="00926BDA" w:rsidP="00926BDA">
      <w:r>
        <w:t>&lt;ESMA_QUESTION_CASR_9&gt;</w:t>
      </w:r>
    </w:p>
    <w:p w14:paraId="5A8801BA" w14:textId="77777777" w:rsidR="00926BDA" w:rsidRDefault="00926BDA" w:rsidP="00926BDA">
      <w:permStart w:id="1249454344" w:edGrp="everyone"/>
      <w:r>
        <w:t>TYPE YOUR TEXT HERE</w:t>
      </w:r>
    </w:p>
    <w:permEnd w:id="1249454344"/>
    <w:p w14:paraId="2EB71523" w14:textId="77777777" w:rsidR="00926BDA" w:rsidRDefault="00926BDA" w:rsidP="00926BDA">
      <w:r>
        <w:t>&lt;ESMA_QUESTION_CASR_9&gt;</w:t>
      </w:r>
    </w:p>
    <w:p w14:paraId="40B2AE04" w14:textId="77777777" w:rsidR="00926BDA" w:rsidRDefault="00926BDA" w:rsidP="00926BDA"/>
    <w:p w14:paraId="21CAA22D" w14:textId="77777777" w:rsidR="00926BDA" w:rsidRDefault="00926BDA" w:rsidP="00926BDA">
      <w:pPr>
        <w:pStyle w:val="Questionstyle"/>
        <w:spacing w:before="120" w:after="120"/>
        <w:ind w:left="851" w:hanging="709"/>
      </w:pPr>
      <w:r>
        <w:t>What are the key limitations and potential risks of option 2a?</w:t>
      </w:r>
    </w:p>
    <w:p w14:paraId="75BC6033" w14:textId="77777777" w:rsidR="00926BDA" w:rsidRDefault="00926BDA" w:rsidP="00926BDA">
      <w:r>
        <w:t>&lt;ESMA_QUESTION_CASR_10&gt;</w:t>
      </w:r>
    </w:p>
    <w:p w14:paraId="56C38C26" w14:textId="77777777" w:rsidR="00926BDA" w:rsidRDefault="00926BDA" w:rsidP="00926BDA">
      <w:permStart w:id="199837036" w:edGrp="everyone"/>
      <w:r>
        <w:t>TYPE YOUR TEXT HERE</w:t>
      </w:r>
    </w:p>
    <w:permEnd w:id="199837036"/>
    <w:p w14:paraId="26E45EF4" w14:textId="77777777" w:rsidR="00926BDA" w:rsidRDefault="00926BDA" w:rsidP="00926BDA">
      <w:r>
        <w:t>&lt;ESMA_QUESTION_CASR_10&gt;</w:t>
      </w:r>
    </w:p>
    <w:p w14:paraId="221B859E" w14:textId="77777777" w:rsidR="00926BDA" w:rsidRDefault="00926BDA" w:rsidP="00926BDA"/>
    <w:p w14:paraId="14E1C31C" w14:textId="77777777" w:rsidR="00926BDA" w:rsidRDefault="00926BDA" w:rsidP="00926BDA">
      <w:pPr>
        <w:pStyle w:val="Questionstyle"/>
        <w:spacing w:before="120" w:after="120"/>
        <w:ind w:left="851" w:hanging="709"/>
      </w:pPr>
      <w:r w:rsidRPr="00CF1984">
        <w:t xml:space="preserve">What components are missing or not adequately addressed in option 2a? Why are these elements important, and how might their inclusion change the evaluation or implementation of option 2a? </w:t>
      </w:r>
    </w:p>
    <w:p w14:paraId="3406D24E" w14:textId="77777777" w:rsidR="00926BDA" w:rsidRDefault="00926BDA" w:rsidP="00926BDA">
      <w:r>
        <w:t>&lt;ESMA_QUESTION_CASR_11&gt;</w:t>
      </w:r>
    </w:p>
    <w:p w14:paraId="04BEB89B" w14:textId="77777777" w:rsidR="00926BDA" w:rsidRDefault="00926BDA" w:rsidP="00926BDA">
      <w:permStart w:id="2123508368" w:edGrp="everyone"/>
      <w:r>
        <w:t>TYPE YOUR TEXT HERE</w:t>
      </w:r>
    </w:p>
    <w:permEnd w:id="2123508368"/>
    <w:p w14:paraId="23BCC39D" w14:textId="77777777" w:rsidR="00926BDA" w:rsidRDefault="00926BDA" w:rsidP="00926BDA">
      <w:r>
        <w:t>&lt;ESMA_QUESTION_CASR_11&gt;</w:t>
      </w:r>
    </w:p>
    <w:p w14:paraId="1BA92572" w14:textId="77777777" w:rsidR="00926BDA" w:rsidRDefault="00926BDA" w:rsidP="00926BDA"/>
    <w:p w14:paraId="430E3DDC" w14:textId="77777777" w:rsidR="00926BDA" w:rsidRDefault="00926BDA" w:rsidP="00926BDA">
      <w:pPr>
        <w:pStyle w:val="Questionstyle"/>
        <w:spacing w:before="120" w:after="120"/>
        <w:ind w:left="851" w:hanging="709"/>
      </w:pPr>
      <w:r>
        <w:t>What are the key advantages of option 2b and how do these benefits address the issues in section 3? What regimes should be included in such an option beyond EMIR, MiFIR and SFTR?</w:t>
      </w:r>
    </w:p>
    <w:p w14:paraId="14680AA6" w14:textId="77777777" w:rsidR="00926BDA" w:rsidRDefault="00926BDA" w:rsidP="00926BDA">
      <w:r>
        <w:t>&lt;ESMA_QUESTION_CASR_12&gt;</w:t>
      </w:r>
    </w:p>
    <w:p w14:paraId="766D4117" w14:textId="77777777" w:rsidR="00926BDA" w:rsidRDefault="00926BDA" w:rsidP="00926BDA">
      <w:permStart w:id="16780711" w:edGrp="everyone"/>
      <w:r>
        <w:t>TYPE YOUR TEXT HERE</w:t>
      </w:r>
    </w:p>
    <w:permEnd w:id="16780711"/>
    <w:p w14:paraId="586717CC" w14:textId="77777777" w:rsidR="00926BDA" w:rsidRDefault="00926BDA" w:rsidP="00926BDA">
      <w:r>
        <w:t>&lt;ESMA_QUESTION_CASR_12&gt;</w:t>
      </w:r>
    </w:p>
    <w:p w14:paraId="0608E479" w14:textId="77777777" w:rsidR="00926BDA" w:rsidRDefault="00926BDA" w:rsidP="00926BDA"/>
    <w:p w14:paraId="1E31B6FF" w14:textId="77777777" w:rsidR="00926BDA" w:rsidRDefault="00926BDA" w:rsidP="00926BDA">
      <w:pPr>
        <w:pStyle w:val="Questionstyle"/>
        <w:spacing w:before="120" w:after="120"/>
        <w:ind w:left="851" w:hanging="709"/>
      </w:pPr>
      <w:r>
        <w:t>What are the key limitations and potential risks of option 2b?</w:t>
      </w:r>
    </w:p>
    <w:p w14:paraId="74462196" w14:textId="77777777" w:rsidR="00926BDA" w:rsidRDefault="00926BDA" w:rsidP="00926BDA">
      <w:r>
        <w:lastRenderedPageBreak/>
        <w:t>&lt;ESMA_QUESTION_CASR_13&gt;</w:t>
      </w:r>
    </w:p>
    <w:p w14:paraId="4183663D" w14:textId="77777777" w:rsidR="00926BDA" w:rsidRDefault="00926BDA" w:rsidP="00926BDA">
      <w:permStart w:id="1489376342" w:edGrp="everyone"/>
      <w:r>
        <w:t>TYPE YOUR TEXT HERE</w:t>
      </w:r>
    </w:p>
    <w:permEnd w:id="1489376342"/>
    <w:p w14:paraId="68F5F79E" w14:textId="77777777" w:rsidR="00926BDA" w:rsidRDefault="00926BDA" w:rsidP="00926BDA">
      <w:r>
        <w:t>&lt;ESMA_QUESTION_CASR_13&gt;</w:t>
      </w:r>
    </w:p>
    <w:p w14:paraId="3F2950D9" w14:textId="77777777" w:rsidR="00926BDA" w:rsidRDefault="00926BDA" w:rsidP="00926BDA"/>
    <w:p w14:paraId="2F0F769D" w14:textId="77777777" w:rsidR="00926BDA" w:rsidRDefault="00926BDA" w:rsidP="00926BDA">
      <w:pPr>
        <w:pStyle w:val="Questionstyle"/>
        <w:spacing w:before="120" w:after="120"/>
        <w:ind w:left="851" w:hanging="709"/>
      </w:pPr>
      <w:r>
        <w:t>What components are missing or not adequately addressed in option 2b? Why are these elements important, and how might their inclusion change the evaluation or implementation of option 2b?</w:t>
      </w:r>
    </w:p>
    <w:p w14:paraId="7F464072" w14:textId="77777777" w:rsidR="00926BDA" w:rsidRDefault="00926BDA" w:rsidP="00926BDA">
      <w:r>
        <w:t>&lt;ESMA_QUESTION_CASR_14&gt;</w:t>
      </w:r>
    </w:p>
    <w:p w14:paraId="45234655" w14:textId="77777777" w:rsidR="00926BDA" w:rsidRDefault="00926BDA" w:rsidP="00926BDA">
      <w:permStart w:id="1849847968" w:edGrp="everyone"/>
      <w:r>
        <w:t>TYPE YOUR TEXT HERE</w:t>
      </w:r>
    </w:p>
    <w:permEnd w:id="1849847968"/>
    <w:p w14:paraId="754DFA86" w14:textId="77777777" w:rsidR="00926BDA" w:rsidRDefault="00926BDA" w:rsidP="00926BDA">
      <w:r>
        <w:t>&lt;ESMA_QUESTION_CASR_14&gt;</w:t>
      </w:r>
    </w:p>
    <w:p w14:paraId="4B90EA1B" w14:textId="77777777" w:rsidR="00926BDA" w:rsidRDefault="00926BDA" w:rsidP="00926BDA"/>
    <w:p w14:paraId="1171D85E" w14:textId="77777777" w:rsidR="00926BDA" w:rsidRDefault="00926BDA" w:rsidP="00926BDA">
      <w:pPr>
        <w:pStyle w:val="Questionstyle"/>
        <w:spacing w:before="120" w:after="120"/>
        <w:ind w:left="851" w:hanging="709"/>
      </w:pPr>
      <w:r>
        <w:t>Which of the two main options (1. “removal of duplication in current frameworks” or 2. "report once") and related sub-options identified  do you believe should be prioritised, and why?</w:t>
      </w:r>
    </w:p>
    <w:p w14:paraId="5786375C" w14:textId="77777777" w:rsidR="00926BDA" w:rsidRDefault="00926BDA" w:rsidP="00926BDA">
      <w:r>
        <w:t>&lt;ESMA_QUESTION_CASR_15&gt;</w:t>
      </w:r>
    </w:p>
    <w:p w14:paraId="53069A83" w14:textId="77777777" w:rsidR="00926BDA" w:rsidRDefault="00926BDA" w:rsidP="00926BDA">
      <w:permStart w:id="695482675" w:edGrp="everyone"/>
      <w:r>
        <w:t>TYPE YOUR TEXT HERE</w:t>
      </w:r>
    </w:p>
    <w:permEnd w:id="695482675"/>
    <w:p w14:paraId="3F62887A" w14:textId="77777777" w:rsidR="00926BDA" w:rsidRDefault="00926BDA" w:rsidP="00926BDA">
      <w:r>
        <w:t>&lt;ESMA_QUESTION_CASR_15&gt;</w:t>
      </w:r>
    </w:p>
    <w:p w14:paraId="421A97F2" w14:textId="77777777" w:rsidR="00926BDA" w:rsidRDefault="00926BDA" w:rsidP="00926BDA"/>
    <w:p w14:paraId="114400C6" w14:textId="77777777" w:rsidR="00926BDA" w:rsidRDefault="00926BDA" w:rsidP="00926BDA">
      <w:pPr>
        <w:pStyle w:val="Questionstyle"/>
        <w:spacing w:before="120" w:after="120"/>
        <w:ind w:left="851" w:hanging="709"/>
      </w:pPr>
      <w:r>
        <w:t>Are there any additional options that should be considered on top of option 1 and 2? For example, do you identify other potential intermediate solutions, combinations of elements from the identified options, or phased approaches? If so, what are their main characteristics, the reasons for considering them, and the key advantages they would bring?</w:t>
      </w:r>
    </w:p>
    <w:p w14:paraId="78DE67F2" w14:textId="77777777" w:rsidR="00926BDA" w:rsidRDefault="00926BDA" w:rsidP="00926BDA">
      <w:r>
        <w:t>&lt;ESMA_QUESTION_CASR_16&gt;</w:t>
      </w:r>
    </w:p>
    <w:p w14:paraId="07469BB7" w14:textId="77777777" w:rsidR="00926BDA" w:rsidRDefault="00926BDA" w:rsidP="00926BDA">
      <w:permStart w:id="1784418006" w:edGrp="everyone"/>
      <w:r>
        <w:t>TYPE YOUR TEXT HERE</w:t>
      </w:r>
    </w:p>
    <w:permEnd w:id="1784418006"/>
    <w:p w14:paraId="3AD06511" w14:textId="77777777" w:rsidR="00926BDA" w:rsidRDefault="00926BDA" w:rsidP="00926BDA">
      <w:r>
        <w:t>&lt;ESMA_QUESTION_CASR_16&gt;</w:t>
      </w:r>
    </w:p>
    <w:p w14:paraId="67C20FBF" w14:textId="77777777" w:rsidR="00926BDA" w:rsidRDefault="00926BDA" w:rsidP="00926BDA"/>
    <w:p w14:paraId="1AE2F2AC" w14:textId="77777777" w:rsidR="00926BDA" w:rsidRDefault="00926BDA" w:rsidP="00926BDA">
      <w:pPr>
        <w:pStyle w:val="Questionstyle"/>
        <w:spacing w:before="120" w:after="120"/>
        <w:ind w:left="851" w:hanging="709"/>
      </w:pPr>
      <w:r>
        <w:t>Should the reporting channels, and flows be modified to ensure consistent reporting, and if so, how? Under which option/s do you consider these changes should be implemented?</w:t>
      </w:r>
    </w:p>
    <w:p w14:paraId="0F8473A0" w14:textId="77777777" w:rsidR="00926BDA" w:rsidRDefault="00926BDA" w:rsidP="00926BDA">
      <w:r>
        <w:t>&lt;ESMA_QUESTION_CASR_17&gt;</w:t>
      </w:r>
    </w:p>
    <w:p w14:paraId="67546B02" w14:textId="77777777" w:rsidR="00926BDA" w:rsidRDefault="00926BDA" w:rsidP="00926BDA">
      <w:permStart w:id="1438851636" w:edGrp="everyone"/>
      <w:r>
        <w:t>TYPE YOUR TEXT HERE</w:t>
      </w:r>
    </w:p>
    <w:permEnd w:id="1438851636"/>
    <w:p w14:paraId="2C9A1A2C" w14:textId="77777777" w:rsidR="00926BDA" w:rsidRDefault="00926BDA" w:rsidP="00926BDA">
      <w:r>
        <w:t>&lt;ESMA_QUESTION_CASR_17&gt;</w:t>
      </w:r>
    </w:p>
    <w:p w14:paraId="2EEAD9C9" w14:textId="77777777" w:rsidR="00926BDA" w:rsidRDefault="00926BDA" w:rsidP="00926BDA"/>
    <w:p w14:paraId="02B1B8A8" w14:textId="77777777" w:rsidR="00926BDA" w:rsidRDefault="00926BDA" w:rsidP="00926BDA">
      <w:pPr>
        <w:pStyle w:val="Questionstyle"/>
        <w:spacing w:before="120" w:after="120"/>
        <w:ind w:left="851" w:hanging="709"/>
      </w:pPr>
      <w:r>
        <w:t>In this regard, and based on the current order book requirements for trading venues and the availability of information, what are the advantages and disadvantages of transferring the reporting of on-venue transactions under MiFIR and EMIR to trading venues?</w:t>
      </w:r>
    </w:p>
    <w:p w14:paraId="7705C731" w14:textId="77777777" w:rsidR="00926BDA" w:rsidRDefault="00926BDA" w:rsidP="00926BDA">
      <w:r>
        <w:t>&lt;ESMA_QUESTION_CASR_18&gt;</w:t>
      </w:r>
    </w:p>
    <w:p w14:paraId="33B78B8E" w14:textId="77777777" w:rsidR="00926BDA" w:rsidRDefault="00926BDA" w:rsidP="00926BDA">
      <w:permStart w:id="1962436404" w:edGrp="everyone"/>
      <w:r>
        <w:t>TYPE YOUR TEXT HERE</w:t>
      </w:r>
    </w:p>
    <w:permEnd w:id="1962436404"/>
    <w:p w14:paraId="23718E98" w14:textId="77777777" w:rsidR="00926BDA" w:rsidRDefault="00926BDA" w:rsidP="00926BDA">
      <w:r>
        <w:t>&lt;ESMA_QUESTION_CASR_18&gt;</w:t>
      </w:r>
    </w:p>
    <w:p w14:paraId="5678260C" w14:textId="77777777" w:rsidR="00926BDA" w:rsidRDefault="00926BDA" w:rsidP="00926BDA"/>
    <w:p w14:paraId="5A58897A" w14:textId="77777777" w:rsidR="00926BDA" w:rsidRDefault="00926BDA" w:rsidP="00926BDA">
      <w:pPr>
        <w:pStyle w:val="Questionstyle"/>
        <w:spacing w:before="120" w:after="120"/>
        <w:ind w:left="851" w:hanging="709"/>
      </w:pPr>
      <w:r>
        <w:t xml:space="preserve">Additionally, what are your views on enhancing ESMA role as data hub by developing a framework where entities would report consistent and harmonised data directly to ESMA? Should this option consider direct reporting to ESMA coupled with EU and national authorities’ access to the centrally held data, eliminating multiple submissions? </w:t>
      </w:r>
    </w:p>
    <w:p w14:paraId="119EF579" w14:textId="77777777" w:rsidR="00926BDA" w:rsidRDefault="00926BDA" w:rsidP="00926BDA">
      <w:r>
        <w:t>&lt;ESMA_QUESTION_CASR_19&gt;</w:t>
      </w:r>
    </w:p>
    <w:p w14:paraId="1A3BE8DE" w14:textId="77777777" w:rsidR="00926BDA" w:rsidRDefault="00926BDA" w:rsidP="00926BDA">
      <w:permStart w:id="105197077" w:edGrp="everyone"/>
      <w:r>
        <w:t>TYPE YOUR TEXT HERE</w:t>
      </w:r>
    </w:p>
    <w:permEnd w:id="105197077"/>
    <w:p w14:paraId="07615230" w14:textId="77777777" w:rsidR="00926BDA" w:rsidRDefault="00926BDA" w:rsidP="00926BDA">
      <w:r>
        <w:t>&lt;ESMA_QUESTION_CASR_19&gt;</w:t>
      </w:r>
    </w:p>
    <w:p w14:paraId="3B9A9E21" w14:textId="77777777" w:rsidR="00926BDA" w:rsidRDefault="00926BDA" w:rsidP="00926BDA"/>
    <w:p w14:paraId="35B135A6" w14:textId="77777777" w:rsidR="00926BDA" w:rsidRDefault="00926BDA" w:rsidP="00926BDA">
      <w:pPr>
        <w:pStyle w:val="Questionstyle"/>
        <w:spacing w:before="120" w:after="120"/>
        <w:ind w:left="851" w:hanging="709"/>
      </w:pPr>
      <w:r>
        <w:t>In the case of centralisation of reporting, please expand on the advantages and disadvantages as well as the implementation challenges and opportunities? Under this scenario, what additional elements should be considered (i.e. Operational aspects, technical implementation, etc.)</w:t>
      </w:r>
    </w:p>
    <w:p w14:paraId="6A63FD17" w14:textId="77777777" w:rsidR="00926BDA" w:rsidRDefault="00926BDA" w:rsidP="00926BDA">
      <w:r>
        <w:t>&lt;ESMA_QUESTION_CASR_20&gt;</w:t>
      </w:r>
    </w:p>
    <w:p w14:paraId="18F148C1" w14:textId="77777777" w:rsidR="00926BDA" w:rsidRDefault="00926BDA" w:rsidP="00926BDA">
      <w:permStart w:id="817709938" w:edGrp="everyone"/>
      <w:r>
        <w:t>TYPE YOUR TEXT HERE</w:t>
      </w:r>
    </w:p>
    <w:permEnd w:id="817709938"/>
    <w:p w14:paraId="7B80CF14" w14:textId="77777777" w:rsidR="00926BDA" w:rsidRDefault="00926BDA" w:rsidP="00926BDA">
      <w:r>
        <w:t>&lt;ESMA_QUESTION_CASR_20&gt;</w:t>
      </w:r>
    </w:p>
    <w:p w14:paraId="17953099" w14:textId="77777777" w:rsidR="00926BDA" w:rsidRDefault="00926BDA" w:rsidP="00926BDA"/>
    <w:p w14:paraId="51761AA6" w14:textId="77777777" w:rsidR="00926BDA" w:rsidRDefault="00926BDA" w:rsidP="00926BDA">
      <w:pPr>
        <w:pStyle w:val="Questionstyle"/>
        <w:spacing w:before="120" w:after="120"/>
        <w:ind w:left="851" w:hanging="709"/>
      </w:pPr>
      <w:r>
        <w:t>Do you consider that other technologies (e.g. DLT and Smart Contracts) should be considered as a way to simplify the reporting process?</w:t>
      </w:r>
    </w:p>
    <w:p w14:paraId="3AE92D91" w14:textId="77777777" w:rsidR="00926BDA" w:rsidRDefault="00926BDA" w:rsidP="00926BDA">
      <w:r>
        <w:t>&lt;ESMA_QUESTION_CASR_21&gt;</w:t>
      </w:r>
    </w:p>
    <w:p w14:paraId="1E85F6A9" w14:textId="77777777" w:rsidR="00926BDA" w:rsidRDefault="00926BDA" w:rsidP="00926BDA">
      <w:permStart w:id="993723206" w:edGrp="everyone"/>
      <w:r>
        <w:t>TYPE YOUR TEXT HERE</w:t>
      </w:r>
    </w:p>
    <w:permEnd w:id="993723206"/>
    <w:p w14:paraId="145462DA" w14:textId="77777777" w:rsidR="00926BDA" w:rsidRDefault="00926BDA" w:rsidP="00926BDA">
      <w:r>
        <w:t>&lt;ESMA_QUESTION_CASR_21&gt;</w:t>
      </w:r>
    </w:p>
    <w:p w14:paraId="0460F42E" w14:textId="77777777" w:rsidR="00926BDA" w:rsidRDefault="00926BDA" w:rsidP="00926BDA"/>
    <w:p w14:paraId="168437EB" w14:textId="77777777" w:rsidR="00926BDA" w:rsidRDefault="00926BDA" w:rsidP="00926BDA">
      <w:pPr>
        <w:pStyle w:val="Questionstyle"/>
        <w:spacing w:before="120" w:after="120"/>
        <w:ind w:left="851" w:hanging="709"/>
      </w:pPr>
      <w:r>
        <w:t>Where do you think the cost associated with dual sided reporting is generated? What would be the cost impact of removing dual-sided reporting (e.g. Substituting reconciliation requirements with other measures such as audits against internal record systems as required in the U.S. or increase interaction among counterparties and NCAs)? Do you consider that dual sided reporting may reduce the ability of reporting entities to fully control the data submitted to authorities? Do you consider that the reporting should be strictly from one side?</w:t>
      </w:r>
    </w:p>
    <w:p w14:paraId="6961F67B" w14:textId="77777777" w:rsidR="00926BDA" w:rsidRDefault="00926BDA" w:rsidP="00926BDA">
      <w:r>
        <w:t>&lt;ESMA_QUESTION_CASR_22&gt;</w:t>
      </w:r>
    </w:p>
    <w:p w14:paraId="6E39AACB" w14:textId="77777777" w:rsidR="00926BDA" w:rsidRDefault="00926BDA" w:rsidP="00926BDA">
      <w:permStart w:id="1652326327" w:edGrp="everyone"/>
      <w:r>
        <w:t>TYPE YOUR TEXT HERE</w:t>
      </w:r>
    </w:p>
    <w:permEnd w:id="1652326327"/>
    <w:p w14:paraId="355A0CFB" w14:textId="77777777" w:rsidR="00926BDA" w:rsidRDefault="00926BDA" w:rsidP="00926BDA">
      <w:r>
        <w:t>&lt;ESMA_QUESTION_CASR_22&gt;</w:t>
      </w:r>
    </w:p>
    <w:p w14:paraId="5AB0CDED" w14:textId="77777777" w:rsidR="00926BDA" w:rsidRDefault="00926BDA" w:rsidP="00926BDA"/>
    <w:p w14:paraId="4BD8E7A5" w14:textId="77777777" w:rsidR="00926BDA" w:rsidRDefault="00926BDA" w:rsidP="00926BDA">
      <w:pPr>
        <w:pStyle w:val="Questionstyle"/>
        <w:spacing w:before="120" w:after="120"/>
        <w:ind w:left="851" w:hanging="709"/>
      </w:pPr>
      <w:r>
        <w:t>Would you consider the modification of reporting frequency useful under the general objective of reducing the reporting burden, and why? What would be the specific proposals in this regard?</w:t>
      </w:r>
    </w:p>
    <w:p w14:paraId="5B3B8A05" w14:textId="77777777" w:rsidR="00926BDA" w:rsidRDefault="00926BDA" w:rsidP="00926BDA">
      <w:r>
        <w:t>&lt;ESMA_QUESTION_CASR_23&gt;</w:t>
      </w:r>
    </w:p>
    <w:p w14:paraId="162ABCEF" w14:textId="77777777" w:rsidR="00926BDA" w:rsidRDefault="00926BDA" w:rsidP="00926BDA">
      <w:permStart w:id="806124853" w:edGrp="everyone"/>
      <w:r>
        <w:t>TYPE YOUR TEXT HERE</w:t>
      </w:r>
    </w:p>
    <w:permEnd w:id="806124853"/>
    <w:p w14:paraId="009ECB82" w14:textId="77777777" w:rsidR="00926BDA" w:rsidRDefault="00926BDA" w:rsidP="00926BDA">
      <w:r>
        <w:lastRenderedPageBreak/>
        <w:t>&lt;ESMA_QUESTION_CASR_23&gt;</w:t>
      </w:r>
    </w:p>
    <w:p w14:paraId="66F1F3EB" w14:textId="77777777" w:rsidR="00926BDA" w:rsidRDefault="00926BDA" w:rsidP="00926BDA"/>
    <w:p w14:paraId="6B277954" w14:textId="77777777" w:rsidR="00926BDA" w:rsidRDefault="00926BDA" w:rsidP="00926BDA">
      <w:pPr>
        <w:pStyle w:val="Questionstyle"/>
        <w:spacing w:before="120" w:after="120"/>
        <w:ind w:left="851" w:hanging="709"/>
      </w:pPr>
      <w:r>
        <w:t>Proportionality measures: how do you consider proportionality can be taken into account in the context of burden reduction in regulatory reporting? What specific measures would you propose and how would you quantify their impact?</w:t>
      </w:r>
    </w:p>
    <w:p w14:paraId="64667397" w14:textId="77777777" w:rsidR="00926BDA" w:rsidRDefault="00926BDA" w:rsidP="00926BDA">
      <w:r>
        <w:t>&lt;ESMA_QUESTION_CASR_24&gt;</w:t>
      </w:r>
    </w:p>
    <w:p w14:paraId="496D4D3C" w14:textId="77777777" w:rsidR="00926BDA" w:rsidRDefault="00926BDA" w:rsidP="00926BDA">
      <w:permStart w:id="1360161894" w:edGrp="everyone"/>
      <w:r>
        <w:t>TYPE YOUR TEXT HERE</w:t>
      </w:r>
    </w:p>
    <w:permEnd w:id="1360161894"/>
    <w:p w14:paraId="0138C76D" w14:textId="77777777" w:rsidR="00926BDA" w:rsidRDefault="00926BDA" w:rsidP="00926BDA">
      <w:r>
        <w:t>&lt;ESMA_QUESTION_CASR_24&gt;</w:t>
      </w:r>
    </w:p>
    <w:p w14:paraId="7A473ECA" w14:textId="77777777" w:rsidR="00926BDA" w:rsidRDefault="00926BDA" w:rsidP="00926BDA"/>
    <w:p w14:paraId="1A40D34E" w14:textId="77777777" w:rsidR="00926BDA" w:rsidRDefault="00926BDA" w:rsidP="00926BDA">
      <w:pPr>
        <w:pStyle w:val="Questionstyle"/>
        <w:spacing w:before="120" w:after="120"/>
        <w:ind w:left="851" w:hanging="709"/>
      </w:pPr>
      <w:r>
        <w:t>Question for reporting entities under EMIR: what is the one-off cost of implementing EMIR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43F72962" w14:textId="77777777" w:rsidR="00926BDA" w:rsidRDefault="00926BDA" w:rsidP="00926BDA">
      <w:r>
        <w:t>&lt;ESMA_QUESTION_CASR_25&gt;</w:t>
      </w:r>
    </w:p>
    <w:p w14:paraId="7BFB6A77" w14:textId="77777777" w:rsidR="00926BDA" w:rsidRDefault="00926BDA" w:rsidP="00926BDA">
      <w:permStart w:id="1181963014" w:edGrp="everyone"/>
      <w:r>
        <w:t>TYPE YOUR TEXT HERE</w:t>
      </w:r>
    </w:p>
    <w:permEnd w:id="1181963014"/>
    <w:p w14:paraId="77305D93" w14:textId="77777777" w:rsidR="00926BDA" w:rsidRDefault="00926BDA" w:rsidP="00926BDA">
      <w:r>
        <w:t>&lt;ESMA_QUESTION_CASR_25&gt;</w:t>
      </w:r>
    </w:p>
    <w:p w14:paraId="1582C478" w14:textId="77777777" w:rsidR="00926BDA" w:rsidRDefault="00926BDA" w:rsidP="00926BDA"/>
    <w:p w14:paraId="54B7F101" w14:textId="77777777" w:rsidR="00926BDA" w:rsidRDefault="00926BDA" w:rsidP="00926BDA">
      <w:pPr>
        <w:pStyle w:val="Questionstyle"/>
        <w:spacing w:before="120" w:after="120"/>
        <w:ind w:left="851" w:hanging="709"/>
      </w:pPr>
      <w:r>
        <w:t>Question for reporting entities under EMIR: what is your estimated average cost per transaction (on-going cost) to comply with the reporting requirements under EMIR? This cost should include not only the fees associated with reporting through trade repositories (which usually includes data collection and information storage) but also the total cost, including any other cost lines, such as, IT maintenance and support, training, data processing and audit fees. Do you identify any other relevant ongoing cost line?</w:t>
      </w:r>
    </w:p>
    <w:p w14:paraId="2FA5A328" w14:textId="77777777" w:rsidR="00926BDA" w:rsidRDefault="00926BDA" w:rsidP="00926BDA">
      <w:r>
        <w:t>&lt;ESMA_QUESTION_CASR_26&gt;</w:t>
      </w:r>
    </w:p>
    <w:p w14:paraId="00710FAD" w14:textId="77777777" w:rsidR="00926BDA" w:rsidRDefault="00926BDA" w:rsidP="00926BDA">
      <w:permStart w:id="1743740379" w:edGrp="everyone"/>
      <w:r>
        <w:t>TYPE YOUR TEXT HERE</w:t>
      </w:r>
    </w:p>
    <w:permEnd w:id="1743740379"/>
    <w:p w14:paraId="0C7300AB" w14:textId="77777777" w:rsidR="00926BDA" w:rsidRDefault="00926BDA" w:rsidP="00926BDA">
      <w:r>
        <w:t>&lt;ESMA_QUESTION_CASR_26&gt;</w:t>
      </w:r>
    </w:p>
    <w:p w14:paraId="32ED6907" w14:textId="77777777" w:rsidR="00926BDA" w:rsidRDefault="00926BDA" w:rsidP="00926BDA"/>
    <w:p w14:paraId="58E30CC4" w14:textId="77777777" w:rsidR="00926BDA" w:rsidRDefault="00926BDA" w:rsidP="00926BDA">
      <w:pPr>
        <w:pStyle w:val="Questionstyle"/>
        <w:spacing w:before="120" w:after="120"/>
        <w:ind w:left="851" w:hanging="709"/>
      </w:pPr>
      <w:r>
        <w:t>Question for reporting entities under MiFIR: what is the one-off cost of implementing mifir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196DADE2" w14:textId="77777777" w:rsidR="00926BDA" w:rsidRDefault="00926BDA" w:rsidP="00926BDA">
      <w:r>
        <w:t>&lt;ESMA_QUESTION_CASR_27&gt;</w:t>
      </w:r>
    </w:p>
    <w:p w14:paraId="1FB47DD6" w14:textId="77777777" w:rsidR="00926BDA" w:rsidRDefault="00926BDA" w:rsidP="00926BDA">
      <w:permStart w:id="1620378332" w:edGrp="everyone"/>
      <w:r>
        <w:t>TYPE YOUR TEXT HERE</w:t>
      </w:r>
    </w:p>
    <w:permEnd w:id="1620378332"/>
    <w:p w14:paraId="6A4C4033" w14:textId="77777777" w:rsidR="00926BDA" w:rsidRDefault="00926BDA" w:rsidP="00926BDA">
      <w:r>
        <w:t>&lt;ESMA_QUESTION_CASR_27&gt;</w:t>
      </w:r>
    </w:p>
    <w:p w14:paraId="0A47CCFB" w14:textId="77777777" w:rsidR="00926BDA" w:rsidRDefault="00926BDA" w:rsidP="00926BDA"/>
    <w:p w14:paraId="7F8F7499" w14:textId="77777777" w:rsidR="00926BDA" w:rsidRDefault="00926BDA" w:rsidP="00926BDA">
      <w:pPr>
        <w:pStyle w:val="Questionstyle"/>
        <w:spacing w:before="120" w:after="120"/>
        <w:ind w:left="851" w:hanging="709"/>
      </w:pPr>
      <w:r>
        <w:t xml:space="preserve">Question for reporting entities under MiFIR: what is your estimated average cost per transaction (on-going cost) to comply with the reporting requirements </w:t>
      </w:r>
      <w:r>
        <w:lastRenderedPageBreak/>
        <w:t>under MiFIR? This cost should include not only the fees associated with reporting through Approved Reported Mechanisms but also the total cost, including any other cost lines, such as, IT maintenance and support, training, data processing and audit fees. Do you identify any other relevant ongoing cost line?</w:t>
      </w:r>
    </w:p>
    <w:p w14:paraId="3D79135C" w14:textId="77777777" w:rsidR="00926BDA" w:rsidRDefault="00926BDA" w:rsidP="00926BDA">
      <w:r>
        <w:t>&lt;ESMA_QUESTION_CASR_28&gt;</w:t>
      </w:r>
    </w:p>
    <w:p w14:paraId="68E87AF9" w14:textId="77777777" w:rsidR="00926BDA" w:rsidRDefault="00926BDA" w:rsidP="00926BDA">
      <w:permStart w:id="443381358" w:edGrp="everyone"/>
      <w:r>
        <w:t>TYPE YOUR TEXT HERE</w:t>
      </w:r>
    </w:p>
    <w:permEnd w:id="443381358"/>
    <w:p w14:paraId="39C29865" w14:textId="77777777" w:rsidR="00926BDA" w:rsidRDefault="00926BDA" w:rsidP="00926BDA">
      <w:r>
        <w:t>&lt;ESMA_QUESTION_CASR_28&gt;</w:t>
      </w:r>
    </w:p>
    <w:p w14:paraId="795D30C8" w14:textId="77777777" w:rsidR="00926BDA" w:rsidRDefault="00926BDA" w:rsidP="00926BDA"/>
    <w:p w14:paraId="07255D8C" w14:textId="77777777" w:rsidR="00926BDA" w:rsidRDefault="00926BDA" w:rsidP="00926BDA">
      <w:pPr>
        <w:pStyle w:val="Questionstyle"/>
        <w:spacing w:before="120" w:after="120"/>
        <w:ind w:left="851" w:hanging="709"/>
      </w:pPr>
      <w:r>
        <w:t>Question for reporting entities under EMIR or MiFIR: Are there other cost-factors that we should consider when estimating the cost saving over a long term horizon?</w:t>
      </w:r>
    </w:p>
    <w:p w14:paraId="3F82851F" w14:textId="77777777" w:rsidR="00926BDA" w:rsidRDefault="00926BDA" w:rsidP="00926BDA">
      <w:r>
        <w:t>&lt;ESMA_QUESTION_CASR_29&gt;</w:t>
      </w:r>
    </w:p>
    <w:p w14:paraId="0D39D81F" w14:textId="77777777" w:rsidR="00926BDA" w:rsidRDefault="00926BDA" w:rsidP="00926BDA">
      <w:permStart w:id="1172965324" w:edGrp="everyone"/>
      <w:r>
        <w:t>TYPE YOUR TEXT HERE</w:t>
      </w:r>
    </w:p>
    <w:permEnd w:id="1172965324"/>
    <w:p w14:paraId="7F24D947" w14:textId="77777777" w:rsidR="00926BDA" w:rsidRDefault="00926BDA" w:rsidP="00926BDA">
      <w:r>
        <w:t>&lt;ESMA_QUESTION_CASR_29&gt;</w:t>
      </w:r>
    </w:p>
    <w:p w14:paraId="43B06597" w14:textId="77777777" w:rsidR="00926BDA" w:rsidRDefault="00926BDA" w:rsidP="00926BDA"/>
    <w:p w14:paraId="613621CD" w14:textId="77777777" w:rsidR="00926BDA" w:rsidRDefault="00926BDA" w:rsidP="00926BDA">
      <w:pPr>
        <w:pStyle w:val="Questionstyle"/>
        <w:spacing w:before="120" w:after="120"/>
        <w:ind w:left="851" w:hanging="709"/>
      </w:pPr>
      <w:r>
        <w:t>What are the anticipated investments and transition costs associated with implementing option 1a, 1b, 2a and 2b (e.g. Decommissioning of legacy systems, adapting systems to new changes and future evolving requirements, etc.)? Please provide a detailed breakdown of these costs, including any one-off and ongoing expenses. What is the estimated average cost saving per transaction?</w:t>
      </w:r>
    </w:p>
    <w:p w14:paraId="74BBAE67" w14:textId="77777777" w:rsidR="00926BDA" w:rsidRDefault="00926BDA" w:rsidP="00926BDA">
      <w:r>
        <w:t>&lt;ESMA_QUESTION_CASR_30&gt;</w:t>
      </w:r>
    </w:p>
    <w:p w14:paraId="5F1EAC10" w14:textId="77777777" w:rsidR="00926BDA" w:rsidRDefault="00926BDA" w:rsidP="00926BDA">
      <w:permStart w:id="34827801" w:edGrp="everyone"/>
      <w:r>
        <w:t>TYPE YOUR TEXT HERE</w:t>
      </w:r>
    </w:p>
    <w:permEnd w:id="34827801"/>
    <w:p w14:paraId="36BBCB63" w14:textId="77777777" w:rsidR="00926BDA" w:rsidRDefault="00926BDA" w:rsidP="00926BDA">
      <w:r>
        <w:t>&lt;ESMA_QUESTION_CASR_30&gt;</w:t>
      </w:r>
    </w:p>
    <w:p w14:paraId="5D766C2E" w14:textId="77777777" w:rsidR="00926BDA" w:rsidRDefault="00926BDA" w:rsidP="00926BDA"/>
    <w:p w14:paraId="6B9AF4F4" w14:textId="77777777" w:rsidR="00926BDA" w:rsidRDefault="00926BDA" w:rsidP="00926BDA"/>
    <w:p w14:paraId="4182AD67" w14:textId="77777777" w:rsidR="00DB377C" w:rsidRDefault="00DB377C" w:rsidP="00DB377C"/>
    <w:sectPr w:rsidR="00DB377C" w:rsidSect="00C85C8B">
      <w:headerReference w:type="default" r:id="rId34"/>
      <w:footerReference w:type="default" r:id="rId35"/>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CBC0D" w14:textId="77777777" w:rsidR="00C46240" w:rsidRDefault="00C46240" w:rsidP="007E7997">
      <w:r>
        <w:separator/>
      </w:r>
    </w:p>
  </w:endnote>
  <w:endnote w:type="continuationSeparator" w:id="0">
    <w:p w14:paraId="0465B22A" w14:textId="77777777" w:rsidR="00C46240" w:rsidRDefault="00C46240" w:rsidP="007E7997">
      <w:r>
        <w:continuationSeparator/>
      </w:r>
    </w:p>
  </w:endnote>
  <w:endnote w:type="continuationNotice" w:id="1">
    <w:p w14:paraId="179056C9" w14:textId="77777777" w:rsidR="00C46240" w:rsidRDefault="00C462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3915" w14:textId="58619407"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p w14:paraId="12C756E7" w14:textId="77777777" w:rsidR="00C97F9B" w:rsidRDefault="00C97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4DE2D" w14:textId="77777777" w:rsidR="00C46240" w:rsidRDefault="00C46240" w:rsidP="007E7997">
      <w:r>
        <w:separator/>
      </w:r>
    </w:p>
  </w:footnote>
  <w:footnote w:type="continuationSeparator" w:id="0">
    <w:p w14:paraId="1E921502" w14:textId="77777777" w:rsidR="00C46240" w:rsidRDefault="00C46240" w:rsidP="007E7997">
      <w:r>
        <w:continuationSeparator/>
      </w:r>
    </w:p>
  </w:footnote>
  <w:footnote w:type="continuationNotice" w:id="1">
    <w:p w14:paraId="67031FE2" w14:textId="77777777" w:rsidR="00C46240" w:rsidRDefault="00C46240"/>
  </w:footnote>
  <w:footnote w:id="2">
    <w:p w14:paraId="2FFE7336" w14:textId="77777777" w:rsidR="00B77A83" w:rsidRPr="006D1FC7" w:rsidRDefault="00B77A83" w:rsidP="00B77A83">
      <w:pPr>
        <w:pStyle w:val="FootnoteText"/>
      </w:pPr>
      <w:r w:rsidRPr="006D1FC7">
        <w:rPr>
          <w:rStyle w:val="FootnoteReference"/>
        </w:rPr>
        <w:footnoteRef/>
      </w:r>
      <w:r w:rsidRPr="006D1FC7">
        <w:rPr>
          <w:rStyle w:val="FootnoteReference"/>
        </w:rPr>
        <w:footnoteRef/>
      </w:r>
      <w:r w:rsidRPr="006D1FC7">
        <w:t xml:space="preserve"> </w:t>
      </w:r>
      <w:hyperlink r:id="rId1" w:history="1">
        <w:r w:rsidRPr="006D1FC7">
          <w:rPr>
            <w:rStyle w:val="Hyperlink"/>
            <w:rFonts w:eastAsiaTheme="majorEastAsia"/>
          </w:rPr>
          <w:t>Harmonisation of the Unique Product Identifier - Technical Guidance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3F5" w14:textId="77C7624B" w:rsidR="00FA64BE" w:rsidRDefault="00FA64BE" w:rsidP="00FA64BE">
    <w:pPr>
      <w:pStyle w:val="Header"/>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w:t>
    </w:r>
    <w:r w:rsidR="004D19BD">
      <w:rPr>
        <w:rFonts w:asciiTheme="minorHAnsi" w:eastAsiaTheme="minorEastAsia" w:hAnsiTheme="minorHAnsi" w:cstheme="minorBidi"/>
        <w:color w:val="000000" w:themeColor="text1" w:themeShade="80"/>
        <w:sz w:val="16"/>
        <w:szCs w:val="20"/>
        <w:lang w:eastAsia="en-US"/>
      </w:rPr>
      <w:t>3</w:t>
    </w:r>
    <w:r w:rsidR="000310AB">
      <w:rPr>
        <w:rFonts w:asciiTheme="minorHAnsi" w:eastAsiaTheme="minorEastAsia" w:hAnsiTheme="minorHAnsi" w:cstheme="minorBidi"/>
        <w:color w:val="000000" w:themeColor="text1" w:themeShade="80"/>
        <w:sz w:val="16"/>
        <w:szCs w:val="20"/>
        <w:lang w:eastAsia="en-US"/>
      </w:rPr>
      <w:t xml:space="preserve"> </w:t>
    </w:r>
    <w:r w:rsidR="004D19BD">
      <w:rPr>
        <w:rFonts w:asciiTheme="minorHAnsi" w:eastAsiaTheme="minorEastAsia" w:hAnsiTheme="minorHAnsi" w:cstheme="minorBidi"/>
        <w:color w:val="000000" w:themeColor="text1" w:themeShade="80"/>
        <w:sz w:val="16"/>
        <w:szCs w:val="20"/>
        <w:lang w:eastAsia="en-US"/>
      </w:rPr>
      <w:t>June</w:t>
    </w:r>
    <w:r w:rsidR="000310AB">
      <w:rPr>
        <w:rFonts w:asciiTheme="minorHAnsi" w:eastAsiaTheme="minorEastAsia" w:hAnsiTheme="minorHAnsi" w:cstheme="minorBidi"/>
        <w:color w:val="000000" w:themeColor="text1" w:themeShade="80"/>
        <w:sz w:val="16"/>
        <w:szCs w:val="20"/>
        <w:lang w:eastAsia="en-US"/>
      </w:rPr>
      <w:t xml:space="preserve"> 2025</w:t>
    </w:r>
    <w:r w:rsidR="00C00D4F">
      <w:rPr>
        <w:rFonts w:asciiTheme="minorHAnsi" w:eastAsiaTheme="minorEastAsia" w:hAnsiTheme="minorHAnsi" w:cstheme="minorBidi"/>
        <w:color w:val="000000" w:themeColor="text1" w:themeShade="80"/>
        <w:sz w:val="16"/>
        <w:szCs w:val="20"/>
        <w:lang w:eastAsia="en-US"/>
      </w:rPr>
      <w:br/>
    </w:r>
    <w:r w:rsidR="006D2EE6" w:rsidRPr="006D2EE6">
      <w:rPr>
        <w:rFonts w:asciiTheme="minorHAnsi" w:eastAsiaTheme="minorEastAsia" w:hAnsiTheme="minorHAnsi" w:cstheme="minorBidi"/>
        <w:color w:val="000000" w:themeColor="text1" w:themeShade="80"/>
        <w:sz w:val="16"/>
        <w:szCs w:val="20"/>
        <w:lang w:eastAsia="en-US"/>
      </w:rPr>
      <w:t>ESMA12-437499640-3046</w:t>
    </w:r>
  </w:p>
  <w:p w14:paraId="70391035" w14:textId="0FE57758" w:rsidR="00E36813" w:rsidRDefault="00FA64BE" w:rsidP="00FA64BE">
    <w:pPr>
      <w:pStyle w:val="Header"/>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A25530"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6EC4" w14:textId="2AEFCC83" w:rsidR="00E36813" w:rsidRDefault="00FA64BE" w:rsidP="00B50534">
    <w:pPr>
      <w:pStyle w:val="Header"/>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Header"/>
      <w:jc w:val="right"/>
      <w:rPr>
        <w:rFonts w:asciiTheme="minorHAnsi" w:hAnsiTheme="minorHAnsi" w:cstheme="minorHAnsi"/>
        <w:color w:val="2F5496" w:themeColor="accent5" w:themeShade="BF"/>
        <w:sz w:val="20"/>
      </w:rPr>
    </w:pPr>
  </w:p>
  <w:p w14:paraId="3E983FE8" w14:textId="71D87355" w:rsidR="00FA64BE" w:rsidRDefault="00FA64BE" w:rsidP="00FA64BE">
    <w:pPr>
      <w:pStyle w:val="Header"/>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Header"/>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C25D7A"/>
    <w:multiLevelType w:val="hybridMultilevel"/>
    <w:tmpl w:val="C9960E30"/>
    <w:lvl w:ilvl="0" w:tplc="04090001">
      <w:start w:val="1"/>
      <w:numFmt w:val="bullet"/>
      <w:lvlText w:val=""/>
      <w:lvlJc w:val="left"/>
      <w:pPr>
        <w:ind w:left="762" w:hanging="360"/>
      </w:pPr>
      <w:rPr>
        <w:rFonts w:ascii="Symbol" w:hAnsi="Symbol" w:hint="default"/>
      </w:rPr>
    </w:lvl>
    <w:lvl w:ilvl="1" w:tplc="04090003" w:tentative="1">
      <w:start w:val="1"/>
      <w:numFmt w:val="bullet"/>
      <w:lvlText w:val="o"/>
      <w:lvlJc w:val="left"/>
      <w:pPr>
        <w:ind w:left="1482" w:hanging="360"/>
      </w:pPr>
      <w:rPr>
        <w:rFonts w:ascii="Courier New" w:hAnsi="Courier New" w:cs="Courier New" w:hint="default"/>
      </w:rPr>
    </w:lvl>
    <w:lvl w:ilvl="2" w:tplc="04090005" w:tentative="1">
      <w:start w:val="1"/>
      <w:numFmt w:val="bullet"/>
      <w:lvlText w:val=""/>
      <w:lvlJc w:val="left"/>
      <w:pPr>
        <w:ind w:left="2202" w:hanging="360"/>
      </w:pPr>
      <w:rPr>
        <w:rFonts w:ascii="Wingdings" w:hAnsi="Wingdings" w:hint="default"/>
      </w:rPr>
    </w:lvl>
    <w:lvl w:ilvl="3" w:tplc="04090001" w:tentative="1">
      <w:start w:val="1"/>
      <w:numFmt w:val="bullet"/>
      <w:lvlText w:val=""/>
      <w:lvlJc w:val="left"/>
      <w:pPr>
        <w:ind w:left="2922" w:hanging="360"/>
      </w:pPr>
      <w:rPr>
        <w:rFonts w:ascii="Symbol" w:hAnsi="Symbol" w:hint="default"/>
      </w:rPr>
    </w:lvl>
    <w:lvl w:ilvl="4" w:tplc="04090003" w:tentative="1">
      <w:start w:val="1"/>
      <w:numFmt w:val="bullet"/>
      <w:lvlText w:val="o"/>
      <w:lvlJc w:val="left"/>
      <w:pPr>
        <w:ind w:left="3642" w:hanging="360"/>
      </w:pPr>
      <w:rPr>
        <w:rFonts w:ascii="Courier New" w:hAnsi="Courier New" w:cs="Courier New" w:hint="default"/>
      </w:rPr>
    </w:lvl>
    <w:lvl w:ilvl="5" w:tplc="04090005" w:tentative="1">
      <w:start w:val="1"/>
      <w:numFmt w:val="bullet"/>
      <w:lvlText w:val=""/>
      <w:lvlJc w:val="left"/>
      <w:pPr>
        <w:ind w:left="4362" w:hanging="360"/>
      </w:pPr>
      <w:rPr>
        <w:rFonts w:ascii="Wingdings" w:hAnsi="Wingdings" w:hint="default"/>
      </w:rPr>
    </w:lvl>
    <w:lvl w:ilvl="6" w:tplc="04090001" w:tentative="1">
      <w:start w:val="1"/>
      <w:numFmt w:val="bullet"/>
      <w:lvlText w:val=""/>
      <w:lvlJc w:val="left"/>
      <w:pPr>
        <w:ind w:left="5082" w:hanging="360"/>
      </w:pPr>
      <w:rPr>
        <w:rFonts w:ascii="Symbol" w:hAnsi="Symbol" w:hint="default"/>
      </w:rPr>
    </w:lvl>
    <w:lvl w:ilvl="7" w:tplc="04090003" w:tentative="1">
      <w:start w:val="1"/>
      <w:numFmt w:val="bullet"/>
      <w:lvlText w:val="o"/>
      <w:lvlJc w:val="left"/>
      <w:pPr>
        <w:ind w:left="5802" w:hanging="360"/>
      </w:pPr>
      <w:rPr>
        <w:rFonts w:ascii="Courier New" w:hAnsi="Courier New" w:cs="Courier New" w:hint="default"/>
      </w:rPr>
    </w:lvl>
    <w:lvl w:ilvl="8" w:tplc="04090005" w:tentative="1">
      <w:start w:val="1"/>
      <w:numFmt w:val="bullet"/>
      <w:lvlText w:val=""/>
      <w:lvlJc w:val="left"/>
      <w:pPr>
        <w:ind w:left="6522" w:hanging="360"/>
      </w:pPr>
      <w:rPr>
        <w:rFonts w:ascii="Wingdings" w:hAnsi="Wingdings" w:hint="default"/>
      </w:rPr>
    </w:lvl>
  </w:abstractNum>
  <w:abstractNum w:abstractNumId="2"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561AF7"/>
    <w:multiLevelType w:val="hybridMultilevel"/>
    <w:tmpl w:val="CD7EF4A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490505"/>
    <w:multiLevelType w:val="hybridMultilevel"/>
    <w:tmpl w:val="73D89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181D69"/>
    <w:multiLevelType w:val="hybridMultilevel"/>
    <w:tmpl w:val="0A189E10"/>
    <w:lvl w:ilvl="0" w:tplc="52DE78C0">
      <w:start w:val="1"/>
      <w:numFmt w:val="upp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9"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6"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B0013C2"/>
    <w:multiLevelType w:val="hybridMultilevel"/>
    <w:tmpl w:val="58064840"/>
    <w:lvl w:ilvl="0" w:tplc="D45C4E4C">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D1828F6"/>
    <w:multiLevelType w:val="hybridMultilevel"/>
    <w:tmpl w:val="1946F75E"/>
    <w:lvl w:ilvl="0" w:tplc="9814CE40">
      <w:start w:val="1"/>
      <w:numFmt w:val="decimal"/>
      <w:lvlText w:val="%1."/>
      <w:lvlJc w:val="left"/>
      <w:pPr>
        <w:ind w:left="720" w:hanging="360"/>
      </w:pPr>
    </w:lvl>
    <w:lvl w:ilvl="1" w:tplc="E146C8E6">
      <w:start w:val="1"/>
      <w:numFmt w:val="lowerLetter"/>
      <w:lvlText w:val="%2."/>
      <w:lvlJc w:val="left"/>
      <w:pPr>
        <w:ind w:left="1440" w:hanging="360"/>
      </w:pPr>
    </w:lvl>
    <w:lvl w:ilvl="2" w:tplc="A338155C">
      <w:start w:val="1"/>
      <w:numFmt w:val="lowerRoman"/>
      <w:lvlText w:val="%3."/>
      <w:lvlJc w:val="right"/>
      <w:pPr>
        <w:ind w:left="2160" w:hanging="180"/>
      </w:pPr>
    </w:lvl>
    <w:lvl w:ilvl="3" w:tplc="D2A80F8A">
      <w:start w:val="1"/>
      <w:numFmt w:val="decimal"/>
      <w:lvlText w:val="%4."/>
      <w:lvlJc w:val="left"/>
      <w:pPr>
        <w:ind w:left="2880" w:hanging="360"/>
      </w:pPr>
    </w:lvl>
    <w:lvl w:ilvl="4" w:tplc="8BF26592">
      <w:start w:val="1"/>
      <w:numFmt w:val="lowerLetter"/>
      <w:lvlText w:val="%5."/>
      <w:lvlJc w:val="left"/>
      <w:pPr>
        <w:ind w:left="3600" w:hanging="360"/>
      </w:pPr>
    </w:lvl>
    <w:lvl w:ilvl="5" w:tplc="F880D846">
      <w:start w:val="1"/>
      <w:numFmt w:val="lowerRoman"/>
      <w:lvlText w:val="%6."/>
      <w:lvlJc w:val="right"/>
      <w:pPr>
        <w:ind w:left="4320" w:hanging="180"/>
      </w:pPr>
    </w:lvl>
    <w:lvl w:ilvl="6" w:tplc="82F44910">
      <w:start w:val="1"/>
      <w:numFmt w:val="decimal"/>
      <w:lvlText w:val="%7."/>
      <w:lvlJc w:val="left"/>
      <w:pPr>
        <w:ind w:left="5040" w:hanging="360"/>
      </w:pPr>
    </w:lvl>
    <w:lvl w:ilvl="7" w:tplc="7532694C">
      <w:start w:val="1"/>
      <w:numFmt w:val="lowerLetter"/>
      <w:lvlText w:val="%8."/>
      <w:lvlJc w:val="left"/>
      <w:pPr>
        <w:ind w:left="5760" w:hanging="360"/>
      </w:pPr>
    </w:lvl>
    <w:lvl w:ilvl="8" w:tplc="E75A2966">
      <w:start w:val="1"/>
      <w:numFmt w:val="lowerRoman"/>
      <w:lvlText w:val="%9."/>
      <w:lvlJc w:val="right"/>
      <w:pPr>
        <w:ind w:left="6480" w:hanging="180"/>
      </w:pPr>
    </w:lvl>
  </w:abstractNum>
  <w:abstractNum w:abstractNumId="20"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66F267A"/>
    <w:multiLevelType w:val="hybridMultilevel"/>
    <w:tmpl w:val="6582ABB2"/>
    <w:lvl w:ilvl="0" w:tplc="0409000F">
      <w:start w:val="1"/>
      <w:numFmt w:val="decimal"/>
      <w:lvlText w:val="%1."/>
      <w:lvlJc w:val="left"/>
      <w:pPr>
        <w:ind w:left="760" w:hanging="360"/>
      </w:pPr>
      <w:rPr>
        <w:rFonts w:hint="default"/>
      </w:rPr>
    </w:lvl>
    <w:lvl w:ilvl="1" w:tplc="FFFFFFFF" w:tentative="1">
      <w:start w:val="1"/>
      <w:numFmt w:val="bullet"/>
      <w:lvlText w:val="o"/>
      <w:lvlJc w:val="left"/>
      <w:pPr>
        <w:ind w:left="1480" w:hanging="360"/>
      </w:pPr>
      <w:rPr>
        <w:rFonts w:ascii="Courier New" w:hAnsi="Courier New" w:cs="Courier New" w:hint="default"/>
      </w:rPr>
    </w:lvl>
    <w:lvl w:ilvl="2" w:tplc="FFFFFFFF" w:tentative="1">
      <w:start w:val="1"/>
      <w:numFmt w:val="bullet"/>
      <w:lvlText w:val=""/>
      <w:lvlJc w:val="left"/>
      <w:pPr>
        <w:ind w:left="2200" w:hanging="360"/>
      </w:pPr>
      <w:rPr>
        <w:rFonts w:ascii="Wingdings" w:hAnsi="Wingdings" w:hint="default"/>
      </w:rPr>
    </w:lvl>
    <w:lvl w:ilvl="3" w:tplc="FFFFFFFF" w:tentative="1">
      <w:start w:val="1"/>
      <w:numFmt w:val="bullet"/>
      <w:lvlText w:val=""/>
      <w:lvlJc w:val="left"/>
      <w:pPr>
        <w:ind w:left="2920" w:hanging="360"/>
      </w:pPr>
      <w:rPr>
        <w:rFonts w:ascii="Symbol" w:hAnsi="Symbol" w:hint="default"/>
      </w:rPr>
    </w:lvl>
    <w:lvl w:ilvl="4" w:tplc="FFFFFFFF" w:tentative="1">
      <w:start w:val="1"/>
      <w:numFmt w:val="bullet"/>
      <w:lvlText w:val="o"/>
      <w:lvlJc w:val="left"/>
      <w:pPr>
        <w:ind w:left="3640" w:hanging="360"/>
      </w:pPr>
      <w:rPr>
        <w:rFonts w:ascii="Courier New" w:hAnsi="Courier New" w:cs="Courier New" w:hint="default"/>
      </w:rPr>
    </w:lvl>
    <w:lvl w:ilvl="5" w:tplc="FFFFFFFF" w:tentative="1">
      <w:start w:val="1"/>
      <w:numFmt w:val="bullet"/>
      <w:lvlText w:val=""/>
      <w:lvlJc w:val="left"/>
      <w:pPr>
        <w:ind w:left="4360" w:hanging="360"/>
      </w:pPr>
      <w:rPr>
        <w:rFonts w:ascii="Wingdings" w:hAnsi="Wingdings" w:hint="default"/>
      </w:rPr>
    </w:lvl>
    <w:lvl w:ilvl="6" w:tplc="FFFFFFFF" w:tentative="1">
      <w:start w:val="1"/>
      <w:numFmt w:val="bullet"/>
      <w:lvlText w:val=""/>
      <w:lvlJc w:val="left"/>
      <w:pPr>
        <w:ind w:left="5080" w:hanging="360"/>
      </w:pPr>
      <w:rPr>
        <w:rFonts w:ascii="Symbol" w:hAnsi="Symbol" w:hint="default"/>
      </w:rPr>
    </w:lvl>
    <w:lvl w:ilvl="7" w:tplc="FFFFFFFF" w:tentative="1">
      <w:start w:val="1"/>
      <w:numFmt w:val="bullet"/>
      <w:lvlText w:val="o"/>
      <w:lvlJc w:val="left"/>
      <w:pPr>
        <w:ind w:left="5800" w:hanging="360"/>
      </w:pPr>
      <w:rPr>
        <w:rFonts w:ascii="Courier New" w:hAnsi="Courier New" w:cs="Courier New" w:hint="default"/>
      </w:rPr>
    </w:lvl>
    <w:lvl w:ilvl="8" w:tplc="FFFFFFFF" w:tentative="1">
      <w:start w:val="1"/>
      <w:numFmt w:val="bullet"/>
      <w:lvlText w:val=""/>
      <w:lvlJc w:val="left"/>
      <w:pPr>
        <w:ind w:left="6520" w:hanging="360"/>
      </w:pPr>
      <w:rPr>
        <w:rFonts w:ascii="Wingdings" w:hAnsi="Wingdings" w:hint="default"/>
      </w:rPr>
    </w:lvl>
  </w:abstractNum>
  <w:abstractNum w:abstractNumId="23" w15:restartNumberingAfterBreak="0">
    <w:nsid w:val="590D0E10"/>
    <w:multiLevelType w:val="multilevel"/>
    <w:tmpl w:val="6F324D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D2F2FCC"/>
    <w:multiLevelType w:val="hybridMultilevel"/>
    <w:tmpl w:val="AE325D84"/>
    <w:lvl w:ilvl="0" w:tplc="76FE66C0">
      <w:start w:val="3"/>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1" w15:restartNumberingAfterBreak="0">
    <w:nsid w:val="6C73374A"/>
    <w:multiLevelType w:val="hybridMultilevel"/>
    <w:tmpl w:val="927E9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E3E018E"/>
    <w:multiLevelType w:val="hybridMultilevel"/>
    <w:tmpl w:val="986E2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6CE024B"/>
    <w:multiLevelType w:val="hybridMultilevel"/>
    <w:tmpl w:val="73BA0B9A"/>
    <w:lvl w:ilvl="0" w:tplc="7584A9E8">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8975619">
    <w:abstractNumId w:val="5"/>
  </w:num>
  <w:num w:numId="2" w16cid:durableId="1495532731">
    <w:abstractNumId w:val="5"/>
  </w:num>
  <w:num w:numId="3" w16cid:durableId="994409496">
    <w:abstractNumId w:val="30"/>
  </w:num>
  <w:num w:numId="4" w16cid:durableId="1880320868">
    <w:abstractNumId w:val="6"/>
  </w:num>
  <w:num w:numId="5" w16cid:durableId="290864581">
    <w:abstractNumId w:val="16"/>
  </w:num>
  <w:num w:numId="6" w16cid:durableId="952590553">
    <w:abstractNumId w:val="34"/>
  </w:num>
  <w:num w:numId="7" w16cid:durableId="1159686949">
    <w:abstractNumId w:val="15"/>
  </w:num>
  <w:num w:numId="8" w16cid:durableId="765269892">
    <w:abstractNumId w:val="8"/>
  </w:num>
  <w:num w:numId="9" w16cid:durableId="1301960395">
    <w:abstractNumId w:val="11"/>
  </w:num>
  <w:num w:numId="10" w16cid:durableId="1228616548">
    <w:abstractNumId w:val="10"/>
  </w:num>
  <w:num w:numId="11" w16cid:durableId="2051027016">
    <w:abstractNumId w:val="9"/>
  </w:num>
  <w:num w:numId="12" w16cid:durableId="83380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35"/>
  </w:num>
  <w:num w:numId="15" w16cid:durableId="986476960">
    <w:abstractNumId w:val="27"/>
  </w:num>
  <w:num w:numId="16" w16cid:durableId="398749299">
    <w:abstractNumId w:val="33"/>
  </w:num>
  <w:num w:numId="17" w16cid:durableId="14076118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28"/>
  </w:num>
  <w:num w:numId="19" w16cid:durableId="558588771">
    <w:abstractNumId w:val="34"/>
  </w:num>
  <w:num w:numId="20" w16cid:durableId="1306933315">
    <w:abstractNumId w:val="13"/>
  </w:num>
  <w:num w:numId="21" w16cid:durableId="1623876054">
    <w:abstractNumId w:val="29"/>
  </w:num>
  <w:num w:numId="22" w16cid:durableId="783383837">
    <w:abstractNumId w:val="17"/>
  </w:num>
  <w:num w:numId="23" w16cid:durableId="2112964618">
    <w:abstractNumId w:val="26"/>
  </w:num>
  <w:num w:numId="24" w16cid:durableId="1958565453">
    <w:abstractNumId w:val="0"/>
  </w:num>
  <w:num w:numId="25" w16cid:durableId="1372725395">
    <w:abstractNumId w:val="24"/>
  </w:num>
  <w:num w:numId="26" w16cid:durableId="1686445133">
    <w:abstractNumId w:val="20"/>
  </w:num>
  <w:num w:numId="27" w16cid:durableId="1247768697">
    <w:abstractNumId w:val="12"/>
  </w:num>
  <w:num w:numId="28" w16cid:durableId="954170948">
    <w:abstractNumId w:val="2"/>
  </w:num>
  <w:num w:numId="29" w16cid:durableId="837424337">
    <w:abstractNumId w:val="21"/>
  </w:num>
  <w:num w:numId="30" w16cid:durableId="299657983">
    <w:abstractNumId w:val="7"/>
  </w:num>
  <w:num w:numId="31" w16cid:durableId="699822250">
    <w:abstractNumId w:val="18"/>
  </w:num>
  <w:num w:numId="32" w16cid:durableId="730466929">
    <w:abstractNumId w:val="14"/>
    <w:lvlOverride w:ilvl="0">
      <w:startOverride w:val="1"/>
    </w:lvlOverride>
  </w:num>
  <w:num w:numId="33" w16cid:durableId="552498262">
    <w:abstractNumId w:val="25"/>
  </w:num>
  <w:num w:numId="34" w16cid:durableId="1829132647">
    <w:abstractNumId w:val="14"/>
    <w:lvlOverride w:ilvl="0">
      <w:startOverride w:val="1"/>
    </w:lvlOverride>
  </w:num>
  <w:num w:numId="35" w16cid:durableId="1915964461">
    <w:abstractNumId w:val="14"/>
    <w:lvlOverride w:ilvl="0">
      <w:startOverride w:val="1"/>
    </w:lvlOverride>
  </w:num>
  <w:num w:numId="36" w16cid:durableId="1385182617">
    <w:abstractNumId w:val="14"/>
    <w:lvlOverride w:ilvl="0">
      <w:startOverride w:val="1"/>
    </w:lvlOverride>
  </w:num>
  <w:num w:numId="37" w16cid:durableId="2111315118">
    <w:abstractNumId w:val="31"/>
  </w:num>
  <w:num w:numId="38" w16cid:durableId="631523650">
    <w:abstractNumId w:val="19"/>
  </w:num>
  <w:num w:numId="39" w16cid:durableId="1945842204">
    <w:abstractNumId w:val="4"/>
  </w:num>
  <w:num w:numId="40" w16cid:durableId="1905487992">
    <w:abstractNumId w:val="36"/>
  </w:num>
  <w:num w:numId="41" w16cid:durableId="935288984">
    <w:abstractNumId w:val="3"/>
  </w:num>
  <w:num w:numId="42" w16cid:durableId="1481923344">
    <w:abstractNumId w:val="22"/>
  </w:num>
  <w:num w:numId="43" w16cid:durableId="438261798">
    <w:abstractNumId w:val="23"/>
  </w:num>
  <w:num w:numId="44" w16cid:durableId="624505931">
    <w:abstractNumId w:val="32"/>
  </w:num>
  <w:num w:numId="45" w16cid:durableId="553586778">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activeWritingStyle w:appName="MSWord" w:lang="en-US" w:vendorID="64" w:dllVersion="0" w:nlCheck="1" w:checkStyle="0"/>
  <w:activeWritingStyle w:appName="MSWord" w:lang="en-GB" w:vendorID="64" w:dllVersion="0" w:nlCheck="1" w:checkStyle="0"/>
  <w:activeWritingStyle w:appName="MSWord" w:lang="it-IT" w:vendorID="64" w:dllVersion="0" w:nlCheck="1" w:checkStyle="0"/>
  <w:proofState w:spelling="clean"/>
  <w:attachedTemplate r:id="rId1"/>
  <w:documentProtection w:edit="readOnly" w:enforcement="1" w:cryptProviderType="rsaAES" w:cryptAlgorithmClass="hash" w:cryptAlgorithmType="typeAny" w:cryptAlgorithmSid="14" w:cryptSpinCount="100000" w:hash="nAphKpkaeZEPo4cL34GqxI1GhByEj+ZfUlxttBRS1W1NpR3oZRkLRVwmpgy47+A1FK/eSpf35TYVrWfFOYTE7w==" w:salt="q1RVhAxdIzK7AQZzP5Pty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380B"/>
    <w:rsid w:val="00005505"/>
    <w:rsid w:val="00006275"/>
    <w:rsid w:val="00006971"/>
    <w:rsid w:val="00006B5E"/>
    <w:rsid w:val="00011CC1"/>
    <w:rsid w:val="00011F6C"/>
    <w:rsid w:val="0001249B"/>
    <w:rsid w:val="00012D68"/>
    <w:rsid w:val="000142BB"/>
    <w:rsid w:val="0001633D"/>
    <w:rsid w:val="0001726F"/>
    <w:rsid w:val="00020098"/>
    <w:rsid w:val="00020300"/>
    <w:rsid w:val="00021A9A"/>
    <w:rsid w:val="00022ADA"/>
    <w:rsid w:val="00026327"/>
    <w:rsid w:val="00027EC9"/>
    <w:rsid w:val="000310AB"/>
    <w:rsid w:val="00033934"/>
    <w:rsid w:val="00036C09"/>
    <w:rsid w:val="000372BF"/>
    <w:rsid w:val="000405C8"/>
    <w:rsid w:val="00040A52"/>
    <w:rsid w:val="00040F3D"/>
    <w:rsid w:val="00044C5A"/>
    <w:rsid w:val="00044E0A"/>
    <w:rsid w:val="00047C57"/>
    <w:rsid w:val="00054E00"/>
    <w:rsid w:val="000550F4"/>
    <w:rsid w:val="00061B2B"/>
    <w:rsid w:val="000627C5"/>
    <w:rsid w:val="0006448C"/>
    <w:rsid w:val="0006449B"/>
    <w:rsid w:val="000655AD"/>
    <w:rsid w:val="00066FD1"/>
    <w:rsid w:val="00072BF9"/>
    <w:rsid w:val="00073DF9"/>
    <w:rsid w:val="0007767E"/>
    <w:rsid w:val="0007796D"/>
    <w:rsid w:val="000830DA"/>
    <w:rsid w:val="00083FBB"/>
    <w:rsid w:val="00086F71"/>
    <w:rsid w:val="000921E6"/>
    <w:rsid w:val="00092D6C"/>
    <w:rsid w:val="00093239"/>
    <w:rsid w:val="00093DDA"/>
    <w:rsid w:val="00094D34"/>
    <w:rsid w:val="000A03C9"/>
    <w:rsid w:val="000A12CC"/>
    <w:rsid w:val="000A2738"/>
    <w:rsid w:val="000A2DF1"/>
    <w:rsid w:val="000A30BD"/>
    <w:rsid w:val="000A3D10"/>
    <w:rsid w:val="000A409B"/>
    <w:rsid w:val="000A66FC"/>
    <w:rsid w:val="000A741E"/>
    <w:rsid w:val="000B1615"/>
    <w:rsid w:val="000B2AAF"/>
    <w:rsid w:val="000B2E26"/>
    <w:rsid w:val="000B5D3D"/>
    <w:rsid w:val="000C0CE0"/>
    <w:rsid w:val="000C11CD"/>
    <w:rsid w:val="000C2400"/>
    <w:rsid w:val="000C299C"/>
    <w:rsid w:val="000C406A"/>
    <w:rsid w:val="000C5032"/>
    <w:rsid w:val="000C5ACC"/>
    <w:rsid w:val="000D0293"/>
    <w:rsid w:val="000D0850"/>
    <w:rsid w:val="000D1038"/>
    <w:rsid w:val="000D11A9"/>
    <w:rsid w:val="000D1E71"/>
    <w:rsid w:val="000D2D7B"/>
    <w:rsid w:val="000E0710"/>
    <w:rsid w:val="000E2232"/>
    <w:rsid w:val="000E3DB1"/>
    <w:rsid w:val="000E6946"/>
    <w:rsid w:val="000F0169"/>
    <w:rsid w:val="000F0951"/>
    <w:rsid w:val="000F2598"/>
    <w:rsid w:val="000F29C0"/>
    <w:rsid w:val="000F2BE6"/>
    <w:rsid w:val="000F474D"/>
    <w:rsid w:val="000F5C90"/>
    <w:rsid w:val="000F5EA6"/>
    <w:rsid w:val="000F7998"/>
    <w:rsid w:val="001000D7"/>
    <w:rsid w:val="00100ADC"/>
    <w:rsid w:val="0010429A"/>
    <w:rsid w:val="001052B6"/>
    <w:rsid w:val="00105424"/>
    <w:rsid w:val="001075EC"/>
    <w:rsid w:val="00113D82"/>
    <w:rsid w:val="00120F0D"/>
    <w:rsid w:val="001214DA"/>
    <w:rsid w:val="0012722A"/>
    <w:rsid w:val="00130402"/>
    <w:rsid w:val="0013090E"/>
    <w:rsid w:val="00130EF9"/>
    <w:rsid w:val="001319C7"/>
    <w:rsid w:val="001355E6"/>
    <w:rsid w:val="0013644A"/>
    <w:rsid w:val="00140762"/>
    <w:rsid w:val="00140BA6"/>
    <w:rsid w:val="00141946"/>
    <w:rsid w:val="00143220"/>
    <w:rsid w:val="00143DCA"/>
    <w:rsid w:val="00144AAD"/>
    <w:rsid w:val="001455E7"/>
    <w:rsid w:val="0014624E"/>
    <w:rsid w:val="001522DD"/>
    <w:rsid w:val="00155BAB"/>
    <w:rsid w:val="001572D0"/>
    <w:rsid w:val="001608B2"/>
    <w:rsid w:val="00160FE0"/>
    <w:rsid w:val="00162574"/>
    <w:rsid w:val="00163AB3"/>
    <w:rsid w:val="00165047"/>
    <w:rsid w:val="00165FF8"/>
    <w:rsid w:val="0016669F"/>
    <w:rsid w:val="00170AD6"/>
    <w:rsid w:val="001735B8"/>
    <w:rsid w:val="00177AA7"/>
    <w:rsid w:val="00180917"/>
    <w:rsid w:val="00180E53"/>
    <w:rsid w:val="00181CB7"/>
    <w:rsid w:val="0018606F"/>
    <w:rsid w:val="001862A5"/>
    <w:rsid w:val="00186A70"/>
    <w:rsid w:val="00191035"/>
    <w:rsid w:val="001918E5"/>
    <w:rsid w:val="00192A7A"/>
    <w:rsid w:val="00197AAF"/>
    <w:rsid w:val="001A1EF4"/>
    <w:rsid w:val="001A68A0"/>
    <w:rsid w:val="001A7046"/>
    <w:rsid w:val="001A710D"/>
    <w:rsid w:val="001A7E6F"/>
    <w:rsid w:val="001B0A27"/>
    <w:rsid w:val="001B0A77"/>
    <w:rsid w:val="001B1727"/>
    <w:rsid w:val="001B1B48"/>
    <w:rsid w:val="001B2151"/>
    <w:rsid w:val="001B3CFF"/>
    <w:rsid w:val="001B4957"/>
    <w:rsid w:val="001B4996"/>
    <w:rsid w:val="001B4EC9"/>
    <w:rsid w:val="001B59AD"/>
    <w:rsid w:val="001C0E59"/>
    <w:rsid w:val="001C432D"/>
    <w:rsid w:val="001C469E"/>
    <w:rsid w:val="001C56C3"/>
    <w:rsid w:val="001C5D8C"/>
    <w:rsid w:val="001C7E0A"/>
    <w:rsid w:val="001D0112"/>
    <w:rsid w:val="001D19F5"/>
    <w:rsid w:val="001D385A"/>
    <w:rsid w:val="001D3AC4"/>
    <w:rsid w:val="001D6B39"/>
    <w:rsid w:val="001E1ECD"/>
    <w:rsid w:val="001E3E0D"/>
    <w:rsid w:val="001E4A45"/>
    <w:rsid w:val="001E5AB7"/>
    <w:rsid w:val="001E5E30"/>
    <w:rsid w:val="001F0479"/>
    <w:rsid w:val="001F1F10"/>
    <w:rsid w:val="001F23C9"/>
    <w:rsid w:val="001F3999"/>
    <w:rsid w:val="001F3D9D"/>
    <w:rsid w:val="001F4AC8"/>
    <w:rsid w:val="00200894"/>
    <w:rsid w:val="002022EC"/>
    <w:rsid w:val="00202333"/>
    <w:rsid w:val="00202FA8"/>
    <w:rsid w:val="002034B8"/>
    <w:rsid w:val="00205922"/>
    <w:rsid w:val="00206FB8"/>
    <w:rsid w:val="0020766F"/>
    <w:rsid w:val="00207A07"/>
    <w:rsid w:val="00210181"/>
    <w:rsid w:val="00210498"/>
    <w:rsid w:val="0021147A"/>
    <w:rsid w:val="00213BFB"/>
    <w:rsid w:val="002156A3"/>
    <w:rsid w:val="00217478"/>
    <w:rsid w:val="00220938"/>
    <w:rsid w:val="00224806"/>
    <w:rsid w:val="00226840"/>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991"/>
    <w:rsid w:val="00254CC2"/>
    <w:rsid w:val="00256CCC"/>
    <w:rsid w:val="002574D1"/>
    <w:rsid w:val="00261CCB"/>
    <w:rsid w:val="00262E56"/>
    <w:rsid w:val="002630C0"/>
    <w:rsid w:val="0026332A"/>
    <w:rsid w:val="002645A8"/>
    <w:rsid w:val="0026493B"/>
    <w:rsid w:val="00265566"/>
    <w:rsid w:val="00265F44"/>
    <w:rsid w:val="002665E3"/>
    <w:rsid w:val="0027199C"/>
    <w:rsid w:val="00272C4E"/>
    <w:rsid w:val="002751FC"/>
    <w:rsid w:val="002753BD"/>
    <w:rsid w:val="002809E5"/>
    <w:rsid w:val="00281456"/>
    <w:rsid w:val="00282B3A"/>
    <w:rsid w:val="00282D38"/>
    <w:rsid w:val="00282FBE"/>
    <w:rsid w:val="00284802"/>
    <w:rsid w:val="00284AF2"/>
    <w:rsid w:val="0028536B"/>
    <w:rsid w:val="00285CED"/>
    <w:rsid w:val="00285EB5"/>
    <w:rsid w:val="00287C8F"/>
    <w:rsid w:val="00290893"/>
    <w:rsid w:val="002917B9"/>
    <w:rsid w:val="00291A55"/>
    <w:rsid w:val="0029394C"/>
    <w:rsid w:val="002A13B0"/>
    <w:rsid w:val="002A2A39"/>
    <w:rsid w:val="002A2C91"/>
    <w:rsid w:val="002A6C21"/>
    <w:rsid w:val="002A780E"/>
    <w:rsid w:val="002B0723"/>
    <w:rsid w:val="002B144C"/>
    <w:rsid w:val="002B53F3"/>
    <w:rsid w:val="002C03FD"/>
    <w:rsid w:val="002C044D"/>
    <w:rsid w:val="002C1AA5"/>
    <w:rsid w:val="002C2542"/>
    <w:rsid w:val="002C2A46"/>
    <w:rsid w:val="002C3048"/>
    <w:rsid w:val="002C76AE"/>
    <w:rsid w:val="002D2992"/>
    <w:rsid w:val="002D32C8"/>
    <w:rsid w:val="002D37A0"/>
    <w:rsid w:val="002D44E4"/>
    <w:rsid w:val="002D5AB5"/>
    <w:rsid w:val="002D6667"/>
    <w:rsid w:val="002D761A"/>
    <w:rsid w:val="002D79F3"/>
    <w:rsid w:val="002E1C11"/>
    <w:rsid w:val="002E3D0B"/>
    <w:rsid w:val="002E3E7D"/>
    <w:rsid w:val="002E685C"/>
    <w:rsid w:val="002E6A8E"/>
    <w:rsid w:val="002F6279"/>
    <w:rsid w:val="00300F55"/>
    <w:rsid w:val="003013B7"/>
    <w:rsid w:val="00301993"/>
    <w:rsid w:val="00301E55"/>
    <w:rsid w:val="00303B9D"/>
    <w:rsid w:val="00307397"/>
    <w:rsid w:val="00307BFF"/>
    <w:rsid w:val="003101EF"/>
    <w:rsid w:val="00312BDD"/>
    <w:rsid w:val="00314117"/>
    <w:rsid w:val="00317EDF"/>
    <w:rsid w:val="00322B55"/>
    <w:rsid w:val="003279E7"/>
    <w:rsid w:val="00327B62"/>
    <w:rsid w:val="00331FE9"/>
    <w:rsid w:val="00332BD6"/>
    <w:rsid w:val="0033324D"/>
    <w:rsid w:val="0033587C"/>
    <w:rsid w:val="0033696D"/>
    <w:rsid w:val="00336BF9"/>
    <w:rsid w:val="003371E8"/>
    <w:rsid w:val="00337471"/>
    <w:rsid w:val="00340647"/>
    <w:rsid w:val="0034151D"/>
    <w:rsid w:val="00342B5B"/>
    <w:rsid w:val="00343532"/>
    <w:rsid w:val="00345469"/>
    <w:rsid w:val="003454ED"/>
    <w:rsid w:val="00345EB9"/>
    <w:rsid w:val="0035030F"/>
    <w:rsid w:val="003519DD"/>
    <w:rsid w:val="00351B68"/>
    <w:rsid w:val="00351F68"/>
    <w:rsid w:val="00353C4B"/>
    <w:rsid w:val="003545A6"/>
    <w:rsid w:val="00356C60"/>
    <w:rsid w:val="003578D1"/>
    <w:rsid w:val="00363639"/>
    <w:rsid w:val="00366D42"/>
    <w:rsid w:val="0036748C"/>
    <w:rsid w:val="00371FAA"/>
    <w:rsid w:val="00372615"/>
    <w:rsid w:val="00372EA3"/>
    <w:rsid w:val="0037311D"/>
    <w:rsid w:val="0037358E"/>
    <w:rsid w:val="00373A3C"/>
    <w:rsid w:val="00373AB8"/>
    <w:rsid w:val="00373FCF"/>
    <w:rsid w:val="00374193"/>
    <w:rsid w:val="00376233"/>
    <w:rsid w:val="00380B30"/>
    <w:rsid w:val="00381784"/>
    <w:rsid w:val="00381EB0"/>
    <w:rsid w:val="00382A72"/>
    <w:rsid w:val="00382CA6"/>
    <w:rsid w:val="00382EBA"/>
    <w:rsid w:val="0038331A"/>
    <w:rsid w:val="003875D3"/>
    <w:rsid w:val="0039135B"/>
    <w:rsid w:val="003A34E7"/>
    <w:rsid w:val="003A3CB1"/>
    <w:rsid w:val="003A3D55"/>
    <w:rsid w:val="003A4618"/>
    <w:rsid w:val="003A5CC4"/>
    <w:rsid w:val="003A73A4"/>
    <w:rsid w:val="003B102E"/>
    <w:rsid w:val="003B26BA"/>
    <w:rsid w:val="003B4E3D"/>
    <w:rsid w:val="003B7E44"/>
    <w:rsid w:val="003C167E"/>
    <w:rsid w:val="003C481D"/>
    <w:rsid w:val="003C4EB5"/>
    <w:rsid w:val="003D1099"/>
    <w:rsid w:val="003D2CED"/>
    <w:rsid w:val="003D344A"/>
    <w:rsid w:val="003D3BB8"/>
    <w:rsid w:val="003D72F4"/>
    <w:rsid w:val="003D7C07"/>
    <w:rsid w:val="003E13FD"/>
    <w:rsid w:val="003E1C24"/>
    <w:rsid w:val="003E61FC"/>
    <w:rsid w:val="003E77BC"/>
    <w:rsid w:val="003F0087"/>
    <w:rsid w:val="003F0EDF"/>
    <w:rsid w:val="003F20C7"/>
    <w:rsid w:val="003F35B0"/>
    <w:rsid w:val="003F39B1"/>
    <w:rsid w:val="003F3ABF"/>
    <w:rsid w:val="003F3CDE"/>
    <w:rsid w:val="00400D9C"/>
    <w:rsid w:val="00400FBE"/>
    <w:rsid w:val="004022CF"/>
    <w:rsid w:val="004029B1"/>
    <w:rsid w:val="004038F1"/>
    <w:rsid w:val="00404282"/>
    <w:rsid w:val="00404ED5"/>
    <w:rsid w:val="0040743A"/>
    <w:rsid w:val="00407623"/>
    <w:rsid w:val="00407A74"/>
    <w:rsid w:val="004114D5"/>
    <w:rsid w:val="00414210"/>
    <w:rsid w:val="00414DB4"/>
    <w:rsid w:val="004159DB"/>
    <w:rsid w:val="004171F5"/>
    <w:rsid w:val="00420FD4"/>
    <w:rsid w:val="004242B3"/>
    <w:rsid w:val="00424A4F"/>
    <w:rsid w:val="00426D62"/>
    <w:rsid w:val="00427A89"/>
    <w:rsid w:val="00430C5B"/>
    <w:rsid w:val="00431968"/>
    <w:rsid w:val="00433936"/>
    <w:rsid w:val="00434177"/>
    <w:rsid w:val="0043475E"/>
    <w:rsid w:val="00435FE9"/>
    <w:rsid w:val="00436279"/>
    <w:rsid w:val="0044199E"/>
    <w:rsid w:val="0044206D"/>
    <w:rsid w:val="00444803"/>
    <w:rsid w:val="00445696"/>
    <w:rsid w:val="00446E5F"/>
    <w:rsid w:val="00450C4E"/>
    <w:rsid w:val="00455577"/>
    <w:rsid w:val="00456795"/>
    <w:rsid w:val="00456F98"/>
    <w:rsid w:val="004578B3"/>
    <w:rsid w:val="0046150E"/>
    <w:rsid w:val="00461CC8"/>
    <w:rsid w:val="00462B2F"/>
    <w:rsid w:val="00462E09"/>
    <w:rsid w:val="00465EAA"/>
    <w:rsid w:val="004708CA"/>
    <w:rsid w:val="004709E7"/>
    <w:rsid w:val="00470ADE"/>
    <w:rsid w:val="004712C7"/>
    <w:rsid w:val="00474736"/>
    <w:rsid w:val="004759EB"/>
    <w:rsid w:val="00477919"/>
    <w:rsid w:val="00481AD0"/>
    <w:rsid w:val="00482611"/>
    <w:rsid w:val="00482A27"/>
    <w:rsid w:val="00483484"/>
    <w:rsid w:val="00487DCE"/>
    <w:rsid w:val="00492701"/>
    <w:rsid w:val="004950B7"/>
    <w:rsid w:val="0049534D"/>
    <w:rsid w:val="00497209"/>
    <w:rsid w:val="00497FEA"/>
    <w:rsid w:val="004A22F3"/>
    <w:rsid w:val="004A75F5"/>
    <w:rsid w:val="004B07B2"/>
    <w:rsid w:val="004B0955"/>
    <w:rsid w:val="004B143D"/>
    <w:rsid w:val="004B1842"/>
    <w:rsid w:val="004B1D1B"/>
    <w:rsid w:val="004B25D0"/>
    <w:rsid w:val="004B3553"/>
    <w:rsid w:val="004B5E92"/>
    <w:rsid w:val="004B6859"/>
    <w:rsid w:val="004C0A30"/>
    <w:rsid w:val="004C357C"/>
    <w:rsid w:val="004C3D18"/>
    <w:rsid w:val="004D19BD"/>
    <w:rsid w:val="004D2D3F"/>
    <w:rsid w:val="004D42B1"/>
    <w:rsid w:val="004D526F"/>
    <w:rsid w:val="004E0583"/>
    <w:rsid w:val="004E19C0"/>
    <w:rsid w:val="004E1C54"/>
    <w:rsid w:val="004E21FE"/>
    <w:rsid w:val="004E2C37"/>
    <w:rsid w:val="004E5285"/>
    <w:rsid w:val="004F02AF"/>
    <w:rsid w:val="004F0CF3"/>
    <w:rsid w:val="004F5740"/>
    <w:rsid w:val="004F58C9"/>
    <w:rsid w:val="005028B9"/>
    <w:rsid w:val="00503A3F"/>
    <w:rsid w:val="00505E17"/>
    <w:rsid w:val="00511A59"/>
    <w:rsid w:val="00511C3B"/>
    <w:rsid w:val="00513DA2"/>
    <w:rsid w:val="00514440"/>
    <w:rsid w:val="005166C3"/>
    <w:rsid w:val="00520F7C"/>
    <w:rsid w:val="00523974"/>
    <w:rsid w:val="00526E5D"/>
    <w:rsid w:val="00527517"/>
    <w:rsid w:val="00531432"/>
    <w:rsid w:val="00532BC8"/>
    <w:rsid w:val="005333E8"/>
    <w:rsid w:val="00534912"/>
    <w:rsid w:val="00534CA7"/>
    <w:rsid w:val="005370E7"/>
    <w:rsid w:val="005409B7"/>
    <w:rsid w:val="00545E62"/>
    <w:rsid w:val="00551070"/>
    <w:rsid w:val="00552C8A"/>
    <w:rsid w:val="00555156"/>
    <w:rsid w:val="0055535B"/>
    <w:rsid w:val="00560A96"/>
    <w:rsid w:val="0056160D"/>
    <w:rsid w:val="00561793"/>
    <w:rsid w:val="005619CB"/>
    <w:rsid w:val="00561B71"/>
    <w:rsid w:val="00561F98"/>
    <w:rsid w:val="00564607"/>
    <w:rsid w:val="00565193"/>
    <w:rsid w:val="005664AB"/>
    <w:rsid w:val="005725BD"/>
    <w:rsid w:val="005730B0"/>
    <w:rsid w:val="00575DCC"/>
    <w:rsid w:val="00576AAD"/>
    <w:rsid w:val="005821B0"/>
    <w:rsid w:val="00582C43"/>
    <w:rsid w:val="0059175F"/>
    <w:rsid w:val="00591AAC"/>
    <w:rsid w:val="00595F08"/>
    <w:rsid w:val="00595FBE"/>
    <w:rsid w:val="005A1C55"/>
    <w:rsid w:val="005A4636"/>
    <w:rsid w:val="005A5EF1"/>
    <w:rsid w:val="005B169D"/>
    <w:rsid w:val="005B236A"/>
    <w:rsid w:val="005B467C"/>
    <w:rsid w:val="005B4A69"/>
    <w:rsid w:val="005B4ACA"/>
    <w:rsid w:val="005B6B12"/>
    <w:rsid w:val="005C19E9"/>
    <w:rsid w:val="005C2DBC"/>
    <w:rsid w:val="005C5F13"/>
    <w:rsid w:val="005C65F9"/>
    <w:rsid w:val="005C6B0E"/>
    <w:rsid w:val="005C7E1F"/>
    <w:rsid w:val="005D1B9E"/>
    <w:rsid w:val="005D1F6B"/>
    <w:rsid w:val="005D2DE7"/>
    <w:rsid w:val="005D331C"/>
    <w:rsid w:val="005D54DC"/>
    <w:rsid w:val="005D6355"/>
    <w:rsid w:val="005D7AAF"/>
    <w:rsid w:val="005E0C59"/>
    <w:rsid w:val="005E15A2"/>
    <w:rsid w:val="005E18DE"/>
    <w:rsid w:val="005E1DA3"/>
    <w:rsid w:val="005E306B"/>
    <w:rsid w:val="005E3669"/>
    <w:rsid w:val="005E53D0"/>
    <w:rsid w:val="005E5785"/>
    <w:rsid w:val="005E6098"/>
    <w:rsid w:val="005E7969"/>
    <w:rsid w:val="005F0C93"/>
    <w:rsid w:val="005F18ED"/>
    <w:rsid w:val="005F3F22"/>
    <w:rsid w:val="005F4FC0"/>
    <w:rsid w:val="005F540F"/>
    <w:rsid w:val="005F5491"/>
    <w:rsid w:val="005F6144"/>
    <w:rsid w:val="005F6573"/>
    <w:rsid w:val="005F75F3"/>
    <w:rsid w:val="00601541"/>
    <w:rsid w:val="0060361E"/>
    <w:rsid w:val="00603AB3"/>
    <w:rsid w:val="006040AD"/>
    <w:rsid w:val="00604A25"/>
    <w:rsid w:val="0060632F"/>
    <w:rsid w:val="00606683"/>
    <w:rsid w:val="006072C6"/>
    <w:rsid w:val="00613BF6"/>
    <w:rsid w:val="00616D27"/>
    <w:rsid w:val="00621E11"/>
    <w:rsid w:val="006234FE"/>
    <w:rsid w:val="00623840"/>
    <w:rsid w:val="006255EC"/>
    <w:rsid w:val="00625A25"/>
    <w:rsid w:val="0062736A"/>
    <w:rsid w:val="0063565E"/>
    <w:rsid w:val="00636E02"/>
    <w:rsid w:val="006372FE"/>
    <w:rsid w:val="00640691"/>
    <w:rsid w:val="00641DB1"/>
    <w:rsid w:val="00642297"/>
    <w:rsid w:val="00642E1F"/>
    <w:rsid w:val="00644A34"/>
    <w:rsid w:val="00651960"/>
    <w:rsid w:val="00654824"/>
    <w:rsid w:val="00655791"/>
    <w:rsid w:val="00661766"/>
    <w:rsid w:val="00662882"/>
    <w:rsid w:val="0066298C"/>
    <w:rsid w:val="00663008"/>
    <w:rsid w:val="00663093"/>
    <w:rsid w:val="00665A7C"/>
    <w:rsid w:val="00665B0B"/>
    <w:rsid w:val="006705CD"/>
    <w:rsid w:val="00670A56"/>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172D"/>
    <w:rsid w:val="006A23F3"/>
    <w:rsid w:val="006A2CF3"/>
    <w:rsid w:val="006A5047"/>
    <w:rsid w:val="006A5E48"/>
    <w:rsid w:val="006A7A10"/>
    <w:rsid w:val="006A7E17"/>
    <w:rsid w:val="006B0DA4"/>
    <w:rsid w:val="006B1B6B"/>
    <w:rsid w:val="006B2C57"/>
    <w:rsid w:val="006B391B"/>
    <w:rsid w:val="006B79E0"/>
    <w:rsid w:val="006C0B2D"/>
    <w:rsid w:val="006C1633"/>
    <w:rsid w:val="006C5BF8"/>
    <w:rsid w:val="006C791B"/>
    <w:rsid w:val="006C7CCB"/>
    <w:rsid w:val="006D2EE6"/>
    <w:rsid w:val="006D3F14"/>
    <w:rsid w:val="006D3FDF"/>
    <w:rsid w:val="006D6009"/>
    <w:rsid w:val="006D7D41"/>
    <w:rsid w:val="006E2F4D"/>
    <w:rsid w:val="006E3FDD"/>
    <w:rsid w:val="006E58FB"/>
    <w:rsid w:val="006E5D82"/>
    <w:rsid w:val="006E66B2"/>
    <w:rsid w:val="006E6C50"/>
    <w:rsid w:val="006E7A69"/>
    <w:rsid w:val="006E7DE4"/>
    <w:rsid w:val="006F3904"/>
    <w:rsid w:val="006F53E8"/>
    <w:rsid w:val="006F5FB8"/>
    <w:rsid w:val="0070017B"/>
    <w:rsid w:val="0070427E"/>
    <w:rsid w:val="00704D53"/>
    <w:rsid w:val="007056C3"/>
    <w:rsid w:val="00706072"/>
    <w:rsid w:val="00713644"/>
    <w:rsid w:val="007146AA"/>
    <w:rsid w:val="007148CC"/>
    <w:rsid w:val="00721256"/>
    <w:rsid w:val="007217AD"/>
    <w:rsid w:val="007219A9"/>
    <w:rsid w:val="00723BA1"/>
    <w:rsid w:val="00724A1B"/>
    <w:rsid w:val="0073173E"/>
    <w:rsid w:val="007319C3"/>
    <w:rsid w:val="0073454F"/>
    <w:rsid w:val="00735C00"/>
    <w:rsid w:val="007364C6"/>
    <w:rsid w:val="00740BF3"/>
    <w:rsid w:val="00741D5C"/>
    <w:rsid w:val="0074352F"/>
    <w:rsid w:val="00747C5E"/>
    <w:rsid w:val="00750210"/>
    <w:rsid w:val="00750618"/>
    <w:rsid w:val="0075162F"/>
    <w:rsid w:val="00754844"/>
    <w:rsid w:val="00754B57"/>
    <w:rsid w:val="007552C7"/>
    <w:rsid w:val="0075671D"/>
    <w:rsid w:val="0076002F"/>
    <w:rsid w:val="0076038B"/>
    <w:rsid w:val="00761744"/>
    <w:rsid w:val="00762B6D"/>
    <w:rsid w:val="00764582"/>
    <w:rsid w:val="00765FA3"/>
    <w:rsid w:val="00766177"/>
    <w:rsid w:val="00766961"/>
    <w:rsid w:val="00766B5A"/>
    <w:rsid w:val="007678D6"/>
    <w:rsid w:val="0077026A"/>
    <w:rsid w:val="00770C33"/>
    <w:rsid w:val="00773272"/>
    <w:rsid w:val="00773465"/>
    <w:rsid w:val="007741C3"/>
    <w:rsid w:val="00777BE0"/>
    <w:rsid w:val="00777CFF"/>
    <w:rsid w:val="00780923"/>
    <w:rsid w:val="00781265"/>
    <w:rsid w:val="0078131F"/>
    <w:rsid w:val="007844C6"/>
    <w:rsid w:val="007876EF"/>
    <w:rsid w:val="00790306"/>
    <w:rsid w:val="00793573"/>
    <w:rsid w:val="0079364C"/>
    <w:rsid w:val="00793C6C"/>
    <w:rsid w:val="007942B9"/>
    <w:rsid w:val="00796C7F"/>
    <w:rsid w:val="00797E0C"/>
    <w:rsid w:val="007A160F"/>
    <w:rsid w:val="007A48BC"/>
    <w:rsid w:val="007A51D4"/>
    <w:rsid w:val="007B0BC1"/>
    <w:rsid w:val="007B354B"/>
    <w:rsid w:val="007B4FC3"/>
    <w:rsid w:val="007B73F3"/>
    <w:rsid w:val="007B7EE5"/>
    <w:rsid w:val="007C1C28"/>
    <w:rsid w:val="007C2409"/>
    <w:rsid w:val="007C2A2C"/>
    <w:rsid w:val="007C3577"/>
    <w:rsid w:val="007C5E08"/>
    <w:rsid w:val="007C5F2A"/>
    <w:rsid w:val="007C660A"/>
    <w:rsid w:val="007D0002"/>
    <w:rsid w:val="007D7A59"/>
    <w:rsid w:val="007E0E75"/>
    <w:rsid w:val="007E53F5"/>
    <w:rsid w:val="007E6E9E"/>
    <w:rsid w:val="007E7637"/>
    <w:rsid w:val="007E7997"/>
    <w:rsid w:val="007F014A"/>
    <w:rsid w:val="007F04EF"/>
    <w:rsid w:val="007F0763"/>
    <w:rsid w:val="007F1DE9"/>
    <w:rsid w:val="007F25C2"/>
    <w:rsid w:val="007F4F88"/>
    <w:rsid w:val="007F5642"/>
    <w:rsid w:val="007F5822"/>
    <w:rsid w:val="007F5B86"/>
    <w:rsid w:val="00800A7F"/>
    <w:rsid w:val="0080285D"/>
    <w:rsid w:val="0081028F"/>
    <w:rsid w:val="008107D9"/>
    <w:rsid w:val="0081093B"/>
    <w:rsid w:val="008116D9"/>
    <w:rsid w:val="00811936"/>
    <w:rsid w:val="00811CBF"/>
    <w:rsid w:val="00812BE2"/>
    <w:rsid w:val="00813059"/>
    <w:rsid w:val="008157C8"/>
    <w:rsid w:val="00815C43"/>
    <w:rsid w:val="008173E2"/>
    <w:rsid w:val="008201C3"/>
    <w:rsid w:val="00820422"/>
    <w:rsid w:val="00820655"/>
    <w:rsid w:val="008227D7"/>
    <w:rsid w:val="008249A1"/>
    <w:rsid w:val="00825D43"/>
    <w:rsid w:val="0082632D"/>
    <w:rsid w:val="008279D3"/>
    <w:rsid w:val="00832500"/>
    <w:rsid w:val="00832787"/>
    <w:rsid w:val="00833000"/>
    <w:rsid w:val="00835192"/>
    <w:rsid w:val="00835805"/>
    <w:rsid w:val="0083595F"/>
    <w:rsid w:val="008372B6"/>
    <w:rsid w:val="00843A1A"/>
    <w:rsid w:val="00846433"/>
    <w:rsid w:val="008472C2"/>
    <w:rsid w:val="00847E6A"/>
    <w:rsid w:val="00850B43"/>
    <w:rsid w:val="008510D9"/>
    <w:rsid w:val="00851EE3"/>
    <w:rsid w:val="00853121"/>
    <w:rsid w:val="008555E4"/>
    <w:rsid w:val="00864124"/>
    <w:rsid w:val="00864E60"/>
    <w:rsid w:val="00866A09"/>
    <w:rsid w:val="00871163"/>
    <w:rsid w:val="00871241"/>
    <w:rsid w:val="008712BF"/>
    <w:rsid w:val="00872209"/>
    <w:rsid w:val="008731EB"/>
    <w:rsid w:val="00873656"/>
    <w:rsid w:val="00880140"/>
    <w:rsid w:val="008842F7"/>
    <w:rsid w:val="00885B94"/>
    <w:rsid w:val="00886B61"/>
    <w:rsid w:val="0089075A"/>
    <w:rsid w:val="00890F80"/>
    <w:rsid w:val="00892BFD"/>
    <w:rsid w:val="0089338A"/>
    <w:rsid w:val="00894199"/>
    <w:rsid w:val="008948BE"/>
    <w:rsid w:val="00896D1F"/>
    <w:rsid w:val="00896D5B"/>
    <w:rsid w:val="008A1E27"/>
    <w:rsid w:val="008A2C86"/>
    <w:rsid w:val="008A6000"/>
    <w:rsid w:val="008A70A8"/>
    <w:rsid w:val="008A7FAC"/>
    <w:rsid w:val="008B1FD9"/>
    <w:rsid w:val="008B2AF1"/>
    <w:rsid w:val="008B5191"/>
    <w:rsid w:val="008B710D"/>
    <w:rsid w:val="008B7CA1"/>
    <w:rsid w:val="008C0177"/>
    <w:rsid w:val="008C0389"/>
    <w:rsid w:val="008C1B25"/>
    <w:rsid w:val="008C27D3"/>
    <w:rsid w:val="008C2C43"/>
    <w:rsid w:val="008C4B2B"/>
    <w:rsid w:val="008C5E91"/>
    <w:rsid w:val="008C686D"/>
    <w:rsid w:val="008C6B18"/>
    <w:rsid w:val="008C75E6"/>
    <w:rsid w:val="008C767A"/>
    <w:rsid w:val="008C7A73"/>
    <w:rsid w:val="008D0569"/>
    <w:rsid w:val="008D28FD"/>
    <w:rsid w:val="008D59F9"/>
    <w:rsid w:val="008D5C28"/>
    <w:rsid w:val="008E00A6"/>
    <w:rsid w:val="008E1710"/>
    <w:rsid w:val="008E2D26"/>
    <w:rsid w:val="008E3C8E"/>
    <w:rsid w:val="008E4076"/>
    <w:rsid w:val="008E5ACB"/>
    <w:rsid w:val="008E7DBA"/>
    <w:rsid w:val="008F1993"/>
    <w:rsid w:val="008F3386"/>
    <w:rsid w:val="008F3AD9"/>
    <w:rsid w:val="008F4642"/>
    <w:rsid w:val="008F4C29"/>
    <w:rsid w:val="008F4E00"/>
    <w:rsid w:val="008F6163"/>
    <w:rsid w:val="008F761D"/>
    <w:rsid w:val="008F7E80"/>
    <w:rsid w:val="00900D44"/>
    <w:rsid w:val="00902520"/>
    <w:rsid w:val="00906DC4"/>
    <w:rsid w:val="00911A61"/>
    <w:rsid w:val="00912B46"/>
    <w:rsid w:val="00913335"/>
    <w:rsid w:val="00914478"/>
    <w:rsid w:val="0091457F"/>
    <w:rsid w:val="009151D7"/>
    <w:rsid w:val="0091729E"/>
    <w:rsid w:val="00926BDA"/>
    <w:rsid w:val="00931615"/>
    <w:rsid w:val="0093261E"/>
    <w:rsid w:val="00937B82"/>
    <w:rsid w:val="0094008E"/>
    <w:rsid w:val="00941C0C"/>
    <w:rsid w:val="009437F2"/>
    <w:rsid w:val="0094528B"/>
    <w:rsid w:val="00960A8B"/>
    <w:rsid w:val="00965128"/>
    <w:rsid w:val="00967068"/>
    <w:rsid w:val="00971C54"/>
    <w:rsid w:val="00973F43"/>
    <w:rsid w:val="0097785D"/>
    <w:rsid w:val="0098011D"/>
    <w:rsid w:val="00981912"/>
    <w:rsid w:val="009819C0"/>
    <w:rsid w:val="009835AD"/>
    <w:rsid w:val="00984474"/>
    <w:rsid w:val="00987A75"/>
    <w:rsid w:val="00990C72"/>
    <w:rsid w:val="00991A8A"/>
    <w:rsid w:val="00991BED"/>
    <w:rsid w:val="00992611"/>
    <w:rsid w:val="00994303"/>
    <w:rsid w:val="00995019"/>
    <w:rsid w:val="0099526D"/>
    <w:rsid w:val="00996C8B"/>
    <w:rsid w:val="009A0054"/>
    <w:rsid w:val="009A0F6E"/>
    <w:rsid w:val="009A2D9C"/>
    <w:rsid w:val="009A38D9"/>
    <w:rsid w:val="009A5548"/>
    <w:rsid w:val="009A72CC"/>
    <w:rsid w:val="009A78F1"/>
    <w:rsid w:val="009B25C1"/>
    <w:rsid w:val="009B26DB"/>
    <w:rsid w:val="009B7B79"/>
    <w:rsid w:val="009C0383"/>
    <w:rsid w:val="009C145B"/>
    <w:rsid w:val="009C3E04"/>
    <w:rsid w:val="009C4FB0"/>
    <w:rsid w:val="009C75D1"/>
    <w:rsid w:val="009C7694"/>
    <w:rsid w:val="009C792D"/>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9F7BE9"/>
    <w:rsid w:val="00A02199"/>
    <w:rsid w:val="00A026A4"/>
    <w:rsid w:val="00A04044"/>
    <w:rsid w:val="00A055DD"/>
    <w:rsid w:val="00A111D2"/>
    <w:rsid w:val="00A11D0C"/>
    <w:rsid w:val="00A16579"/>
    <w:rsid w:val="00A24843"/>
    <w:rsid w:val="00A25AB7"/>
    <w:rsid w:val="00A26D48"/>
    <w:rsid w:val="00A31C7C"/>
    <w:rsid w:val="00A33411"/>
    <w:rsid w:val="00A367AA"/>
    <w:rsid w:val="00A368AD"/>
    <w:rsid w:val="00A378DF"/>
    <w:rsid w:val="00A37AC6"/>
    <w:rsid w:val="00A409C2"/>
    <w:rsid w:val="00A410CC"/>
    <w:rsid w:val="00A42B43"/>
    <w:rsid w:val="00A42BD0"/>
    <w:rsid w:val="00A433DC"/>
    <w:rsid w:val="00A460CD"/>
    <w:rsid w:val="00A50761"/>
    <w:rsid w:val="00A51DF2"/>
    <w:rsid w:val="00A53AF0"/>
    <w:rsid w:val="00A54ED7"/>
    <w:rsid w:val="00A55403"/>
    <w:rsid w:val="00A61561"/>
    <w:rsid w:val="00A63249"/>
    <w:rsid w:val="00A6691F"/>
    <w:rsid w:val="00A67E6A"/>
    <w:rsid w:val="00A70F49"/>
    <w:rsid w:val="00A72203"/>
    <w:rsid w:val="00A7281F"/>
    <w:rsid w:val="00A73299"/>
    <w:rsid w:val="00A73949"/>
    <w:rsid w:val="00A76707"/>
    <w:rsid w:val="00A7697E"/>
    <w:rsid w:val="00A76C98"/>
    <w:rsid w:val="00A76E20"/>
    <w:rsid w:val="00A770B3"/>
    <w:rsid w:val="00A8284E"/>
    <w:rsid w:val="00A85190"/>
    <w:rsid w:val="00A870EE"/>
    <w:rsid w:val="00A91D91"/>
    <w:rsid w:val="00A95D52"/>
    <w:rsid w:val="00A960E3"/>
    <w:rsid w:val="00A96F81"/>
    <w:rsid w:val="00A9709D"/>
    <w:rsid w:val="00A973A8"/>
    <w:rsid w:val="00AA01B2"/>
    <w:rsid w:val="00AA054E"/>
    <w:rsid w:val="00AA0A10"/>
    <w:rsid w:val="00AA2094"/>
    <w:rsid w:val="00AA2947"/>
    <w:rsid w:val="00AA7461"/>
    <w:rsid w:val="00AB1894"/>
    <w:rsid w:val="00AB22DF"/>
    <w:rsid w:val="00AB2C3F"/>
    <w:rsid w:val="00AB30EA"/>
    <w:rsid w:val="00AB458B"/>
    <w:rsid w:val="00AB45E4"/>
    <w:rsid w:val="00AB6157"/>
    <w:rsid w:val="00AB7542"/>
    <w:rsid w:val="00AC022D"/>
    <w:rsid w:val="00AC0629"/>
    <w:rsid w:val="00AC6E44"/>
    <w:rsid w:val="00AC70C7"/>
    <w:rsid w:val="00AC79E0"/>
    <w:rsid w:val="00AD32CE"/>
    <w:rsid w:val="00AD515A"/>
    <w:rsid w:val="00AD5187"/>
    <w:rsid w:val="00AD6B11"/>
    <w:rsid w:val="00AD6B34"/>
    <w:rsid w:val="00AD6F90"/>
    <w:rsid w:val="00AE0286"/>
    <w:rsid w:val="00AE247F"/>
    <w:rsid w:val="00AE4A24"/>
    <w:rsid w:val="00AE4FC7"/>
    <w:rsid w:val="00AE7235"/>
    <w:rsid w:val="00AF01E3"/>
    <w:rsid w:val="00AF080B"/>
    <w:rsid w:val="00AF23AE"/>
    <w:rsid w:val="00AF2EF7"/>
    <w:rsid w:val="00AF3741"/>
    <w:rsid w:val="00AF3B5C"/>
    <w:rsid w:val="00AF53A9"/>
    <w:rsid w:val="00B0014A"/>
    <w:rsid w:val="00B00B50"/>
    <w:rsid w:val="00B00DB2"/>
    <w:rsid w:val="00B016E3"/>
    <w:rsid w:val="00B02B0B"/>
    <w:rsid w:val="00B03817"/>
    <w:rsid w:val="00B04283"/>
    <w:rsid w:val="00B05BA8"/>
    <w:rsid w:val="00B0741D"/>
    <w:rsid w:val="00B07AD8"/>
    <w:rsid w:val="00B07B20"/>
    <w:rsid w:val="00B1081B"/>
    <w:rsid w:val="00B14406"/>
    <w:rsid w:val="00B14F01"/>
    <w:rsid w:val="00B15525"/>
    <w:rsid w:val="00B15C0B"/>
    <w:rsid w:val="00B16706"/>
    <w:rsid w:val="00B174BA"/>
    <w:rsid w:val="00B17AF3"/>
    <w:rsid w:val="00B223B5"/>
    <w:rsid w:val="00B229AD"/>
    <w:rsid w:val="00B237BC"/>
    <w:rsid w:val="00B26EBB"/>
    <w:rsid w:val="00B27499"/>
    <w:rsid w:val="00B31688"/>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643E"/>
    <w:rsid w:val="00B56736"/>
    <w:rsid w:val="00B57687"/>
    <w:rsid w:val="00B578E3"/>
    <w:rsid w:val="00B57CE5"/>
    <w:rsid w:val="00B63379"/>
    <w:rsid w:val="00B648F2"/>
    <w:rsid w:val="00B655D1"/>
    <w:rsid w:val="00B7002C"/>
    <w:rsid w:val="00B728C7"/>
    <w:rsid w:val="00B73FF2"/>
    <w:rsid w:val="00B74CBA"/>
    <w:rsid w:val="00B74ED3"/>
    <w:rsid w:val="00B768CF"/>
    <w:rsid w:val="00B77A83"/>
    <w:rsid w:val="00B81A44"/>
    <w:rsid w:val="00B86BB5"/>
    <w:rsid w:val="00B91072"/>
    <w:rsid w:val="00B91B6E"/>
    <w:rsid w:val="00B94B2C"/>
    <w:rsid w:val="00B96F7D"/>
    <w:rsid w:val="00B970D0"/>
    <w:rsid w:val="00BA49F4"/>
    <w:rsid w:val="00BA5C41"/>
    <w:rsid w:val="00BA6ACA"/>
    <w:rsid w:val="00BA7232"/>
    <w:rsid w:val="00BA7809"/>
    <w:rsid w:val="00BB29AA"/>
    <w:rsid w:val="00BB449C"/>
    <w:rsid w:val="00BB44D7"/>
    <w:rsid w:val="00BC2561"/>
    <w:rsid w:val="00BC3E3E"/>
    <w:rsid w:val="00BC422A"/>
    <w:rsid w:val="00BC5128"/>
    <w:rsid w:val="00BC5608"/>
    <w:rsid w:val="00BD04C9"/>
    <w:rsid w:val="00BD29C8"/>
    <w:rsid w:val="00BD3536"/>
    <w:rsid w:val="00BD37FD"/>
    <w:rsid w:val="00BE0B46"/>
    <w:rsid w:val="00BE225E"/>
    <w:rsid w:val="00BE237E"/>
    <w:rsid w:val="00BE3703"/>
    <w:rsid w:val="00BE4834"/>
    <w:rsid w:val="00BE567F"/>
    <w:rsid w:val="00BF0A29"/>
    <w:rsid w:val="00BF25CD"/>
    <w:rsid w:val="00BF5553"/>
    <w:rsid w:val="00BF75CD"/>
    <w:rsid w:val="00BF7716"/>
    <w:rsid w:val="00BF7E68"/>
    <w:rsid w:val="00C00D4F"/>
    <w:rsid w:val="00C00F1C"/>
    <w:rsid w:val="00C0346D"/>
    <w:rsid w:val="00C0358F"/>
    <w:rsid w:val="00C03BB0"/>
    <w:rsid w:val="00C041CF"/>
    <w:rsid w:val="00C0604B"/>
    <w:rsid w:val="00C0696A"/>
    <w:rsid w:val="00C11CFA"/>
    <w:rsid w:val="00C12034"/>
    <w:rsid w:val="00C1396B"/>
    <w:rsid w:val="00C1501F"/>
    <w:rsid w:val="00C16775"/>
    <w:rsid w:val="00C1698A"/>
    <w:rsid w:val="00C17150"/>
    <w:rsid w:val="00C17E6C"/>
    <w:rsid w:val="00C249CC"/>
    <w:rsid w:val="00C24E5F"/>
    <w:rsid w:val="00C255B6"/>
    <w:rsid w:val="00C262E7"/>
    <w:rsid w:val="00C26F3A"/>
    <w:rsid w:val="00C2770B"/>
    <w:rsid w:val="00C30296"/>
    <w:rsid w:val="00C3170E"/>
    <w:rsid w:val="00C31947"/>
    <w:rsid w:val="00C40053"/>
    <w:rsid w:val="00C4294D"/>
    <w:rsid w:val="00C444C8"/>
    <w:rsid w:val="00C452DD"/>
    <w:rsid w:val="00C45856"/>
    <w:rsid w:val="00C46240"/>
    <w:rsid w:val="00C46603"/>
    <w:rsid w:val="00C5320B"/>
    <w:rsid w:val="00C54316"/>
    <w:rsid w:val="00C55208"/>
    <w:rsid w:val="00C5527D"/>
    <w:rsid w:val="00C57FE8"/>
    <w:rsid w:val="00C61B1A"/>
    <w:rsid w:val="00C62A53"/>
    <w:rsid w:val="00C64502"/>
    <w:rsid w:val="00C709F9"/>
    <w:rsid w:val="00C70A12"/>
    <w:rsid w:val="00C70FF7"/>
    <w:rsid w:val="00C73A00"/>
    <w:rsid w:val="00C73A70"/>
    <w:rsid w:val="00C76054"/>
    <w:rsid w:val="00C779A2"/>
    <w:rsid w:val="00C80546"/>
    <w:rsid w:val="00C83CAD"/>
    <w:rsid w:val="00C8419E"/>
    <w:rsid w:val="00C850F0"/>
    <w:rsid w:val="00C851D7"/>
    <w:rsid w:val="00C85C8B"/>
    <w:rsid w:val="00C867AD"/>
    <w:rsid w:val="00C87F9F"/>
    <w:rsid w:val="00C914AA"/>
    <w:rsid w:val="00C9545D"/>
    <w:rsid w:val="00C9625C"/>
    <w:rsid w:val="00C97337"/>
    <w:rsid w:val="00C978C6"/>
    <w:rsid w:val="00C97F2A"/>
    <w:rsid w:val="00C97F9B"/>
    <w:rsid w:val="00CA112D"/>
    <w:rsid w:val="00CA1F9F"/>
    <w:rsid w:val="00CA2179"/>
    <w:rsid w:val="00CA3D8A"/>
    <w:rsid w:val="00CA4A87"/>
    <w:rsid w:val="00CB0C0C"/>
    <w:rsid w:val="00CB4B3E"/>
    <w:rsid w:val="00CB50EF"/>
    <w:rsid w:val="00CB623F"/>
    <w:rsid w:val="00CB791A"/>
    <w:rsid w:val="00CB7D1B"/>
    <w:rsid w:val="00CC11DF"/>
    <w:rsid w:val="00CC1A6E"/>
    <w:rsid w:val="00CC3F62"/>
    <w:rsid w:val="00CC536E"/>
    <w:rsid w:val="00CC59DD"/>
    <w:rsid w:val="00CC7FC6"/>
    <w:rsid w:val="00CD47B2"/>
    <w:rsid w:val="00CD5AFD"/>
    <w:rsid w:val="00CD6E6D"/>
    <w:rsid w:val="00CD7091"/>
    <w:rsid w:val="00CD74EB"/>
    <w:rsid w:val="00CE49F8"/>
    <w:rsid w:val="00CE4E1E"/>
    <w:rsid w:val="00CE66B5"/>
    <w:rsid w:val="00CF2D77"/>
    <w:rsid w:val="00CF52DF"/>
    <w:rsid w:val="00CF5832"/>
    <w:rsid w:val="00CF5911"/>
    <w:rsid w:val="00CF7221"/>
    <w:rsid w:val="00CF724E"/>
    <w:rsid w:val="00D059F5"/>
    <w:rsid w:val="00D117F5"/>
    <w:rsid w:val="00D11B30"/>
    <w:rsid w:val="00D13661"/>
    <w:rsid w:val="00D142BD"/>
    <w:rsid w:val="00D146DE"/>
    <w:rsid w:val="00D17FEC"/>
    <w:rsid w:val="00D200E7"/>
    <w:rsid w:val="00D21427"/>
    <w:rsid w:val="00D216E8"/>
    <w:rsid w:val="00D22164"/>
    <w:rsid w:val="00D22B86"/>
    <w:rsid w:val="00D22F2F"/>
    <w:rsid w:val="00D24194"/>
    <w:rsid w:val="00D2460F"/>
    <w:rsid w:val="00D2590F"/>
    <w:rsid w:val="00D26321"/>
    <w:rsid w:val="00D27150"/>
    <w:rsid w:val="00D27EB3"/>
    <w:rsid w:val="00D32D2A"/>
    <w:rsid w:val="00D35E02"/>
    <w:rsid w:val="00D378C9"/>
    <w:rsid w:val="00D37B9F"/>
    <w:rsid w:val="00D40FA1"/>
    <w:rsid w:val="00D41425"/>
    <w:rsid w:val="00D41EFF"/>
    <w:rsid w:val="00D41F38"/>
    <w:rsid w:val="00D46275"/>
    <w:rsid w:val="00D467CA"/>
    <w:rsid w:val="00D4759B"/>
    <w:rsid w:val="00D500A4"/>
    <w:rsid w:val="00D51205"/>
    <w:rsid w:val="00D516FC"/>
    <w:rsid w:val="00D51F2D"/>
    <w:rsid w:val="00D52143"/>
    <w:rsid w:val="00D53308"/>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658A1"/>
    <w:rsid w:val="00D65CEE"/>
    <w:rsid w:val="00D73338"/>
    <w:rsid w:val="00D757E8"/>
    <w:rsid w:val="00D775F3"/>
    <w:rsid w:val="00D77868"/>
    <w:rsid w:val="00D77F25"/>
    <w:rsid w:val="00D809B4"/>
    <w:rsid w:val="00D84C2A"/>
    <w:rsid w:val="00D9064B"/>
    <w:rsid w:val="00D95D17"/>
    <w:rsid w:val="00D978C6"/>
    <w:rsid w:val="00DA03F6"/>
    <w:rsid w:val="00DA134A"/>
    <w:rsid w:val="00DA1A2E"/>
    <w:rsid w:val="00DA3413"/>
    <w:rsid w:val="00DA426E"/>
    <w:rsid w:val="00DA4339"/>
    <w:rsid w:val="00DA462C"/>
    <w:rsid w:val="00DA4B1B"/>
    <w:rsid w:val="00DA4EFC"/>
    <w:rsid w:val="00DA648D"/>
    <w:rsid w:val="00DA6A7B"/>
    <w:rsid w:val="00DA726D"/>
    <w:rsid w:val="00DB1B8D"/>
    <w:rsid w:val="00DB2693"/>
    <w:rsid w:val="00DB377C"/>
    <w:rsid w:val="00DB3DEA"/>
    <w:rsid w:val="00DB40BD"/>
    <w:rsid w:val="00DB4B8E"/>
    <w:rsid w:val="00DB4F4B"/>
    <w:rsid w:val="00DC070F"/>
    <w:rsid w:val="00DC0CD3"/>
    <w:rsid w:val="00DC3178"/>
    <w:rsid w:val="00DC3462"/>
    <w:rsid w:val="00DC3858"/>
    <w:rsid w:val="00DC3A57"/>
    <w:rsid w:val="00DC5EFC"/>
    <w:rsid w:val="00DC7A95"/>
    <w:rsid w:val="00DD1DAF"/>
    <w:rsid w:val="00DD55C2"/>
    <w:rsid w:val="00DD759E"/>
    <w:rsid w:val="00DE314E"/>
    <w:rsid w:val="00DE4CFB"/>
    <w:rsid w:val="00DF045B"/>
    <w:rsid w:val="00DF0F58"/>
    <w:rsid w:val="00DF1ED8"/>
    <w:rsid w:val="00DF3785"/>
    <w:rsid w:val="00DF3D27"/>
    <w:rsid w:val="00DF6074"/>
    <w:rsid w:val="00E02239"/>
    <w:rsid w:val="00E047EC"/>
    <w:rsid w:val="00E07D42"/>
    <w:rsid w:val="00E12313"/>
    <w:rsid w:val="00E163E9"/>
    <w:rsid w:val="00E240F5"/>
    <w:rsid w:val="00E276F1"/>
    <w:rsid w:val="00E30004"/>
    <w:rsid w:val="00E31A5B"/>
    <w:rsid w:val="00E333AC"/>
    <w:rsid w:val="00E3456B"/>
    <w:rsid w:val="00E35C16"/>
    <w:rsid w:val="00E36085"/>
    <w:rsid w:val="00E36813"/>
    <w:rsid w:val="00E42382"/>
    <w:rsid w:val="00E550C7"/>
    <w:rsid w:val="00E603DF"/>
    <w:rsid w:val="00E616C6"/>
    <w:rsid w:val="00E63745"/>
    <w:rsid w:val="00E66134"/>
    <w:rsid w:val="00E6699F"/>
    <w:rsid w:val="00E67845"/>
    <w:rsid w:val="00E67B40"/>
    <w:rsid w:val="00E703AE"/>
    <w:rsid w:val="00E72373"/>
    <w:rsid w:val="00E72C92"/>
    <w:rsid w:val="00E74A40"/>
    <w:rsid w:val="00E76AF9"/>
    <w:rsid w:val="00E84EF0"/>
    <w:rsid w:val="00E8649C"/>
    <w:rsid w:val="00E87886"/>
    <w:rsid w:val="00E87CDE"/>
    <w:rsid w:val="00E91330"/>
    <w:rsid w:val="00E91FC1"/>
    <w:rsid w:val="00E92D54"/>
    <w:rsid w:val="00E9323C"/>
    <w:rsid w:val="00E95FD8"/>
    <w:rsid w:val="00EA0283"/>
    <w:rsid w:val="00EA357E"/>
    <w:rsid w:val="00EA5DE1"/>
    <w:rsid w:val="00EB0C86"/>
    <w:rsid w:val="00EB0E16"/>
    <w:rsid w:val="00EB1A57"/>
    <w:rsid w:val="00EB236F"/>
    <w:rsid w:val="00EB237E"/>
    <w:rsid w:val="00EC1546"/>
    <w:rsid w:val="00EC15D5"/>
    <w:rsid w:val="00EC384A"/>
    <w:rsid w:val="00EC4D18"/>
    <w:rsid w:val="00EC5B23"/>
    <w:rsid w:val="00EC5DED"/>
    <w:rsid w:val="00EC6BD8"/>
    <w:rsid w:val="00EC7C3B"/>
    <w:rsid w:val="00ED0356"/>
    <w:rsid w:val="00ED0D71"/>
    <w:rsid w:val="00ED3DCD"/>
    <w:rsid w:val="00ED3DD5"/>
    <w:rsid w:val="00ED4FDB"/>
    <w:rsid w:val="00ED56BE"/>
    <w:rsid w:val="00ED74D7"/>
    <w:rsid w:val="00EE095F"/>
    <w:rsid w:val="00EE0DA8"/>
    <w:rsid w:val="00EE1F9D"/>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25B7F"/>
    <w:rsid w:val="00F30180"/>
    <w:rsid w:val="00F31A29"/>
    <w:rsid w:val="00F3279A"/>
    <w:rsid w:val="00F37236"/>
    <w:rsid w:val="00F431E7"/>
    <w:rsid w:val="00F44634"/>
    <w:rsid w:val="00F45473"/>
    <w:rsid w:val="00F505EC"/>
    <w:rsid w:val="00F5088F"/>
    <w:rsid w:val="00F51657"/>
    <w:rsid w:val="00F5223C"/>
    <w:rsid w:val="00F55F69"/>
    <w:rsid w:val="00F57787"/>
    <w:rsid w:val="00F61E82"/>
    <w:rsid w:val="00F6243A"/>
    <w:rsid w:val="00F63323"/>
    <w:rsid w:val="00F636FE"/>
    <w:rsid w:val="00F648B2"/>
    <w:rsid w:val="00F67EBD"/>
    <w:rsid w:val="00F70EA4"/>
    <w:rsid w:val="00F71FC6"/>
    <w:rsid w:val="00F77851"/>
    <w:rsid w:val="00F80FAB"/>
    <w:rsid w:val="00F81AAC"/>
    <w:rsid w:val="00F81E3B"/>
    <w:rsid w:val="00F827E1"/>
    <w:rsid w:val="00F856DA"/>
    <w:rsid w:val="00F860C6"/>
    <w:rsid w:val="00F879B3"/>
    <w:rsid w:val="00F927B5"/>
    <w:rsid w:val="00F94BD0"/>
    <w:rsid w:val="00F95403"/>
    <w:rsid w:val="00F954EE"/>
    <w:rsid w:val="00F96705"/>
    <w:rsid w:val="00F96750"/>
    <w:rsid w:val="00F9704D"/>
    <w:rsid w:val="00FA0166"/>
    <w:rsid w:val="00FA0593"/>
    <w:rsid w:val="00FA2400"/>
    <w:rsid w:val="00FA33E9"/>
    <w:rsid w:val="00FA55C8"/>
    <w:rsid w:val="00FA64BE"/>
    <w:rsid w:val="00FA6760"/>
    <w:rsid w:val="00FA74C6"/>
    <w:rsid w:val="00FB24ED"/>
    <w:rsid w:val="00FB29AF"/>
    <w:rsid w:val="00FB313D"/>
    <w:rsid w:val="00FB4003"/>
    <w:rsid w:val="00FB4EBA"/>
    <w:rsid w:val="00FB7086"/>
    <w:rsid w:val="00FC1B94"/>
    <w:rsid w:val="00FC3B26"/>
    <w:rsid w:val="00FC60AC"/>
    <w:rsid w:val="00FC6384"/>
    <w:rsid w:val="00FC6733"/>
    <w:rsid w:val="00FD224E"/>
    <w:rsid w:val="00FD2677"/>
    <w:rsid w:val="00FD28B8"/>
    <w:rsid w:val="00FD4D00"/>
    <w:rsid w:val="00FE0BD8"/>
    <w:rsid w:val="00FE1709"/>
    <w:rsid w:val="00FE178E"/>
    <w:rsid w:val="00FE1FC9"/>
    <w:rsid w:val="00FF32DE"/>
    <w:rsid w:val="00FF4205"/>
    <w:rsid w:val="00FF5858"/>
    <w:rsid w:val="00FF6930"/>
    <w:rsid w:val="36725D5C"/>
    <w:rsid w:val="3CFE2AD9"/>
    <w:rsid w:val="3EC79034"/>
    <w:rsid w:val="4119874D"/>
    <w:rsid w:val="42EC885E"/>
    <w:rsid w:val="440F045F"/>
    <w:rsid w:val="563EF20D"/>
    <w:rsid w:val="6233BE84"/>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9C04BF69-CA55-48B5-A60C-B108C2F75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811CBF"/>
    <w:pPr>
      <w:numPr>
        <w:numId w:val="40"/>
      </w:numPr>
      <w:spacing w:before="120"/>
      <w:contextualSpacing/>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7E7997"/>
    <w:pPr>
      <w:tabs>
        <w:tab w:val="center" w:pos="4536"/>
        <w:tab w:val="right" w:pos="9072"/>
      </w:tabs>
    </w:pPr>
  </w:style>
  <w:style w:type="character" w:customStyle="1" w:styleId="HeaderChar">
    <w:name w:val="Header Char"/>
    <w:basedOn w:val="DefaultParagraphFont"/>
    <w:link w:val="Header"/>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5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unhideWhenUsed/>
    <w:qFormat/>
    <w:rsid w:val="006F53E8"/>
    <w:rPr>
      <w:sz w:val="16"/>
    </w:rPr>
  </w:style>
  <w:style w:type="character" w:customStyle="1" w:styleId="FootnoteTextChar">
    <w:name w:val="Footnote Text Char"/>
    <w:basedOn w:val="DefaultParagraphFont"/>
    <w:link w:val="FootnoteText"/>
    <w:uiPriority w:val="99"/>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qFormat/>
    <w:rsid w:val="00811CBF"/>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Strong"/>
    <w:uiPriority w:val="1"/>
    <w:qFormat/>
    <w:rsid w:val="00FA64BE"/>
    <w:rPr>
      <w:b w:val="0"/>
      <w:bCs/>
      <w:caps/>
      <w:smallCaps w:val="0"/>
      <w:color w:val="70AD47" w:themeColor="accent6"/>
      <w:sz w:val="22"/>
    </w:rPr>
  </w:style>
  <w:style w:type="paragraph" w:customStyle="1" w:styleId="Paragraph">
    <w:name w:val="Paragraph"/>
    <w:basedOn w:val="ListParagraph"/>
    <w:link w:val="ParagraphChar"/>
    <w:qFormat/>
    <w:rsid w:val="00CB0C0C"/>
    <w:pPr>
      <w:numPr>
        <w:numId w:val="32"/>
      </w:numPr>
      <w:spacing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DefaultParagraphFont"/>
    <w:link w:val="Paragraph"/>
    <w:rsid w:val="00CB0C0C"/>
    <w:rPr>
      <w:rFonts w:ascii="Arial" w:hAnsi="Arial" w:cs="Arial"/>
      <w:color w:val="1A1A1A" w:themeColor="background1" w:themeShade="1A"/>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33908436">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37201994">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743265188">
      <w:bodyDiv w:val="1"/>
      <w:marLeft w:val="0"/>
      <w:marRight w:val="0"/>
      <w:marTop w:val="0"/>
      <w:marBottom w:val="0"/>
      <w:divBdr>
        <w:top w:val="none" w:sz="0" w:space="0" w:color="auto"/>
        <w:left w:val="none" w:sz="0" w:space="0" w:color="auto"/>
        <w:bottom w:val="none" w:sz="0" w:space="0" w:color="auto"/>
        <w:right w:val="none" w:sz="0" w:space="0" w:color="auto"/>
      </w:divBdr>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2432951">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713226">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51534017">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62080478">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25295946">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25359563">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597983348">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1780953536">
      <w:bodyDiv w:val="1"/>
      <w:marLeft w:val="0"/>
      <w:marRight w:val="0"/>
      <w:marTop w:val="0"/>
      <w:marBottom w:val="0"/>
      <w:divBdr>
        <w:top w:val="none" w:sz="0" w:space="0" w:color="auto"/>
        <w:left w:val="none" w:sz="0" w:space="0" w:color="auto"/>
        <w:bottom w:val="none" w:sz="0" w:space="0" w:color="auto"/>
        <w:right w:val="none" w:sz="0" w:space="0" w:color="auto"/>
      </w:divBdr>
    </w:div>
    <w:div w:id="1818372730">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esma.europa.eu" TargetMode="External"/><Relationship Id="rId26" Type="http://schemas.openxmlformats.org/officeDocument/2006/relationships/hyperlink" Target="https://www.anna-dsb.com/download/isin-equity-product-definition-spreadsheet/" TargetMode="External"/><Relationship Id="rId3" Type="http://schemas.openxmlformats.org/officeDocument/2006/relationships/customXml" Target="../customXml/item3.xml"/><Relationship Id="rId21" Type="http://schemas.openxmlformats.org/officeDocument/2006/relationships/image" Target="media/image3.emf"/><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3.jpeg"/><Relationship Id="rId25" Type="http://schemas.openxmlformats.org/officeDocument/2006/relationships/hyperlink" Target="https://eur-lex.europa.eu/legal-content/EN/TXT/PDF/?uri=OJ:L_202501003" TargetMode="External"/><Relationship Id="rId33" Type="http://schemas.openxmlformats.org/officeDocument/2006/relationships/image" Target="media/image9.emf"/><Relationship Id="rId2" Type="http://schemas.openxmlformats.org/officeDocument/2006/relationships/customXml" Target="../customXml/item2.xml"/><Relationship Id="rId20" Type="http://schemas.openxmlformats.org/officeDocument/2006/relationships/hyperlink" Target="https://www.anna-dsb.com/wp-content/uploads/2023/08/DSB-The-OTC-Derivatives-Identifier-Framework-Explained.pdf" TargetMode="External"/><Relationship Id="rId29"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esma.europa.eu/sites/default/files/2024-01/ESMA12-766636679-105_Response_to_EC_consultation_OTC_derivative_identifier.pdf" TargetMode="External"/><Relationship Id="rId32" Type="http://schemas.openxmlformats.org/officeDocument/2006/relationships/image" Target="media/image8.emf"/><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jpg"/><Relationship Id="rId23" Type="http://schemas.openxmlformats.org/officeDocument/2006/relationships/hyperlink" Target="https://www.esma.europa.eu/sites/default/files/2025-04/ESMA74-2134169708-7311_MiFIR_Review_Consultation_Package_4_-_Derivatives__Transparency__CTP_Input_Output_.pdf" TargetMode="External"/><Relationship Id="rId28" Type="http://schemas.openxmlformats.org/officeDocument/2006/relationships/image" Target="media/image4.emf"/><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esma.europa.eu/legal-notice" TargetMode="External"/><Relationship Id="rId31" Type="http://schemas.openxmlformats.org/officeDocument/2006/relationships/image" Target="media/image7.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eur-lex.europa.eu/legal-content/EN/TXT/PDF/?uri=OJ:L_202501003" TargetMode="External"/><Relationship Id="rId27" Type="http://schemas.openxmlformats.org/officeDocument/2006/relationships/hyperlink" Target="https://www.esma.europa.eu/sites/default/files/2025-04/ESMA74-2134169708-7311_MiFIR_Review_Consultation_Package_4_-_Derivatives__Transparency__CTP_Input_Output_.pdf" TargetMode="External"/><Relationship Id="rId30" Type="http://schemas.openxmlformats.org/officeDocument/2006/relationships/image" Target="media/image6.emf"/><Relationship Id="rId35" Type="http://schemas.openxmlformats.org/officeDocument/2006/relationships/footer" Target="footer3.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leiroc.org/publications/gls/roc_20171001.pdf"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0DD203F22D5E4D998BCDD61A96F6A5" ma:contentTypeVersion="33" ma:contentTypeDescription="Create a new document." ma:contentTypeScope="" ma:versionID="6b1de0d6dd8b2d4e1b37232b43bb7def">
  <xsd:schema xmlns:xsd="http://www.w3.org/2001/XMLSchema" xmlns:xs="http://www.w3.org/2001/XMLSchema" xmlns:p="http://schemas.microsoft.com/office/2006/metadata/properties" xmlns:ns2="56e8fde9-f66a-4997-8251-f5f2550eef39" xmlns:ns3="1ab9889e-1560-4440-87cb-c03200e41b86" xmlns:ns4="http://schemas.microsoft.com/sharepoint/v3/fields" targetNamespace="http://schemas.microsoft.com/office/2006/metadata/properties" ma:root="true" ma:fieldsID="a06ea4a8d07050a55acbb003525b22ee" ns2:_="" ns3:_="" ns4:_="">
    <xsd:import namespace="56e8fde9-f66a-4997-8251-f5f2550eef39"/>
    <xsd:import namespace="1ab9889e-1560-4440-87cb-c03200e41b86"/>
    <xsd:import namespace="http://schemas.microsoft.com/sharepoint/v3/fields"/>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EventHashCode" minOccurs="0"/>
                <xsd:element ref="ns3:MediaServiceGenerationTime" minOccurs="0"/>
                <xsd:element ref="ns4:_Version" minOccurs="0"/>
                <xsd:element ref="ns3:MediaServiceOCR"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Released" minOccurs="0"/>
                <xsd:element ref="ns3:CABApproved"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e8fde9-f66a-4997-8251-f5f2550eef3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ead7c8c7-cbfe-4445-8c93-5e017a8041f1}" ma:internalName="TaxCatchAll" ma:showField="CatchAllData" ma:web="56e8fde9-f66a-4997-8251-f5f2550eef3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ab9889e-1560-4440-87cb-c03200e41b8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c7092a5-376c-49bb-b001-2afca4e87105" ma:termSetId="09814cd3-568e-fe90-9814-8d621ff8fb84" ma:anchorId="fba54fb3-c3e1-fe81-a776-ca4b69148c4d" ma:open="true" ma:isKeyword="false">
      <xsd:complexType>
        <xsd:sequence>
          <xsd:element ref="pc:Terms" minOccurs="0" maxOccurs="1"/>
        </xsd:sequence>
      </xsd:complexType>
    </xsd:element>
    <xsd:element name="Released" ma:index="25" nillable="true" ma:displayName="Released" ma:format="Dropdown" ma:internalName="Released">
      <xsd:simpleType>
        <xsd:restriction base="dms:Choice">
          <xsd:enumeration value="Yes"/>
          <xsd:enumeration value="No"/>
          <xsd:enumeration value="On Hold"/>
        </xsd:restriction>
      </xsd:simpleType>
    </xsd:element>
    <xsd:element name="CABApproved" ma:index="26" nillable="true" ma:displayName="CAB Approved" ma:format="Dropdown" ma:internalName="CABApproved">
      <xsd:simpleType>
        <xsd:restriction base="dms:Choice">
          <xsd:enumeration value="Approved"/>
          <xsd:enumeration value="No"/>
          <xsd:enumeration value="For Further Review"/>
          <xsd:enumeration value="For CAB Review"/>
        </xsd:restriction>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17" nillable="true" ma:displayName="Version" ma:internalName="_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6e8fde9-f66a-4997-8251-f5f2550eef39" xsi:nil="true"/>
    <_Version xmlns="http://schemas.microsoft.com/sharepoint/v3/fields" xsi:nil="true"/>
    <lcf76f155ced4ddcb4097134ff3c332f xmlns="1ab9889e-1560-4440-87cb-c03200e41b86">
      <Terms xmlns="http://schemas.microsoft.com/office/infopath/2007/PartnerControls"/>
    </lcf76f155ced4ddcb4097134ff3c332f>
    <Released xmlns="1ab9889e-1560-4440-87cb-c03200e41b86" xsi:nil="true"/>
    <CABApproved xmlns="1ab9889e-1560-4440-87cb-c03200e41b8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2F5545-FD66-4CB2-8929-801481982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e8fde9-f66a-4997-8251-f5f2550eef39"/>
    <ds:schemaRef ds:uri="1ab9889e-1560-4440-87cb-c03200e41b86"/>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56e8fde9-f66a-4997-8251-f5f2550eef39"/>
    <ds:schemaRef ds:uri="http://schemas.microsoft.com/sharepoint/v3/fields"/>
    <ds:schemaRef ds:uri="1ab9889e-1560-4440-87cb-c03200e41b86"/>
  </ds:schemaRefs>
</ds:datastoreItem>
</file>

<file path=customXml/itemProps3.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4.xml><?xml version="1.0" encoding="utf-8"?>
<ds:datastoreItem xmlns:ds="http://schemas.openxmlformats.org/officeDocument/2006/customXml" ds:itemID="{FC2455EB-3D3A-4C02-9873-6A72D376E4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0</TotalTime>
  <Pages>21</Pages>
  <Words>5022</Words>
  <Characters>28630</Characters>
  <Application>Microsoft Office Word</Application>
  <DocSecurity>8</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33585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Catherine Sutcliffe</cp:lastModifiedBy>
  <cp:revision>102</cp:revision>
  <cp:lastPrinted>2017-07-24T14:47:00Z</cp:lastPrinted>
  <dcterms:created xsi:type="dcterms:W3CDTF">2025-08-13T08:11:00Z</dcterms:created>
  <dcterms:modified xsi:type="dcterms:W3CDTF">2025-09-19T10:03:00Z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6;#Regular|07f1e362-856b-423d-bea6-a14079762141</vt:lpwstr>
  </property>
  <property fmtid="{D5CDD505-2E9C-101B-9397-08002B2CF9AE}" pid="4" name="ContentTypeId">
    <vt:lpwstr>0x010100350DD203F22D5E4D998BCDD61A96F6A5</vt:lpwstr>
  </property>
  <property fmtid="{D5CDD505-2E9C-101B-9397-08002B2CF9AE}" pid="5" name="_dlc_DocIdItemGuid">
    <vt:lpwstr>569bcf0d-12b0-4e1e-b129-58e1e8da7205</vt:lpwstr>
  </property>
  <property fmtid="{D5CDD505-2E9C-101B-9397-08002B2CF9AE}" pid="6" name="DocumentType">
    <vt:lpwstr>20;#Report|78753201-1e9e-4a21-a088-6ff602b5c999</vt:lpwstr>
  </property>
  <property fmtid="{D5CDD505-2E9C-101B-9397-08002B2CF9AE}" pid="7" name="Topic">
    <vt:lpwstr>508;#European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509;#Qualification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05ae7051-b702-462d-8e81-9ac0b6085f00_Extended_MSFT_Method">
    <vt:lpwstr>Standard</vt:lpwstr>
  </property>
  <property fmtid="{D5CDD505-2E9C-101B-9397-08002B2CF9AE}" pid="22" name="MSIP_Label_05ae7051-b702-462d-8e81-9ac0b6085f00_Removed">
    <vt:lpwstr>False</vt:lpwstr>
  </property>
  <property fmtid="{D5CDD505-2E9C-101B-9397-08002B2CF9AE}" pid="23" name="MSIP_Label_05ae7051-b702-462d-8e81-9ac0b6085f00_ActionId">
    <vt:lpwstr>4dcb8942-b9fd-4687-9c67-fe5cb333f037</vt:lpwstr>
  </property>
  <property fmtid="{D5CDD505-2E9C-101B-9397-08002B2CF9AE}" pid="24" name="MSIP_Label_05ae7051-b702-462d-8e81-9ac0b6085f00_Name">
    <vt:lpwstr>Regular</vt:lpwstr>
  </property>
  <property fmtid="{D5CDD505-2E9C-101B-9397-08002B2CF9AE}" pid="25" name="MSIP_Label_05ae7051-b702-462d-8e81-9ac0b6085f00_SetDate">
    <vt:lpwstr>2025-06-17T15:19:03Z</vt:lpwstr>
  </property>
  <property fmtid="{D5CDD505-2E9C-101B-9397-08002B2CF9AE}" pid="26" name="MSIP_Label_05ae7051-b702-462d-8e81-9ac0b6085f00_SiteId">
    <vt:lpwstr>e406f268-4ae7-4c80-8994-02493da00c03</vt:lpwstr>
  </property>
  <property fmtid="{D5CDD505-2E9C-101B-9397-08002B2CF9AE}" pid="27" name="MSIP_Label_05ae7051-b702-462d-8e81-9ac0b6085f00_Enabled">
    <vt:lpwstr>True</vt:lpwstr>
  </property>
  <property fmtid="{D5CDD505-2E9C-101B-9397-08002B2CF9AE}" pid="28" name="Sensitivity">
    <vt:lpwstr>Regular</vt:lpwstr>
  </property>
  <property fmtid="{D5CDD505-2E9C-101B-9397-08002B2CF9AE}" pid="29" name="MediaServiceImageTags">
    <vt:lpwstr/>
  </property>
</Properties>
</file>