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olo"/>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olo"/>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Titolo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Titolo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Paragrafoelenco"/>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Paragrafoelenco"/>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230BBB13" w14:textId="77777777" w:rsidR="00F954EE" w:rsidRPr="00F954EE" w:rsidRDefault="00F954EE" w:rsidP="00F954EE">
      <w:pPr>
        <w:pStyle w:val="Titolo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lastRenderedPageBreak/>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Titolo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Titolo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45E6DB37" w:rsidR="00C85C8B" w:rsidRPr="00B16706" w:rsidRDefault="00CE57F9" w:rsidP="00C85C8B">
                <w:pPr>
                  <w:rPr>
                    <w:rFonts w:ascii="Arial" w:hAnsi="Arial" w:cs="Arial"/>
                    <w:color w:val="808080"/>
                    <w:sz w:val="16"/>
                    <w:szCs w:val="20"/>
                    <w:lang w:eastAsia="de-DE"/>
                  </w:rPr>
                </w:pPr>
                <w:r>
                  <w:rPr>
                    <w:rFonts w:ascii="Arial" w:hAnsi="Arial" w:cs="Arial"/>
                    <w:color w:val="808080"/>
                    <w:sz w:val="16"/>
                    <w:szCs w:val="20"/>
                    <w:lang w:eastAsia="de-DE"/>
                  </w:rPr>
                  <w:t>ABI</w:t>
                </w:r>
                <w:r w:rsidR="009F7C11">
                  <w:rPr>
                    <w:rFonts w:ascii="Arial" w:hAnsi="Arial" w:cs="Arial"/>
                    <w:color w:val="808080"/>
                    <w:sz w:val="16"/>
                    <w:szCs w:val="20"/>
                    <w:lang w:eastAsia="de-DE"/>
                  </w:rPr>
                  <w:t>,</w:t>
                </w:r>
                <w:r>
                  <w:rPr>
                    <w:rFonts w:ascii="Arial" w:hAnsi="Arial" w:cs="Arial"/>
                    <w:color w:val="808080"/>
                    <w:sz w:val="16"/>
                    <w:szCs w:val="20"/>
                    <w:lang w:eastAsia="de-DE"/>
                  </w:rPr>
                  <w:t xml:space="preserve"> ITALIAN BANKING ASSOCIATION</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53AA3A1E"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CE57F9">
                  <w:rPr>
                    <w:rFonts w:ascii="Arial" w:hAnsi="Arial" w:cs="Arial"/>
                    <w:sz w:val="16"/>
                    <w:szCs w:val="20"/>
                    <w:lang w:eastAsia="de-DE"/>
                  </w:rPr>
                  <w:t>Banking sector</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7958572E" w:rsidR="00C85C8B" w:rsidRPr="00B16706" w:rsidRDefault="00CE57F9"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3B5EFAB1" w:rsidR="00C85C8B" w:rsidRPr="00B16706" w:rsidRDefault="003F11F6" w:rsidP="00C85C8B">
                <w:pPr>
                  <w:rPr>
                    <w:rFonts w:ascii="Arial" w:hAnsi="Arial" w:cs="Arial"/>
                    <w:sz w:val="16"/>
                    <w:szCs w:val="20"/>
                    <w:lang w:eastAsia="de-DE"/>
                  </w:rPr>
                </w:pPr>
                <w:r>
                  <w:rPr>
                    <w:rFonts w:ascii="Arial" w:hAnsi="Arial" w:cs="Arial"/>
                    <w:sz w:val="16"/>
                    <w:szCs w:val="20"/>
                    <w:lang w:eastAsia="de-DE"/>
                  </w:rPr>
                  <w:t>Italy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118F100F" w14:textId="51873CF2" w:rsidR="00926BDA" w:rsidRDefault="00782377" w:rsidP="00926BDA">
      <w:pPr>
        <w:rPr>
          <w:color w:val="0070C0"/>
        </w:rPr>
      </w:pPr>
      <w:permStart w:id="785210304" w:edGrp="everyone"/>
      <w:r w:rsidRPr="00573EDD">
        <w:rPr>
          <w:color w:val="0070C0"/>
        </w:rPr>
        <w:t>In our opinion, the list of challenges presented by ESMA is comprehensive and we agree with the descriptions provided</w:t>
      </w:r>
      <w:r>
        <w:rPr>
          <w:color w:val="0070C0"/>
        </w:rPr>
        <w:t>.</w:t>
      </w:r>
    </w:p>
    <w:p w14:paraId="68BA5564" w14:textId="77777777" w:rsidR="00782377" w:rsidRDefault="00782377" w:rsidP="00926BDA">
      <w:pPr>
        <w:rPr>
          <w:color w:val="0070C0"/>
        </w:rPr>
      </w:pPr>
    </w:p>
    <w:p w14:paraId="4BE4BAFC" w14:textId="4CFF0CCF" w:rsidR="00782377" w:rsidRDefault="00CB6D9F" w:rsidP="004B56AC">
      <w:pPr>
        <w:jc w:val="both"/>
        <w:rPr>
          <w:color w:val="0070C0"/>
        </w:rPr>
      </w:pPr>
      <w:r w:rsidRPr="00573EDD">
        <w:rPr>
          <w:color w:val="0070C0"/>
        </w:rPr>
        <w:t xml:space="preserve">However, following discussions with our members on the </w:t>
      </w:r>
      <w:r w:rsidRPr="00573EDD">
        <w:rPr>
          <w:b/>
          <w:bCs/>
          <w:color w:val="0070C0"/>
        </w:rPr>
        <w:t>2</w:t>
      </w:r>
      <w:r w:rsidRPr="00573EDD">
        <w:rPr>
          <w:b/>
          <w:bCs/>
          <w:color w:val="0070C0"/>
          <w:vertAlign w:val="superscript"/>
        </w:rPr>
        <w:t>nd</w:t>
      </w:r>
      <w:r w:rsidRPr="00573EDD">
        <w:rPr>
          <w:b/>
          <w:bCs/>
          <w:color w:val="0070C0"/>
        </w:rPr>
        <w:t xml:space="preserve"> part of this question</w:t>
      </w:r>
      <w:r w:rsidRPr="00573EDD">
        <w:rPr>
          <w:color w:val="0070C0"/>
        </w:rPr>
        <w:t xml:space="preserve">, i.e. </w:t>
      </w:r>
      <w:r w:rsidRPr="00573EDD">
        <w:rPr>
          <w:i/>
          <w:iCs/>
          <w:color w:val="0070C0"/>
        </w:rPr>
        <w:t>any other possible issue linked to multiple regulatory regimes (with duplicative or inconsistent requirements)</w:t>
      </w:r>
      <w:r w:rsidRPr="00573EDD">
        <w:rPr>
          <w:color w:val="0070C0"/>
        </w:rPr>
        <w:t xml:space="preserve">, we have (preliminarily) identified an extra source of issues that we believe ESMA should take into account, i.e. </w:t>
      </w:r>
      <w:r w:rsidRPr="00573EDD">
        <w:rPr>
          <w:b/>
          <w:bCs/>
          <w:color w:val="0070C0"/>
        </w:rPr>
        <w:t>the maintenance and the regular update of internal-controls system(s)</w:t>
      </w:r>
      <w:r w:rsidRPr="00573EDD">
        <w:rPr>
          <w:color w:val="0070C0"/>
        </w:rPr>
        <w:t>, the so-called “1</w:t>
      </w:r>
      <w:r w:rsidRPr="00573EDD">
        <w:rPr>
          <w:color w:val="0070C0"/>
          <w:vertAlign w:val="superscript"/>
        </w:rPr>
        <w:t>st</w:t>
      </w:r>
      <w:r w:rsidRPr="00573EDD">
        <w:rPr>
          <w:color w:val="0070C0"/>
        </w:rPr>
        <w:t xml:space="preserve">-level controls”, which are run by operational structures/units, also units dedicated exclusively to “control tasks” that report/refer directly to the Heads of such Operational Structures,–– </w:t>
      </w:r>
      <w:r w:rsidRPr="00573EDD">
        <w:rPr>
          <w:b/>
          <w:bCs/>
          <w:color w:val="0070C0"/>
        </w:rPr>
        <w:t>in occasion of</w:t>
      </w:r>
      <w:r w:rsidRPr="00573EDD">
        <w:rPr>
          <w:color w:val="0070C0"/>
        </w:rPr>
        <w:t xml:space="preserve"> </w:t>
      </w:r>
      <w:proofErr w:type="spellStart"/>
      <w:r w:rsidRPr="00573EDD">
        <w:rPr>
          <w:b/>
          <w:bCs/>
          <w:color w:val="0070C0"/>
        </w:rPr>
        <w:t>i</w:t>
      </w:r>
      <w:proofErr w:type="spellEnd"/>
      <w:r w:rsidRPr="00573EDD">
        <w:rPr>
          <w:b/>
          <w:bCs/>
          <w:color w:val="0070C0"/>
        </w:rPr>
        <w:t xml:space="preserve">) </w:t>
      </w:r>
      <w:r w:rsidRPr="00573EDD">
        <w:rPr>
          <w:color w:val="0070C0"/>
        </w:rPr>
        <w:t xml:space="preserve">every regulatory update, or </w:t>
      </w:r>
      <w:r w:rsidRPr="00573EDD">
        <w:rPr>
          <w:b/>
          <w:bCs/>
          <w:color w:val="0070C0"/>
        </w:rPr>
        <w:t>ii)</w:t>
      </w:r>
      <w:r w:rsidRPr="00573EDD">
        <w:rPr>
          <w:color w:val="0070C0"/>
        </w:rPr>
        <w:t xml:space="preserve"> amendment of reporting fields, or </w:t>
      </w:r>
      <w:r w:rsidRPr="00573EDD">
        <w:rPr>
          <w:b/>
          <w:bCs/>
          <w:color w:val="0070C0"/>
        </w:rPr>
        <w:t>iii)</w:t>
      </w:r>
      <w:r w:rsidRPr="00573EDD">
        <w:rPr>
          <w:color w:val="0070C0"/>
        </w:rPr>
        <w:t xml:space="preserve"> release of clarifications by ESMA in the form of Guidelines or Q&amp;As. Such internal-controls systems are crucial (for financial counterparties in scope of transaction reporting) to ensure the highest quality standard of the data reported, as welcomed by NCAs, often based on data governance standards, which are extremely expensive to develop and maintain. However, in occasion of every amendment of a reporting field, consequent amendments </w:t>
      </w:r>
      <w:proofErr w:type="gramStart"/>
      <w:r w:rsidRPr="00573EDD">
        <w:rPr>
          <w:color w:val="0070C0"/>
        </w:rPr>
        <w:t>have to</w:t>
      </w:r>
      <w:proofErr w:type="gramEnd"/>
      <w:r w:rsidRPr="00573EDD">
        <w:rPr>
          <w:color w:val="0070C0"/>
        </w:rPr>
        <w:t xml:space="preserve"> be introduced also to such internal controls, even at compliance and audit level (i.e. 2</w:t>
      </w:r>
      <w:r w:rsidRPr="00573EDD">
        <w:rPr>
          <w:color w:val="0070C0"/>
          <w:vertAlign w:val="superscript"/>
        </w:rPr>
        <w:t>nd</w:t>
      </w:r>
      <w:r w:rsidRPr="00573EDD">
        <w:rPr>
          <w:color w:val="0070C0"/>
        </w:rPr>
        <w:t>-and 3</w:t>
      </w:r>
      <w:r w:rsidRPr="00573EDD">
        <w:rPr>
          <w:color w:val="0070C0"/>
          <w:vertAlign w:val="superscript"/>
        </w:rPr>
        <w:t>rd</w:t>
      </w:r>
      <w:r w:rsidRPr="00573EDD">
        <w:rPr>
          <w:color w:val="0070C0"/>
        </w:rPr>
        <w:t xml:space="preserve"> level controls). Such internal controls’ updates are made </w:t>
      </w:r>
      <w:r w:rsidRPr="00573EDD">
        <w:rPr>
          <w:b/>
          <w:bCs/>
          <w:color w:val="0070C0"/>
        </w:rPr>
        <w:t>even more cumbersome</w:t>
      </w:r>
      <w:r w:rsidRPr="00573EDD">
        <w:rPr>
          <w:color w:val="0070C0"/>
        </w:rPr>
        <w:t xml:space="preserve"> when in presence of fields that are similarly labelled, reporting the same informational content in a slightly different format(s) or under slightly different validation rules, as for instance is the case described on page 9 of this </w:t>
      </w:r>
      <w:proofErr w:type="spellStart"/>
      <w:r w:rsidRPr="00573EDD">
        <w:rPr>
          <w:color w:val="0070C0"/>
        </w:rPr>
        <w:t>CfE</w:t>
      </w:r>
      <w:proofErr w:type="spellEnd"/>
      <w:r w:rsidRPr="00573EDD">
        <w:rPr>
          <w:color w:val="0070C0"/>
        </w:rPr>
        <w:t xml:space="preserve"> (paragraph 19), 2</w:t>
      </w:r>
      <w:r w:rsidRPr="00573EDD">
        <w:rPr>
          <w:color w:val="0070C0"/>
          <w:vertAlign w:val="superscript"/>
        </w:rPr>
        <w:t>nd</w:t>
      </w:r>
      <w:r w:rsidRPr="00573EDD">
        <w:rPr>
          <w:color w:val="0070C0"/>
        </w:rPr>
        <w:t xml:space="preserve"> subparagraph (i.e. Different terminology and definitions within different reporting regimes).</w:t>
      </w:r>
    </w:p>
    <w:p w14:paraId="3D422BEE" w14:textId="77777777" w:rsidR="00CB6D9F" w:rsidRDefault="00CB6D9F" w:rsidP="00926BDA">
      <w:pPr>
        <w:rPr>
          <w:color w:val="0070C0"/>
        </w:rPr>
      </w:pPr>
    </w:p>
    <w:p w14:paraId="530E42D1" w14:textId="77777777" w:rsidR="00870D45" w:rsidRPr="005B0995" w:rsidRDefault="00870D45" w:rsidP="00870D45">
      <w:pPr>
        <w:rPr>
          <w:color w:val="0070C0"/>
        </w:rPr>
      </w:pPr>
      <w:r w:rsidRPr="005B0995">
        <w:rPr>
          <w:color w:val="0070C0"/>
        </w:rPr>
        <w:t xml:space="preserve">Finally, as it regards the </w:t>
      </w:r>
      <w:r w:rsidRPr="005B0995">
        <w:rPr>
          <w:b/>
          <w:bCs/>
          <w:color w:val="0070C0"/>
        </w:rPr>
        <w:t>3</w:t>
      </w:r>
      <w:r w:rsidRPr="005B0995">
        <w:rPr>
          <w:b/>
          <w:bCs/>
          <w:color w:val="0070C0"/>
          <w:vertAlign w:val="superscript"/>
        </w:rPr>
        <w:t>rd</w:t>
      </w:r>
      <w:r w:rsidRPr="005B0995">
        <w:rPr>
          <w:b/>
          <w:bCs/>
          <w:color w:val="0070C0"/>
        </w:rPr>
        <w:t xml:space="preserve"> part of the question</w:t>
      </w:r>
      <w:r w:rsidRPr="005B0995">
        <w:rPr>
          <w:color w:val="0070C0"/>
        </w:rPr>
        <w:t xml:space="preserve">, i.e. </w:t>
      </w:r>
      <w:r w:rsidRPr="005B0995">
        <w:rPr>
          <w:i/>
          <w:iCs/>
          <w:color w:val="0070C0"/>
        </w:rPr>
        <w:t xml:space="preserve">the three </w:t>
      </w:r>
      <w:r w:rsidRPr="005B0995">
        <w:rPr>
          <w:i/>
          <w:iCs/>
          <w:color w:val="0070C0"/>
          <w:u w:val="single"/>
        </w:rPr>
        <w:t>main</w:t>
      </w:r>
      <w:r w:rsidRPr="005B0995">
        <w:rPr>
          <w:i/>
          <w:iCs/>
          <w:color w:val="0070C0"/>
        </w:rPr>
        <w:t xml:space="preserve"> </w:t>
      </w:r>
      <w:r w:rsidRPr="005B0995">
        <w:rPr>
          <w:i/>
          <w:iCs/>
          <w:color w:val="0070C0"/>
          <w:u w:val="single"/>
        </w:rPr>
        <w:t>cost drivers</w:t>
      </w:r>
      <w:r w:rsidRPr="005B0995">
        <w:rPr>
          <w:color w:val="0070C0"/>
        </w:rPr>
        <w:t xml:space="preserve">, we would flag the following: </w:t>
      </w:r>
    </w:p>
    <w:p w14:paraId="65263619" w14:textId="77777777" w:rsidR="00870D45" w:rsidRPr="005B0995" w:rsidRDefault="00870D45" w:rsidP="00870D45">
      <w:pPr>
        <w:rPr>
          <w:color w:val="0070C0"/>
        </w:rPr>
      </w:pPr>
    </w:p>
    <w:p w14:paraId="05F645B0" w14:textId="77777777" w:rsidR="00870D45" w:rsidRPr="005B0995" w:rsidRDefault="00870D45" w:rsidP="004B56AC">
      <w:pPr>
        <w:pStyle w:val="Paragrafoelenco"/>
        <w:rPr>
          <w:rFonts w:ascii="Times New Roman" w:hAnsi="Times New Roman" w:cs="Times New Roman"/>
          <w:color w:val="0070C0"/>
          <w:sz w:val="24"/>
          <w:szCs w:val="24"/>
        </w:rPr>
      </w:pPr>
      <w:r w:rsidRPr="005B0995">
        <w:rPr>
          <w:rFonts w:ascii="Times New Roman" w:hAnsi="Times New Roman" w:cs="Times New Roman"/>
          <w:color w:val="0070C0"/>
          <w:sz w:val="24"/>
          <w:szCs w:val="24"/>
        </w:rPr>
        <w:t xml:space="preserve">Frequent regulatory changes and lack of flexibility to enable a phased implementation, synchronization and coordination of the changes in the different reporting </w:t>
      </w:r>
      <w:proofErr w:type="gramStart"/>
      <w:r w:rsidRPr="005B0995">
        <w:rPr>
          <w:rFonts w:ascii="Times New Roman" w:hAnsi="Times New Roman" w:cs="Times New Roman"/>
          <w:color w:val="0070C0"/>
          <w:sz w:val="24"/>
          <w:szCs w:val="24"/>
        </w:rPr>
        <w:t>regimes;</w:t>
      </w:r>
      <w:proofErr w:type="gramEnd"/>
    </w:p>
    <w:p w14:paraId="53DC13EE" w14:textId="77777777" w:rsidR="00870D45" w:rsidRPr="005B0995" w:rsidRDefault="00870D45" w:rsidP="004B56AC">
      <w:pPr>
        <w:pStyle w:val="Paragrafoelenco"/>
        <w:rPr>
          <w:rFonts w:ascii="Times New Roman" w:hAnsi="Times New Roman" w:cs="Times New Roman"/>
          <w:color w:val="0070C0"/>
          <w:sz w:val="24"/>
          <w:szCs w:val="24"/>
        </w:rPr>
      </w:pPr>
      <w:r w:rsidRPr="005B0995">
        <w:rPr>
          <w:rFonts w:ascii="Times New Roman" w:hAnsi="Times New Roman" w:cs="Times New Roman"/>
          <w:color w:val="0070C0"/>
          <w:sz w:val="24"/>
          <w:szCs w:val="24"/>
        </w:rPr>
        <w:t xml:space="preserve">Duplication of IT systems, processes and </w:t>
      </w:r>
      <w:proofErr w:type="gramStart"/>
      <w:r w:rsidRPr="005B0995">
        <w:rPr>
          <w:rFonts w:ascii="Times New Roman" w:hAnsi="Times New Roman" w:cs="Times New Roman"/>
          <w:color w:val="0070C0"/>
          <w:sz w:val="24"/>
          <w:szCs w:val="24"/>
        </w:rPr>
        <w:t>controls;</w:t>
      </w:r>
      <w:proofErr w:type="gramEnd"/>
      <w:r w:rsidRPr="005B0995">
        <w:rPr>
          <w:rFonts w:ascii="Times New Roman" w:hAnsi="Times New Roman" w:cs="Times New Roman"/>
          <w:color w:val="0070C0"/>
          <w:sz w:val="24"/>
          <w:szCs w:val="24"/>
        </w:rPr>
        <w:t xml:space="preserve"> </w:t>
      </w:r>
    </w:p>
    <w:p w14:paraId="3CF564A2" w14:textId="77777777" w:rsidR="00870D45" w:rsidRPr="005B0995" w:rsidRDefault="00870D45" w:rsidP="004B56AC">
      <w:pPr>
        <w:pStyle w:val="Paragrafoelenco"/>
        <w:rPr>
          <w:rFonts w:ascii="Times New Roman" w:hAnsi="Times New Roman" w:cs="Times New Roman"/>
          <w:color w:val="0070C0"/>
          <w:sz w:val="24"/>
          <w:szCs w:val="24"/>
        </w:rPr>
      </w:pPr>
      <w:r w:rsidRPr="005B0995">
        <w:rPr>
          <w:rFonts w:ascii="Times New Roman" w:hAnsi="Times New Roman" w:cs="Times New Roman"/>
          <w:color w:val="0070C0"/>
          <w:sz w:val="24"/>
          <w:szCs w:val="24"/>
        </w:rPr>
        <w:t xml:space="preserve">Duplicative reporting of the same derivative instrument(s) under </w:t>
      </w:r>
      <w:proofErr w:type="spellStart"/>
      <w:r w:rsidRPr="005B0995">
        <w:rPr>
          <w:rFonts w:ascii="Times New Roman" w:hAnsi="Times New Roman" w:cs="Times New Roman"/>
          <w:color w:val="0070C0"/>
          <w:sz w:val="24"/>
          <w:szCs w:val="24"/>
        </w:rPr>
        <w:t>MiFIR</w:t>
      </w:r>
      <w:proofErr w:type="spellEnd"/>
      <w:r w:rsidRPr="005B0995">
        <w:rPr>
          <w:rFonts w:ascii="Times New Roman" w:hAnsi="Times New Roman" w:cs="Times New Roman"/>
          <w:color w:val="0070C0"/>
          <w:sz w:val="24"/>
          <w:szCs w:val="24"/>
        </w:rPr>
        <w:t>, EMIR, and REMIT</w:t>
      </w:r>
    </w:p>
    <w:p w14:paraId="2D226628" w14:textId="77777777" w:rsidR="00870D45" w:rsidRPr="005B0995" w:rsidRDefault="00870D45" w:rsidP="00870D45">
      <w:pPr>
        <w:rPr>
          <w:color w:val="0070C0"/>
        </w:rPr>
      </w:pPr>
    </w:p>
    <w:p w14:paraId="55AB3AA4" w14:textId="1BB5D510" w:rsidR="00CB6D9F" w:rsidRPr="005B0995" w:rsidRDefault="00870D45" w:rsidP="009E473A">
      <w:pPr>
        <w:jc w:val="both"/>
        <w:rPr>
          <w:color w:val="0070C0"/>
        </w:rPr>
      </w:pPr>
      <w:r w:rsidRPr="005B0995">
        <w:rPr>
          <w:color w:val="0070C0"/>
        </w:rPr>
        <w:t>In our opinion, though, there are also a 4</w:t>
      </w:r>
      <w:r w:rsidRPr="005B0995">
        <w:rPr>
          <w:color w:val="0070C0"/>
          <w:vertAlign w:val="superscript"/>
        </w:rPr>
        <w:t>th</w:t>
      </w:r>
      <w:r w:rsidRPr="005B0995">
        <w:rPr>
          <w:color w:val="0070C0"/>
        </w:rPr>
        <w:t xml:space="preserve"> and 5</w:t>
      </w:r>
      <w:r w:rsidRPr="005B0995">
        <w:rPr>
          <w:color w:val="0070C0"/>
          <w:vertAlign w:val="superscript"/>
        </w:rPr>
        <w:t>th</w:t>
      </w:r>
      <w:r w:rsidRPr="005B0995">
        <w:rPr>
          <w:color w:val="0070C0"/>
        </w:rPr>
        <w:t xml:space="preserve"> cost driver deserving to be highlighted to ESMA, related to the Dual-Sided Reporting.</w:t>
      </w:r>
    </w:p>
    <w:p w14:paraId="5DEE9E99" w14:textId="3AC18AF1" w:rsidR="00870D45" w:rsidRDefault="007D6BE4" w:rsidP="009E473A">
      <w:pPr>
        <w:jc w:val="both"/>
        <w:rPr>
          <w:color w:val="0070C0"/>
        </w:rPr>
      </w:pPr>
      <w:r w:rsidRPr="005B0995">
        <w:rPr>
          <w:color w:val="0070C0"/>
        </w:rPr>
        <w:lastRenderedPageBreak/>
        <w:t>As it regards what we rank as the 4</w:t>
      </w:r>
      <w:r w:rsidRPr="005B0995">
        <w:rPr>
          <w:color w:val="0070C0"/>
          <w:vertAlign w:val="superscript"/>
        </w:rPr>
        <w:t>th</w:t>
      </w:r>
      <w:r w:rsidRPr="005B0995">
        <w:rPr>
          <w:color w:val="0070C0"/>
        </w:rPr>
        <w:t xml:space="preserve">, a sensible cost-driver is related to the </w:t>
      </w:r>
      <w:r w:rsidRPr="005B0995">
        <w:rPr>
          <w:b/>
          <w:bCs/>
          <w:color w:val="0070C0"/>
        </w:rPr>
        <w:t>frequently adopted</w:t>
      </w:r>
      <w:r w:rsidRPr="005B0995">
        <w:rPr>
          <w:color w:val="0070C0"/>
        </w:rPr>
        <w:t xml:space="preserve"> </w:t>
      </w:r>
      <w:r w:rsidRPr="005B0995">
        <w:rPr>
          <w:b/>
          <w:bCs/>
          <w:color w:val="0070C0"/>
        </w:rPr>
        <w:t xml:space="preserve">pre-matching systems for data to be reported </w:t>
      </w:r>
      <w:r w:rsidRPr="005B0995">
        <w:rPr>
          <w:color w:val="0070C0"/>
        </w:rPr>
        <w:t xml:space="preserve">(yet not mandated by the Regulation). Over </w:t>
      </w:r>
      <w:r w:rsidRPr="00573EDD">
        <w:rPr>
          <w:color w:val="0070C0"/>
        </w:rPr>
        <w:t>the years, counterparties in scope have experienced the importance of verifying (</w:t>
      </w:r>
      <w:r w:rsidRPr="00573EDD">
        <w:rPr>
          <w:color w:val="0070C0"/>
          <w:u w:val="single"/>
        </w:rPr>
        <w:t>prior to</w:t>
      </w:r>
      <w:r w:rsidRPr="00573EDD">
        <w:rPr>
          <w:color w:val="0070C0"/>
        </w:rPr>
        <w:t xml:space="preserve"> the transmission of the reporting reports/data), whether the data to be reported by both the parties to the transaction actually match, when such check is feasible, considering the different interpretations </w:t>
      </w:r>
      <w:proofErr w:type="spellStart"/>
      <w:r w:rsidRPr="00573EDD">
        <w:rPr>
          <w:color w:val="0070C0"/>
        </w:rPr>
        <w:t>i</w:t>
      </w:r>
      <w:proofErr w:type="spellEnd"/>
      <w:r w:rsidRPr="00573EDD">
        <w:rPr>
          <w:color w:val="0070C0"/>
        </w:rPr>
        <w:t>) of the rules to be applied in filling in /computing the fields and ii) of the relevant validation rules. Such systems do represent a sensible cost invoice and an eventual future migration to the one-sided reporting would help dismiss such systems and their relevant cost flows. (Perhaps, the dual-sided reporting could be dismissed at least for reports related to ETDs, leaving such responsibility solely to the Venues. This would not only reduce costs and burdens for intermediaries but also eliminate potential mismatches.).</w:t>
      </w:r>
    </w:p>
    <w:p w14:paraId="2B8FC30E" w14:textId="77777777" w:rsidR="00F16A32" w:rsidRDefault="00F16A32" w:rsidP="00870D45">
      <w:pPr>
        <w:rPr>
          <w:color w:val="0070C0"/>
        </w:rPr>
      </w:pPr>
    </w:p>
    <w:p w14:paraId="03AB1ED6" w14:textId="77777777" w:rsidR="00F16A32" w:rsidRPr="00573EDD" w:rsidRDefault="00F16A32" w:rsidP="009E473A">
      <w:pPr>
        <w:jc w:val="both"/>
        <w:rPr>
          <w:color w:val="0070C0"/>
        </w:rPr>
      </w:pPr>
      <w:r w:rsidRPr="00573EDD">
        <w:rPr>
          <w:color w:val="0070C0"/>
        </w:rPr>
        <w:t>On the basis of our members’ feedback, we would suggest ESMA to take the following into consideration: as we know, on the 29</w:t>
      </w:r>
      <w:r w:rsidRPr="00573EDD">
        <w:rPr>
          <w:color w:val="0070C0"/>
          <w:vertAlign w:val="superscript"/>
        </w:rPr>
        <w:t>th</w:t>
      </w:r>
      <w:r w:rsidRPr="00573EDD">
        <w:rPr>
          <w:color w:val="0070C0"/>
        </w:rPr>
        <w:t xml:space="preserve"> of April 2026, 61 fields of the EMIR reporting will be become subject to reconciliation, such as valuation amount, underlying details as (for instance) the “name of the underlying index”, delivery details on commodities, option strike and premium, linkages between prior UTI and subsequent position UTI, details concerning packages.</w:t>
      </w:r>
    </w:p>
    <w:p w14:paraId="56CABCE6" w14:textId="77777777" w:rsidR="00F16A32" w:rsidRPr="00573EDD" w:rsidRDefault="00F16A32" w:rsidP="009E473A">
      <w:pPr>
        <w:jc w:val="both"/>
        <w:rPr>
          <w:color w:val="0070C0"/>
        </w:rPr>
      </w:pPr>
      <w:r w:rsidRPr="00573EDD">
        <w:rPr>
          <w:color w:val="0070C0"/>
        </w:rPr>
        <w:t xml:space="preserve">A substantial number of these (e.g. spread, strike price, package transaction price) are or will be subject to very strict tolerance margins (i.e. matching </w:t>
      </w:r>
      <w:proofErr w:type="gramStart"/>
      <w:r w:rsidRPr="00573EDD">
        <w:rPr>
          <w:color w:val="0070C0"/>
        </w:rPr>
        <w:t>has to</w:t>
      </w:r>
      <w:proofErr w:type="gramEnd"/>
      <w:r w:rsidRPr="00573EDD">
        <w:rPr>
          <w:color w:val="0070C0"/>
        </w:rPr>
        <w:t xml:space="preserve"> occur on second decimal digits in case of percentage data or on the last digit for integers). Given that the current </w:t>
      </w:r>
      <w:proofErr w:type="spellStart"/>
      <w:r w:rsidRPr="00573EDD">
        <w:rPr>
          <w:color w:val="0070C0"/>
        </w:rPr>
        <w:t>CfE</w:t>
      </w:r>
      <w:proofErr w:type="spellEnd"/>
      <w:r w:rsidRPr="00573EDD">
        <w:rPr>
          <w:color w:val="0070C0"/>
        </w:rPr>
        <w:t xml:space="preserve"> initiative moves under the premise of a comprehensive attempt to simplify the reporting burden in the EU, in our opinion ESMA should take into consideration and assess the room for suspending or postponing the application of EMIR Reporting Validation Rules.</w:t>
      </w:r>
    </w:p>
    <w:p w14:paraId="01F71A9E" w14:textId="77777777" w:rsidR="00F16A32" w:rsidRDefault="00F16A32" w:rsidP="00870D45"/>
    <w:p w14:paraId="076C012D" w14:textId="77777777" w:rsidR="00EE5E5E" w:rsidRPr="005B0995" w:rsidRDefault="00EE5E5E" w:rsidP="005B0995">
      <w:pPr>
        <w:jc w:val="both"/>
        <w:rPr>
          <w:color w:val="0070C0"/>
        </w:rPr>
      </w:pPr>
      <w:r w:rsidRPr="005B0995">
        <w:rPr>
          <w:color w:val="0070C0"/>
        </w:rPr>
        <w:t xml:space="preserve">On this scope, we take this occasion to highlight the following </w:t>
      </w:r>
      <w:r w:rsidRPr="005B0995">
        <w:rPr>
          <w:b/>
          <w:bCs/>
          <w:color w:val="0070C0"/>
        </w:rPr>
        <w:t>selection of</w:t>
      </w:r>
      <w:r w:rsidRPr="005B0995">
        <w:rPr>
          <w:color w:val="0070C0"/>
        </w:rPr>
        <w:t xml:space="preserve"> </w:t>
      </w:r>
      <w:r w:rsidRPr="005B0995">
        <w:rPr>
          <w:b/>
          <w:bCs/>
          <w:color w:val="0070C0"/>
        </w:rPr>
        <w:t>most problematic fields to manage</w:t>
      </w:r>
      <w:r w:rsidRPr="005B0995">
        <w:rPr>
          <w:color w:val="0070C0"/>
        </w:rPr>
        <w:t xml:space="preserve"> and the reasons they are so:</w:t>
      </w:r>
    </w:p>
    <w:p w14:paraId="5575C78E" w14:textId="77777777" w:rsidR="00EE5E5E" w:rsidRPr="005B0995" w:rsidRDefault="00EE5E5E" w:rsidP="005B0995">
      <w:pPr>
        <w:pStyle w:val="Paragrafoelenco"/>
        <w:numPr>
          <w:ilvl w:val="0"/>
          <w:numId w:val="38"/>
        </w:numPr>
        <w:rPr>
          <w:rFonts w:ascii="Times New Roman" w:hAnsi="Times New Roman" w:cs="Times New Roman"/>
          <w:color w:val="0070C0"/>
          <w:sz w:val="24"/>
          <w:szCs w:val="24"/>
        </w:rPr>
      </w:pPr>
      <w:r w:rsidRPr="005B0995">
        <w:rPr>
          <w:rFonts w:ascii="Times New Roman" w:hAnsi="Times New Roman" w:cs="Times New Roman"/>
          <w:b/>
          <w:bCs/>
          <w:color w:val="0070C0"/>
          <w:sz w:val="24"/>
          <w:szCs w:val="24"/>
        </w:rPr>
        <w:t>2.3 Prio UTI</w:t>
      </w:r>
      <w:r w:rsidRPr="005B0995">
        <w:rPr>
          <w:rFonts w:ascii="Times New Roman" w:hAnsi="Times New Roman" w:cs="Times New Roman"/>
          <w:color w:val="0070C0"/>
          <w:sz w:val="24"/>
          <w:szCs w:val="24"/>
        </w:rPr>
        <w:t>, because the counterparty to the transaction which replaces the party exiting the derivative contract (“</w:t>
      </w:r>
      <w:proofErr w:type="spellStart"/>
      <w:r w:rsidRPr="005B0995">
        <w:rPr>
          <w:rFonts w:ascii="Times New Roman" w:hAnsi="Times New Roman" w:cs="Times New Roman"/>
          <w:i/>
          <w:iCs/>
          <w:color w:val="0070C0"/>
          <w:sz w:val="24"/>
          <w:szCs w:val="24"/>
        </w:rPr>
        <w:t>subentro</w:t>
      </w:r>
      <w:proofErr w:type="spellEnd"/>
      <w:r w:rsidRPr="005B0995">
        <w:rPr>
          <w:rFonts w:ascii="Times New Roman" w:hAnsi="Times New Roman" w:cs="Times New Roman"/>
          <w:color w:val="0070C0"/>
          <w:sz w:val="24"/>
          <w:szCs w:val="24"/>
        </w:rPr>
        <w:t xml:space="preserve">”) could not succeed to retrieve (easily or at all) the UTI of the former derivative contract which was terminated due the counterparty’s </w:t>
      </w:r>
      <w:proofErr w:type="gramStart"/>
      <w:r w:rsidRPr="005B0995">
        <w:rPr>
          <w:rFonts w:ascii="Times New Roman" w:hAnsi="Times New Roman" w:cs="Times New Roman"/>
          <w:color w:val="0070C0"/>
          <w:sz w:val="24"/>
          <w:szCs w:val="24"/>
        </w:rPr>
        <w:t>substitution;</w:t>
      </w:r>
      <w:proofErr w:type="gramEnd"/>
    </w:p>
    <w:p w14:paraId="227572DF" w14:textId="77777777" w:rsidR="00EE5E5E" w:rsidRPr="005B0995" w:rsidRDefault="00EE5E5E" w:rsidP="005B0995">
      <w:pPr>
        <w:pStyle w:val="Paragrafoelenco"/>
        <w:numPr>
          <w:ilvl w:val="0"/>
          <w:numId w:val="38"/>
        </w:numPr>
        <w:rPr>
          <w:rFonts w:ascii="Times New Roman" w:hAnsi="Times New Roman" w:cs="Times New Roman"/>
          <w:color w:val="0070C0"/>
          <w:sz w:val="24"/>
          <w:szCs w:val="24"/>
        </w:rPr>
      </w:pPr>
      <w:r w:rsidRPr="005B0995">
        <w:rPr>
          <w:rFonts w:ascii="Times New Roman" w:hAnsi="Times New Roman" w:cs="Times New Roman"/>
          <w:b/>
          <w:bCs/>
          <w:color w:val="0070C0"/>
          <w:sz w:val="24"/>
          <w:szCs w:val="24"/>
        </w:rPr>
        <w:t>2.16 Name of the Underlying Index</w:t>
      </w:r>
      <w:r w:rsidRPr="005B0995">
        <w:rPr>
          <w:rFonts w:ascii="Times New Roman" w:hAnsi="Times New Roman" w:cs="Times New Roman"/>
          <w:color w:val="0070C0"/>
          <w:sz w:val="24"/>
          <w:szCs w:val="24"/>
        </w:rPr>
        <w:t xml:space="preserve">, as across the market different info providers provide for different naming conventions and labels, </w:t>
      </w:r>
      <w:proofErr w:type="gramStart"/>
      <w:r w:rsidRPr="005B0995">
        <w:rPr>
          <w:rFonts w:ascii="Times New Roman" w:hAnsi="Times New Roman" w:cs="Times New Roman"/>
          <w:color w:val="0070C0"/>
          <w:sz w:val="24"/>
          <w:szCs w:val="24"/>
        </w:rPr>
        <w:t>despite the fact that</w:t>
      </w:r>
      <w:proofErr w:type="gramEnd"/>
      <w:r w:rsidRPr="005B0995">
        <w:rPr>
          <w:rFonts w:ascii="Times New Roman" w:hAnsi="Times New Roman" w:cs="Times New Roman"/>
          <w:color w:val="0070C0"/>
          <w:sz w:val="24"/>
          <w:szCs w:val="24"/>
        </w:rPr>
        <w:t xml:space="preserve">, to achieve “reconciliation” successfully, this field shall be computed and filled-in exactly with the same data, in the same </w:t>
      </w:r>
      <w:proofErr w:type="gramStart"/>
      <w:r w:rsidRPr="005B0995">
        <w:rPr>
          <w:rFonts w:ascii="Times New Roman" w:hAnsi="Times New Roman" w:cs="Times New Roman"/>
          <w:color w:val="0070C0"/>
          <w:sz w:val="24"/>
          <w:szCs w:val="24"/>
        </w:rPr>
        <w:t>manner;</w:t>
      </w:r>
      <w:proofErr w:type="gramEnd"/>
    </w:p>
    <w:p w14:paraId="0EC49827" w14:textId="77777777" w:rsidR="00EE5E5E" w:rsidRPr="005B0995" w:rsidRDefault="00EE5E5E" w:rsidP="005B0995">
      <w:pPr>
        <w:pStyle w:val="Paragrafoelenco"/>
        <w:numPr>
          <w:ilvl w:val="0"/>
          <w:numId w:val="38"/>
        </w:numPr>
        <w:rPr>
          <w:rFonts w:ascii="Times New Roman" w:hAnsi="Times New Roman" w:cs="Times New Roman"/>
          <w:color w:val="0070C0"/>
          <w:sz w:val="24"/>
          <w:szCs w:val="24"/>
        </w:rPr>
      </w:pPr>
      <w:r w:rsidRPr="005B0995">
        <w:rPr>
          <w:rFonts w:ascii="Times New Roman" w:hAnsi="Times New Roman" w:cs="Times New Roman"/>
          <w:b/>
          <w:bCs/>
          <w:color w:val="0070C0"/>
          <w:sz w:val="24"/>
          <w:szCs w:val="24"/>
        </w:rPr>
        <w:t>2.21 Valuation amount</w:t>
      </w:r>
      <w:r w:rsidRPr="005B0995">
        <w:rPr>
          <w:rFonts w:ascii="Times New Roman" w:hAnsi="Times New Roman" w:cs="Times New Roman"/>
          <w:color w:val="0070C0"/>
          <w:sz w:val="24"/>
          <w:szCs w:val="24"/>
        </w:rPr>
        <w:t>, because for the assessment(s)/estimates provided by a CCP, the validation rules allow for tolerance just to the last rounded integer number (“</w:t>
      </w:r>
      <w:proofErr w:type="spellStart"/>
      <w:r w:rsidRPr="005B0995">
        <w:rPr>
          <w:rFonts w:ascii="Times New Roman" w:hAnsi="Times New Roman" w:cs="Times New Roman"/>
          <w:i/>
          <w:iCs/>
          <w:color w:val="0070C0"/>
          <w:sz w:val="24"/>
          <w:szCs w:val="24"/>
        </w:rPr>
        <w:t>tolleranza</w:t>
      </w:r>
      <w:proofErr w:type="spellEnd"/>
      <w:r w:rsidRPr="005B0995">
        <w:rPr>
          <w:rFonts w:ascii="Times New Roman" w:hAnsi="Times New Roman" w:cs="Times New Roman"/>
          <w:i/>
          <w:iCs/>
          <w:color w:val="0070C0"/>
          <w:sz w:val="24"/>
          <w:szCs w:val="24"/>
        </w:rPr>
        <w:t xml:space="preserve"> </w:t>
      </w:r>
      <w:proofErr w:type="spellStart"/>
      <w:r w:rsidRPr="005B0995">
        <w:rPr>
          <w:rFonts w:ascii="Times New Roman" w:hAnsi="Times New Roman" w:cs="Times New Roman"/>
          <w:i/>
          <w:iCs/>
          <w:color w:val="0070C0"/>
          <w:sz w:val="24"/>
          <w:szCs w:val="24"/>
        </w:rPr>
        <w:t>all’intero</w:t>
      </w:r>
      <w:proofErr w:type="spellEnd"/>
      <w:r w:rsidRPr="005B0995">
        <w:rPr>
          <w:rFonts w:ascii="Times New Roman" w:hAnsi="Times New Roman" w:cs="Times New Roman"/>
          <w:i/>
          <w:iCs/>
          <w:color w:val="0070C0"/>
          <w:sz w:val="24"/>
          <w:szCs w:val="24"/>
        </w:rPr>
        <w:t xml:space="preserve"> </w:t>
      </w:r>
      <w:proofErr w:type="spellStart"/>
      <w:r w:rsidRPr="005B0995">
        <w:rPr>
          <w:rFonts w:ascii="Times New Roman" w:hAnsi="Times New Roman" w:cs="Times New Roman"/>
          <w:i/>
          <w:iCs/>
          <w:color w:val="0070C0"/>
          <w:sz w:val="24"/>
          <w:szCs w:val="24"/>
        </w:rPr>
        <w:t>arrotondato</w:t>
      </w:r>
      <w:proofErr w:type="spellEnd"/>
      <w:r w:rsidRPr="005B0995">
        <w:rPr>
          <w:rFonts w:ascii="Times New Roman" w:hAnsi="Times New Roman" w:cs="Times New Roman"/>
          <w:i/>
          <w:iCs/>
          <w:color w:val="0070C0"/>
          <w:sz w:val="24"/>
          <w:szCs w:val="24"/>
        </w:rPr>
        <w:t>”</w:t>
      </w:r>
      <w:r w:rsidRPr="005B0995">
        <w:rPr>
          <w:rFonts w:ascii="Times New Roman" w:hAnsi="Times New Roman" w:cs="Times New Roman"/>
          <w:color w:val="0070C0"/>
          <w:sz w:val="24"/>
          <w:szCs w:val="24"/>
        </w:rPr>
        <w:t>); due to this, any rounding (by excess or defect) poses the risk to prevent reconciliation. On the same note, in cases of estimates/assessments computed by MTMA or MTMO, the allowed margin(s) of tolerance (computed on the average of the valuations reported by the counterparties) could not be sufficient, again causing the lack of reconciliation. In the operational scenario just described, our members highlighted that “tolerance” would be respected and sufficient only where both the parties to the contract adopt / use the very same (assessment) method, otherwise such field would be considered as “reconciled” by “default” even in cases of very different figures/</w:t>
      </w:r>
      <w:proofErr w:type="gramStart"/>
      <w:r w:rsidRPr="005B0995">
        <w:rPr>
          <w:rFonts w:ascii="Times New Roman" w:hAnsi="Times New Roman" w:cs="Times New Roman"/>
          <w:color w:val="0070C0"/>
          <w:sz w:val="24"/>
          <w:szCs w:val="24"/>
        </w:rPr>
        <w:t>numbers;</w:t>
      </w:r>
      <w:proofErr w:type="gramEnd"/>
    </w:p>
    <w:p w14:paraId="270DBA0E" w14:textId="52F8A4EE" w:rsidR="00EE5E5E" w:rsidRPr="005B0995" w:rsidRDefault="00EE5E5E" w:rsidP="005B0995">
      <w:pPr>
        <w:pStyle w:val="Paragrafoelenco"/>
        <w:numPr>
          <w:ilvl w:val="0"/>
          <w:numId w:val="38"/>
        </w:numPr>
        <w:rPr>
          <w:rFonts w:ascii="Times New Roman" w:hAnsi="Times New Roman" w:cs="Times New Roman"/>
          <w:color w:val="0070C0"/>
          <w:sz w:val="24"/>
          <w:szCs w:val="24"/>
        </w:rPr>
      </w:pPr>
      <w:r w:rsidRPr="005B0995">
        <w:rPr>
          <w:rFonts w:ascii="Times New Roman" w:hAnsi="Times New Roman" w:cs="Times New Roman"/>
          <w:b/>
          <w:bCs/>
          <w:color w:val="0070C0"/>
          <w:sz w:val="24"/>
          <w:szCs w:val="24"/>
        </w:rPr>
        <w:lastRenderedPageBreak/>
        <w:t>2.25 Delta</w:t>
      </w:r>
      <w:r w:rsidRPr="005B0995">
        <w:rPr>
          <w:rFonts w:ascii="Times New Roman" w:hAnsi="Times New Roman" w:cs="Times New Roman"/>
          <w:color w:val="0070C0"/>
          <w:sz w:val="24"/>
          <w:szCs w:val="24"/>
        </w:rPr>
        <w:t xml:space="preserve">, because the tolerance is basically nil given that, on a value which may vary between minus 1 (-1) and +1, the parties would risk a complete reconciliation failure due to a difference even smaller than to 0,01 (given that the validation rules </w:t>
      </w:r>
      <w:proofErr w:type="gramStart"/>
      <w:r w:rsidRPr="005B0995">
        <w:rPr>
          <w:rFonts w:ascii="Times New Roman" w:hAnsi="Times New Roman" w:cs="Times New Roman"/>
          <w:color w:val="0070C0"/>
          <w:sz w:val="24"/>
          <w:szCs w:val="24"/>
        </w:rPr>
        <w:t>looks</w:t>
      </w:r>
      <w:proofErr w:type="gramEnd"/>
      <w:r w:rsidRPr="005B0995">
        <w:rPr>
          <w:rFonts w:ascii="Times New Roman" w:hAnsi="Times New Roman" w:cs="Times New Roman"/>
          <w:color w:val="0070C0"/>
          <w:sz w:val="24"/>
          <w:szCs w:val="24"/>
        </w:rPr>
        <w:t xml:space="preserve"> at the 2</w:t>
      </w:r>
      <w:r w:rsidRPr="005B0995">
        <w:rPr>
          <w:rFonts w:ascii="Times New Roman" w:hAnsi="Times New Roman" w:cs="Times New Roman"/>
          <w:color w:val="0070C0"/>
          <w:sz w:val="24"/>
          <w:szCs w:val="24"/>
          <w:vertAlign w:val="superscript"/>
        </w:rPr>
        <w:t>nd</w:t>
      </w:r>
      <w:r w:rsidRPr="005B0995">
        <w:rPr>
          <w:rFonts w:ascii="Times New Roman" w:hAnsi="Times New Roman" w:cs="Times New Roman"/>
          <w:color w:val="0070C0"/>
          <w:sz w:val="24"/>
          <w:szCs w:val="24"/>
        </w:rPr>
        <w:t xml:space="preserve"> decimal digit, rounded). </w:t>
      </w:r>
    </w:p>
    <w:p w14:paraId="02BE9FEC" w14:textId="77777777" w:rsidR="00F16A32" w:rsidRPr="005B0995" w:rsidRDefault="00F16A32" w:rsidP="005B0995">
      <w:pPr>
        <w:jc w:val="both"/>
        <w:rPr>
          <w:color w:val="0070C0"/>
        </w:rPr>
      </w:pPr>
    </w:p>
    <w:p w14:paraId="09636051" w14:textId="77777777" w:rsidR="00DD38E2" w:rsidRPr="005B0995" w:rsidRDefault="00DD38E2" w:rsidP="005B0995">
      <w:pPr>
        <w:jc w:val="both"/>
        <w:rPr>
          <w:color w:val="0070C0"/>
        </w:rPr>
      </w:pPr>
      <w:r w:rsidRPr="005B0995">
        <w:rPr>
          <w:color w:val="0070C0"/>
        </w:rPr>
        <w:t xml:space="preserve">Further to the above, </w:t>
      </w:r>
      <w:r w:rsidRPr="005B0995">
        <w:rPr>
          <w:b/>
          <w:bCs/>
          <w:color w:val="0070C0"/>
        </w:rPr>
        <w:t>a 5</w:t>
      </w:r>
      <w:r w:rsidRPr="005B0995">
        <w:rPr>
          <w:b/>
          <w:bCs/>
          <w:color w:val="0070C0"/>
          <w:vertAlign w:val="superscript"/>
        </w:rPr>
        <w:t>th</w:t>
      </w:r>
      <w:r w:rsidRPr="005B0995">
        <w:rPr>
          <w:b/>
          <w:bCs/>
          <w:color w:val="0070C0"/>
        </w:rPr>
        <w:t xml:space="preserve"> cost driver </w:t>
      </w:r>
      <w:r w:rsidRPr="005B0995">
        <w:rPr>
          <w:color w:val="0070C0"/>
        </w:rPr>
        <w:t xml:space="preserve">we feel appropriate to highlight to ESMA is implied in the </w:t>
      </w:r>
      <w:r w:rsidRPr="005B0995">
        <w:rPr>
          <w:b/>
          <w:bCs/>
          <w:color w:val="0070C0"/>
        </w:rPr>
        <w:t xml:space="preserve">different reporting channels in use across </w:t>
      </w:r>
      <w:proofErr w:type="spellStart"/>
      <w:r w:rsidRPr="005B0995">
        <w:rPr>
          <w:b/>
          <w:bCs/>
          <w:color w:val="0070C0"/>
        </w:rPr>
        <w:t>MiFIR</w:t>
      </w:r>
      <w:proofErr w:type="spellEnd"/>
      <w:r w:rsidRPr="005B0995">
        <w:rPr>
          <w:b/>
          <w:bCs/>
          <w:color w:val="0070C0"/>
        </w:rPr>
        <w:t>, EMIR, SFTR, and REMIT</w:t>
      </w:r>
      <w:r w:rsidRPr="005B0995">
        <w:rPr>
          <w:color w:val="0070C0"/>
        </w:rPr>
        <w:t>.</w:t>
      </w:r>
    </w:p>
    <w:p w14:paraId="4472AEF6" w14:textId="77777777" w:rsidR="00DD38E2" w:rsidRPr="005B0995" w:rsidRDefault="00DD38E2" w:rsidP="005B0995">
      <w:pPr>
        <w:jc w:val="both"/>
        <w:rPr>
          <w:color w:val="0070C0"/>
        </w:rPr>
      </w:pPr>
    </w:p>
    <w:p w14:paraId="384F68B0" w14:textId="645C821B" w:rsidR="00F10241" w:rsidRPr="005B0995" w:rsidRDefault="00F10241" w:rsidP="005B0995">
      <w:pPr>
        <w:jc w:val="both"/>
        <w:rPr>
          <w:color w:val="0070C0"/>
        </w:rPr>
      </w:pPr>
      <w:r w:rsidRPr="005B0995">
        <w:rPr>
          <w:color w:val="0070C0"/>
        </w:rPr>
        <w:t xml:space="preserve">Aside from all the above, we believe it’s important to remind of a further </w:t>
      </w:r>
      <w:r w:rsidRPr="005B0995">
        <w:rPr>
          <w:b/>
          <w:bCs/>
          <w:color w:val="0070C0"/>
        </w:rPr>
        <w:t>“side-effect” born by</w:t>
      </w:r>
      <w:r w:rsidRPr="005B0995">
        <w:rPr>
          <w:color w:val="0070C0"/>
        </w:rPr>
        <w:t xml:space="preserve"> </w:t>
      </w:r>
      <w:r w:rsidRPr="005B0995">
        <w:rPr>
          <w:b/>
          <w:bCs/>
          <w:color w:val="0070C0"/>
        </w:rPr>
        <w:t>current</w:t>
      </w:r>
      <w:r w:rsidRPr="005B0995">
        <w:rPr>
          <w:color w:val="0070C0"/>
        </w:rPr>
        <w:t xml:space="preserve"> </w:t>
      </w:r>
      <w:r w:rsidRPr="005B0995">
        <w:rPr>
          <w:b/>
          <w:bCs/>
          <w:color w:val="0070C0"/>
        </w:rPr>
        <w:t xml:space="preserve">inconsistency </w:t>
      </w:r>
      <w:r w:rsidRPr="005B0995">
        <w:rPr>
          <w:color w:val="0070C0"/>
        </w:rPr>
        <w:t xml:space="preserve">across </w:t>
      </w:r>
      <w:r w:rsidRPr="005B0995">
        <w:rPr>
          <w:color w:val="0070C0"/>
          <w:u w:val="single"/>
        </w:rPr>
        <w:t>some</w:t>
      </w:r>
      <w:r w:rsidRPr="005B0995">
        <w:rPr>
          <w:color w:val="0070C0"/>
        </w:rPr>
        <w:t xml:space="preserve"> requirements, that is</w:t>
      </w:r>
      <w:r w:rsidRPr="005B0995">
        <w:rPr>
          <w:b/>
          <w:color w:val="0070C0"/>
        </w:rPr>
        <w:t xml:space="preserve"> </w:t>
      </w:r>
      <w:r w:rsidRPr="005B0995">
        <w:rPr>
          <w:b/>
          <w:bCs/>
          <w:color w:val="0070C0"/>
        </w:rPr>
        <w:t>the risk of sanctions by NCAs</w:t>
      </w:r>
      <w:r w:rsidRPr="005B0995">
        <w:rPr>
          <w:color w:val="0070C0"/>
        </w:rPr>
        <w:t xml:space="preserve"> for counterparties subject to requirements which are weak in terms of consistency and induce (at times) in genuine misunderstandings and unintended issues, hence in sanctions. For instance, EMIR left some room to counterparties to interact between them in cases of difficult situations, but the management of such situations revealed extremely costly, both in terms of time and expenses. This is the case (for instance, under EMIR) of the treatment of </w:t>
      </w:r>
      <w:r w:rsidRPr="005B0995">
        <w:rPr>
          <w:b/>
          <w:bCs/>
          <w:color w:val="0070C0"/>
        </w:rPr>
        <w:t>positions equal to zero</w:t>
      </w:r>
      <w:r w:rsidRPr="005B0995">
        <w:rPr>
          <w:color w:val="0070C0"/>
        </w:rPr>
        <w:t xml:space="preserve">, where the relevant Guidelines allow counterparties either </w:t>
      </w:r>
      <w:proofErr w:type="spellStart"/>
      <w:r w:rsidRPr="005B0995">
        <w:rPr>
          <w:color w:val="0070C0"/>
        </w:rPr>
        <w:t>i</w:t>
      </w:r>
      <w:proofErr w:type="spellEnd"/>
      <w:r w:rsidRPr="005B0995">
        <w:rPr>
          <w:color w:val="0070C0"/>
        </w:rPr>
        <w:t>) to leave such positions “open” (by continuing reporting them equal to zero), or ii) to close and reopen them under a new UTI code, leaving it to the agreement between the parties. Achieving such bilateral agreement(s) among a high number of parties revealed and continues to be very demanding and time consuming, especially when trying to achieve a common view on the position and transaction and a commonly agreed interpretation of the provision.</w:t>
      </w:r>
    </w:p>
    <w:p w14:paraId="7B54BEFE" w14:textId="77777777" w:rsidR="00DD38E2" w:rsidRPr="005B0995" w:rsidRDefault="00DD38E2" w:rsidP="005B0995">
      <w:pPr>
        <w:jc w:val="both"/>
        <w:rPr>
          <w:color w:val="0070C0"/>
        </w:rPr>
      </w:pPr>
    </w:p>
    <w:p w14:paraId="6F8E5A70" w14:textId="77777777" w:rsidR="00DA0FBE" w:rsidRPr="005B0995" w:rsidRDefault="00DA0FBE" w:rsidP="005B0995">
      <w:pPr>
        <w:jc w:val="both"/>
        <w:rPr>
          <w:color w:val="0070C0"/>
        </w:rPr>
      </w:pPr>
      <w:r w:rsidRPr="005B0995">
        <w:rPr>
          <w:color w:val="0070C0"/>
        </w:rPr>
        <w:t>So,</w:t>
      </w:r>
    </w:p>
    <w:p w14:paraId="4330659C" w14:textId="77777777" w:rsidR="00DA0FBE" w:rsidRPr="005B0995" w:rsidRDefault="00DA0FBE" w:rsidP="005B0995">
      <w:pPr>
        <w:jc w:val="both"/>
        <w:rPr>
          <w:color w:val="0070C0"/>
        </w:rPr>
      </w:pPr>
    </w:p>
    <w:p w14:paraId="32B6F34E" w14:textId="77777777" w:rsidR="00DA0FBE" w:rsidRPr="005B0995" w:rsidRDefault="00DA0FBE" w:rsidP="005B0995">
      <w:pPr>
        <w:numPr>
          <w:ilvl w:val="0"/>
          <w:numId w:val="39"/>
        </w:numPr>
        <w:jc w:val="both"/>
        <w:rPr>
          <w:color w:val="0070C0"/>
        </w:rPr>
      </w:pPr>
      <w:r w:rsidRPr="005B0995">
        <w:rPr>
          <w:color w:val="0070C0"/>
        </w:rPr>
        <w:t xml:space="preserve">If, </w:t>
      </w:r>
      <w:r w:rsidRPr="005B0995">
        <w:rPr>
          <w:b/>
          <w:bCs/>
          <w:color w:val="0070C0"/>
        </w:rPr>
        <w:t>on the one hand</w:t>
      </w:r>
      <w:r w:rsidRPr="005B0995">
        <w:rPr>
          <w:color w:val="0070C0"/>
        </w:rPr>
        <w:t xml:space="preserve">, under paragraph 11 we are pleased to read that ESMA states “(…) </w:t>
      </w:r>
      <w:r w:rsidRPr="005B0995">
        <w:rPr>
          <w:i/>
          <w:iCs/>
          <w:color w:val="0070C0"/>
        </w:rPr>
        <w:t>while this exercise is conducted, ESMA has decided to not propose any changes to the interlinked reporting frameworks in MIFIR (transaction reporting, reference data and order book data)</w:t>
      </w:r>
      <w:r w:rsidRPr="005B0995">
        <w:rPr>
          <w:color w:val="0070C0"/>
        </w:rPr>
        <w:t xml:space="preserve">” – the latter being framed in RTS 22and RTS </w:t>
      </w:r>
      <w:proofErr w:type="gramStart"/>
      <w:r w:rsidRPr="005B0995">
        <w:rPr>
          <w:color w:val="0070C0"/>
        </w:rPr>
        <w:t>24;</w:t>
      </w:r>
      <w:proofErr w:type="gramEnd"/>
    </w:p>
    <w:p w14:paraId="2FA0C4D0" w14:textId="77777777" w:rsidR="00DA0FBE" w:rsidRPr="005B0995" w:rsidRDefault="00DA0FBE" w:rsidP="005B0995">
      <w:pPr>
        <w:numPr>
          <w:ilvl w:val="0"/>
          <w:numId w:val="39"/>
        </w:numPr>
        <w:jc w:val="both"/>
        <w:rPr>
          <w:color w:val="0070C0"/>
        </w:rPr>
      </w:pPr>
      <w:r w:rsidRPr="005B0995">
        <w:rPr>
          <w:b/>
          <w:bCs/>
          <w:color w:val="0070C0"/>
        </w:rPr>
        <w:t>On the other hand</w:t>
      </w:r>
      <w:r w:rsidRPr="005B0995">
        <w:rPr>
          <w:color w:val="0070C0"/>
        </w:rPr>
        <w:t>, it should be considered that our members have already begun to extensively work on the numerous and relevant adaptations and amendments to their IT applications, based on the draft text of RTS 22 published by the Authority and are currently finalizing the specifications of the changes that will need to be implemented to the software in use; consequently they must plan at this stage the activities for the coming months, as well as define budget allocations for 2026;</w:t>
      </w:r>
    </w:p>
    <w:p w14:paraId="6734528A" w14:textId="7AA571FB" w:rsidR="00F10241" w:rsidRPr="003379E1" w:rsidRDefault="00DA0FBE" w:rsidP="005B0995">
      <w:pPr>
        <w:numPr>
          <w:ilvl w:val="0"/>
          <w:numId w:val="39"/>
        </w:numPr>
        <w:jc w:val="both"/>
        <w:rPr>
          <w:color w:val="0070C0"/>
        </w:rPr>
      </w:pPr>
      <w:r w:rsidRPr="005B0995">
        <w:rPr>
          <w:b/>
          <w:bCs/>
          <w:color w:val="0070C0"/>
        </w:rPr>
        <w:t>Hence</w:t>
      </w:r>
      <w:r w:rsidRPr="005B0995">
        <w:rPr>
          <w:color w:val="0070C0"/>
        </w:rPr>
        <w:t xml:space="preserve"> it would be extremely important that ESMA, in the Final Report expected at the end of this </w:t>
      </w:r>
      <w:proofErr w:type="spellStart"/>
      <w:r w:rsidRPr="005B0995">
        <w:rPr>
          <w:color w:val="0070C0"/>
        </w:rPr>
        <w:t>CfE</w:t>
      </w:r>
      <w:proofErr w:type="spellEnd"/>
      <w:r w:rsidRPr="005B0995">
        <w:rPr>
          <w:color w:val="0070C0"/>
        </w:rPr>
        <w:t>, or prior to that, would provide a timeline about the formal adoption of the RTS 22-24, in order to provide intermediaries with the information useful to plan their interventions for the coming months; for instance, along the following lines: “</w:t>
      </w:r>
      <w:r w:rsidRPr="005B0995">
        <w:rPr>
          <w:i/>
          <w:iCs/>
          <w:color w:val="0070C0"/>
        </w:rPr>
        <w:t xml:space="preserve">ESMA does </w:t>
      </w:r>
      <w:r w:rsidRPr="005B0995">
        <w:rPr>
          <w:i/>
          <w:iCs/>
          <w:color w:val="0070C0"/>
          <w:u w:val="single"/>
        </w:rPr>
        <w:t>not</w:t>
      </w:r>
      <w:r w:rsidRPr="005B0995">
        <w:rPr>
          <w:i/>
          <w:iCs/>
          <w:color w:val="0070C0"/>
        </w:rPr>
        <w:t xml:space="preserve"> expect the RTS 22 to be adopted prior to June 2026…</w:t>
      </w:r>
      <w:r w:rsidRPr="005B0995">
        <w:rPr>
          <w:color w:val="0070C0"/>
        </w:rPr>
        <w:t>” or “</w:t>
      </w:r>
      <w:r w:rsidRPr="005B0995">
        <w:rPr>
          <w:i/>
          <w:iCs/>
          <w:color w:val="0070C0"/>
        </w:rPr>
        <w:t>…ESMA expects to propose some adjustments to the reporting fields and flows not prior to…</w:t>
      </w:r>
      <w:r w:rsidRPr="005B0995">
        <w:rPr>
          <w:color w:val="0070C0"/>
        </w:rPr>
        <w:t>”; in the latter case it would also be very appreciated if ESMA could disclose the type of amendments it intends to propose</w:t>
      </w:r>
      <w:r w:rsidRPr="00573EDD">
        <w:rPr>
          <w:color w:val="0070C0"/>
        </w:rPr>
        <w:t>.</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lastRenderedPageBreak/>
        <w:t>&lt;ESMA_QUESTION_CASR_2&gt;</w:t>
      </w:r>
    </w:p>
    <w:p w14:paraId="1B5E1A7E" w14:textId="315581DC" w:rsidR="00926BDA" w:rsidRPr="007E665B" w:rsidRDefault="007E665B" w:rsidP="00D8247E">
      <w:pPr>
        <w:jc w:val="both"/>
        <w:rPr>
          <w:color w:val="0070C0"/>
        </w:rPr>
      </w:pPr>
      <w:permStart w:id="545925079" w:edGrp="everyone"/>
      <w:r w:rsidRPr="00573EDD">
        <w:rPr>
          <w:color w:val="0070C0"/>
        </w:rPr>
        <w:t>We agree with the principles described in section 4.1. We suggest, though, to add “</w:t>
      </w:r>
      <w:r w:rsidRPr="00573EDD">
        <w:rPr>
          <w:i/>
          <w:iCs/>
          <w:color w:val="0070C0"/>
        </w:rPr>
        <w:t>simplification</w:t>
      </w:r>
      <w:r w:rsidRPr="00573EDD">
        <w:rPr>
          <w:color w:val="0070C0"/>
        </w:rPr>
        <w:t>” as a 5</w:t>
      </w:r>
      <w:r w:rsidRPr="00573EDD">
        <w:rPr>
          <w:color w:val="0070C0"/>
          <w:vertAlign w:val="superscript"/>
        </w:rPr>
        <w:t>th</w:t>
      </w:r>
      <w:r w:rsidRPr="00573EDD">
        <w:rPr>
          <w:color w:val="0070C0"/>
        </w:rPr>
        <w:t xml:space="preserve"> principle, notwithstanding the fact that “</w:t>
      </w:r>
      <w:r w:rsidRPr="00573EDD">
        <w:rPr>
          <w:i/>
          <w:iCs/>
          <w:color w:val="0070C0"/>
        </w:rPr>
        <w:t>simplification</w:t>
      </w:r>
      <w:r w:rsidRPr="00573EDD">
        <w:rPr>
          <w:color w:val="0070C0"/>
        </w:rPr>
        <w:t>” it might seem to be embedded in the combination of the four principles listed. Indeed, “</w:t>
      </w:r>
      <w:r w:rsidRPr="00573EDD">
        <w:rPr>
          <w:i/>
          <w:iCs/>
          <w:color w:val="0070C0"/>
        </w:rPr>
        <w:t>simplification</w:t>
      </w:r>
      <w:r w:rsidRPr="00573EDD">
        <w:rPr>
          <w:color w:val="0070C0"/>
        </w:rPr>
        <w:t>” is the principle underlying the “</w:t>
      </w:r>
      <w:r w:rsidRPr="00573EDD">
        <w:rPr>
          <w:i/>
          <w:iCs/>
          <w:color w:val="0070C0"/>
        </w:rPr>
        <w:t>use of the same terminology</w:t>
      </w:r>
      <w:r w:rsidRPr="00573EDD">
        <w:rPr>
          <w:color w:val="0070C0"/>
        </w:rPr>
        <w:t>”, the harmonization of the various fields’ definitions, the use of the same data format for the same fields/information across different reporting regimes, etc.</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6240D03" w14:textId="0F361AFC" w:rsidR="00096DE1" w:rsidRPr="00D8247E" w:rsidRDefault="00096DE1" w:rsidP="00096DE1">
      <w:pPr>
        <w:rPr>
          <w:color w:val="0070C0"/>
        </w:rPr>
      </w:pPr>
      <w:permStart w:id="666895774" w:edGrp="everyone"/>
      <w:r w:rsidRPr="00D8247E">
        <w:rPr>
          <w:color w:val="0070C0"/>
        </w:rPr>
        <w:t>In our opinion the key advantages of the Option 1(a) are:</w:t>
      </w:r>
    </w:p>
    <w:p w14:paraId="0013E471" w14:textId="77777777" w:rsidR="00096DE1" w:rsidRPr="00D8247E" w:rsidRDefault="00096DE1" w:rsidP="00D8247E">
      <w:pPr>
        <w:pStyle w:val="Paragrafoelenco"/>
        <w:numPr>
          <w:ilvl w:val="0"/>
          <w:numId w:val="40"/>
        </w:numPr>
        <w:jc w:val="left"/>
        <w:rPr>
          <w:rFonts w:ascii="Times New Roman" w:hAnsi="Times New Roman" w:cs="Times New Roman"/>
          <w:color w:val="0070C0"/>
          <w:sz w:val="24"/>
          <w:szCs w:val="24"/>
        </w:rPr>
      </w:pPr>
      <w:r w:rsidRPr="00D8247E">
        <w:rPr>
          <w:rFonts w:ascii="Times New Roman" w:hAnsi="Times New Roman" w:cs="Times New Roman"/>
          <w:color w:val="0070C0"/>
          <w:sz w:val="24"/>
          <w:szCs w:val="24"/>
        </w:rPr>
        <w:t xml:space="preserve">the achievement of the ‘reporting once’ goal in a less costly manner for firms compared to the other </w:t>
      </w:r>
      <w:proofErr w:type="gramStart"/>
      <w:r w:rsidRPr="00D8247E">
        <w:rPr>
          <w:rFonts w:ascii="Times New Roman" w:hAnsi="Times New Roman" w:cs="Times New Roman"/>
          <w:color w:val="0070C0"/>
          <w:sz w:val="24"/>
          <w:szCs w:val="24"/>
        </w:rPr>
        <w:t>Options;</w:t>
      </w:r>
      <w:proofErr w:type="gramEnd"/>
    </w:p>
    <w:p w14:paraId="162F66F2" w14:textId="77777777" w:rsidR="00096DE1" w:rsidRPr="00D8247E" w:rsidRDefault="00096DE1" w:rsidP="004B56AC">
      <w:pPr>
        <w:pStyle w:val="Paragrafoelenco"/>
        <w:numPr>
          <w:ilvl w:val="0"/>
          <w:numId w:val="40"/>
        </w:numPr>
        <w:rPr>
          <w:rFonts w:ascii="Times New Roman" w:hAnsi="Times New Roman" w:cs="Times New Roman"/>
          <w:color w:val="0070C0"/>
          <w:sz w:val="24"/>
          <w:szCs w:val="24"/>
        </w:rPr>
      </w:pPr>
      <w:r w:rsidRPr="00D8247E">
        <w:rPr>
          <w:rFonts w:ascii="Times New Roman" w:hAnsi="Times New Roman" w:cs="Times New Roman"/>
          <w:color w:val="0070C0"/>
          <w:sz w:val="24"/>
          <w:szCs w:val="24"/>
        </w:rPr>
        <w:t xml:space="preserve">the clear separation of financial instruments in scope of the reporting regimes, between </w:t>
      </w:r>
      <w:proofErr w:type="spellStart"/>
      <w:r w:rsidRPr="00D8247E">
        <w:rPr>
          <w:rFonts w:ascii="Times New Roman" w:hAnsi="Times New Roman" w:cs="Times New Roman"/>
          <w:color w:val="0070C0"/>
          <w:sz w:val="24"/>
          <w:szCs w:val="24"/>
        </w:rPr>
        <w:t>MiFIR</w:t>
      </w:r>
      <w:proofErr w:type="spellEnd"/>
      <w:r w:rsidRPr="00D8247E">
        <w:rPr>
          <w:rFonts w:ascii="Times New Roman" w:hAnsi="Times New Roman" w:cs="Times New Roman"/>
          <w:color w:val="0070C0"/>
          <w:sz w:val="24"/>
          <w:szCs w:val="24"/>
        </w:rPr>
        <w:t xml:space="preserve"> and EMIR; and such clear separation becomes a much-welcomed news which makes the reporting activities currently known/run less </w:t>
      </w:r>
      <w:proofErr w:type="gramStart"/>
      <w:r w:rsidRPr="00D8247E">
        <w:rPr>
          <w:rFonts w:ascii="Times New Roman" w:hAnsi="Times New Roman" w:cs="Times New Roman"/>
          <w:color w:val="0070C0"/>
          <w:sz w:val="24"/>
          <w:szCs w:val="24"/>
        </w:rPr>
        <w:t>cumbersome;</w:t>
      </w:r>
      <w:proofErr w:type="gramEnd"/>
    </w:p>
    <w:p w14:paraId="10B78F54" w14:textId="691D5FB8" w:rsidR="00926BDA" w:rsidRPr="00D8247E" w:rsidRDefault="00096DE1" w:rsidP="004B56AC">
      <w:pPr>
        <w:pStyle w:val="Paragrafoelenco"/>
        <w:numPr>
          <w:ilvl w:val="0"/>
          <w:numId w:val="40"/>
        </w:numPr>
        <w:rPr>
          <w:rFonts w:ascii="Times New Roman" w:hAnsi="Times New Roman" w:cs="Times New Roman"/>
          <w:color w:val="0070C0"/>
          <w:sz w:val="24"/>
          <w:szCs w:val="24"/>
        </w:rPr>
      </w:pPr>
      <w:r w:rsidRPr="00D8247E">
        <w:rPr>
          <w:rFonts w:ascii="Times New Roman" w:hAnsi="Times New Roman" w:cs="Times New Roman"/>
          <w:color w:val="0070C0"/>
          <w:sz w:val="24"/>
          <w:szCs w:val="24"/>
        </w:rPr>
        <w:t xml:space="preserve">the dismissal of reporting of </w:t>
      </w:r>
      <w:proofErr w:type="spellStart"/>
      <w:r w:rsidRPr="00D8247E">
        <w:rPr>
          <w:rFonts w:ascii="Times New Roman" w:hAnsi="Times New Roman" w:cs="Times New Roman"/>
          <w:color w:val="0070C0"/>
          <w:sz w:val="24"/>
          <w:szCs w:val="24"/>
        </w:rPr>
        <w:t>i</w:t>
      </w:r>
      <w:proofErr w:type="spellEnd"/>
      <w:r w:rsidRPr="00D8247E">
        <w:rPr>
          <w:rFonts w:ascii="Times New Roman" w:hAnsi="Times New Roman" w:cs="Times New Roman"/>
          <w:color w:val="0070C0"/>
          <w:sz w:val="24"/>
          <w:szCs w:val="24"/>
        </w:rPr>
        <w:t xml:space="preserve">) post-trade events for ETDs (margins/valuations) and ii) positions for ETDs and OTCs, as presented on page 14 of the </w:t>
      </w:r>
      <w:proofErr w:type="spellStart"/>
      <w:r w:rsidRPr="00D8247E">
        <w:rPr>
          <w:rFonts w:ascii="Times New Roman" w:hAnsi="Times New Roman" w:cs="Times New Roman"/>
          <w:color w:val="0070C0"/>
          <w:sz w:val="24"/>
          <w:szCs w:val="24"/>
        </w:rPr>
        <w:t>CfE</w:t>
      </w:r>
      <w:proofErr w:type="spellEnd"/>
      <w:r w:rsidRPr="00D8247E">
        <w:rPr>
          <w:rFonts w:ascii="Times New Roman" w:hAnsi="Times New Roman" w:cs="Times New Roman"/>
          <w:color w:val="0070C0"/>
          <w:sz w:val="24"/>
          <w:szCs w:val="24"/>
        </w:rPr>
        <w:t>, 3</w:t>
      </w:r>
      <w:r w:rsidRPr="00D8247E">
        <w:rPr>
          <w:rFonts w:ascii="Times New Roman" w:hAnsi="Times New Roman" w:cs="Times New Roman"/>
          <w:color w:val="0070C0"/>
          <w:sz w:val="24"/>
          <w:szCs w:val="24"/>
          <w:vertAlign w:val="superscript"/>
        </w:rPr>
        <w:t>rd</w:t>
      </w:r>
      <w:r w:rsidRPr="00D8247E">
        <w:rPr>
          <w:rFonts w:ascii="Times New Roman" w:hAnsi="Times New Roman" w:cs="Times New Roman"/>
          <w:color w:val="0070C0"/>
          <w:sz w:val="24"/>
          <w:szCs w:val="24"/>
        </w:rPr>
        <w:t xml:space="preserve"> bullet point, which states “</w:t>
      </w:r>
      <w:r w:rsidRPr="00D8247E">
        <w:rPr>
          <w:rFonts w:ascii="Times New Roman" w:hAnsi="Times New Roman" w:cs="Times New Roman"/>
          <w:i/>
          <w:iCs/>
          <w:color w:val="0070C0"/>
          <w:sz w:val="24"/>
          <w:szCs w:val="24"/>
        </w:rPr>
        <w:t>ETD Post-trade events.</w:t>
      </w:r>
      <w:r w:rsidRPr="00D8247E">
        <w:rPr>
          <w:rFonts w:ascii="Times New Roman" w:hAnsi="Times New Roman" w:cs="Times New Roman"/>
          <w:i/>
          <w:color w:val="0070C0"/>
          <w:sz w:val="24"/>
          <w:szCs w:val="24"/>
        </w:rPr>
        <w:t xml:space="preserve"> i.e. </w:t>
      </w:r>
      <w:r w:rsidRPr="00D8247E">
        <w:rPr>
          <w:rFonts w:ascii="Times New Roman" w:hAnsi="Times New Roman" w:cs="Times New Roman"/>
          <w:i/>
          <w:iCs/>
          <w:color w:val="0070C0"/>
          <w:sz w:val="24"/>
          <w:szCs w:val="24"/>
        </w:rPr>
        <w:t>valuation/margins will need to be sourced from the CCPs and ETD and OTC positions to be calculated based on transaction data.</w:t>
      </w:r>
      <w:r w:rsidRPr="00D8247E">
        <w:rPr>
          <w:rFonts w:ascii="Times New Roman" w:hAnsi="Times New Roman" w:cs="Times New Roman"/>
          <w:color w:val="0070C0"/>
          <w:sz w:val="24"/>
          <w:szCs w:val="24"/>
        </w:rPr>
        <w:t>”. It is not clear why such feature, which we regard as an advantage of Option 1(a), was not considered by ESMA also for Options 1b, 2a and 2b.</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3C6575E3" w:rsidR="00926BDA" w:rsidRPr="00550D19" w:rsidRDefault="00376D83" w:rsidP="00D8247E">
      <w:pPr>
        <w:jc w:val="both"/>
        <w:rPr>
          <w:color w:val="0070C0"/>
        </w:rPr>
      </w:pPr>
      <w:permStart w:id="1901729855" w:edGrp="everyone"/>
      <w:r w:rsidRPr="00573EDD">
        <w:rPr>
          <w:color w:val="0070C0"/>
        </w:rPr>
        <w:t xml:space="preserve">One point that appears not to be addressed under Option 1(a) – at least in the form such option is currently drafted – is that of </w:t>
      </w:r>
      <w:r w:rsidRPr="00573EDD">
        <w:rPr>
          <w:b/>
          <w:bCs/>
          <w:color w:val="0070C0"/>
        </w:rPr>
        <w:t xml:space="preserve">ETDs listed on Third Country Regulated Markets that are </w:t>
      </w:r>
      <w:r w:rsidRPr="00573EDD">
        <w:rPr>
          <w:b/>
          <w:bCs/>
          <w:color w:val="0070C0"/>
          <w:u w:val="single"/>
        </w:rPr>
        <w:t>not</w:t>
      </w:r>
      <w:r w:rsidRPr="00573EDD">
        <w:rPr>
          <w:b/>
          <w:bCs/>
          <w:color w:val="0070C0"/>
        </w:rPr>
        <w:t xml:space="preserve"> recognised by the Union as equivalent to EU Markets</w:t>
      </w:r>
      <w:r w:rsidRPr="00573EDD">
        <w:rPr>
          <w:color w:val="0070C0"/>
        </w:rPr>
        <w:t xml:space="preserve"> and, consequently, cannot be threated exactly as EU ETDs. If a real </w:t>
      </w:r>
      <w:r w:rsidRPr="00573EDD">
        <w:rPr>
          <w:i/>
          <w:iCs/>
          <w:color w:val="0070C0"/>
        </w:rPr>
        <w:t>simplification plan</w:t>
      </w:r>
      <w:r w:rsidRPr="00573EDD">
        <w:rPr>
          <w:color w:val="0070C0"/>
        </w:rPr>
        <w:t xml:space="preserve"> on the transaction reporting burden(s) </w:t>
      </w:r>
      <w:proofErr w:type="gramStart"/>
      <w:r w:rsidRPr="00573EDD">
        <w:rPr>
          <w:color w:val="0070C0"/>
        </w:rPr>
        <w:t>has to</w:t>
      </w:r>
      <w:proofErr w:type="gramEnd"/>
      <w:r w:rsidRPr="00573EDD">
        <w:rPr>
          <w:color w:val="0070C0"/>
        </w:rPr>
        <w:t xml:space="preserve"> be pursued by ESMA under the mandate by the European Commission, then, </w:t>
      </w:r>
      <w:proofErr w:type="gramStart"/>
      <w:r w:rsidRPr="00573EDD">
        <w:rPr>
          <w:color w:val="0070C0"/>
        </w:rPr>
        <w:t>on the basis of</w:t>
      </w:r>
      <w:proofErr w:type="gramEnd"/>
      <w:r w:rsidRPr="00573EDD">
        <w:rPr>
          <w:color w:val="0070C0"/>
        </w:rPr>
        <w:t xml:space="preserve"> the analysis with our members, we invite ESMA to consider such </w:t>
      </w:r>
      <w:proofErr w:type="gramStart"/>
      <w:r w:rsidRPr="00573EDD">
        <w:rPr>
          <w:color w:val="0070C0"/>
        </w:rPr>
        <w:t>Non-Recognised</w:t>
      </w:r>
      <w:proofErr w:type="gramEnd"/>
      <w:r w:rsidRPr="00573EDD">
        <w:rPr>
          <w:color w:val="0070C0"/>
        </w:rPr>
        <w:t xml:space="preserve"> 3</w:t>
      </w:r>
      <w:r w:rsidRPr="00573EDD">
        <w:rPr>
          <w:color w:val="0070C0"/>
          <w:vertAlign w:val="superscript"/>
        </w:rPr>
        <w:t>rd</w:t>
      </w:r>
      <w:r w:rsidRPr="00573EDD">
        <w:rPr>
          <w:color w:val="0070C0"/>
        </w:rPr>
        <w:t xml:space="preserve"> Country ETDs as “</w:t>
      </w:r>
      <w:r w:rsidRPr="00573EDD">
        <w:rPr>
          <w:i/>
          <w:iCs/>
          <w:color w:val="0070C0"/>
        </w:rPr>
        <w:t>equivalent for reporting purposes</w:t>
      </w:r>
      <w:r w:rsidRPr="00573EDD">
        <w:rPr>
          <w:color w:val="0070C0"/>
        </w:rPr>
        <w:t xml:space="preserve">”, hence reportable under </w:t>
      </w:r>
      <w:proofErr w:type="spellStart"/>
      <w:r w:rsidRPr="00573EDD">
        <w:rPr>
          <w:color w:val="0070C0"/>
        </w:rPr>
        <w:t>MiFIR</w:t>
      </w:r>
      <w:proofErr w:type="spellEnd"/>
      <w:r w:rsidRPr="00573EDD">
        <w:rPr>
          <w:color w:val="0070C0"/>
        </w:rPr>
        <w:t xml:space="preserve">, and no longer under EMIR. Clearly, we are aware that such potential </w:t>
      </w:r>
      <w:r w:rsidRPr="00573EDD">
        <w:rPr>
          <w:color w:val="0070C0"/>
          <w:u w:val="single"/>
        </w:rPr>
        <w:t>shift</w:t>
      </w:r>
      <w:r w:rsidRPr="00573EDD">
        <w:rPr>
          <w:color w:val="0070C0"/>
        </w:rPr>
        <w:t xml:space="preserve"> of 3</w:t>
      </w:r>
      <w:r w:rsidRPr="00573EDD">
        <w:rPr>
          <w:color w:val="0070C0"/>
          <w:vertAlign w:val="superscript"/>
        </w:rPr>
        <w:t>rd</w:t>
      </w:r>
      <w:r w:rsidRPr="00573EDD">
        <w:rPr>
          <w:color w:val="0070C0"/>
        </w:rPr>
        <w:t xml:space="preserve"> Country non-recognised markets’ ETD reporting </w:t>
      </w:r>
      <w:r w:rsidRPr="00573EDD">
        <w:rPr>
          <w:color w:val="0070C0"/>
          <w:u w:val="single"/>
        </w:rPr>
        <w:t>from EMIR to MIFIR</w:t>
      </w:r>
      <w:r w:rsidRPr="00573EDD">
        <w:rPr>
          <w:color w:val="0070C0"/>
        </w:rPr>
        <w:t xml:space="preserve"> may imply amendments to internal data flows and consequently some additional costs.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lastRenderedPageBreak/>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1F27D03C" w14:textId="44A594B3" w:rsidR="00926BDA" w:rsidRPr="00EC4AF7" w:rsidRDefault="00EC4AF7" w:rsidP="00D8247E">
      <w:pPr>
        <w:jc w:val="both"/>
        <w:rPr>
          <w:color w:val="0070C0"/>
        </w:rPr>
      </w:pPr>
      <w:permStart w:id="1034637762" w:edGrp="everyone"/>
      <w:r w:rsidRPr="00573EDD">
        <w:rPr>
          <w:color w:val="0070C0"/>
        </w:rPr>
        <w:t>As mentioned in our answer to Q4, in our opinion the treatment of ETDs executed on Third Country venues is missing under option 1(a).</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194B12B8" w:rsidR="00926BDA" w:rsidRDefault="00657F80" w:rsidP="00D8247E">
      <w:pPr>
        <w:jc w:val="both"/>
      </w:pPr>
      <w:permStart w:id="276758894" w:edGrp="everyone"/>
      <w:r w:rsidRPr="00573EDD">
        <w:rPr>
          <w:color w:val="0070C0"/>
        </w:rPr>
        <w:t xml:space="preserve">After careful considerations by our members, we do not see any key advantage(s) in Option 1b when compared to Option 1(a), since it would achieve the same goal(s) as the former, by a different and significantly more complex and costly approach, such as, for instance, reporting the data related to events in a different segregated file than the one used to transmit the main set of transaction reporting details. Eventually, </w:t>
      </w:r>
      <w:proofErr w:type="gramStart"/>
      <w:r w:rsidRPr="00573EDD">
        <w:rPr>
          <w:color w:val="0070C0"/>
        </w:rPr>
        <w:t>on the basis of</w:t>
      </w:r>
      <w:proofErr w:type="gramEnd"/>
      <w:r w:rsidRPr="00573EDD">
        <w:rPr>
          <w:color w:val="0070C0"/>
        </w:rPr>
        <w:t xml:space="preserve"> the feedback of our members, the integration of detailed data and information for SFTR with EMIR and </w:t>
      </w:r>
      <w:proofErr w:type="spellStart"/>
      <w:r w:rsidRPr="00573EDD">
        <w:rPr>
          <w:color w:val="0070C0"/>
        </w:rPr>
        <w:t>MiFIR</w:t>
      </w:r>
      <w:proofErr w:type="spellEnd"/>
      <w:r w:rsidRPr="00573EDD">
        <w:rPr>
          <w:color w:val="0070C0"/>
        </w:rPr>
        <w:t xml:space="preserve"> is probably not feasible as it appears. We believe that the overall </w:t>
      </w:r>
      <w:r w:rsidRPr="00573EDD">
        <w:rPr>
          <w:color w:val="0070C0"/>
          <w:u w:val="single"/>
        </w:rPr>
        <w:t>costs</w:t>
      </w:r>
      <w:r w:rsidRPr="00573EDD">
        <w:rPr>
          <w:color w:val="0070C0"/>
        </w:rPr>
        <w:t xml:space="preserve"> (direct and indirect) to withstand to implement the amendments to the scope and content of the reporting under </w:t>
      </w:r>
      <w:proofErr w:type="spellStart"/>
      <w:r w:rsidRPr="00573EDD">
        <w:rPr>
          <w:color w:val="0070C0"/>
        </w:rPr>
        <w:t>MiFIR</w:t>
      </w:r>
      <w:proofErr w:type="spellEnd"/>
      <w:r w:rsidRPr="00573EDD">
        <w:rPr>
          <w:color w:val="0070C0"/>
        </w:rPr>
        <w:t xml:space="preserve"> and EMIR would largely </w:t>
      </w:r>
      <w:r w:rsidRPr="00573EDD">
        <w:rPr>
          <w:color w:val="0070C0"/>
          <w:u w:val="single"/>
        </w:rPr>
        <w:t>overcome</w:t>
      </w:r>
      <w:r w:rsidRPr="00573EDD">
        <w:rPr>
          <w:color w:val="0070C0"/>
        </w:rPr>
        <w:t xml:space="preserve"> the benefits of </w:t>
      </w:r>
      <w:proofErr w:type="spellStart"/>
      <w:r w:rsidRPr="00573EDD">
        <w:rPr>
          <w:color w:val="0070C0"/>
        </w:rPr>
        <w:t>i</w:t>
      </w:r>
      <w:proofErr w:type="spellEnd"/>
      <w:r w:rsidRPr="00573EDD">
        <w:rPr>
          <w:color w:val="0070C0"/>
        </w:rPr>
        <w:t>) the “decrease in duplications” which Option 1b pursues (alike Option 1(a)) despite doing so in a sub-optimal manner, compared to 1(a) and ii) the benefit of leaving the double-sided reporting. Besides, overcoming the double-sided reporting is not a specific feature of Option 1b, as instead it appears from reading the text.</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A1E6157" w14:textId="04DE3264" w:rsidR="00CE46E4" w:rsidRPr="00573EDD" w:rsidRDefault="00CE46E4" w:rsidP="00D8247E">
      <w:pPr>
        <w:jc w:val="both"/>
        <w:rPr>
          <w:color w:val="0070C0"/>
        </w:rPr>
      </w:pPr>
      <w:permStart w:id="1327239170" w:edGrp="everyone"/>
      <w:r w:rsidRPr="00573EDD">
        <w:rPr>
          <w:color w:val="0070C0"/>
        </w:rPr>
        <w:t xml:space="preserve">The key limitation we see in Option 1b (in comparison to Option 1a) mainly resides in its overall greater complexity to be implemented and maintained over time. The latter features imply greater effort and risks in preserving (over time) high quality standards of data reported and consistency between data concerning to the execution phase (reported in </w:t>
      </w:r>
      <w:proofErr w:type="spellStart"/>
      <w:r w:rsidRPr="00573EDD">
        <w:rPr>
          <w:color w:val="0070C0"/>
        </w:rPr>
        <w:t>MiFIR</w:t>
      </w:r>
      <w:proofErr w:type="spellEnd"/>
      <w:r w:rsidRPr="00573EDD">
        <w:rPr>
          <w:color w:val="0070C0"/>
        </w:rPr>
        <w:t xml:space="preserve"> file) and data related to the post-trade phase (reported in the other file) referred to the same original trade and, all in all, a significant more expensive cost profile of such Option 1(b). Further to this, and just as an instance, Option 1(b) does not even allow users (compared to Option 1(a)) to calculate / compute autonomously the post-trade events for ETDs </w:t>
      </w:r>
      <w:proofErr w:type="gramStart"/>
      <w:r w:rsidRPr="00573EDD">
        <w:rPr>
          <w:color w:val="0070C0"/>
        </w:rPr>
        <w:t>on the basis of</w:t>
      </w:r>
      <w:proofErr w:type="gramEnd"/>
      <w:r w:rsidRPr="00573EDD">
        <w:rPr>
          <w:color w:val="0070C0"/>
        </w:rPr>
        <w:t xml:space="preserve"> transaction data, as it is the case for Option 1(a). The need to link post trade event(s) of one transaction (reported in EMIR) with the original transaction reported under </w:t>
      </w:r>
      <w:proofErr w:type="spellStart"/>
      <w:r w:rsidRPr="00573EDD">
        <w:rPr>
          <w:color w:val="0070C0"/>
        </w:rPr>
        <w:t>MiFIR</w:t>
      </w:r>
      <w:proofErr w:type="spellEnd"/>
      <w:r w:rsidRPr="00573EDD">
        <w:rPr>
          <w:color w:val="0070C0"/>
        </w:rPr>
        <w:t xml:space="preserve"> could lead to additional cost and increased complexity of the architecture, also taking into account that quite often the data relating to different types of transactions (e.g. repo, ETD, OTC derivatives, trades on cash instruments) reside in different reporting applications. Indeed, with regards to the following lines in the summary table of Option 1(a): “</w:t>
      </w:r>
      <w:r w:rsidRPr="00573EDD">
        <w:rPr>
          <w:i/>
          <w:iCs/>
          <w:color w:val="0070C0"/>
        </w:rPr>
        <w:t>ETD Post-trade events. i.e. valuation/margins will need to be sourced from the CCPs and ETD and OTC positions to be calculated based on transaction data</w:t>
      </w:r>
      <w:r w:rsidRPr="00573EDD">
        <w:rPr>
          <w:color w:val="0070C0"/>
        </w:rPr>
        <w:t xml:space="preserve">”, some members of ABI find that the only viable interpretation be that the NCAs will take on the duty to interact with CCPs to get the relevant data/information and the </w:t>
      </w:r>
      <w:r w:rsidRPr="00573EDD">
        <w:rPr>
          <w:color w:val="0070C0"/>
        </w:rPr>
        <w:lastRenderedPageBreak/>
        <w:t>calculation of positions on the basis of what reported by counterparties. Just by reading / interpreting in this way that sentence in the summary table, we would see it as an advantage.</w:t>
      </w:r>
    </w:p>
    <w:p w14:paraId="1A88F48A" w14:textId="77777777" w:rsidR="00CE46E4" w:rsidRPr="00573EDD" w:rsidRDefault="00CE46E4" w:rsidP="00CE46E4">
      <w:pPr>
        <w:rPr>
          <w:color w:val="0070C0"/>
        </w:rPr>
      </w:pPr>
    </w:p>
    <w:p w14:paraId="131A12E0" w14:textId="77777777" w:rsidR="00CE46E4" w:rsidRPr="00573EDD" w:rsidRDefault="00CE46E4" w:rsidP="00D8247E">
      <w:pPr>
        <w:jc w:val="both"/>
        <w:rPr>
          <w:color w:val="0070C0"/>
        </w:rPr>
      </w:pPr>
      <w:r w:rsidRPr="00573EDD">
        <w:rPr>
          <w:color w:val="0070C0"/>
        </w:rPr>
        <w:t xml:space="preserve">Hence, </w:t>
      </w:r>
      <w:proofErr w:type="gramStart"/>
      <w:r w:rsidRPr="00573EDD">
        <w:rPr>
          <w:color w:val="0070C0"/>
        </w:rPr>
        <w:t>taking into account</w:t>
      </w:r>
      <w:proofErr w:type="gramEnd"/>
      <w:r w:rsidRPr="00573EDD">
        <w:rPr>
          <w:color w:val="0070C0"/>
        </w:rPr>
        <w:t xml:space="preserve"> the above considerations and assessment, the balance of costs and benefits, “weighted for” the goals to pursue, does sensibly shift our members’ preference for Option 1(a).</w:t>
      </w:r>
    </w:p>
    <w:p w14:paraId="6A52CC73" w14:textId="77777777" w:rsidR="00CE46E4" w:rsidRPr="00573EDD" w:rsidRDefault="00CE46E4" w:rsidP="00CE46E4">
      <w:pPr>
        <w:rPr>
          <w:color w:val="0070C0"/>
        </w:rPr>
      </w:pPr>
    </w:p>
    <w:p w14:paraId="1CFEB751" w14:textId="37839D93" w:rsidR="00926BDA" w:rsidRPr="00CE46E4" w:rsidRDefault="00CE46E4" w:rsidP="00D8247E">
      <w:pPr>
        <w:jc w:val="both"/>
        <w:rPr>
          <w:color w:val="0070C0"/>
        </w:rPr>
      </w:pPr>
      <w:r w:rsidRPr="00573EDD">
        <w:rPr>
          <w:color w:val="0070C0"/>
        </w:rPr>
        <w:t xml:space="preserve">Finally, a further aspect that (surprisingly) ESMA does not seem to investigate and that might be relevant across the four Options presented is to re-assess whether some current informational fields are </w:t>
      </w:r>
      <w:proofErr w:type="gramStart"/>
      <w:r w:rsidRPr="00573EDD">
        <w:rPr>
          <w:color w:val="0070C0"/>
        </w:rPr>
        <w:t>really necessary</w:t>
      </w:r>
      <w:proofErr w:type="gramEnd"/>
      <w:r w:rsidRPr="00573EDD">
        <w:rPr>
          <w:color w:val="0070C0"/>
        </w:rPr>
        <w:t xml:space="preserve"> or could be deactivated for good. Indeed, some fields appear redundant, especially </w:t>
      </w:r>
      <w:proofErr w:type="spellStart"/>
      <w:r w:rsidRPr="00573EDD">
        <w:rPr>
          <w:color w:val="0070C0"/>
        </w:rPr>
        <w:t>i</w:t>
      </w:r>
      <w:proofErr w:type="spellEnd"/>
      <w:r w:rsidRPr="00573EDD">
        <w:rPr>
          <w:color w:val="0070C0"/>
        </w:rPr>
        <w:t>) when considering all reporting flows as a whole and ii) taking also into account the information available in the ANNA database, or not strictly necessary with respect to the objectives envisaged by the relevant regulatory framework. Some of latter cases were highlighted in the responses sent to the Consultation document on RTS 22.</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0F82A2A7" w:rsidR="00926BDA" w:rsidRDefault="0080677A" w:rsidP="00926BDA">
      <w:permStart w:id="275065348" w:edGrp="everyone"/>
      <w:r w:rsidRPr="00573EDD">
        <w:rPr>
          <w:color w:val="0070C0"/>
        </w:rPr>
        <w:t>Please, refer to our considerations under Q5</w:t>
      </w:r>
      <w:r>
        <w:rPr>
          <w:color w:val="0070C0"/>
        </w:rPr>
        <w:t>.</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4BA5FCB9" w:rsidR="00926BDA" w:rsidRDefault="00125729" w:rsidP="00D8247E">
      <w:pPr>
        <w:jc w:val="both"/>
      </w:pPr>
      <w:permStart w:id="1249454344" w:edGrp="everyone"/>
      <w:r w:rsidRPr="00573EDD">
        <w:rPr>
          <w:color w:val="0070C0"/>
        </w:rPr>
        <w:t xml:space="preserve">Potentially the key advantage for both Options 2(a) and 2(b) appears to be the reduction of the reporting burden, thanks to the fact that each trade would be reported once by a single-sided transmission, although we believe that it should be carefully evaluated whether these Options </w:t>
      </w:r>
      <w:proofErr w:type="gramStart"/>
      <w:r w:rsidRPr="00573EDD">
        <w:rPr>
          <w:color w:val="0070C0"/>
        </w:rPr>
        <w:t>actually allow</w:t>
      </w:r>
      <w:proofErr w:type="gramEnd"/>
      <w:r w:rsidRPr="00573EDD">
        <w:rPr>
          <w:color w:val="0070C0"/>
        </w:rPr>
        <w:t xml:space="preserve"> grater advantages than Option 1(a). Furthermore, and sadly, the implementation of any of these Options 2 would be too costly to adopt, given the advanced stage of development that “reporting” has reached over the last decade. Options 2a and 2b would have been the “ideal” solution in the scenario of building up from scratch the reporting systems. The changes that would be necessary to the current outset would significantly outpace the benefits, as it would be necessary to redesign the systems that process the information used for reporting purposes. For the sake of transparency, though, some of our members would appreciate the benefits implied under Option 2a and feel to “rank it” as a second-best option compared to Option 1(a), whilst Options 1b and 2b are </w:t>
      </w:r>
      <w:proofErr w:type="gramStart"/>
      <w:r w:rsidRPr="00573EDD">
        <w:rPr>
          <w:color w:val="0070C0"/>
        </w:rPr>
        <w:t>definitely disregarded / excluded</w:t>
      </w:r>
      <w:proofErr w:type="gramEnd"/>
      <w:r w:rsidRPr="00573EDD">
        <w:rPr>
          <w:color w:val="0070C0"/>
        </w:rPr>
        <w:t>.</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550F0EAE" w14:textId="3240DE44" w:rsidR="002C0937" w:rsidRPr="00573EDD" w:rsidRDefault="002C0937" w:rsidP="002C0937">
      <w:pPr>
        <w:rPr>
          <w:color w:val="0070C0"/>
        </w:rPr>
      </w:pPr>
      <w:permStart w:id="199837036" w:edGrp="everyone"/>
      <w:r w:rsidRPr="00573EDD">
        <w:rPr>
          <w:color w:val="0070C0"/>
        </w:rPr>
        <w:lastRenderedPageBreak/>
        <w:t xml:space="preserve">As the instruments reportable under the various EU Regulations are different, the relevant template should allow for many fields </w:t>
      </w:r>
      <w:proofErr w:type="gramStart"/>
      <w:r w:rsidRPr="00573EDD">
        <w:rPr>
          <w:color w:val="0070C0"/>
        </w:rPr>
        <w:t>in order to</w:t>
      </w:r>
      <w:proofErr w:type="gramEnd"/>
      <w:r w:rsidRPr="00573EDD">
        <w:rPr>
          <w:color w:val="0070C0"/>
        </w:rPr>
        <w:t xml:space="preserve"> cover all these different types.</w:t>
      </w:r>
    </w:p>
    <w:p w14:paraId="3DB30AFE" w14:textId="77777777" w:rsidR="002C0937" w:rsidRPr="00573EDD" w:rsidRDefault="002C0937" w:rsidP="00D8247E">
      <w:pPr>
        <w:jc w:val="both"/>
        <w:rPr>
          <w:color w:val="0070C0"/>
        </w:rPr>
      </w:pPr>
      <w:r w:rsidRPr="00573EDD">
        <w:rPr>
          <w:color w:val="0070C0"/>
        </w:rPr>
        <w:t>Option 2(a), as well as Option 2(b), is particularly complex due to both the different nature of the financial instruments involved, currently subject to separate reporting, and the different logics for each reporting framework. Further, the integration into a single reporting framework could also require adapting the current fields used for the different reporting areas, with the risk of not being able to adequately account for the distinct objectives of the respective regulations.</w:t>
      </w:r>
    </w:p>
    <w:p w14:paraId="18B98DB0" w14:textId="77777777" w:rsidR="002C0937" w:rsidRPr="00573EDD" w:rsidRDefault="002C0937" w:rsidP="002C0937">
      <w:pPr>
        <w:rPr>
          <w:color w:val="0070C0"/>
        </w:rPr>
      </w:pPr>
    </w:p>
    <w:p w14:paraId="56C38C26" w14:textId="217D637E" w:rsidR="00926BDA" w:rsidRDefault="002C0937" w:rsidP="00D8247E">
      <w:pPr>
        <w:jc w:val="both"/>
      </w:pPr>
      <w:r w:rsidRPr="00573EDD">
        <w:rPr>
          <w:color w:val="0070C0"/>
        </w:rPr>
        <w:t xml:space="preserve">In any case, we believe that the possible adoption of Option 2 as the future target reporting model cannot be achieved without a previous thorough cost-benefit analysis, compared to the case of Options 1a/1b. Otherwise, the worst and riskier implementation scenario for counterparties would be that a transaction / reporting system might be re-defined as “the mere sum” of the (current) entire set of fields belonging to both </w:t>
      </w:r>
      <w:proofErr w:type="spellStart"/>
      <w:r w:rsidRPr="00573EDD">
        <w:rPr>
          <w:color w:val="0070C0"/>
        </w:rPr>
        <w:t>MiFIR</w:t>
      </w:r>
      <w:proofErr w:type="spellEnd"/>
      <w:r w:rsidRPr="00573EDD">
        <w:rPr>
          <w:color w:val="0070C0"/>
        </w:rPr>
        <w:t xml:space="preserve"> and EMIR (which would not be rational and viable).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2BD9FFED" w:rsidR="00926BDA" w:rsidRPr="004A051A" w:rsidRDefault="004A051A" w:rsidP="004A051A">
      <w:pPr>
        <w:jc w:val="both"/>
        <w:rPr>
          <w:color w:val="0070C0"/>
        </w:rPr>
      </w:pPr>
      <w:permStart w:id="2123508368" w:edGrp="everyone"/>
      <w:r w:rsidRPr="00573EDD">
        <w:rPr>
          <w:color w:val="0070C0"/>
        </w:rPr>
        <w:t xml:space="preserve">Options 2a and 2b, based on the “report once” principle, would certainly require a long time to be assessed, implemented and deployed. So, an </w:t>
      </w:r>
      <w:r w:rsidRPr="00573EDD">
        <w:rPr>
          <w:i/>
          <w:iCs/>
          <w:color w:val="0070C0"/>
        </w:rPr>
        <w:t>interim</w:t>
      </w:r>
      <w:r w:rsidRPr="00573EDD">
        <w:rPr>
          <w:color w:val="0070C0"/>
        </w:rPr>
        <w:t xml:space="preserve"> period should be provided, </w:t>
      </w:r>
      <w:proofErr w:type="gramStart"/>
      <w:r w:rsidRPr="00573EDD">
        <w:rPr>
          <w:color w:val="0070C0"/>
        </w:rPr>
        <w:t>in order to</w:t>
      </w:r>
      <w:proofErr w:type="gramEnd"/>
      <w:r w:rsidRPr="00573EDD">
        <w:rPr>
          <w:color w:val="0070C0"/>
        </w:rPr>
        <w:t xml:space="preserve"> run some “reporting trials” and see whether to allow for the </w:t>
      </w:r>
      <w:r w:rsidRPr="00573EDD">
        <w:rPr>
          <w:i/>
          <w:iCs/>
          <w:color w:val="0070C0"/>
        </w:rPr>
        <w:t>old</w:t>
      </w:r>
      <w:r w:rsidRPr="00573EDD">
        <w:rPr>
          <w:color w:val="0070C0"/>
        </w:rPr>
        <w:t xml:space="preserve"> and </w:t>
      </w:r>
      <w:r w:rsidRPr="00573EDD">
        <w:rPr>
          <w:i/>
          <w:iCs/>
          <w:color w:val="0070C0"/>
        </w:rPr>
        <w:t>new</w:t>
      </w:r>
      <w:r w:rsidRPr="00573EDD">
        <w:rPr>
          <w:color w:val="0070C0"/>
        </w:rPr>
        <w:t xml:space="preserve"> regime to coexist for a while. However, in ABI’s opinion, such approach would require a very considerable effort.</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0B494B3E" w14:textId="6D97EE4A" w:rsidR="00081BAB" w:rsidRPr="00D8247E" w:rsidRDefault="00081BAB" w:rsidP="00081BAB">
      <w:pPr>
        <w:rPr>
          <w:color w:val="0070C0"/>
        </w:rPr>
      </w:pPr>
      <w:permStart w:id="16780711" w:edGrp="everyone"/>
      <w:r w:rsidRPr="00D8247E">
        <w:rPr>
          <w:color w:val="0070C0"/>
        </w:rPr>
        <w:t>Option 2b could be easily labelled as a “game changer”. The potential advantages implied under such Option would be several, but the vast majority (not the entirety) of our members would not support the transition to such reporting system as (despite the apparent benefits in the longer term) it would result too costly for the industry. Indeed:</w:t>
      </w:r>
    </w:p>
    <w:p w14:paraId="15D84120" w14:textId="77777777" w:rsidR="00081BAB" w:rsidRPr="00D8247E" w:rsidRDefault="00081BAB" w:rsidP="004B56AC">
      <w:pPr>
        <w:pStyle w:val="Paragrafoelenco"/>
        <w:numPr>
          <w:ilvl w:val="0"/>
          <w:numId w:val="41"/>
        </w:numPr>
        <w:rPr>
          <w:rFonts w:ascii="Times New Roman" w:hAnsi="Times New Roman" w:cs="Times New Roman"/>
          <w:color w:val="0070C0"/>
          <w:sz w:val="24"/>
          <w:szCs w:val="24"/>
        </w:rPr>
      </w:pPr>
      <w:r w:rsidRPr="00D8247E">
        <w:rPr>
          <w:rFonts w:ascii="Times New Roman" w:hAnsi="Times New Roman" w:cs="Times New Roman"/>
          <w:color w:val="0070C0"/>
          <w:sz w:val="24"/>
          <w:szCs w:val="24"/>
        </w:rPr>
        <w:t>a 1</w:t>
      </w:r>
      <w:r w:rsidRPr="00D8247E">
        <w:rPr>
          <w:rFonts w:ascii="Times New Roman" w:hAnsi="Times New Roman" w:cs="Times New Roman"/>
          <w:color w:val="0070C0"/>
          <w:sz w:val="24"/>
          <w:szCs w:val="24"/>
          <w:vertAlign w:val="superscript"/>
        </w:rPr>
        <w:t>st</w:t>
      </w:r>
      <w:r w:rsidRPr="00D8247E">
        <w:rPr>
          <w:rFonts w:ascii="Times New Roman" w:hAnsi="Times New Roman" w:cs="Times New Roman"/>
          <w:color w:val="0070C0"/>
          <w:sz w:val="24"/>
          <w:szCs w:val="24"/>
        </w:rPr>
        <w:t xml:space="preserve"> tranche of costs would reside in the expenses born in the latest 10/12 years to deploy the current reporting systems, run and maintain them, adjust them for issues caused even by the excess of details, and keep </w:t>
      </w:r>
      <w:proofErr w:type="gramStart"/>
      <w:r w:rsidRPr="00D8247E">
        <w:rPr>
          <w:rFonts w:ascii="Times New Roman" w:hAnsi="Times New Roman" w:cs="Times New Roman"/>
          <w:color w:val="0070C0"/>
          <w:sz w:val="24"/>
          <w:szCs w:val="24"/>
        </w:rPr>
        <w:t>up-to-date</w:t>
      </w:r>
      <w:proofErr w:type="gramEnd"/>
      <w:r w:rsidRPr="00D8247E">
        <w:rPr>
          <w:rFonts w:ascii="Times New Roman" w:hAnsi="Times New Roman" w:cs="Times New Roman"/>
          <w:color w:val="0070C0"/>
          <w:sz w:val="24"/>
          <w:szCs w:val="24"/>
        </w:rPr>
        <w:t xml:space="preserve"> with the Regulation(s).</w:t>
      </w:r>
    </w:p>
    <w:p w14:paraId="24471390" w14:textId="66948D78" w:rsidR="00081BAB" w:rsidRPr="00D8247E" w:rsidRDefault="00081BAB" w:rsidP="004B56AC">
      <w:pPr>
        <w:pStyle w:val="Paragrafoelenco"/>
        <w:numPr>
          <w:ilvl w:val="0"/>
          <w:numId w:val="41"/>
        </w:numPr>
        <w:rPr>
          <w:rFonts w:ascii="Times New Roman" w:hAnsi="Times New Roman" w:cs="Times New Roman"/>
          <w:color w:val="0070C0"/>
          <w:sz w:val="24"/>
          <w:szCs w:val="24"/>
        </w:rPr>
      </w:pPr>
      <w:r w:rsidRPr="00D8247E">
        <w:rPr>
          <w:rFonts w:ascii="Times New Roman" w:hAnsi="Times New Roman" w:cs="Times New Roman"/>
          <w:color w:val="0070C0"/>
          <w:sz w:val="24"/>
          <w:szCs w:val="24"/>
        </w:rPr>
        <w:t>a 2</w:t>
      </w:r>
      <w:r w:rsidRPr="00D8247E">
        <w:rPr>
          <w:rFonts w:ascii="Times New Roman" w:hAnsi="Times New Roman" w:cs="Times New Roman"/>
          <w:color w:val="0070C0"/>
          <w:sz w:val="24"/>
          <w:szCs w:val="24"/>
          <w:vertAlign w:val="superscript"/>
        </w:rPr>
        <w:t>nd</w:t>
      </w:r>
      <w:r w:rsidRPr="00D8247E">
        <w:rPr>
          <w:rFonts w:ascii="Times New Roman" w:hAnsi="Times New Roman" w:cs="Times New Roman"/>
          <w:color w:val="0070C0"/>
          <w:sz w:val="24"/>
          <w:szCs w:val="24"/>
        </w:rPr>
        <w:t xml:space="preserve"> tranche of costs would be implied in the development and migration to such reporting system, based on the MIFIR’s, complemented by some (many?) information required under EMIR, using the current </w:t>
      </w:r>
      <w:r w:rsidR="005A05ED">
        <w:rPr>
          <w:rFonts w:ascii="Times New Roman" w:hAnsi="Times New Roman" w:cs="Times New Roman"/>
          <w:i/>
          <w:iCs/>
          <w:color w:val="0070C0"/>
          <w:sz w:val="24"/>
          <w:szCs w:val="24"/>
        </w:rPr>
        <w:t xml:space="preserve">reporting scheme / record layout </w:t>
      </w:r>
      <w:r w:rsidRPr="00D8247E">
        <w:rPr>
          <w:rFonts w:ascii="Times New Roman" w:hAnsi="Times New Roman" w:cs="Times New Roman"/>
          <w:color w:val="0070C0"/>
          <w:sz w:val="24"/>
          <w:szCs w:val="24"/>
        </w:rPr>
        <w:t xml:space="preserve">and </w:t>
      </w:r>
      <w:r w:rsidR="00C03C14">
        <w:rPr>
          <w:rFonts w:ascii="Times New Roman" w:hAnsi="Times New Roman" w:cs="Times New Roman"/>
          <w:color w:val="0070C0"/>
          <w:sz w:val="24"/>
          <w:szCs w:val="24"/>
        </w:rPr>
        <w:t xml:space="preserve">communication </w:t>
      </w:r>
      <w:r w:rsidRPr="00D8247E">
        <w:rPr>
          <w:rFonts w:ascii="Times New Roman" w:hAnsi="Times New Roman" w:cs="Times New Roman"/>
          <w:color w:val="0070C0"/>
          <w:sz w:val="24"/>
          <w:szCs w:val="24"/>
        </w:rPr>
        <w:t>channel</w:t>
      </w:r>
      <w:r w:rsidRPr="00D8247E">
        <w:rPr>
          <w:rFonts w:ascii="Times New Roman" w:hAnsi="Times New Roman" w:cs="Times New Roman"/>
          <w:i/>
          <w:iCs/>
          <w:color w:val="0070C0"/>
          <w:sz w:val="24"/>
          <w:szCs w:val="24"/>
        </w:rPr>
        <w:t xml:space="preserve"> </w:t>
      </w:r>
      <w:r w:rsidRPr="00D8247E">
        <w:rPr>
          <w:rFonts w:ascii="Times New Roman" w:hAnsi="Times New Roman" w:cs="Times New Roman"/>
          <w:color w:val="0070C0"/>
          <w:sz w:val="24"/>
          <w:szCs w:val="24"/>
        </w:rPr>
        <w:t xml:space="preserve">as </w:t>
      </w:r>
      <w:proofErr w:type="spellStart"/>
      <w:r w:rsidRPr="00D8247E">
        <w:rPr>
          <w:rFonts w:ascii="Times New Roman" w:hAnsi="Times New Roman" w:cs="Times New Roman"/>
          <w:color w:val="0070C0"/>
          <w:sz w:val="24"/>
          <w:szCs w:val="24"/>
        </w:rPr>
        <w:t>MiFIR</w:t>
      </w:r>
      <w:proofErr w:type="spellEnd"/>
      <w:r w:rsidRPr="00D8247E">
        <w:rPr>
          <w:rFonts w:ascii="Times New Roman" w:hAnsi="Times New Roman" w:cs="Times New Roman"/>
          <w:color w:val="0070C0"/>
          <w:sz w:val="24"/>
          <w:szCs w:val="24"/>
        </w:rPr>
        <w:t xml:space="preserve">, and dismissing </w:t>
      </w:r>
      <w:r w:rsidR="00914B28">
        <w:rPr>
          <w:rFonts w:ascii="Times New Roman" w:hAnsi="Times New Roman" w:cs="Times New Roman"/>
          <w:color w:val="0070C0"/>
          <w:sz w:val="24"/>
          <w:szCs w:val="24"/>
        </w:rPr>
        <w:t xml:space="preserve">the current </w:t>
      </w:r>
      <w:r w:rsidR="001301BC">
        <w:rPr>
          <w:rFonts w:ascii="Times New Roman" w:hAnsi="Times New Roman" w:cs="Times New Roman"/>
          <w:color w:val="0070C0"/>
          <w:sz w:val="24"/>
          <w:szCs w:val="24"/>
        </w:rPr>
        <w:t xml:space="preserve">two schemes </w:t>
      </w:r>
      <w:r w:rsidRPr="00D8247E">
        <w:rPr>
          <w:rFonts w:ascii="Times New Roman" w:hAnsi="Times New Roman" w:cs="Times New Roman"/>
          <w:color w:val="0070C0"/>
          <w:sz w:val="24"/>
          <w:szCs w:val="24"/>
        </w:rPr>
        <w:t xml:space="preserve">and </w:t>
      </w:r>
      <w:r w:rsidR="001301BC">
        <w:rPr>
          <w:rFonts w:ascii="Times New Roman" w:hAnsi="Times New Roman" w:cs="Times New Roman"/>
          <w:color w:val="0070C0"/>
          <w:sz w:val="24"/>
          <w:szCs w:val="24"/>
        </w:rPr>
        <w:t xml:space="preserve">one </w:t>
      </w:r>
      <w:r w:rsidRPr="00D8247E">
        <w:rPr>
          <w:rFonts w:ascii="Times New Roman" w:hAnsi="Times New Roman" w:cs="Times New Roman"/>
          <w:color w:val="0070C0"/>
          <w:sz w:val="24"/>
          <w:szCs w:val="24"/>
        </w:rPr>
        <w:t>reporting channel (the one through Trade Repositories).</w:t>
      </w:r>
    </w:p>
    <w:p w14:paraId="55C631DC" w14:textId="77777777" w:rsidR="00081BAB" w:rsidRPr="00D8247E" w:rsidRDefault="00081BAB" w:rsidP="00081BAB">
      <w:pPr>
        <w:rPr>
          <w:color w:val="0070C0"/>
        </w:rPr>
      </w:pPr>
    </w:p>
    <w:p w14:paraId="766D4117" w14:textId="64647118" w:rsidR="00926BDA" w:rsidRPr="00317F06" w:rsidRDefault="00081BAB" w:rsidP="00926BDA">
      <w:pPr>
        <w:rPr>
          <w:color w:val="0070C0"/>
        </w:rPr>
      </w:pPr>
      <w:r w:rsidRPr="00D8247E">
        <w:rPr>
          <w:color w:val="0070C0"/>
        </w:rPr>
        <w:lastRenderedPageBreak/>
        <w:t>So, Option 2b would be too costly to migrate to</w:t>
      </w:r>
      <w:r w:rsidR="001301BC">
        <w:rPr>
          <w:color w:val="0070C0"/>
        </w:rPr>
        <w:t>,</w:t>
      </w:r>
      <w:r w:rsidRPr="00D8247E">
        <w:rPr>
          <w:color w:val="0070C0"/>
        </w:rPr>
        <w:t xml:space="preserve"> </w:t>
      </w:r>
      <w:r w:rsidR="001301BC">
        <w:rPr>
          <w:color w:val="0070C0"/>
        </w:rPr>
        <w:t xml:space="preserve">precisely </w:t>
      </w:r>
      <w:r w:rsidRPr="00D8247E">
        <w:rPr>
          <w:color w:val="0070C0"/>
        </w:rPr>
        <w:t>because a “</w:t>
      </w:r>
      <w:r w:rsidR="00192700">
        <w:rPr>
          <w:color w:val="0070C0"/>
        </w:rPr>
        <w:t xml:space="preserve">very complex and interrelated </w:t>
      </w:r>
      <w:r w:rsidRPr="00D8247E">
        <w:rPr>
          <w:color w:val="0070C0"/>
        </w:rPr>
        <w:t>reporting machine” is already up and running</w:t>
      </w:r>
      <w:r w:rsidRPr="00573EDD">
        <w:rPr>
          <w:color w:val="0070C0"/>
        </w:rPr>
        <w:t>.</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4183663D" w14:textId="24E3D9D6" w:rsidR="00926BDA" w:rsidRPr="006311D9" w:rsidRDefault="00723553" w:rsidP="00926BDA">
      <w:pPr>
        <w:rPr>
          <w:color w:val="0070C0"/>
        </w:rPr>
      </w:pPr>
      <w:permStart w:id="1489376342" w:edGrp="everyone"/>
      <w:r w:rsidRPr="006311D9">
        <w:rPr>
          <w:color w:val="0070C0"/>
        </w:rPr>
        <w:t>Please, refer to</w:t>
      </w:r>
      <w:r w:rsidR="00D822E4" w:rsidRPr="006311D9">
        <w:rPr>
          <w:color w:val="0070C0"/>
        </w:rPr>
        <w:t xml:space="preserve"> the considerations</w:t>
      </w:r>
      <w:r w:rsidRPr="006311D9">
        <w:rPr>
          <w:color w:val="0070C0"/>
        </w:rPr>
        <w:t xml:space="preserve"> </w:t>
      </w:r>
      <w:r w:rsidR="00D822E4" w:rsidRPr="006311D9">
        <w:rPr>
          <w:color w:val="0070C0"/>
        </w:rPr>
        <w:t xml:space="preserve">relevant to this question which we have expressed in </w:t>
      </w:r>
      <w:r w:rsidRPr="006311D9">
        <w:rPr>
          <w:color w:val="0070C0"/>
        </w:rPr>
        <w:t>our answer to question 10.</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478A4D99" w:rsidR="00926BDA" w:rsidRPr="006311D9" w:rsidRDefault="00D822E4" w:rsidP="00926BDA">
      <w:pPr>
        <w:rPr>
          <w:color w:val="0070C0"/>
        </w:rPr>
      </w:pPr>
      <w:permStart w:id="1849847968" w:edGrp="everyone"/>
      <w:r w:rsidRPr="006311D9">
        <w:rPr>
          <w:color w:val="0070C0"/>
        </w:rPr>
        <w:t>Please, refer to the considerations relevant to this question which we have expressed in our answer to question 1</w:t>
      </w:r>
      <w:r w:rsidR="00DA1C08" w:rsidRPr="006311D9">
        <w:rPr>
          <w:color w:val="0070C0"/>
        </w:rPr>
        <w:t>1.</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9A959E7" w14:textId="1201B55D" w:rsidR="006311D9" w:rsidRPr="00D8247E" w:rsidRDefault="006311D9" w:rsidP="00D8247E">
      <w:pPr>
        <w:jc w:val="both"/>
        <w:rPr>
          <w:color w:val="0070C0"/>
        </w:rPr>
      </w:pPr>
      <w:permStart w:id="695482675" w:edGrp="everyone"/>
      <w:r w:rsidRPr="00D8247E">
        <w:rPr>
          <w:color w:val="0070C0"/>
        </w:rPr>
        <w:t xml:space="preserve">Despite Option 1(a) could be somehow considered as a “short term” or “short sighted” solution (when an external observer aims to achieve a real simplification), in our opinion, </w:t>
      </w:r>
      <w:r w:rsidRPr="00D8247E">
        <w:rPr>
          <w:b/>
          <w:bCs/>
          <w:color w:val="0070C0"/>
        </w:rPr>
        <w:t>Option 1(a) should be prioritized</w:t>
      </w:r>
      <w:r w:rsidRPr="00D8247E">
        <w:rPr>
          <w:color w:val="0070C0"/>
        </w:rPr>
        <w:t xml:space="preserve">. This is not to say, though, that is the “best” solution among those presented to pursue a real simplification. Option 1(a) seems to represent a </w:t>
      </w:r>
      <w:r w:rsidRPr="00D8247E">
        <w:rPr>
          <w:b/>
          <w:bCs/>
          <w:color w:val="0070C0"/>
        </w:rPr>
        <w:t>balanced winning compromise</w:t>
      </w:r>
      <w:r w:rsidRPr="00D8247E">
        <w:rPr>
          <w:color w:val="0070C0"/>
        </w:rPr>
        <w:t xml:space="preserve"> between</w:t>
      </w:r>
    </w:p>
    <w:p w14:paraId="50EAC9AF" w14:textId="77777777" w:rsidR="006311D9" w:rsidRPr="00D8247E" w:rsidRDefault="006311D9" w:rsidP="00D8247E">
      <w:pPr>
        <w:pStyle w:val="Paragrafoelenco"/>
        <w:numPr>
          <w:ilvl w:val="0"/>
          <w:numId w:val="42"/>
        </w:numPr>
        <w:rPr>
          <w:color w:val="0070C0"/>
        </w:rPr>
      </w:pPr>
      <w:r w:rsidRPr="00D8247E">
        <w:rPr>
          <w:b/>
          <w:bCs/>
          <w:color w:val="0070C0"/>
        </w:rPr>
        <w:t>the need to simplify the reporting</w:t>
      </w:r>
      <w:r w:rsidRPr="00D8247E">
        <w:rPr>
          <w:color w:val="0070C0"/>
        </w:rPr>
        <w:t xml:space="preserve"> across EMIR, </w:t>
      </w:r>
      <w:proofErr w:type="spellStart"/>
      <w:r w:rsidRPr="00D8247E">
        <w:rPr>
          <w:color w:val="0070C0"/>
        </w:rPr>
        <w:t>MiFIR</w:t>
      </w:r>
      <w:proofErr w:type="spellEnd"/>
      <w:r w:rsidRPr="00D8247E">
        <w:rPr>
          <w:color w:val="0070C0"/>
        </w:rPr>
        <w:t xml:space="preserve"> and SFTR, which had been called for by stakeholder, since a long time and in multiple public consultations’ initiatives, and</w:t>
      </w:r>
    </w:p>
    <w:p w14:paraId="5A482573" w14:textId="77777777" w:rsidR="006311D9" w:rsidRPr="00D8247E" w:rsidRDefault="006311D9" w:rsidP="00D8247E">
      <w:pPr>
        <w:pStyle w:val="Paragrafoelenco"/>
        <w:numPr>
          <w:ilvl w:val="0"/>
          <w:numId w:val="42"/>
        </w:numPr>
        <w:rPr>
          <w:color w:val="0070C0"/>
        </w:rPr>
      </w:pPr>
      <w:proofErr w:type="spellStart"/>
      <w:r w:rsidRPr="00D8247E">
        <w:rPr>
          <w:b/>
          <w:bCs/>
          <w:color w:val="0070C0"/>
        </w:rPr>
        <w:t>the</w:t>
      </w:r>
      <w:proofErr w:type="spellEnd"/>
      <w:r w:rsidRPr="00D8247E">
        <w:rPr>
          <w:b/>
          <w:bCs/>
          <w:color w:val="0070C0"/>
        </w:rPr>
        <w:t xml:space="preserve"> need not to dismantle reporting systems which were so costly to set up and fine tune over the last decade</w:t>
      </w:r>
      <w:r w:rsidRPr="00D8247E">
        <w:rPr>
          <w:color w:val="0070C0"/>
        </w:rPr>
        <w:t>, and were even recently subject to further deepening (as it is the case for EMIR Refit reporting), that it would be unreasonable to dismantle and re-build almost from scratch</w:t>
      </w:r>
    </w:p>
    <w:p w14:paraId="1CD195AE" w14:textId="77777777" w:rsidR="006311D9" w:rsidRPr="00D8247E" w:rsidRDefault="006311D9" w:rsidP="00D8247E">
      <w:pPr>
        <w:jc w:val="both"/>
        <w:rPr>
          <w:color w:val="0070C0"/>
        </w:rPr>
      </w:pPr>
    </w:p>
    <w:p w14:paraId="2F67F314" w14:textId="77777777" w:rsidR="006311D9" w:rsidRPr="00D8247E" w:rsidRDefault="006311D9" w:rsidP="00D8247E">
      <w:pPr>
        <w:jc w:val="both"/>
        <w:rPr>
          <w:color w:val="0070C0"/>
        </w:rPr>
      </w:pPr>
      <w:r w:rsidRPr="00D8247E">
        <w:rPr>
          <w:color w:val="0070C0"/>
        </w:rPr>
        <w:t xml:space="preserve">In terms of priority, following Option 1(a), in our opinion Option 2(a) could be considered and assessed under the condition that the move to 2(a) would be divided in phases, or </w:t>
      </w:r>
      <w:r w:rsidRPr="00D8247E">
        <w:rPr>
          <w:i/>
          <w:iCs/>
          <w:color w:val="0070C0"/>
        </w:rPr>
        <w:t>tranches</w:t>
      </w:r>
      <w:r w:rsidRPr="00D8247E">
        <w:rPr>
          <w:color w:val="0070C0"/>
        </w:rPr>
        <w:t>: first a change from the current regime to Option 1(a); after some time, a further enhancement to migrate to Option 2(a).</w:t>
      </w:r>
    </w:p>
    <w:p w14:paraId="41E508F4" w14:textId="77777777" w:rsidR="006311D9" w:rsidRPr="00573EDD" w:rsidRDefault="006311D9" w:rsidP="006311D9">
      <w:pPr>
        <w:rPr>
          <w:color w:val="0070C0"/>
        </w:rPr>
      </w:pPr>
    </w:p>
    <w:p w14:paraId="53069A83" w14:textId="0A954572" w:rsidR="00926BDA" w:rsidRDefault="006311D9" w:rsidP="00D8247E">
      <w:pPr>
        <w:jc w:val="both"/>
      </w:pPr>
      <w:r w:rsidRPr="00573EDD">
        <w:rPr>
          <w:color w:val="0070C0"/>
        </w:rPr>
        <w:t xml:space="preserve">Our members suggest that ESMA shall take into consideration a sub-option 2(a), i.e. </w:t>
      </w:r>
      <w:r w:rsidRPr="00573EDD">
        <w:rPr>
          <w:b/>
          <w:bCs/>
          <w:color w:val="0070C0"/>
        </w:rPr>
        <w:t>Option 2(a) without SFTR reporting</w:t>
      </w:r>
      <w:r w:rsidRPr="00573EDD">
        <w:rPr>
          <w:color w:val="0070C0"/>
        </w:rPr>
        <w:t xml:space="preserve">, given that the later includes information and data which is difficult to “integrate” and manage together with EMIR and MIFIR. In any case, as mentioned above, we believe that the eventual adoption of Option 2 as the target reporting model cannot </w:t>
      </w:r>
      <w:r w:rsidRPr="00573EDD">
        <w:rPr>
          <w:color w:val="0070C0"/>
        </w:rPr>
        <w:lastRenderedPageBreak/>
        <w:t>be achieved without a previous thorough cost-benefit analysis, compared to the case of Options 1a/1b.</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9828EC2" w14:textId="57750351" w:rsidR="00027CDF" w:rsidRPr="00573EDD" w:rsidRDefault="00027CDF" w:rsidP="00D8247E">
      <w:pPr>
        <w:jc w:val="both"/>
        <w:rPr>
          <w:color w:val="0070C0"/>
        </w:rPr>
      </w:pPr>
      <w:permStart w:id="1784418006" w:edGrp="everyone"/>
      <w:r w:rsidRPr="00573EDD">
        <w:rPr>
          <w:color w:val="0070C0"/>
        </w:rPr>
        <w:t>We provide here below a set of possible additional options which ESMA might take into consideration on top of Options 1 and 2.</w:t>
      </w:r>
    </w:p>
    <w:p w14:paraId="70AB5FC5" w14:textId="77777777" w:rsidR="00027CDF" w:rsidRPr="00573EDD" w:rsidRDefault="00027CDF" w:rsidP="00027CDF">
      <w:pPr>
        <w:rPr>
          <w:color w:val="0070C0"/>
        </w:rPr>
      </w:pPr>
    </w:p>
    <w:p w14:paraId="79860AB7" w14:textId="77777777" w:rsidR="00027CDF" w:rsidRPr="00573EDD" w:rsidRDefault="00027CDF" w:rsidP="00D8247E">
      <w:pPr>
        <w:jc w:val="both"/>
        <w:rPr>
          <w:color w:val="0070C0"/>
        </w:rPr>
      </w:pPr>
      <w:r w:rsidRPr="00573EDD">
        <w:rPr>
          <w:color w:val="0070C0"/>
        </w:rPr>
        <w:t xml:space="preserve">Independently of the </w:t>
      </w:r>
      <w:proofErr w:type="gramStart"/>
      <w:r w:rsidRPr="00573EDD">
        <w:rPr>
          <w:color w:val="0070C0"/>
        </w:rPr>
        <w:t>final outcome</w:t>
      </w:r>
      <w:proofErr w:type="gramEnd"/>
      <w:r w:rsidRPr="00573EDD">
        <w:rPr>
          <w:color w:val="0070C0"/>
        </w:rPr>
        <w:t xml:space="preserve"> of this current </w:t>
      </w:r>
      <w:proofErr w:type="spellStart"/>
      <w:r w:rsidRPr="00573EDD">
        <w:rPr>
          <w:color w:val="0070C0"/>
        </w:rPr>
        <w:t>CfE</w:t>
      </w:r>
      <w:proofErr w:type="spellEnd"/>
      <w:r w:rsidRPr="00573EDD">
        <w:rPr>
          <w:color w:val="0070C0"/>
        </w:rPr>
        <w:t>, we would first suggest ESMA to consider dismissing the dual-sided reporting for ETDs, leaving such responsibility solely to the Trading Venues. Such outset would reduce direct and indirect costs for every counterparty and eliminate potential mismatches.</w:t>
      </w:r>
    </w:p>
    <w:p w14:paraId="2655FBF4" w14:textId="77777777" w:rsidR="00027CDF" w:rsidRPr="00573EDD" w:rsidRDefault="00027CDF" w:rsidP="00027CDF">
      <w:pPr>
        <w:rPr>
          <w:color w:val="0070C0"/>
        </w:rPr>
      </w:pPr>
    </w:p>
    <w:p w14:paraId="4BAF81A7" w14:textId="3E8614D4" w:rsidR="00027CDF" w:rsidRPr="00573EDD" w:rsidRDefault="00027CDF" w:rsidP="00D8247E">
      <w:pPr>
        <w:jc w:val="both"/>
        <w:rPr>
          <w:color w:val="0070C0"/>
        </w:rPr>
      </w:pPr>
      <w:r w:rsidRPr="00573EDD">
        <w:rPr>
          <w:color w:val="0070C0"/>
        </w:rPr>
        <w:t xml:space="preserve">Secondly, it might be appropriate, considerate and rational </w:t>
      </w:r>
      <w:proofErr w:type="gramStart"/>
      <w:r w:rsidRPr="00573EDD">
        <w:rPr>
          <w:color w:val="0070C0"/>
        </w:rPr>
        <w:t>at this point in time</w:t>
      </w:r>
      <w:proofErr w:type="gramEnd"/>
      <w:r w:rsidRPr="00573EDD">
        <w:rPr>
          <w:color w:val="0070C0"/>
        </w:rPr>
        <w:t xml:space="preserve"> (given the Competitive</w:t>
      </w:r>
      <w:r w:rsidR="00F034AF">
        <w:rPr>
          <w:color w:val="0070C0"/>
        </w:rPr>
        <w:t>ne</w:t>
      </w:r>
      <w:r w:rsidRPr="00573EDD">
        <w:rPr>
          <w:color w:val="0070C0"/>
        </w:rPr>
        <w:t xml:space="preserve">ss Compass’ Initiative by the Commission) to challenge and </w:t>
      </w:r>
      <w:r w:rsidRPr="00573EDD">
        <w:rPr>
          <w:b/>
          <w:bCs/>
          <w:color w:val="0070C0"/>
        </w:rPr>
        <w:t>re-assess the actual usefulness of all the fields currently reported</w:t>
      </w:r>
      <w:r w:rsidRPr="00573EDD">
        <w:rPr>
          <w:color w:val="0070C0"/>
        </w:rPr>
        <w:t xml:space="preserve">. Indeed, to provide additional examples, we consider appropriate to mention </w:t>
      </w:r>
      <w:proofErr w:type="spellStart"/>
      <w:r w:rsidRPr="00573EDD">
        <w:rPr>
          <w:color w:val="0070C0"/>
        </w:rPr>
        <w:t>i</w:t>
      </w:r>
      <w:proofErr w:type="spellEnd"/>
      <w:r w:rsidRPr="00573EDD">
        <w:rPr>
          <w:color w:val="0070C0"/>
        </w:rPr>
        <w:t>) all the fields related to Packaged Transactions, ii) the EMIR fields related to valuation and collateral management or iii) the details concerning collateral in SFTR reporting which do not seem necessary for systemic risk management purposes.</w:t>
      </w:r>
    </w:p>
    <w:p w14:paraId="270DBE7C" w14:textId="77777777" w:rsidR="00027CDF" w:rsidRPr="00573EDD" w:rsidRDefault="00027CDF" w:rsidP="00027CDF">
      <w:pPr>
        <w:rPr>
          <w:color w:val="0070C0"/>
        </w:rPr>
      </w:pPr>
    </w:p>
    <w:p w14:paraId="55515437" w14:textId="77777777" w:rsidR="00027CDF" w:rsidRPr="00573EDD" w:rsidRDefault="00027CDF" w:rsidP="00D8247E">
      <w:pPr>
        <w:jc w:val="both"/>
        <w:rPr>
          <w:color w:val="0070C0"/>
        </w:rPr>
      </w:pPr>
      <w:r w:rsidRPr="00573EDD">
        <w:rPr>
          <w:b/>
          <w:bCs/>
          <w:color w:val="0070C0"/>
        </w:rPr>
        <w:t>A further area of simplification</w:t>
      </w:r>
      <w:r w:rsidRPr="00573EDD">
        <w:rPr>
          <w:color w:val="0070C0"/>
        </w:rPr>
        <w:t xml:space="preserve">, in our opinion, concerns the </w:t>
      </w:r>
      <w:r w:rsidRPr="00573EDD">
        <w:rPr>
          <w:b/>
          <w:bCs/>
          <w:color w:val="0070C0"/>
        </w:rPr>
        <w:t>type of transactions</w:t>
      </w:r>
      <w:r w:rsidRPr="00573EDD">
        <w:rPr>
          <w:color w:val="0070C0"/>
        </w:rPr>
        <w:t xml:space="preserve"> which are currently included in the reporting perimeter, for which we equally believe it would be useful to assess their relative consistency with the objectives of the various reporting regimes. For example, with </w:t>
      </w:r>
      <w:proofErr w:type="gramStart"/>
      <w:r w:rsidRPr="00573EDD">
        <w:rPr>
          <w:color w:val="0070C0"/>
        </w:rPr>
        <w:t>particular reference</w:t>
      </w:r>
      <w:proofErr w:type="gramEnd"/>
      <w:r w:rsidRPr="00573EDD">
        <w:rPr>
          <w:color w:val="0070C0"/>
        </w:rPr>
        <w:t xml:space="preserve"> to Transaction Reporting obligations, the assessment should duly consider transfers of financial instruments with no price, tender offers on shares, SFTs concluded with Central Banks, acquisitions or disposals under an Employee Share Incentive Plan outside the criteria currently established by RTS 22 of MiFID/R.</w:t>
      </w:r>
    </w:p>
    <w:p w14:paraId="2C18B286" w14:textId="77777777" w:rsidR="00027CDF" w:rsidRPr="00573EDD" w:rsidRDefault="00027CDF" w:rsidP="00027CDF">
      <w:pPr>
        <w:rPr>
          <w:color w:val="0070C0"/>
        </w:rPr>
      </w:pPr>
    </w:p>
    <w:p w14:paraId="4A8591C6" w14:textId="77777777" w:rsidR="00027CDF" w:rsidRPr="00573EDD" w:rsidRDefault="00027CDF" w:rsidP="00D8247E">
      <w:pPr>
        <w:jc w:val="both"/>
        <w:rPr>
          <w:color w:val="0070C0"/>
        </w:rPr>
      </w:pPr>
      <w:r w:rsidRPr="00573EDD">
        <w:rPr>
          <w:color w:val="0070C0"/>
        </w:rPr>
        <w:t xml:space="preserve">Fourthly, another potential area of ​​simplification that would help reduce reporting burdens would be – in the case of aggregated transactions executed on behalf of clients as part of portfolio management services – the </w:t>
      </w:r>
      <w:r w:rsidRPr="00A178E5">
        <w:rPr>
          <w:b/>
          <w:bCs/>
          <w:color w:val="0070C0"/>
        </w:rPr>
        <w:t>exclusion of reports of the related numerous legs containing client details</w:t>
      </w:r>
      <w:r w:rsidRPr="00573EDD">
        <w:rPr>
          <w:color w:val="0070C0"/>
        </w:rPr>
        <w:t>. This is because the information relevant for market abuse monitoring purposes is already contained in the reports of transactions relating to the aggregated order, which could instead be assigned to the relevant management line.</w:t>
      </w:r>
    </w:p>
    <w:p w14:paraId="013643A2" w14:textId="77777777" w:rsidR="00027CDF" w:rsidRPr="00573EDD" w:rsidRDefault="00027CDF" w:rsidP="00027CDF">
      <w:pPr>
        <w:rPr>
          <w:color w:val="0070C0"/>
        </w:rPr>
      </w:pPr>
    </w:p>
    <w:p w14:paraId="07469BB7" w14:textId="32C79619" w:rsidR="00926BDA" w:rsidRPr="00027CDF" w:rsidRDefault="00027CDF" w:rsidP="00D8247E">
      <w:pPr>
        <w:jc w:val="both"/>
        <w:rPr>
          <w:color w:val="0070C0"/>
        </w:rPr>
      </w:pPr>
      <w:r w:rsidRPr="00573EDD">
        <w:rPr>
          <w:color w:val="0070C0"/>
        </w:rPr>
        <w:t xml:space="preserve">Eventually, ESMA could even re-assesses (in light of the Commission mandate to explore any options for simplifying the reporting burden) whether there is a room to </w:t>
      </w:r>
      <w:r w:rsidRPr="00573EDD">
        <w:rPr>
          <w:b/>
          <w:bCs/>
          <w:color w:val="0070C0"/>
        </w:rPr>
        <w:t>involve trading venues and CCPs to report core pieces of information</w:t>
      </w:r>
      <w:r w:rsidRPr="00573EDD">
        <w:rPr>
          <w:color w:val="0070C0"/>
        </w:rPr>
        <w:t xml:space="preserve"> of some transactions, since this would ensure the consistency between the data which make reference to the same transaction, for the two “sides” thereof (i.e. the buy side and the sell side), and at the same time it would lighten the </w:t>
      </w:r>
      <w:r w:rsidRPr="00573EDD">
        <w:rPr>
          <w:color w:val="0070C0"/>
        </w:rPr>
        <w:lastRenderedPageBreak/>
        <w:t>parties to the transaction(s) from the burden of jointly comparing reports and resolving the issues that at times occur in case they mis-match such information. Removing some (selected) reporting fields would not just make the “reporting” lighter, but it would contribute to making even the internal controls (set up by counterparties) lighter and less cumbersome than today, even for NCAs.</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43D078C7" w:rsidR="00926BDA" w:rsidRDefault="007612BD" w:rsidP="00D8247E">
      <w:pPr>
        <w:jc w:val="both"/>
      </w:pPr>
      <w:permStart w:id="1438851636" w:edGrp="everyone"/>
      <w:r w:rsidRPr="00573EDD">
        <w:rPr>
          <w:color w:val="0070C0"/>
        </w:rPr>
        <w:t>We believe there is a sensible need to “make the most of” (if not even to “exploit”) the current reporting channels and dedicated structures, as tested and currently working consistently to the relevant Regulations. We underline the need that any eventual, possible change or amendment be done within this scope, within a reasonable cost/benefit balance/equilibrium.</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37DB590E" w14:textId="2980F313" w:rsidR="00287CDF" w:rsidRPr="00573EDD" w:rsidRDefault="00287CDF" w:rsidP="00D8247E">
      <w:pPr>
        <w:jc w:val="both"/>
        <w:rPr>
          <w:color w:val="0070C0"/>
        </w:rPr>
      </w:pPr>
      <w:permStart w:id="1962436404" w:edGrp="everyone"/>
      <w:r w:rsidRPr="00573EDD">
        <w:rPr>
          <w:color w:val="0070C0"/>
        </w:rPr>
        <w:t>In short, the advantage would consist mainly in the elimination of mismatching problems, which by some is considered “pointless” because what is reported by the Executing Venue should be 'certain' by definition.</w:t>
      </w:r>
    </w:p>
    <w:p w14:paraId="74F450FD" w14:textId="77777777" w:rsidR="00287CDF" w:rsidRPr="00573EDD" w:rsidRDefault="00287CDF" w:rsidP="00287CDF">
      <w:pPr>
        <w:rPr>
          <w:color w:val="0070C0"/>
        </w:rPr>
      </w:pPr>
    </w:p>
    <w:p w14:paraId="33B78B8E" w14:textId="5BD3F11F" w:rsidR="00926BDA" w:rsidRDefault="00287CDF" w:rsidP="00D8247E">
      <w:pPr>
        <w:jc w:val="both"/>
      </w:pPr>
      <w:r w:rsidRPr="00573EDD">
        <w:rPr>
          <w:color w:val="0070C0"/>
        </w:rPr>
        <w:t>In other more elaborated terms, as also mentioned at the end of Q.7, we believe that ESMA should re-assesses (in light of the Commission mandate to explore any options for simplifying the reporting burden) whether there is a room to involve trading venues and CCPs to report core pieces of information of some transactions, since this would ensure the consistency between the data which make reference to the same transaction, for the two “sides” thereof (i.e. the buy side and the sell side), and at the same time it would lighten the parties to the transaction(s) from the onus of jointly comparing reports and resolving the issues that at times occur in case they mis-match such information. Furthermore, by taking this occasion for removing some (selected) reporting fields, it would make reporting lighter, and it would contribute to making even internal controls (set up and run by counterparties) lighter and less cumbersome than today, even for NCAs.</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w:t>
      </w:r>
      <w:r>
        <w:lastRenderedPageBreak/>
        <w:t xml:space="preserve">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02AD5516" w:rsidR="00926BDA" w:rsidRPr="00E77282" w:rsidRDefault="00E77282" w:rsidP="00D8247E">
      <w:pPr>
        <w:jc w:val="both"/>
        <w:rPr>
          <w:color w:val="0070C0"/>
        </w:rPr>
      </w:pPr>
      <w:permStart w:id="105197077" w:edGrp="everyone"/>
      <w:r w:rsidRPr="00573EDD">
        <w:rPr>
          <w:color w:val="0070C0"/>
        </w:rPr>
        <w:t>The reporting to a centralised hub at ESMA, in our opinion, would be beneficial for market participants as, in the longer term, would contribute to a strong reduction of current “different interpretation” on how perform reports for complex transactions, and would eliminate or minimize room for additional provisions by the NCAs (which does represent a further element of complexity and issues).</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52AEB9F5" w14:textId="6F07A1AA" w:rsidR="00B3505D" w:rsidRPr="00573EDD" w:rsidRDefault="00B3505D" w:rsidP="00D8247E">
      <w:pPr>
        <w:jc w:val="both"/>
        <w:rPr>
          <w:color w:val="0070C0"/>
        </w:rPr>
      </w:pPr>
      <w:permStart w:id="1652326327" w:edGrp="everyone"/>
      <w:r w:rsidRPr="00573EDD">
        <w:rPr>
          <w:color w:val="0070C0"/>
        </w:rPr>
        <w:t>Dual-sided reporting determines the need to retrieve data from the other counterparty to the transaction, to pair and match this data, and to share the results of this activity with the same counterparty/</w:t>
      </w:r>
      <w:proofErr w:type="spellStart"/>
      <w:r w:rsidRPr="00573EDD">
        <w:rPr>
          <w:color w:val="0070C0"/>
        </w:rPr>
        <w:t>ies</w:t>
      </w:r>
      <w:proofErr w:type="spellEnd"/>
      <w:r w:rsidRPr="00573EDD">
        <w:rPr>
          <w:color w:val="0070C0"/>
        </w:rPr>
        <w:t xml:space="preserve">, and all of this translates into tangible cost invoices, time consumption and human resources to allocate. This also stands in terms of IT (systems and resources), but it would decrease over time presumably thanks to new forthcoming technologies. It is difficult to assess now and adequately but it can be assumed that the cost </w:t>
      </w:r>
      <w:r w:rsidRPr="00573EDD">
        <w:rPr>
          <w:color w:val="0070C0"/>
          <w:u w:val="single"/>
        </w:rPr>
        <w:t>reduction</w:t>
      </w:r>
      <w:r w:rsidRPr="00573EDD">
        <w:rPr>
          <w:color w:val="0070C0"/>
        </w:rPr>
        <w:t xml:space="preserve"> of a transition to the one-sided reporting will be significant when </w:t>
      </w:r>
      <w:r w:rsidRPr="00573EDD">
        <w:rPr>
          <w:i/>
          <w:iCs/>
          <w:color w:val="0070C0"/>
        </w:rPr>
        <w:t xml:space="preserve">at regime </w:t>
      </w:r>
      <w:r w:rsidRPr="00573EDD">
        <w:rPr>
          <w:color w:val="0070C0"/>
        </w:rPr>
        <w:t>(up and running). Clearly, the costs to be born for migrating from one reporting regime to another must be taken into consideration, even more so given that such costs would be significant.</w:t>
      </w:r>
    </w:p>
    <w:p w14:paraId="1420CE17" w14:textId="77777777" w:rsidR="00B3505D" w:rsidRPr="00573EDD" w:rsidRDefault="00B3505D" w:rsidP="00B3505D">
      <w:pPr>
        <w:rPr>
          <w:color w:val="0070C0"/>
        </w:rPr>
      </w:pPr>
    </w:p>
    <w:p w14:paraId="6E39AACB" w14:textId="74C24C78" w:rsidR="00926BDA" w:rsidRPr="00B3505D" w:rsidRDefault="00B3505D" w:rsidP="00D8247E">
      <w:pPr>
        <w:jc w:val="both"/>
        <w:rPr>
          <w:color w:val="0070C0"/>
        </w:rPr>
      </w:pPr>
      <w:r w:rsidRPr="00573EDD">
        <w:rPr>
          <w:color w:val="0070C0"/>
        </w:rPr>
        <w:t xml:space="preserve">All in all, and in line with other considerations elaborated across our responses, we underline that, </w:t>
      </w:r>
      <w:r w:rsidRPr="00573EDD">
        <w:rPr>
          <w:color w:val="0070C0"/>
          <w:u w:val="single"/>
        </w:rPr>
        <w:t>if</w:t>
      </w:r>
      <w:r w:rsidRPr="00573EDD">
        <w:rPr>
          <w:color w:val="0070C0"/>
        </w:rPr>
        <w:t xml:space="preserve"> the dual-sided reporting be dismissed but then followed by the introduction of new, further onerous provisions and obligations, not to mention the need of new controls on what the counterparty has reported, then all the actual advantages implied by the dual-sided reporting dismission would be off-set, “compensated” and “wasted”. Such a scenario would make basically preferrable to maintain the current dual-sided system, as every related 1</w:t>
      </w:r>
      <w:r w:rsidRPr="00573EDD">
        <w:rPr>
          <w:color w:val="0070C0"/>
          <w:vertAlign w:val="superscript"/>
        </w:rPr>
        <w:t>st</w:t>
      </w:r>
      <w:r w:rsidRPr="00573EDD">
        <w:rPr>
          <w:color w:val="0070C0"/>
        </w:rPr>
        <w:t xml:space="preserve"> and 2</w:t>
      </w:r>
      <w:r w:rsidRPr="00573EDD">
        <w:rPr>
          <w:color w:val="0070C0"/>
          <w:vertAlign w:val="superscript"/>
        </w:rPr>
        <w:t>nd</w:t>
      </w:r>
      <w:r w:rsidRPr="00573EDD">
        <w:rPr>
          <w:color w:val="0070C0"/>
        </w:rPr>
        <w:t xml:space="preserve"> level controls, units and resources are up and efficiently running.</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579B801E" w14:textId="6EAF6091" w:rsidR="00EF3303" w:rsidRPr="00D8247E" w:rsidRDefault="00EF3303" w:rsidP="00EF3303">
      <w:pPr>
        <w:rPr>
          <w:color w:val="0070C0"/>
        </w:rPr>
      </w:pPr>
      <w:permStart w:id="806124853" w:edGrp="everyone"/>
      <w:r w:rsidRPr="00573EDD">
        <w:rPr>
          <w:color w:val="0070C0"/>
        </w:rPr>
        <w:t xml:space="preserve">We </w:t>
      </w:r>
      <w:r w:rsidRPr="00D8247E">
        <w:rPr>
          <w:color w:val="0070C0"/>
        </w:rPr>
        <w:t>would ask ESMA to clarify whether by “</w:t>
      </w:r>
      <w:r w:rsidRPr="00D8247E">
        <w:rPr>
          <w:i/>
          <w:iCs/>
          <w:color w:val="0070C0"/>
        </w:rPr>
        <w:t>changing the reporting frequency</w:t>
      </w:r>
      <w:r w:rsidRPr="00D8247E">
        <w:rPr>
          <w:color w:val="0070C0"/>
        </w:rPr>
        <w:t xml:space="preserve">” it </w:t>
      </w:r>
      <w:proofErr w:type="gramStart"/>
      <w:r w:rsidRPr="00D8247E">
        <w:rPr>
          <w:color w:val="0070C0"/>
        </w:rPr>
        <w:t>actually intends</w:t>
      </w:r>
      <w:proofErr w:type="gramEnd"/>
      <w:r w:rsidRPr="00D8247E">
        <w:rPr>
          <w:color w:val="0070C0"/>
        </w:rPr>
        <w:t xml:space="preserve"> to refer to collating / aggregating the reporting of different trading days in one single submission.</w:t>
      </w:r>
    </w:p>
    <w:p w14:paraId="038ED8F7" w14:textId="77777777" w:rsidR="00EF3303" w:rsidRPr="00D8247E" w:rsidRDefault="00EF3303" w:rsidP="00EF3303">
      <w:pPr>
        <w:rPr>
          <w:color w:val="0070C0"/>
        </w:rPr>
      </w:pPr>
    </w:p>
    <w:p w14:paraId="1A263BF2" w14:textId="77777777" w:rsidR="00EF3303" w:rsidRPr="00D8247E" w:rsidRDefault="00EF3303" w:rsidP="00EF3303">
      <w:pPr>
        <w:rPr>
          <w:color w:val="0070C0"/>
        </w:rPr>
      </w:pPr>
      <w:r w:rsidRPr="00D8247E">
        <w:rPr>
          <w:color w:val="0070C0"/>
        </w:rPr>
        <w:t>We would suggest considering:</w:t>
      </w:r>
    </w:p>
    <w:p w14:paraId="0D13AA43" w14:textId="77777777" w:rsidR="00D8247E" w:rsidRDefault="00EF3303" w:rsidP="001F690A">
      <w:pPr>
        <w:pStyle w:val="Paragrafoelenco"/>
        <w:numPr>
          <w:ilvl w:val="0"/>
          <w:numId w:val="43"/>
        </w:numPr>
        <w:rPr>
          <w:rFonts w:ascii="Times New Roman" w:hAnsi="Times New Roman" w:cs="Times New Roman"/>
          <w:color w:val="0070C0"/>
          <w:sz w:val="24"/>
          <w:szCs w:val="24"/>
        </w:rPr>
      </w:pPr>
      <w:r w:rsidRPr="00D8247E">
        <w:rPr>
          <w:rFonts w:ascii="Times New Roman" w:hAnsi="Times New Roman" w:cs="Times New Roman"/>
          <w:color w:val="0070C0"/>
          <w:sz w:val="24"/>
          <w:szCs w:val="24"/>
          <w:u w:val="single"/>
        </w:rPr>
        <w:t>a reduction</w:t>
      </w:r>
      <w:r w:rsidRPr="00D8247E">
        <w:rPr>
          <w:rFonts w:ascii="Times New Roman" w:hAnsi="Times New Roman" w:cs="Times New Roman"/>
          <w:color w:val="0070C0"/>
          <w:sz w:val="24"/>
          <w:szCs w:val="24"/>
        </w:rPr>
        <w:t xml:space="preserve"> in the frequency of reporting limited to some data, (for example, once a week on valuation, collateral/margins), on the assumption that the data sent weekly are not the aggregation of reports that otherwise would be sent </w:t>
      </w:r>
      <w:proofErr w:type="gramStart"/>
      <w:r w:rsidRPr="00D8247E">
        <w:rPr>
          <w:rFonts w:ascii="Times New Roman" w:hAnsi="Times New Roman" w:cs="Times New Roman"/>
          <w:color w:val="0070C0"/>
          <w:sz w:val="24"/>
          <w:szCs w:val="24"/>
        </w:rPr>
        <w:t>on a daily basis</w:t>
      </w:r>
      <w:proofErr w:type="gramEnd"/>
      <w:r w:rsidRPr="00D8247E">
        <w:rPr>
          <w:rFonts w:ascii="Times New Roman" w:hAnsi="Times New Roman" w:cs="Times New Roman"/>
          <w:color w:val="0070C0"/>
          <w:sz w:val="24"/>
          <w:szCs w:val="24"/>
        </w:rPr>
        <w:t xml:space="preserve">. </w:t>
      </w:r>
      <w:proofErr w:type="gramStart"/>
      <w:r w:rsidRPr="00D8247E">
        <w:rPr>
          <w:rFonts w:ascii="Times New Roman" w:hAnsi="Times New Roman" w:cs="Times New Roman"/>
          <w:color w:val="0070C0"/>
          <w:sz w:val="24"/>
          <w:szCs w:val="24"/>
        </w:rPr>
        <w:t>In particular, some</w:t>
      </w:r>
      <w:proofErr w:type="gramEnd"/>
      <w:r w:rsidRPr="00D8247E">
        <w:rPr>
          <w:rFonts w:ascii="Times New Roman" w:hAnsi="Times New Roman" w:cs="Times New Roman"/>
          <w:color w:val="0070C0"/>
          <w:sz w:val="24"/>
          <w:szCs w:val="24"/>
        </w:rPr>
        <w:t xml:space="preserve"> of our members suggest that it would be ideal for the NCAs to call for an update on that information by members only when necessary, and not </w:t>
      </w:r>
      <w:proofErr w:type="gramStart"/>
      <w:r w:rsidRPr="00D8247E">
        <w:rPr>
          <w:rFonts w:ascii="Times New Roman" w:hAnsi="Times New Roman" w:cs="Times New Roman"/>
          <w:color w:val="0070C0"/>
          <w:sz w:val="24"/>
          <w:szCs w:val="24"/>
        </w:rPr>
        <w:t>on a daily basis</w:t>
      </w:r>
      <w:proofErr w:type="gramEnd"/>
      <w:r w:rsidRPr="00D8247E">
        <w:rPr>
          <w:rFonts w:ascii="Times New Roman" w:hAnsi="Times New Roman" w:cs="Times New Roman"/>
          <w:color w:val="0070C0"/>
          <w:sz w:val="24"/>
          <w:szCs w:val="24"/>
        </w:rPr>
        <w:t xml:space="preserve"> (as it is the case nowadays). This would (partly) lighten the reporting flow, and the related internal activities. Clearly, this would not stand where the reporting scenario would not foresee the reporting of post-trade events (as it is for Option 1(a)</w:t>
      </w:r>
      <w:proofErr w:type="gramStart"/>
      <w:r w:rsidRPr="00D8247E">
        <w:rPr>
          <w:rFonts w:ascii="Times New Roman" w:hAnsi="Times New Roman" w:cs="Times New Roman"/>
          <w:color w:val="0070C0"/>
          <w:sz w:val="24"/>
          <w:szCs w:val="24"/>
        </w:rPr>
        <w:t>);</w:t>
      </w:r>
      <w:proofErr w:type="gramEnd"/>
    </w:p>
    <w:p w14:paraId="162ABCEF" w14:textId="76754CE3" w:rsidR="00926BDA" w:rsidRPr="00D8247E" w:rsidRDefault="00EF3303" w:rsidP="001F690A">
      <w:pPr>
        <w:pStyle w:val="Paragrafoelenco"/>
        <w:numPr>
          <w:ilvl w:val="0"/>
          <w:numId w:val="43"/>
        </w:numPr>
        <w:rPr>
          <w:rFonts w:ascii="Times New Roman" w:hAnsi="Times New Roman" w:cs="Times New Roman"/>
          <w:color w:val="0070C0"/>
          <w:sz w:val="24"/>
          <w:szCs w:val="24"/>
        </w:rPr>
      </w:pPr>
      <w:r w:rsidRPr="00D8247E">
        <w:rPr>
          <w:rFonts w:ascii="Times New Roman" w:hAnsi="Times New Roman" w:cs="Times New Roman"/>
          <w:color w:val="0070C0"/>
          <w:sz w:val="24"/>
          <w:szCs w:val="24"/>
          <w:u w:val="single"/>
        </w:rPr>
        <w:t>the increase in the reporting delay</w:t>
      </w:r>
      <w:r w:rsidRPr="00D8247E">
        <w:rPr>
          <w:rFonts w:ascii="Times New Roman" w:hAnsi="Times New Roman" w:cs="Times New Roman"/>
          <w:color w:val="0070C0"/>
          <w:sz w:val="24"/>
          <w:szCs w:val="24"/>
        </w:rPr>
        <w:t xml:space="preserve"> with respect to the transaction data (for example, moving from T+1 to T+2), </w:t>
      </w:r>
      <w:proofErr w:type="gramStart"/>
      <w:r w:rsidRPr="00D8247E">
        <w:rPr>
          <w:rFonts w:ascii="Times New Roman" w:hAnsi="Times New Roman" w:cs="Times New Roman"/>
          <w:color w:val="0070C0"/>
          <w:sz w:val="24"/>
          <w:szCs w:val="24"/>
        </w:rPr>
        <w:t>in order to</w:t>
      </w:r>
      <w:proofErr w:type="gramEnd"/>
      <w:r w:rsidRPr="00D8247E">
        <w:rPr>
          <w:rFonts w:ascii="Times New Roman" w:hAnsi="Times New Roman" w:cs="Times New Roman"/>
          <w:color w:val="0070C0"/>
          <w:sz w:val="24"/>
          <w:szCs w:val="24"/>
        </w:rPr>
        <w:t xml:space="preserve"> give reporting agents more time to review reports and correct errors.</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 xml:space="preserve">Question for reporting entities under EMIR: what is the one-off cost of implementing EMIR requirements to date? This cost should include all cost lines, such as familiarisation with obligations, staff recruitment, training, legal </w:t>
      </w:r>
      <w:r>
        <w:lastRenderedPageBreak/>
        <w:t>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lastRenderedPageBreak/>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EE411" w14:textId="77777777" w:rsidR="00383DF0" w:rsidRDefault="00383DF0" w:rsidP="007E7997">
      <w:r>
        <w:separator/>
      </w:r>
    </w:p>
  </w:endnote>
  <w:endnote w:type="continuationSeparator" w:id="0">
    <w:p w14:paraId="756CF32E" w14:textId="77777777" w:rsidR="00383DF0" w:rsidRDefault="00383DF0" w:rsidP="007E7997">
      <w:r>
        <w:continuationSeparator/>
      </w:r>
    </w:p>
  </w:endnote>
  <w:endnote w:type="continuationNotice" w:id="1">
    <w:p w14:paraId="539288FF" w14:textId="77777777" w:rsidR="00383DF0" w:rsidRDefault="00383D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Pidipagina"/>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Pidipagina"/>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Pidipagina"/>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Pidipagina"/>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DA2D" w14:textId="77777777" w:rsidR="00383DF0" w:rsidRDefault="00383DF0" w:rsidP="007E7997">
      <w:r>
        <w:separator/>
      </w:r>
    </w:p>
  </w:footnote>
  <w:footnote w:type="continuationSeparator" w:id="0">
    <w:p w14:paraId="58ED528B" w14:textId="77777777" w:rsidR="00383DF0" w:rsidRDefault="00383DF0" w:rsidP="007E7997">
      <w:r>
        <w:continuationSeparator/>
      </w:r>
    </w:p>
  </w:footnote>
  <w:footnote w:type="continuationNotice" w:id="1">
    <w:p w14:paraId="2BF80DB1" w14:textId="77777777" w:rsidR="00383DF0" w:rsidRDefault="00383D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Intestazione"/>
    </w:pPr>
  </w:p>
  <w:p w14:paraId="59FA3C9D" w14:textId="77777777" w:rsidR="00E36813" w:rsidRDefault="00E3681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Intestazion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Intestazion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Intestazion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Intestazione"/>
      <w:jc w:val="right"/>
      <w:rPr>
        <w:rFonts w:asciiTheme="minorHAnsi" w:hAnsiTheme="minorHAnsi" w:cstheme="minorHAnsi"/>
        <w:color w:val="2F5496" w:themeColor="accent5" w:themeShade="BF"/>
        <w:sz w:val="20"/>
      </w:rPr>
    </w:pPr>
  </w:p>
  <w:p w14:paraId="3E983FE8" w14:textId="71D87355" w:rsidR="00FA64BE" w:rsidRDefault="00FA64BE" w:rsidP="00FA64BE">
    <w:pPr>
      <w:pStyle w:val="Intestazion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Intestazion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Intestazione"/>
      <w:jc w:val="right"/>
      <w:rPr>
        <w:color w:val="2F5496" w:themeColor="accent5" w:themeShade="BF"/>
        <w:sz w:val="20"/>
      </w:rPr>
    </w:pPr>
  </w:p>
  <w:p w14:paraId="5EAB6EC6" w14:textId="77777777" w:rsidR="00E36813" w:rsidRPr="00B50534" w:rsidRDefault="00E36813" w:rsidP="00B50534">
    <w:pPr>
      <w:pStyle w:val="Intestazion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E5025E"/>
    <w:multiLevelType w:val="hybridMultilevel"/>
    <w:tmpl w:val="6CE88F7C"/>
    <w:lvl w:ilvl="0" w:tplc="ECD2C750">
      <w:start w:val="1"/>
      <w:numFmt w:val="bullet"/>
      <w:lvlText w:val=""/>
      <w:lvlJc w:val="left"/>
      <w:pPr>
        <w:ind w:left="720" w:hanging="360"/>
      </w:pPr>
      <w:rPr>
        <w:rFonts w:ascii="Symbol" w:hAnsi="Symbol" w:hint="default"/>
        <w:lang w:val="en-US"/>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ol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952D32"/>
    <w:multiLevelType w:val="hybridMultilevel"/>
    <w:tmpl w:val="9C2A7258"/>
    <w:lvl w:ilvl="0" w:tplc="AF3AAF1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4E30C5C"/>
    <w:multiLevelType w:val="hybridMultilevel"/>
    <w:tmpl w:val="918E6DF2"/>
    <w:lvl w:ilvl="0" w:tplc="42C4B112">
      <w:start w:val="17"/>
      <w:numFmt w:val="bullet"/>
      <w:lvlText w:val="-"/>
      <w:lvlJc w:val="left"/>
      <w:pPr>
        <w:ind w:left="720" w:hanging="360"/>
      </w:pPr>
      <w:rPr>
        <w:rFonts w:ascii="Aptos" w:eastAsia="Aptos" w:hAnsi="Apto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C94462"/>
    <w:multiLevelType w:val="hybridMultilevel"/>
    <w:tmpl w:val="6BECA4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B025C1"/>
    <w:multiLevelType w:val="hybridMultilevel"/>
    <w:tmpl w:val="8F48340C"/>
    <w:lvl w:ilvl="0" w:tplc="42C4B112">
      <w:start w:val="17"/>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8"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8C620F"/>
    <w:multiLevelType w:val="hybridMultilevel"/>
    <w:tmpl w:val="29A4E074"/>
    <w:lvl w:ilvl="0" w:tplc="82964F0E">
      <w:start w:val="1"/>
      <w:numFmt w:val="decimal"/>
      <w:pStyle w:val="Paragrafoelenco"/>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BAD1101"/>
    <w:multiLevelType w:val="multilevel"/>
    <w:tmpl w:val="766C753E"/>
    <w:lvl w:ilvl="0">
      <w:start w:val="1"/>
      <w:numFmt w:val="upperRoman"/>
      <w:pStyle w:val="Titolo1"/>
      <w:lvlText w:val="%1."/>
      <w:lvlJc w:val="righ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1" w15:restartNumberingAfterBreak="0">
    <w:nsid w:val="705F2D15"/>
    <w:multiLevelType w:val="hybridMultilevel"/>
    <w:tmpl w:val="68DE8D48"/>
    <w:lvl w:ilvl="0" w:tplc="2A8A7A46">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30"/>
  </w:num>
  <w:num w:numId="4" w16cid:durableId="1880320868">
    <w:abstractNumId w:val="4"/>
  </w:num>
  <w:num w:numId="5" w16cid:durableId="290864581">
    <w:abstractNumId w:val="15"/>
  </w:num>
  <w:num w:numId="6" w16cid:durableId="952590553">
    <w:abstractNumId w:val="33"/>
  </w:num>
  <w:num w:numId="7" w16cid:durableId="1159686949">
    <w:abstractNumId w:val="14"/>
  </w:num>
  <w:num w:numId="8" w16cid:durableId="765269892">
    <w:abstractNumId w:val="6"/>
  </w:num>
  <w:num w:numId="9" w16cid:durableId="1301960395">
    <w:abstractNumId w:val="10"/>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4"/>
  </w:num>
  <w:num w:numId="15" w16cid:durableId="986476960">
    <w:abstractNumId w:val="25"/>
  </w:num>
  <w:num w:numId="16" w16cid:durableId="398749299">
    <w:abstractNumId w:val="32"/>
  </w:num>
  <w:num w:numId="17" w16cid:durableId="1407611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6"/>
  </w:num>
  <w:num w:numId="19" w16cid:durableId="558588771">
    <w:abstractNumId w:val="33"/>
  </w:num>
  <w:num w:numId="20" w16cid:durableId="1306933315">
    <w:abstractNumId w:val="12"/>
  </w:num>
  <w:num w:numId="21" w16cid:durableId="1623876054">
    <w:abstractNumId w:val="28"/>
  </w:num>
  <w:num w:numId="22" w16cid:durableId="783383837">
    <w:abstractNumId w:val="17"/>
  </w:num>
  <w:num w:numId="23" w16cid:durableId="2112964618">
    <w:abstractNumId w:val="24"/>
  </w:num>
  <w:num w:numId="24" w16cid:durableId="1958565453">
    <w:abstractNumId w:val="0"/>
  </w:num>
  <w:num w:numId="25" w16cid:durableId="1372725395">
    <w:abstractNumId w:val="21"/>
  </w:num>
  <w:num w:numId="26" w16cid:durableId="1686445133">
    <w:abstractNumId w:val="19"/>
  </w:num>
  <w:num w:numId="27" w16cid:durableId="1247768697">
    <w:abstractNumId w:val="11"/>
  </w:num>
  <w:num w:numId="28" w16cid:durableId="954170948">
    <w:abstractNumId w:val="1"/>
  </w:num>
  <w:num w:numId="29" w16cid:durableId="837424337">
    <w:abstractNumId w:val="20"/>
  </w:num>
  <w:num w:numId="30" w16cid:durableId="299657983">
    <w:abstractNumId w:val="5"/>
  </w:num>
  <w:num w:numId="31" w16cid:durableId="699822250">
    <w:abstractNumId w:val="18"/>
  </w:num>
  <w:num w:numId="32" w16cid:durableId="730466929">
    <w:abstractNumId w:val="13"/>
    <w:lvlOverride w:ilvl="0">
      <w:startOverride w:val="1"/>
    </w:lvlOverride>
  </w:num>
  <w:num w:numId="33" w16cid:durableId="552498262">
    <w:abstractNumId w:val="23"/>
  </w:num>
  <w:num w:numId="34" w16cid:durableId="1829132647">
    <w:abstractNumId w:val="13"/>
    <w:lvlOverride w:ilvl="0">
      <w:startOverride w:val="1"/>
    </w:lvlOverride>
  </w:num>
  <w:num w:numId="35" w16cid:durableId="1915964461">
    <w:abstractNumId w:val="13"/>
    <w:lvlOverride w:ilvl="0">
      <w:startOverride w:val="1"/>
    </w:lvlOverride>
  </w:num>
  <w:num w:numId="36" w16cid:durableId="1385182617">
    <w:abstractNumId w:val="13"/>
    <w:lvlOverride w:ilvl="0">
      <w:startOverride w:val="1"/>
    </w:lvlOverride>
  </w:num>
  <w:num w:numId="37" w16cid:durableId="533227235">
    <w:abstractNumId w:val="29"/>
  </w:num>
  <w:num w:numId="38" w16cid:durableId="797990001">
    <w:abstractNumId w:val="2"/>
  </w:num>
  <w:num w:numId="39" w16cid:durableId="1156260217">
    <w:abstractNumId w:val="27"/>
  </w:num>
  <w:num w:numId="40" w16cid:durableId="1567570121">
    <w:abstractNumId w:val="16"/>
  </w:num>
  <w:num w:numId="41" w16cid:durableId="1678729272">
    <w:abstractNumId w:val="31"/>
  </w:num>
  <w:num w:numId="42" w16cid:durableId="1419255204">
    <w:abstractNumId w:val="9"/>
  </w:num>
  <w:num w:numId="43" w16cid:durableId="1675303038">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CDF"/>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1BAB"/>
    <w:rsid w:val="000830DA"/>
    <w:rsid w:val="00083FBB"/>
    <w:rsid w:val="00086F71"/>
    <w:rsid w:val="000921E6"/>
    <w:rsid w:val="00092D6C"/>
    <w:rsid w:val="00093239"/>
    <w:rsid w:val="00096DE1"/>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5729"/>
    <w:rsid w:val="0012722A"/>
    <w:rsid w:val="001301BC"/>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700"/>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87CDF"/>
    <w:rsid w:val="00290893"/>
    <w:rsid w:val="002917B9"/>
    <w:rsid w:val="00291A55"/>
    <w:rsid w:val="0029394C"/>
    <w:rsid w:val="002A13B0"/>
    <w:rsid w:val="002A2A39"/>
    <w:rsid w:val="002A2C91"/>
    <w:rsid w:val="002A40D3"/>
    <w:rsid w:val="002A6C21"/>
    <w:rsid w:val="002A780E"/>
    <w:rsid w:val="002B144C"/>
    <w:rsid w:val="002B53F3"/>
    <w:rsid w:val="002C03FD"/>
    <w:rsid w:val="002C044D"/>
    <w:rsid w:val="002C0937"/>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E6F5B"/>
    <w:rsid w:val="002F6279"/>
    <w:rsid w:val="00300F55"/>
    <w:rsid w:val="003013B7"/>
    <w:rsid w:val="00301993"/>
    <w:rsid w:val="00301E55"/>
    <w:rsid w:val="00307397"/>
    <w:rsid w:val="003101EF"/>
    <w:rsid w:val="00312BDD"/>
    <w:rsid w:val="00314117"/>
    <w:rsid w:val="00317EDF"/>
    <w:rsid w:val="00317F06"/>
    <w:rsid w:val="00322B55"/>
    <w:rsid w:val="003279E7"/>
    <w:rsid w:val="00327B62"/>
    <w:rsid w:val="00331FE9"/>
    <w:rsid w:val="0033324D"/>
    <w:rsid w:val="0033587C"/>
    <w:rsid w:val="0033696D"/>
    <w:rsid w:val="00336BF9"/>
    <w:rsid w:val="003371E8"/>
    <w:rsid w:val="00337471"/>
    <w:rsid w:val="003379E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76D83"/>
    <w:rsid w:val="00380B30"/>
    <w:rsid w:val="00381784"/>
    <w:rsid w:val="00381EB0"/>
    <w:rsid w:val="00382A72"/>
    <w:rsid w:val="00382CA6"/>
    <w:rsid w:val="00382EBA"/>
    <w:rsid w:val="0038331A"/>
    <w:rsid w:val="00383DF0"/>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11F6"/>
    <w:rsid w:val="003F20C7"/>
    <w:rsid w:val="003F31E5"/>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051A"/>
    <w:rsid w:val="004A22F3"/>
    <w:rsid w:val="004A75F5"/>
    <w:rsid w:val="004B07B2"/>
    <w:rsid w:val="004B0955"/>
    <w:rsid w:val="004B143D"/>
    <w:rsid w:val="004B1842"/>
    <w:rsid w:val="004B1D1B"/>
    <w:rsid w:val="004B25D0"/>
    <w:rsid w:val="004B3553"/>
    <w:rsid w:val="004B56AC"/>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0D19"/>
    <w:rsid w:val="00551070"/>
    <w:rsid w:val="00552C8A"/>
    <w:rsid w:val="00555156"/>
    <w:rsid w:val="0055535B"/>
    <w:rsid w:val="00560A96"/>
    <w:rsid w:val="005619CB"/>
    <w:rsid w:val="00561B71"/>
    <w:rsid w:val="00561F98"/>
    <w:rsid w:val="00564607"/>
    <w:rsid w:val="00565193"/>
    <w:rsid w:val="005664AB"/>
    <w:rsid w:val="00571EFB"/>
    <w:rsid w:val="005725BD"/>
    <w:rsid w:val="005730B0"/>
    <w:rsid w:val="00575DCC"/>
    <w:rsid w:val="00576AAD"/>
    <w:rsid w:val="005821B0"/>
    <w:rsid w:val="0059175F"/>
    <w:rsid w:val="00591AAC"/>
    <w:rsid w:val="00595F08"/>
    <w:rsid w:val="00595FBE"/>
    <w:rsid w:val="005A05ED"/>
    <w:rsid w:val="005A1C55"/>
    <w:rsid w:val="005A4636"/>
    <w:rsid w:val="005A5EF1"/>
    <w:rsid w:val="005B0995"/>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11D9"/>
    <w:rsid w:val="0063565E"/>
    <w:rsid w:val="00636E02"/>
    <w:rsid w:val="006372FE"/>
    <w:rsid w:val="00640691"/>
    <w:rsid w:val="00641DB1"/>
    <w:rsid w:val="00642297"/>
    <w:rsid w:val="00644A34"/>
    <w:rsid w:val="00654824"/>
    <w:rsid w:val="00655791"/>
    <w:rsid w:val="00657F80"/>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D08"/>
    <w:rsid w:val="006F5FB8"/>
    <w:rsid w:val="0070017B"/>
    <w:rsid w:val="0070427E"/>
    <w:rsid w:val="00704D53"/>
    <w:rsid w:val="007056C3"/>
    <w:rsid w:val="00706072"/>
    <w:rsid w:val="00713644"/>
    <w:rsid w:val="007148CC"/>
    <w:rsid w:val="00721256"/>
    <w:rsid w:val="007217AD"/>
    <w:rsid w:val="007219A9"/>
    <w:rsid w:val="00723553"/>
    <w:rsid w:val="00723BA1"/>
    <w:rsid w:val="00724A1B"/>
    <w:rsid w:val="00727773"/>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2BD"/>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2377"/>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6BE4"/>
    <w:rsid w:val="007D7A59"/>
    <w:rsid w:val="007E0E75"/>
    <w:rsid w:val="007E53F5"/>
    <w:rsid w:val="007E665B"/>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0677A"/>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0D45"/>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4B28"/>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5875"/>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73A"/>
    <w:rsid w:val="009E4FCE"/>
    <w:rsid w:val="009E522E"/>
    <w:rsid w:val="009F0ABA"/>
    <w:rsid w:val="009F0AF5"/>
    <w:rsid w:val="009F7BE9"/>
    <w:rsid w:val="009F7C11"/>
    <w:rsid w:val="00A02199"/>
    <w:rsid w:val="00A026A4"/>
    <w:rsid w:val="00A04044"/>
    <w:rsid w:val="00A055DD"/>
    <w:rsid w:val="00A11D0C"/>
    <w:rsid w:val="00A16579"/>
    <w:rsid w:val="00A178E5"/>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3505D"/>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B54A1"/>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3C14"/>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6D9F"/>
    <w:rsid w:val="00CB791A"/>
    <w:rsid w:val="00CB7D1B"/>
    <w:rsid w:val="00CC11DF"/>
    <w:rsid w:val="00CC1A6E"/>
    <w:rsid w:val="00CC3F62"/>
    <w:rsid w:val="00CC536E"/>
    <w:rsid w:val="00CC59DD"/>
    <w:rsid w:val="00CC7FC6"/>
    <w:rsid w:val="00CD47B2"/>
    <w:rsid w:val="00CD5AFD"/>
    <w:rsid w:val="00CD6E6D"/>
    <w:rsid w:val="00CD7091"/>
    <w:rsid w:val="00CD74EB"/>
    <w:rsid w:val="00CE46E4"/>
    <w:rsid w:val="00CE49F8"/>
    <w:rsid w:val="00CE4E1E"/>
    <w:rsid w:val="00CE57F9"/>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22E4"/>
    <w:rsid w:val="00D8247E"/>
    <w:rsid w:val="00D84C2A"/>
    <w:rsid w:val="00D9064B"/>
    <w:rsid w:val="00D95D17"/>
    <w:rsid w:val="00D978C6"/>
    <w:rsid w:val="00DA03F6"/>
    <w:rsid w:val="00DA0FBE"/>
    <w:rsid w:val="00DA134A"/>
    <w:rsid w:val="00DA1A2E"/>
    <w:rsid w:val="00DA1C08"/>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38E2"/>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1D12"/>
    <w:rsid w:val="00E63745"/>
    <w:rsid w:val="00E66134"/>
    <w:rsid w:val="00E6699F"/>
    <w:rsid w:val="00E67845"/>
    <w:rsid w:val="00E67B40"/>
    <w:rsid w:val="00E703AE"/>
    <w:rsid w:val="00E72373"/>
    <w:rsid w:val="00E72C92"/>
    <w:rsid w:val="00E74A40"/>
    <w:rsid w:val="00E76AF9"/>
    <w:rsid w:val="00E77282"/>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AF7"/>
    <w:rsid w:val="00EC4D18"/>
    <w:rsid w:val="00EC5B23"/>
    <w:rsid w:val="00EC5DED"/>
    <w:rsid w:val="00EC6BD8"/>
    <w:rsid w:val="00ED0356"/>
    <w:rsid w:val="00ED0D71"/>
    <w:rsid w:val="00ED1507"/>
    <w:rsid w:val="00ED3DCD"/>
    <w:rsid w:val="00ED3DD5"/>
    <w:rsid w:val="00ED4FDB"/>
    <w:rsid w:val="00ED56BE"/>
    <w:rsid w:val="00ED74D7"/>
    <w:rsid w:val="00EE095F"/>
    <w:rsid w:val="00EE0DA8"/>
    <w:rsid w:val="00EE40F8"/>
    <w:rsid w:val="00EE5E5E"/>
    <w:rsid w:val="00EE6DD6"/>
    <w:rsid w:val="00EF0867"/>
    <w:rsid w:val="00EF1A10"/>
    <w:rsid w:val="00EF1A9F"/>
    <w:rsid w:val="00EF1B27"/>
    <w:rsid w:val="00EF3303"/>
    <w:rsid w:val="00EF4370"/>
    <w:rsid w:val="00EF5AD7"/>
    <w:rsid w:val="00F034AF"/>
    <w:rsid w:val="00F03FA7"/>
    <w:rsid w:val="00F048EF"/>
    <w:rsid w:val="00F06AAD"/>
    <w:rsid w:val="00F10241"/>
    <w:rsid w:val="00F146BE"/>
    <w:rsid w:val="00F16A32"/>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4A72"/>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Titolo1">
    <w:name w:val="heading 1"/>
    <w:basedOn w:val="Normale"/>
    <w:next w:val="Normale"/>
    <w:link w:val="Titolo1Carattere"/>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Titolo2">
    <w:name w:val="heading 2"/>
    <w:basedOn w:val="Normale"/>
    <w:next w:val="Normale"/>
    <w:link w:val="Titolo2Carattere"/>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Titolo3">
    <w:name w:val="heading 3"/>
    <w:basedOn w:val="Normale"/>
    <w:next w:val="Normale"/>
    <w:link w:val="Titolo3Carattere"/>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Titolo4">
    <w:name w:val="heading 4"/>
    <w:basedOn w:val="Normale"/>
    <w:next w:val="Normale"/>
    <w:link w:val="Titolo4Carattere"/>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olo5">
    <w:name w:val="heading 5"/>
    <w:basedOn w:val="Normale"/>
    <w:next w:val="Normale"/>
    <w:link w:val="Titolo5Carattere"/>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Titolo6">
    <w:name w:val="heading 6"/>
    <w:basedOn w:val="Normale"/>
    <w:next w:val="Normale"/>
    <w:link w:val="Titolo6Carattere"/>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Titolo7">
    <w:name w:val="heading 7"/>
    <w:basedOn w:val="Normale"/>
    <w:next w:val="Normale"/>
    <w:link w:val="Titolo7Carattere"/>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Titolo8">
    <w:name w:val="heading 8"/>
    <w:basedOn w:val="Normale"/>
    <w:next w:val="Normale"/>
    <w:link w:val="Titolo8Carattere"/>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Titolo9">
    <w:name w:val="heading 9"/>
    <w:basedOn w:val="Normale"/>
    <w:next w:val="Normale"/>
    <w:link w:val="Titolo9Carattere"/>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5B6B12"/>
    <w:pPr>
      <w:spacing w:after="0" w:line="240" w:lineRule="auto"/>
    </w:pPr>
    <w:rPr>
      <w:lang w:val="en-GB"/>
    </w:rPr>
  </w:style>
  <w:style w:type="character" w:customStyle="1" w:styleId="Titolo4Carattere">
    <w:name w:val="Titolo 4 Carattere"/>
    <w:basedOn w:val="Carpredefinitoparagrafo"/>
    <w:link w:val="Titolo4"/>
    <w:rsid w:val="00020300"/>
    <w:rPr>
      <w:rFonts w:asciiTheme="majorHAnsi" w:eastAsiaTheme="majorEastAsia" w:hAnsiTheme="majorHAnsi" w:cstheme="majorBidi"/>
      <w:sz w:val="24"/>
      <w:szCs w:val="22"/>
      <w:lang w:val="en-GB" w:eastAsia="en-GB"/>
    </w:rPr>
  </w:style>
  <w:style w:type="character" w:customStyle="1" w:styleId="Titolo3Carattere">
    <w:name w:val="Titolo 3 Carattere"/>
    <w:basedOn w:val="Carpredefinitoparagrafo"/>
    <w:link w:val="Titolo3"/>
    <w:rsid w:val="00020300"/>
    <w:rPr>
      <w:rFonts w:asciiTheme="majorHAnsi" w:eastAsiaTheme="majorEastAsia" w:hAnsiTheme="majorHAnsi" w:cstheme="majorBidi"/>
      <w:sz w:val="24"/>
      <w:szCs w:val="24"/>
      <w:lang w:val="en-GB" w:eastAsia="en-GB"/>
    </w:rPr>
  </w:style>
  <w:style w:type="character" w:customStyle="1" w:styleId="Titolo1Carattere">
    <w:name w:val="Titolo 1 Carattere"/>
    <w:basedOn w:val="Carpredefinitoparagrafo"/>
    <w:link w:val="Titolo1"/>
    <w:rsid w:val="00FE0BD8"/>
    <w:rPr>
      <w:rFonts w:asciiTheme="majorHAnsi" w:eastAsiaTheme="majorEastAsia" w:hAnsiTheme="majorHAnsi" w:cstheme="majorBidi"/>
      <w:b/>
      <w:sz w:val="32"/>
      <w:szCs w:val="32"/>
      <w:lang w:val="en-GB" w:eastAsia="en-GB"/>
    </w:rPr>
  </w:style>
  <w:style w:type="character" w:customStyle="1" w:styleId="Titolo2Carattere">
    <w:name w:val="Titolo 2 Carattere"/>
    <w:basedOn w:val="Carpredefinitoparagrafo"/>
    <w:link w:val="Titolo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e"/>
    <w:link w:val="Subtitle1Char"/>
    <w:autoRedefine/>
    <w:rsid w:val="003C4EB5"/>
    <w:pPr>
      <w:tabs>
        <w:tab w:val="left" w:pos="414"/>
      </w:tabs>
    </w:pPr>
    <w:rPr>
      <w:b/>
    </w:rPr>
  </w:style>
  <w:style w:type="character" w:customStyle="1" w:styleId="Subtitle1Char">
    <w:name w:val="Subtitle1 Char"/>
    <w:basedOn w:val="Carpredefinitoparagrafo"/>
    <w:link w:val="Subtitle1"/>
    <w:rsid w:val="003C4EB5"/>
    <w:rPr>
      <w:rFonts w:cs="Times New Roman"/>
      <w:b/>
      <w:sz w:val="20"/>
      <w:szCs w:val="24"/>
      <w:lang w:val="en-GB" w:eastAsia="de-DE"/>
    </w:rPr>
  </w:style>
  <w:style w:type="paragraph" w:customStyle="1" w:styleId="Title1">
    <w:name w:val="Title 1"/>
    <w:basedOn w:val="Paragrafoelenco"/>
    <w:link w:val="Title1Char"/>
    <w:autoRedefine/>
    <w:rsid w:val="002574D1"/>
    <w:pPr>
      <w:numPr>
        <w:numId w:val="2"/>
      </w:numPr>
    </w:pPr>
    <w:rPr>
      <w:b/>
      <w:sz w:val="28"/>
    </w:rPr>
  </w:style>
  <w:style w:type="character" w:customStyle="1" w:styleId="Title1Char">
    <w:name w:val="Title 1 Char"/>
    <w:basedOn w:val="Carpredefinitoparagrafo"/>
    <w:link w:val="Title1"/>
    <w:rsid w:val="003C4EB5"/>
    <w:rPr>
      <w:rFonts w:eastAsiaTheme="majorEastAsia" w:cstheme="minorHAnsi"/>
      <w:b/>
      <w:sz w:val="28"/>
      <w:szCs w:val="22"/>
      <w:lang w:val="en-GB" w:eastAsia="en-GB"/>
    </w:rPr>
  </w:style>
  <w:style w:type="paragraph" w:styleId="Paragrafoelenco">
    <w:name w:val="List Paragraph"/>
    <w:aliases w:val="Paragraphe EI,Paragraphe de liste1,EC,Paragraphe de liste,Normal Nivel 1,List Paragraph Main,List first level,List Paragraph_Sections"/>
    <w:basedOn w:val="Normale"/>
    <w:link w:val="ParagrafoelencoCarattere"/>
    <w:autoRedefine/>
    <w:uiPriority w:val="34"/>
    <w:qFormat/>
    <w:rsid w:val="004B56AC"/>
    <w:pPr>
      <w:numPr>
        <w:numId w:val="37"/>
      </w:numPr>
      <w:contextualSpacing/>
      <w:jc w:val="both"/>
    </w:pPr>
    <w:rPr>
      <w:rFonts w:asciiTheme="minorHAnsi" w:eastAsiaTheme="majorEastAsia" w:hAnsiTheme="minorHAnsi" w:cstheme="minorHAnsi"/>
      <w:sz w:val="22"/>
      <w:szCs w:val="22"/>
    </w:rPr>
  </w:style>
  <w:style w:type="paragraph" w:customStyle="1" w:styleId="Title3">
    <w:name w:val="Title 3"/>
    <w:basedOn w:val="Paragrafoelenco"/>
    <w:link w:val="Title3Char"/>
    <w:autoRedefine/>
    <w:rsid w:val="002574D1"/>
    <w:pPr>
      <w:numPr>
        <w:ilvl w:val="3"/>
        <w:numId w:val="2"/>
      </w:numPr>
    </w:pPr>
  </w:style>
  <w:style w:type="character" w:customStyle="1" w:styleId="Title3Char">
    <w:name w:val="Title 3 Char"/>
    <w:basedOn w:val="Carpredefinitoparagrafo"/>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e"/>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Carpredefinitoparagrafo"/>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e"/>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Carpredefinitoparagrafo"/>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e"/>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Carpredefinitoparagrafo"/>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e"/>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Carpredefinitoparagrafo"/>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e"/>
    <w:link w:val="IntroductionheadingChar"/>
    <w:autoRedefine/>
    <w:rsid w:val="00044C5A"/>
    <w:pPr>
      <w:spacing w:line="300" w:lineRule="exact"/>
    </w:pPr>
    <w:rPr>
      <w:b/>
      <w:sz w:val="28"/>
      <w:lang w:eastAsia="de-DE"/>
    </w:rPr>
  </w:style>
  <w:style w:type="character" w:customStyle="1" w:styleId="IntroductionheadingChar">
    <w:name w:val="Introduction heading Char"/>
    <w:basedOn w:val="Carpredefinitoparagrafo"/>
    <w:link w:val="Introductionheading"/>
    <w:rsid w:val="00044C5A"/>
    <w:rPr>
      <w:rFonts w:ascii="Arial" w:eastAsia="Times New Roman" w:hAnsi="Arial" w:cs="Times New Roman"/>
      <w:b/>
      <w:sz w:val="28"/>
      <w:szCs w:val="24"/>
      <w:lang w:val="en-GB" w:eastAsia="de-DE"/>
    </w:rPr>
  </w:style>
  <w:style w:type="character" w:customStyle="1" w:styleId="Titolo5Carattere">
    <w:name w:val="Titolo 5 Carattere"/>
    <w:basedOn w:val="Carpredefinitoparagrafo"/>
    <w:link w:val="Titolo5"/>
    <w:uiPriority w:val="9"/>
    <w:rsid w:val="007E7997"/>
    <w:rPr>
      <w:rFonts w:asciiTheme="majorHAnsi" w:eastAsiaTheme="majorEastAsia" w:hAnsiTheme="majorHAnsi" w:cstheme="majorBidi"/>
      <w:sz w:val="24"/>
      <w:szCs w:val="22"/>
      <w:lang w:val="en-GB" w:eastAsia="en-GB"/>
    </w:rPr>
  </w:style>
  <w:style w:type="paragraph" w:styleId="Corpotesto">
    <w:name w:val="Body Text"/>
    <w:basedOn w:val="Normale"/>
    <w:link w:val="CorpotestoCarattere"/>
    <w:uiPriority w:val="99"/>
    <w:semiHidden/>
    <w:unhideWhenUsed/>
    <w:rsid w:val="00044C5A"/>
  </w:style>
  <w:style w:type="character" w:customStyle="1" w:styleId="CorpotestoCarattere">
    <w:name w:val="Corpo testo Carattere"/>
    <w:basedOn w:val="Carpredefinitoparagrafo"/>
    <w:link w:val="Corpotesto"/>
    <w:uiPriority w:val="99"/>
    <w:semiHidden/>
    <w:rsid w:val="00044C5A"/>
    <w:rPr>
      <w:rFonts w:ascii="Arial" w:eastAsiaTheme="minorEastAsia" w:hAnsi="Arial"/>
    </w:rPr>
  </w:style>
  <w:style w:type="paragraph" w:styleId="Primorientrocorpodeltesto">
    <w:name w:val="Body Text First Indent"/>
    <w:basedOn w:val="Corpotesto"/>
    <w:link w:val="PrimorientrocorpodeltestoCarattere"/>
    <w:uiPriority w:val="99"/>
    <w:semiHidden/>
    <w:unhideWhenUsed/>
    <w:rsid w:val="00044C5A"/>
    <w:pPr>
      <w:ind w:firstLine="360"/>
    </w:pPr>
  </w:style>
  <w:style w:type="character" w:customStyle="1" w:styleId="PrimorientrocorpodeltestoCarattere">
    <w:name w:val="Primo rientro corpo del testo Carattere"/>
    <w:basedOn w:val="CorpotestoCarattere"/>
    <w:link w:val="Primorientrocorpodeltesto"/>
    <w:uiPriority w:val="99"/>
    <w:semiHidden/>
    <w:rsid w:val="00044C5A"/>
    <w:rPr>
      <w:rFonts w:ascii="Arial" w:eastAsiaTheme="minorEastAsia" w:hAnsi="Arial"/>
    </w:rPr>
  </w:style>
  <w:style w:type="character" w:customStyle="1" w:styleId="Titolo6Carattere">
    <w:name w:val="Titolo 6 Carattere"/>
    <w:basedOn w:val="Carpredefinitoparagrafo"/>
    <w:link w:val="Titolo6"/>
    <w:rsid w:val="00AA054E"/>
    <w:rPr>
      <w:rFonts w:asciiTheme="majorHAnsi" w:eastAsiaTheme="majorEastAsia" w:hAnsiTheme="majorHAnsi" w:cstheme="majorBidi"/>
      <w:i/>
      <w:iCs/>
      <w:color w:val="44546A" w:themeColor="text2"/>
      <w:sz w:val="21"/>
      <w:szCs w:val="21"/>
      <w:lang w:val="en-GB" w:eastAsia="en-GB"/>
    </w:rPr>
  </w:style>
  <w:style w:type="paragraph" w:styleId="Titolo">
    <w:name w:val="Title"/>
    <w:basedOn w:val="Normale"/>
    <w:next w:val="Normale"/>
    <w:link w:val="TitoloCarattere"/>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oloCarattere">
    <w:name w:val="Titolo Carattere"/>
    <w:basedOn w:val="Carpredefinitoparagrafo"/>
    <w:link w:val="Titolo"/>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ottotitolo">
    <w:name w:val="Subtitle"/>
    <w:basedOn w:val="Normale"/>
    <w:next w:val="Normale"/>
    <w:link w:val="SottotitoloCarattere"/>
    <w:uiPriority w:val="11"/>
    <w:qFormat/>
    <w:rsid w:val="00366D42"/>
    <w:pPr>
      <w:numPr>
        <w:ilvl w:val="1"/>
      </w:numPr>
    </w:pPr>
    <w:rPr>
      <w:rFonts w:asciiTheme="majorHAnsi" w:eastAsiaTheme="majorEastAsia" w:hAnsiTheme="majorHAnsi" w:cstheme="majorBidi"/>
      <w:b/>
      <w:sz w:val="28"/>
    </w:rPr>
  </w:style>
  <w:style w:type="character" w:customStyle="1" w:styleId="SottotitoloCarattere">
    <w:name w:val="Sottotitolo Carattere"/>
    <w:basedOn w:val="Carpredefinitoparagrafo"/>
    <w:link w:val="Sottotitolo"/>
    <w:uiPriority w:val="11"/>
    <w:rsid w:val="00366D42"/>
    <w:rPr>
      <w:rFonts w:asciiTheme="majorHAnsi" w:eastAsiaTheme="majorEastAsia" w:hAnsiTheme="majorHAnsi" w:cstheme="majorBidi"/>
      <w:b/>
      <w:sz w:val="28"/>
      <w:szCs w:val="24"/>
      <w:lang w:val="en-GB"/>
    </w:rPr>
  </w:style>
  <w:style w:type="character" w:customStyle="1" w:styleId="Titolo7Carattere">
    <w:name w:val="Titolo 7 Carattere"/>
    <w:basedOn w:val="Carpredefinitoparagrafo"/>
    <w:link w:val="Titolo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Titolo8Carattere">
    <w:name w:val="Titolo 8 Carattere"/>
    <w:basedOn w:val="Carpredefinitoparagrafo"/>
    <w:link w:val="Titolo8"/>
    <w:rsid w:val="00AA054E"/>
    <w:rPr>
      <w:rFonts w:asciiTheme="majorHAnsi" w:eastAsiaTheme="majorEastAsia" w:hAnsiTheme="majorHAnsi" w:cstheme="majorBidi"/>
      <w:b/>
      <w:bCs/>
      <w:color w:val="44546A" w:themeColor="text2"/>
      <w:sz w:val="24"/>
      <w:szCs w:val="24"/>
      <w:lang w:val="en-GB" w:eastAsia="en-GB"/>
    </w:rPr>
  </w:style>
  <w:style w:type="character" w:customStyle="1" w:styleId="Titolo9Carattere">
    <w:name w:val="Titolo 9 Carattere"/>
    <w:basedOn w:val="Carpredefinitoparagrafo"/>
    <w:link w:val="Titolo9"/>
    <w:rsid w:val="00AA054E"/>
    <w:rPr>
      <w:rFonts w:asciiTheme="majorHAnsi" w:eastAsiaTheme="majorEastAsia" w:hAnsiTheme="majorHAnsi" w:cstheme="majorBidi"/>
      <w:b/>
      <w:bCs/>
      <w:i/>
      <w:iCs/>
      <w:color w:val="44546A" w:themeColor="text2"/>
      <w:sz w:val="24"/>
      <w:szCs w:val="24"/>
      <w:lang w:val="en-GB" w:eastAsia="en-GB"/>
    </w:rPr>
  </w:style>
  <w:style w:type="paragraph" w:styleId="Didascalia">
    <w:name w:val="caption"/>
    <w:basedOn w:val="Normale"/>
    <w:next w:val="Normale"/>
    <w:uiPriority w:val="35"/>
    <w:semiHidden/>
    <w:unhideWhenUsed/>
    <w:qFormat/>
    <w:rsid w:val="00AA054E"/>
    <w:rPr>
      <w:b/>
      <w:bCs/>
      <w:smallCaps/>
      <w:color w:val="595959" w:themeColor="text1" w:themeTint="A6"/>
      <w:spacing w:val="6"/>
    </w:rPr>
  </w:style>
  <w:style w:type="character" w:styleId="Enfasigrassetto">
    <w:name w:val="Strong"/>
    <w:basedOn w:val="Carpredefinitoparagrafo"/>
    <w:uiPriority w:val="22"/>
    <w:qFormat/>
    <w:rsid w:val="00AA054E"/>
    <w:rPr>
      <w:b/>
      <w:bCs/>
    </w:rPr>
  </w:style>
  <w:style w:type="character" w:styleId="Enfasicorsivo">
    <w:name w:val="Emphasis"/>
    <w:basedOn w:val="Carpredefinitoparagrafo"/>
    <w:uiPriority w:val="20"/>
    <w:qFormat/>
    <w:rsid w:val="00AA054E"/>
    <w:rPr>
      <w:i/>
      <w:iCs/>
    </w:rPr>
  </w:style>
  <w:style w:type="paragraph" w:styleId="Citazione">
    <w:name w:val="Quote"/>
    <w:basedOn w:val="Normale"/>
    <w:next w:val="Normale"/>
    <w:link w:val="CitazioneCarattere"/>
    <w:uiPriority w:val="29"/>
    <w:qFormat/>
    <w:rsid w:val="00AA054E"/>
    <w:pPr>
      <w:spacing w:before="160"/>
      <w:ind w:left="720" w:right="720"/>
    </w:pPr>
    <w:rPr>
      <w:i/>
      <w:iCs/>
      <w:color w:val="404040" w:themeColor="text1" w:themeTint="BF"/>
    </w:rPr>
  </w:style>
  <w:style w:type="character" w:customStyle="1" w:styleId="CitazioneCarattere">
    <w:name w:val="Citazione Carattere"/>
    <w:basedOn w:val="Carpredefinitoparagrafo"/>
    <w:link w:val="Citazione"/>
    <w:uiPriority w:val="29"/>
    <w:rsid w:val="00AA054E"/>
    <w:rPr>
      <w:i/>
      <w:iCs/>
      <w:color w:val="404040" w:themeColor="text1" w:themeTint="BF"/>
    </w:rPr>
  </w:style>
  <w:style w:type="paragraph" w:styleId="Citazioneintensa">
    <w:name w:val="Intense Quote"/>
    <w:basedOn w:val="Normale"/>
    <w:next w:val="Normale"/>
    <w:link w:val="CitazioneintensaCarattere"/>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zioneintensaCarattere">
    <w:name w:val="Citazione intensa Carattere"/>
    <w:basedOn w:val="Carpredefinitoparagrafo"/>
    <w:link w:val="Citazioneintensa"/>
    <w:uiPriority w:val="30"/>
    <w:rsid w:val="00AA054E"/>
    <w:rPr>
      <w:rFonts w:asciiTheme="majorHAnsi" w:eastAsiaTheme="majorEastAsia" w:hAnsiTheme="majorHAnsi" w:cstheme="majorBidi"/>
      <w:color w:val="5B9BD5" w:themeColor="accent1"/>
      <w:sz w:val="28"/>
      <w:szCs w:val="28"/>
    </w:rPr>
  </w:style>
  <w:style w:type="character" w:styleId="Enfasidelicata">
    <w:name w:val="Subtle Emphasis"/>
    <w:aliases w:val="Text,Emphase pâle,Diskret betoning"/>
    <w:basedOn w:val="Carpredefinitoparagrafo"/>
    <w:uiPriority w:val="19"/>
    <w:qFormat/>
    <w:rsid w:val="00287C8F"/>
    <w:rPr>
      <w:rFonts w:asciiTheme="majorHAnsi" w:hAnsiTheme="majorHAnsi"/>
      <w:i/>
      <w:iCs/>
      <w:color w:val="auto"/>
      <w:sz w:val="22"/>
    </w:rPr>
  </w:style>
  <w:style w:type="character" w:styleId="Enfasiintensa">
    <w:name w:val="Intense Emphasis"/>
    <w:basedOn w:val="Carpredefinitoparagrafo"/>
    <w:uiPriority w:val="21"/>
    <w:qFormat/>
    <w:rsid w:val="00AA054E"/>
    <w:rPr>
      <w:b/>
      <w:bCs/>
      <w:i/>
      <w:iCs/>
    </w:rPr>
  </w:style>
  <w:style w:type="character" w:styleId="Riferimentodelicato">
    <w:name w:val="Subtle Reference"/>
    <w:basedOn w:val="Carpredefinitoparagrafo"/>
    <w:uiPriority w:val="31"/>
    <w:qFormat/>
    <w:rsid w:val="00AA054E"/>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AA054E"/>
    <w:rPr>
      <w:b/>
      <w:bCs/>
      <w:smallCaps/>
      <w:spacing w:val="5"/>
      <w:u w:val="single"/>
    </w:rPr>
  </w:style>
  <w:style w:type="character" w:styleId="Titolodellibro">
    <w:name w:val="Book Title"/>
    <w:basedOn w:val="Carpredefinitoparagrafo"/>
    <w:uiPriority w:val="33"/>
    <w:qFormat/>
    <w:rsid w:val="00AA054E"/>
    <w:rPr>
      <w:b/>
      <w:bCs/>
      <w:smallCaps/>
    </w:rPr>
  </w:style>
  <w:style w:type="paragraph" w:styleId="Titolosommario">
    <w:name w:val="TOC Heading"/>
    <w:basedOn w:val="Titolo1"/>
    <w:next w:val="Normale"/>
    <w:uiPriority w:val="39"/>
    <w:unhideWhenUsed/>
    <w:qFormat/>
    <w:rsid w:val="00AA054E"/>
    <w:pPr>
      <w:outlineLvl w:val="9"/>
    </w:pPr>
  </w:style>
  <w:style w:type="character" w:customStyle="1" w:styleId="NessunaspaziaturaCarattere">
    <w:name w:val="Nessuna spaziatura Carattere"/>
    <w:basedOn w:val="Carpredefinitoparagrafo"/>
    <w:link w:val="Nessunaspaziatura"/>
    <w:uiPriority w:val="1"/>
    <w:rsid w:val="005B6B12"/>
    <w:rPr>
      <w:lang w:val="en-GB"/>
    </w:rPr>
  </w:style>
  <w:style w:type="paragraph" w:styleId="Intestazione">
    <w:name w:val="header"/>
    <w:basedOn w:val="Normale"/>
    <w:link w:val="IntestazioneCarattere"/>
    <w:unhideWhenUsed/>
    <w:qFormat/>
    <w:rsid w:val="007E7997"/>
    <w:pPr>
      <w:tabs>
        <w:tab w:val="center" w:pos="4536"/>
        <w:tab w:val="right" w:pos="9072"/>
      </w:tabs>
    </w:pPr>
  </w:style>
  <w:style w:type="character" w:customStyle="1" w:styleId="IntestazioneCarattere">
    <w:name w:val="Intestazione Carattere"/>
    <w:basedOn w:val="Carpredefinitoparagrafo"/>
    <w:link w:val="Intestazione"/>
    <w:rsid w:val="007E7997"/>
    <w:rPr>
      <w:sz w:val="22"/>
    </w:rPr>
  </w:style>
  <w:style w:type="paragraph" w:styleId="Pidipagina">
    <w:name w:val="footer"/>
    <w:basedOn w:val="Normale"/>
    <w:link w:val="PidipaginaCarattere"/>
    <w:uiPriority w:val="99"/>
    <w:unhideWhenUsed/>
    <w:rsid w:val="007E7997"/>
    <w:pPr>
      <w:tabs>
        <w:tab w:val="center" w:pos="4536"/>
        <w:tab w:val="right" w:pos="9072"/>
      </w:tabs>
    </w:pPr>
  </w:style>
  <w:style w:type="character" w:customStyle="1" w:styleId="PidipaginaCarattere">
    <w:name w:val="Piè di pagina Carattere"/>
    <w:basedOn w:val="Carpredefinitoparagrafo"/>
    <w:link w:val="Pidipagina"/>
    <w:uiPriority w:val="99"/>
    <w:rsid w:val="007E7997"/>
    <w:rPr>
      <w:sz w:val="22"/>
    </w:rPr>
  </w:style>
  <w:style w:type="paragraph" w:customStyle="1" w:styleId="00aPagenumber">
    <w:name w:val="00a_Page number"/>
    <w:basedOn w:val="Normale"/>
    <w:rsid w:val="007E7997"/>
    <w:pPr>
      <w:spacing w:line="280" w:lineRule="atLeast"/>
      <w:jc w:val="right"/>
    </w:pPr>
    <w:rPr>
      <w:rFonts w:ascii="Georgia" w:hAnsi="Georgia"/>
      <w:color w:val="000000"/>
      <w:lang w:eastAsia="de-DE"/>
    </w:rPr>
  </w:style>
  <w:style w:type="paragraph" w:customStyle="1" w:styleId="02Date">
    <w:name w:val="02_Date"/>
    <w:basedOn w:val="Normale"/>
    <w:rsid w:val="00636E02"/>
    <w:pPr>
      <w:spacing w:line="220" w:lineRule="exact"/>
    </w:pPr>
    <w:rPr>
      <w:rFonts w:ascii="Georgia" w:hAnsi="Georgia"/>
      <w:sz w:val="17"/>
      <w:lang w:eastAsia="de-DE"/>
    </w:rPr>
  </w:style>
  <w:style w:type="paragraph" w:styleId="Sommario1">
    <w:name w:val="toc 1"/>
    <w:basedOn w:val="Normale"/>
    <w:next w:val="Normale"/>
    <w:autoRedefine/>
    <w:uiPriority w:val="39"/>
    <w:unhideWhenUsed/>
    <w:rsid w:val="00B81A44"/>
    <w:pPr>
      <w:tabs>
        <w:tab w:val="left" w:pos="440"/>
        <w:tab w:val="right" w:leader="dot" w:pos="9062"/>
      </w:tabs>
      <w:spacing w:after="100"/>
    </w:pPr>
  </w:style>
  <w:style w:type="paragraph" w:styleId="Sommario2">
    <w:name w:val="toc 2"/>
    <w:basedOn w:val="Normale"/>
    <w:next w:val="Normale"/>
    <w:autoRedefine/>
    <w:uiPriority w:val="39"/>
    <w:unhideWhenUsed/>
    <w:rsid w:val="00BC422A"/>
    <w:pPr>
      <w:spacing w:after="100"/>
      <w:ind w:left="220"/>
    </w:pPr>
  </w:style>
  <w:style w:type="paragraph" w:styleId="Sommario3">
    <w:name w:val="toc 3"/>
    <w:basedOn w:val="Normale"/>
    <w:next w:val="Normale"/>
    <w:autoRedefine/>
    <w:uiPriority w:val="39"/>
    <w:unhideWhenUsed/>
    <w:rsid w:val="00BC422A"/>
    <w:pPr>
      <w:spacing w:after="100"/>
      <w:ind w:left="440"/>
    </w:pPr>
  </w:style>
  <w:style w:type="character" w:styleId="Collegamentoipertestuale">
    <w:name w:val="Hyperlink"/>
    <w:basedOn w:val="Carpredefinitoparagrafo"/>
    <w:uiPriority w:val="99"/>
    <w:unhideWhenUsed/>
    <w:rsid w:val="00BC422A"/>
    <w:rPr>
      <w:color w:val="0563C1" w:themeColor="hyperlink"/>
      <w:u w:val="single"/>
    </w:rPr>
  </w:style>
  <w:style w:type="paragraph" w:customStyle="1" w:styleId="Questionstyle">
    <w:name w:val="Question style"/>
    <w:basedOn w:val="Normale"/>
    <w:next w:val="Normale"/>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Carpredefinitoparagrafo"/>
    <w:link w:val="Questionstyle"/>
    <w:rsid w:val="00871163"/>
    <w:rPr>
      <w:rFonts w:eastAsia="Times New Roman" w:cstheme="minorHAnsi"/>
      <w:b/>
      <w:bCs/>
      <w:sz w:val="22"/>
      <w:szCs w:val="22"/>
      <w:lang w:val="en-GB" w:eastAsia="en-GB"/>
    </w:rPr>
  </w:style>
  <w:style w:type="paragraph" w:customStyle="1" w:styleId="Listing2">
    <w:name w:val="Listing2"/>
    <w:basedOn w:val="Normale"/>
    <w:link w:val="Listing2Char"/>
    <w:autoRedefine/>
    <w:rsid w:val="00DF3785"/>
  </w:style>
  <w:style w:type="character" w:customStyle="1" w:styleId="Listing2Char">
    <w:name w:val="Listing2 Char"/>
    <w:basedOn w:val="Carpredefinitoparagrafo"/>
    <w:link w:val="Listing2"/>
    <w:rsid w:val="00DF3785"/>
    <w:rPr>
      <w:lang w:val="en-GB"/>
    </w:rPr>
  </w:style>
  <w:style w:type="table" w:styleId="Grigliatabella">
    <w:name w:val="Table Grid"/>
    <w:basedOn w:val="Tabellanorma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uiPriority w:val="99"/>
    <w:semiHidden/>
    <w:unhideWhenUsed/>
    <w:rsid w:val="00B50534"/>
  </w:style>
  <w:style w:type="character" w:customStyle="1" w:styleId="TestonotadichiusuraCarattere">
    <w:name w:val="Testo nota di chiusura Carattere"/>
    <w:basedOn w:val="Carpredefinitoparagrafo"/>
    <w:link w:val="Testonotadichiusura"/>
    <w:uiPriority w:val="99"/>
    <w:semiHidden/>
    <w:rsid w:val="00B50534"/>
    <w:rPr>
      <w:lang w:val="en-GB"/>
    </w:rPr>
  </w:style>
  <w:style w:type="character" w:styleId="Rimandonotadichiusura">
    <w:name w:val="endnote reference"/>
    <w:basedOn w:val="Carpredefinitoparagrafo"/>
    <w:uiPriority w:val="99"/>
    <w:semiHidden/>
    <w:unhideWhenUsed/>
    <w:rsid w:val="00B50534"/>
    <w:rPr>
      <w:vertAlign w:val="superscript"/>
    </w:rPr>
  </w:style>
  <w:style w:type="paragraph" w:styleId="Testonotaapidipagina">
    <w:name w:val="footnote text"/>
    <w:basedOn w:val="Normale"/>
    <w:link w:val="TestonotaapidipaginaCarattere"/>
    <w:autoRedefine/>
    <w:uiPriority w:val="99"/>
    <w:semiHidden/>
    <w:unhideWhenUsed/>
    <w:qFormat/>
    <w:rsid w:val="006F53E8"/>
    <w:rPr>
      <w:sz w:val="16"/>
    </w:rPr>
  </w:style>
  <w:style w:type="character" w:customStyle="1" w:styleId="TestonotaapidipaginaCarattere">
    <w:name w:val="Testo nota a piè di pagina Carattere"/>
    <w:basedOn w:val="Carpredefinitoparagrafo"/>
    <w:link w:val="Testonotaapidipagina"/>
    <w:uiPriority w:val="99"/>
    <w:semiHidden/>
    <w:rsid w:val="006F53E8"/>
    <w:rPr>
      <w:sz w:val="16"/>
      <w:lang w:val="en-GB"/>
    </w:rPr>
  </w:style>
  <w:style w:type="character" w:styleId="Rimandonotaapidipagina">
    <w:name w:val="footnote reference"/>
    <w:aliases w:val="SUPERS,Footnote reference number,Footnote symbol,note TESI,-E Fußnotenzeichen,number,BVI fnr,Footnote Reference Superscript,(Footnote Reference),EN Footnote Reference,Voetnootverwijzing,Times 10 Point,Exposant 3 Poi,16 Point"/>
    <w:basedOn w:val="Carpredefinitoparagrafo"/>
    <w:uiPriority w:val="99"/>
    <w:unhideWhenUsed/>
    <w:qFormat/>
    <w:rsid w:val="00A91D91"/>
    <w:rPr>
      <w:rFonts w:asciiTheme="majorHAnsi" w:hAnsiTheme="majorHAnsi"/>
      <w:sz w:val="16"/>
      <w:vertAlign w:val="superscript"/>
    </w:rPr>
  </w:style>
  <w:style w:type="paragraph" w:customStyle="1" w:styleId="Footnote">
    <w:name w:val="Footnote"/>
    <w:basedOn w:val="Testonotaapidipagina"/>
    <w:link w:val="FootnoteChar"/>
    <w:rsid w:val="00B50534"/>
    <w:rPr>
      <w:lang w:val="nl-BE"/>
    </w:rPr>
  </w:style>
  <w:style w:type="character" w:customStyle="1" w:styleId="FootnoteChar">
    <w:name w:val="Footnote Char"/>
    <w:basedOn w:val="TestonotaapidipaginaCarattere"/>
    <w:link w:val="Footnote"/>
    <w:rsid w:val="00B50534"/>
    <w:rPr>
      <w:sz w:val="16"/>
      <w:lang w:val="en-GB"/>
    </w:rPr>
  </w:style>
  <w:style w:type="table" w:customStyle="1" w:styleId="GridTable4-Accent11">
    <w:name w:val="Grid Table 4 - Accent 11"/>
    <w:basedOn w:val="Tabellanorma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e"/>
    <w:rsid w:val="00287C8F"/>
    <w:pPr>
      <w:numPr>
        <w:numId w:val="5"/>
      </w:numPr>
      <w:tabs>
        <w:tab w:val="clear" w:pos="284"/>
        <w:tab w:val="num" w:pos="567"/>
      </w:tabs>
      <w:ind w:left="567" w:hanging="454"/>
    </w:pPr>
    <w:rPr>
      <w:rFonts w:ascii="Georgia" w:hAnsi="Georgia"/>
      <w:sz w:val="20"/>
      <w:lang w:eastAsia="de-DE"/>
    </w:rPr>
  </w:style>
  <w:style w:type="paragraph" w:styleId="Testofumetto">
    <w:name w:val="Balloon Text"/>
    <w:basedOn w:val="Normale"/>
    <w:link w:val="TestofumettoCarattere"/>
    <w:uiPriority w:val="99"/>
    <w:semiHidden/>
    <w:unhideWhenUsed/>
    <w:rsid w:val="003C167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C167E"/>
    <w:rPr>
      <w:rFonts w:ascii="Tahoma" w:hAnsi="Tahoma" w:cs="Tahoma"/>
      <w:sz w:val="16"/>
      <w:szCs w:val="16"/>
      <w:lang w:val="en-GB"/>
    </w:rPr>
  </w:style>
  <w:style w:type="character" w:styleId="Rimandocommento">
    <w:name w:val="annotation reference"/>
    <w:basedOn w:val="Carpredefinitoparagrafo"/>
    <w:uiPriority w:val="99"/>
    <w:semiHidden/>
    <w:unhideWhenUsed/>
    <w:rsid w:val="00FA2400"/>
    <w:rPr>
      <w:sz w:val="16"/>
      <w:szCs w:val="16"/>
    </w:rPr>
  </w:style>
  <w:style w:type="paragraph" w:styleId="Testocommento">
    <w:name w:val="annotation text"/>
    <w:basedOn w:val="Normale"/>
    <w:link w:val="TestocommentoCarattere"/>
    <w:uiPriority w:val="99"/>
    <w:unhideWhenUsed/>
    <w:rsid w:val="00FA2400"/>
    <w:rPr>
      <w:sz w:val="20"/>
    </w:rPr>
  </w:style>
  <w:style w:type="character" w:customStyle="1" w:styleId="TestocommentoCarattere">
    <w:name w:val="Testo commento Carattere"/>
    <w:basedOn w:val="Carpredefinitoparagrafo"/>
    <w:link w:val="Testocommento"/>
    <w:uiPriority w:val="99"/>
    <w:rsid w:val="00FA2400"/>
    <w:rPr>
      <w:lang w:val="en-GB"/>
    </w:rPr>
  </w:style>
  <w:style w:type="paragraph" w:styleId="Soggettocommento">
    <w:name w:val="annotation subject"/>
    <w:basedOn w:val="Testocommento"/>
    <w:next w:val="Testocommento"/>
    <w:link w:val="SoggettocommentoCarattere"/>
    <w:uiPriority w:val="99"/>
    <w:semiHidden/>
    <w:unhideWhenUsed/>
    <w:rsid w:val="00FA2400"/>
    <w:rPr>
      <w:b/>
      <w:bCs/>
    </w:rPr>
  </w:style>
  <w:style w:type="character" w:customStyle="1" w:styleId="SoggettocommentoCarattere">
    <w:name w:val="Soggetto commento Carattere"/>
    <w:basedOn w:val="TestocommentoCarattere"/>
    <w:link w:val="Soggettocommento"/>
    <w:uiPriority w:val="99"/>
    <w:semiHidden/>
    <w:rsid w:val="00FA2400"/>
    <w:rPr>
      <w:b/>
      <w:bCs/>
      <w:lang w:val="en-GB"/>
    </w:rPr>
  </w:style>
  <w:style w:type="paragraph" w:styleId="Revisione">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Collegamentovisitato">
    <w:name w:val="FollowedHyperlink"/>
    <w:basedOn w:val="Carpredefinitoparagrafo"/>
    <w:uiPriority w:val="99"/>
    <w:semiHidden/>
    <w:unhideWhenUsed/>
    <w:rsid w:val="007B354B"/>
    <w:rPr>
      <w:color w:val="954F72" w:themeColor="followedHyperlink"/>
      <w:u w:val="single"/>
    </w:rPr>
  </w:style>
  <w:style w:type="paragraph" w:styleId="NormaleWeb">
    <w:name w:val="Normal (Web)"/>
    <w:basedOn w:val="Normale"/>
    <w:uiPriority w:val="99"/>
    <w:semiHidden/>
    <w:unhideWhenUsed/>
    <w:rsid w:val="00B424F5"/>
    <w:pPr>
      <w:spacing w:before="100" w:beforeAutospacing="1" w:after="100" w:afterAutospacing="1"/>
    </w:pPr>
  </w:style>
  <w:style w:type="character" w:customStyle="1" w:styleId="outputecliaff">
    <w:name w:val="outputecliaff"/>
    <w:basedOn w:val="Carpredefinitoparagrafo"/>
    <w:rsid w:val="00595F08"/>
  </w:style>
  <w:style w:type="paragraph" w:customStyle="1" w:styleId="05HeadlinenoIndex">
    <w:name w:val="05_Headline no Index"/>
    <w:basedOn w:val="Normale"/>
    <w:rsid w:val="005C7E1F"/>
    <w:pPr>
      <w:spacing w:after="250" w:line="300" w:lineRule="exact"/>
      <w:jc w:val="both"/>
    </w:pPr>
    <w:rPr>
      <w:rFonts w:ascii="Georgia" w:hAnsi="Georgia"/>
      <w:b/>
      <w:lang w:eastAsia="de-DE"/>
    </w:rPr>
  </w:style>
  <w:style w:type="paragraph" w:customStyle="1" w:styleId="04BodyText">
    <w:name w:val="04_Body Text"/>
    <w:basedOn w:val="Normale"/>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ellanormale"/>
    <w:next w:val="Grigliatabel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lanormale"/>
    <w:next w:val="Grigliatabella"/>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Paragraphe EI Carattere,Paragraphe de liste1 Carattere,EC Carattere,Paragraphe de liste Carattere,Normal Nivel 1 Carattere,List Paragraph Main Carattere,List first level Carattere,List Paragraph_Sections Carattere"/>
    <w:basedOn w:val="Carpredefinitoparagrafo"/>
    <w:link w:val="Paragrafoelenco"/>
    <w:uiPriority w:val="34"/>
    <w:rsid w:val="004B56AC"/>
    <w:rPr>
      <w:rFonts w:eastAsiaTheme="majorEastAsia" w:cstheme="minorHAnsi"/>
      <w:sz w:val="22"/>
      <w:szCs w:val="22"/>
      <w:lang w:val="en-GB" w:eastAsia="en-GB"/>
    </w:rPr>
  </w:style>
  <w:style w:type="table" w:customStyle="1" w:styleId="TableGrid3">
    <w:name w:val="Table Grid3"/>
    <w:basedOn w:val="Tabellanorma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lanormale"/>
    <w:next w:val="Grigliatabella"/>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Enfasigrassetto"/>
    <w:uiPriority w:val="1"/>
    <w:qFormat/>
    <w:rsid w:val="00FA64BE"/>
    <w:rPr>
      <w:b w:val="0"/>
      <w:bCs/>
      <w:caps/>
      <w:smallCaps w:val="0"/>
      <w:color w:val="70AD47" w:themeColor="accent6"/>
      <w:sz w:val="22"/>
    </w:rPr>
  </w:style>
  <w:style w:type="paragraph" w:customStyle="1" w:styleId="Paragraph">
    <w:name w:val="Paragraph"/>
    <w:basedOn w:val="Paragrafoelenco"/>
    <w:link w:val="ParagraphChar"/>
    <w:qFormat/>
    <w:rsid w:val="00CB0C0C"/>
    <w:pPr>
      <w:numPr>
        <w:numId w:val="32"/>
      </w:numPr>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Carpredefinitoparagrafo"/>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3.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180</TotalTime>
  <Pages>18</Pages>
  <Words>6039</Words>
  <Characters>34425</Characters>
  <Application>Microsoft Office Word</Application>
  <DocSecurity>8</DocSecurity>
  <Lines>286</Lines>
  <Paragraphs>80</Paragraphs>
  <ScaleCrop>false</ScaleCrop>
  <Company>ESMA</Company>
  <LinksUpToDate>false</LinksUpToDate>
  <CharactersWithSpaces>40384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Angeloni David</cp:lastModifiedBy>
  <cp:revision>54</cp:revision>
  <cp:lastPrinted>2017-07-24T14:47:00Z</cp:lastPrinted>
  <dcterms:created xsi:type="dcterms:W3CDTF">2025-06-30T11:54:00Z</dcterms:created>
  <dcterms:modified xsi:type="dcterms:W3CDTF">2025-09-19T10:37:00Z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