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berschrift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berschrift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5287FA28" w:rsidR="00C85C8B" w:rsidRPr="00B16706" w:rsidRDefault="002F2B66" w:rsidP="00C85C8B">
                <w:pPr>
                  <w:rPr>
                    <w:rFonts w:ascii="Arial" w:hAnsi="Arial" w:cs="Arial"/>
                    <w:color w:val="808080"/>
                    <w:sz w:val="16"/>
                    <w:szCs w:val="20"/>
                    <w:lang w:eastAsia="de-DE"/>
                  </w:rPr>
                </w:pPr>
                <w:r>
                  <w:rPr>
                    <w:rFonts w:ascii="Arial" w:hAnsi="Arial" w:cs="Arial"/>
                    <w:color w:val="808080"/>
                    <w:sz w:val="16"/>
                    <w:szCs w:val="20"/>
                    <w:lang w:eastAsia="de-DE"/>
                  </w:rPr>
                  <w:t>Deutsches Aktieninstitut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232427C1"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2F2B66">
                  <w:rPr>
                    <w:rFonts w:ascii="Arial" w:hAnsi="Arial" w:cs="Arial"/>
                    <w:sz w:val="16"/>
                    <w:szCs w:val="20"/>
                    <w:lang w:eastAsia="de-DE"/>
                  </w:rPr>
                  <w:t>Non-financial counterparty</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6020B840" w:rsidR="00C85C8B" w:rsidRPr="00B16706" w:rsidRDefault="002F2B66"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58AFF1C0" w:rsidR="00C85C8B" w:rsidRPr="00B16706" w:rsidRDefault="002F2B66"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34B7881" w14:textId="66318390" w:rsidR="004F1823" w:rsidRDefault="00DB4DDD" w:rsidP="004F1823">
      <w:permStart w:id="785210304" w:edGrp="everyone"/>
      <w:r>
        <w:t>We agree with the analysis of ESMA</w:t>
      </w:r>
      <w:r w:rsidR="004F1823">
        <w:t>.</w:t>
      </w:r>
      <w:r>
        <w:t xml:space="preserve"> </w:t>
      </w:r>
      <w:r w:rsidR="004F1823">
        <w:t>However, we would like to emphasise the importance to draw the right conclusions. It is time for an ambitious reduction of bureaucracy. For non-financial companies that use derivatives for hedging purposes, which we represent as an association, are the following measures</w:t>
      </w:r>
      <w:r w:rsidR="00E732F2">
        <w:t xml:space="preserve"> of significance</w:t>
      </w:r>
      <w:r w:rsidR="004F1823">
        <w:t>:</w:t>
      </w:r>
    </w:p>
    <w:p w14:paraId="515A9CBE" w14:textId="77777777" w:rsidR="004F1823" w:rsidRDefault="004F1823" w:rsidP="004F1823"/>
    <w:p w14:paraId="1C3C017D" w14:textId="3C446F53" w:rsidR="004F1823" w:rsidRDefault="004F1823" w:rsidP="004F1823">
      <w:r>
        <w:t xml:space="preserve">- </w:t>
      </w:r>
      <w:r w:rsidR="00E732F2">
        <w:t>Complete a</w:t>
      </w:r>
      <w:r>
        <w:t xml:space="preserve">bolition of the obligation to report intra-group transactions under </w:t>
      </w:r>
      <w:r w:rsidR="005873F9" w:rsidRPr="005873F9">
        <w:t>Art. 9(1) EMIR</w:t>
      </w:r>
      <w:r>
        <w:t xml:space="preserve">, or at least significant simplification of the </w:t>
      </w:r>
      <w:r w:rsidR="00E732F2">
        <w:t>notification</w:t>
      </w:r>
      <w:r>
        <w:t xml:space="preserve"> process for exemption from the reporting obligation</w:t>
      </w:r>
      <w:r w:rsidR="005873F9">
        <w:t xml:space="preserve"> (see below)</w:t>
      </w:r>
      <w:r w:rsidR="00E732F2">
        <w:t>.</w:t>
      </w:r>
    </w:p>
    <w:p w14:paraId="4511D16E" w14:textId="6CD5F9AA" w:rsidR="004F1823" w:rsidRDefault="004F1823" w:rsidP="004F1823">
      <w:r>
        <w:t xml:space="preserve">- </w:t>
      </w:r>
      <w:r w:rsidR="00E732F2">
        <w:t>Legislator should solve the problem of dual sided reporting for non</w:t>
      </w:r>
      <w:r w:rsidR="00285616">
        <w:t>-</w:t>
      </w:r>
      <w:r w:rsidR="00E732F2">
        <w:t xml:space="preserve">financial companies. In this regard, it is important to recognise </w:t>
      </w:r>
      <w:r>
        <w:t xml:space="preserve">non-EU banks from other jurisdictions such as the US </w:t>
      </w:r>
      <w:r w:rsidR="005D0EEF">
        <w:t>or</w:t>
      </w:r>
      <w:r>
        <w:t xml:space="preserve"> Japan as equivalent to EU banks</w:t>
      </w:r>
      <w:r w:rsidR="009A607C">
        <w:t xml:space="preserve">, as non-EU banks are so far not required to </w:t>
      </w:r>
      <w:r>
        <w:t>report external derivatives</w:t>
      </w:r>
      <w:r w:rsidR="005873F9">
        <w:t xml:space="preserve"> </w:t>
      </w:r>
      <w:r w:rsidR="009A607C">
        <w:t xml:space="preserve">on behalf of non-financial counterparty </w:t>
      </w:r>
      <w:r w:rsidR="005873F9">
        <w:t>(see our answer to Q22)</w:t>
      </w:r>
      <w:r>
        <w:t>.</w:t>
      </w:r>
      <w:r w:rsidR="00E732F2">
        <w:t xml:space="preserve"> </w:t>
      </w:r>
    </w:p>
    <w:p w14:paraId="1BCB4754" w14:textId="1D7836A7" w:rsidR="00E732F2" w:rsidRDefault="00E732F2" w:rsidP="004F1823">
      <w:r>
        <w:t>- Consequent r</w:t>
      </w:r>
      <w:r w:rsidRPr="00E732F2">
        <w:t xml:space="preserve">eviewing the regulatory </w:t>
      </w:r>
      <w:r>
        <w:t xml:space="preserve">benefits </w:t>
      </w:r>
      <w:r w:rsidRPr="00E732F2">
        <w:t>of each reporting field</w:t>
      </w:r>
      <w:r>
        <w:t>.</w:t>
      </w:r>
    </w:p>
    <w:p w14:paraId="3E38F9E6" w14:textId="2CB9EC83" w:rsidR="00E732F2" w:rsidRDefault="00E732F2" w:rsidP="004F1823">
      <w:r>
        <w:t xml:space="preserve">- </w:t>
      </w:r>
      <w:r w:rsidR="00C21527">
        <w:t xml:space="preserve">Streamlining </w:t>
      </w:r>
      <w:r w:rsidR="00C21527" w:rsidRPr="00C21527">
        <w:t xml:space="preserve">or consolidation of the various reporting systems must not result in a new reporting system </w:t>
      </w:r>
      <w:r w:rsidR="00C21527">
        <w:t xml:space="preserve">which </w:t>
      </w:r>
      <w:r w:rsidR="00C21527" w:rsidRPr="00C21527">
        <w:t>implementation would entail further bureaucracy for companies.</w:t>
      </w:r>
    </w:p>
    <w:p w14:paraId="118F100F" w14:textId="24DF1B8D" w:rsidR="00926BDA" w:rsidRDefault="00926BDA" w:rsidP="004F1823"/>
    <w:p w14:paraId="29737D2D" w14:textId="77777777" w:rsidR="005873F9" w:rsidRDefault="005873F9" w:rsidP="00285616">
      <w:r>
        <w:t xml:space="preserve">Regarding intra-group transactions, </w:t>
      </w:r>
      <w:r w:rsidR="00285616" w:rsidRPr="00285616">
        <w:t>non</w:t>
      </w:r>
      <w:r>
        <w:t>-</w:t>
      </w:r>
      <w:r w:rsidR="00285616" w:rsidRPr="00285616">
        <w:t xml:space="preserve">financial companies must </w:t>
      </w:r>
      <w:r>
        <w:t xml:space="preserve">notify </w:t>
      </w:r>
      <w:r w:rsidR="00285616" w:rsidRPr="00285616">
        <w:t>the relevant supervisory authority for the exemption. The authority then has three months to</w:t>
      </w:r>
      <w:r>
        <w:t xml:space="preserve"> </w:t>
      </w:r>
      <w:r w:rsidR="00285616" w:rsidRPr="00285616">
        <w:t>review the application. If the three months have elapsed and the application has not been approved by the</w:t>
      </w:r>
      <w:r>
        <w:t xml:space="preserve"> </w:t>
      </w:r>
      <w:r w:rsidR="00285616" w:rsidRPr="00285616">
        <w:t xml:space="preserve">competent supervisory authority, it is deemed to have been approved without further feedback. </w:t>
      </w:r>
    </w:p>
    <w:p w14:paraId="69039F46" w14:textId="77777777" w:rsidR="005873F9" w:rsidRDefault="005873F9" w:rsidP="00285616"/>
    <w:p w14:paraId="081D1ADB" w14:textId="399CD338" w:rsidR="00285616" w:rsidRPr="00285616" w:rsidRDefault="00285616" w:rsidP="00285616">
      <w:r w:rsidRPr="00285616">
        <w:t>This</w:t>
      </w:r>
      <w:r w:rsidR="005873F9">
        <w:t xml:space="preserve"> </w:t>
      </w:r>
      <w:r w:rsidRPr="00285616">
        <w:t xml:space="preserve">application process is particularly problematic in the case of group </w:t>
      </w:r>
      <w:r w:rsidRPr="005B419E">
        <w:rPr>
          <w:color w:val="000000" w:themeColor="text1"/>
        </w:rPr>
        <w:t>restructurings</w:t>
      </w:r>
      <w:r w:rsidR="00B161BA" w:rsidRPr="005B419E">
        <w:rPr>
          <w:color w:val="000000" w:themeColor="text1"/>
        </w:rPr>
        <w:t>, which in bigger companies quite frequently happens</w:t>
      </w:r>
      <w:r w:rsidRPr="005B419E">
        <w:rPr>
          <w:color w:val="000000" w:themeColor="text1"/>
        </w:rPr>
        <w:t>. If new group companies</w:t>
      </w:r>
      <w:r w:rsidR="005873F9" w:rsidRPr="005B419E">
        <w:rPr>
          <w:color w:val="000000" w:themeColor="text1"/>
        </w:rPr>
        <w:t xml:space="preserve"> </w:t>
      </w:r>
      <w:r w:rsidRPr="005B419E">
        <w:rPr>
          <w:color w:val="000000" w:themeColor="text1"/>
        </w:rPr>
        <w:t>are integr</w:t>
      </w:r>
      <w:r w:rsidRPr="00285616">
        <w:t>ated into the central risk management system by providing them intra-group transactions, these</w:t>
      </w:r>
      <w:r w:rsidR="005873F9">
        <w:t xml:space="preserve"> </w:t>
      </w:r>
      <w:r w:rsidRPr="00285616">
        <w:t>transactions must be reported as long as the exception has not been approved, or the three-month period</w:t>
      </w:r>
      <w:r w:rsidR="005873F9">
        <w:t xml:space="preserve"> </w:t>
      </w:r>
      <w:r w:rsidRPr="00285616">
        <w:t>has expired. A reporting infrastructure must be set up for this period, only to be switched off again</w:t>
      </w:r>
      <w:r w:rsidR="005873F9">
        <w:t xml:space="preserve"> </w:t>
      </w:r>
      <w:r w:rsidRPr="00285616">
        <w:t>afterwards. This is inefficient and contradicts the aim of the legislator to provide burden relief for non</w:t>
      </w:r>
      <w:r w:rsidR="005873F9">
        <w:t>-</w:t>
      </w:r>
      <w:r w:rsidRPr="00285616">
        <w:t>financial</w:t>
      </w:r>
      <w:r w:rsidR="005873F9">
        <w:t xml:space="preserve"> </w:t>
      </w:r>
      <w:r w:rsidRPr="00285616">
        <w:t>companies. In addition, two different supervisory authorities must be considered in EU-wide</w:t>
      </w:r>
      <w:r w:rsidR="005873F9">
        <w:t xml:space="preserve"> </w:t>
      </w:r>
      <w:r w:rsidRPr="00285616">
        <w:t>situations: the supervisory authority of the parent company and the supervisory authority of the group company. The application processes are not standardised, resulting in a further major effort.</w:t>
      </w:r>
    </w:p>
    <w:p w14:paraId="724443AF" w14:textId="77777777" w:rsidR="005873F9" w:rsidRDefault="005873F9" w:rsidP="00285616"/>
    <w:p w14:paraId="21919AD5" w14:textId="17F2E7C4" w:rsidR="005873F9" w:rsidRPr="005873F9" w:rsidRDefault="00285616" w:rsidP="005873F9">
      <w:r w:rsidRPr="00285616">
        <w:lastRenderedPageBreak/>
        <w:t xml:space="preserve">We therefore </w:t>
      </w:r>
      <w:r w:rsidR="005873F9">
        <w:t>suggest to completely remove the requirement of intra-group reporting. I</w:t>
      </w:r>
      <w:r w:rsidR="005873F9" w:rsidRPr="005873F9">
        <w:t>ntra-group transactions simply redistribute the effects of external hedging transactions entered into by the central group treasury internally and do not increase the overall risk of the group in total. As such, the risks are compensating each other at group level. Accordingly, it makes no sense from an economic perspective to “speculate” with intra-group transactions. Potential losses of an intra-group transaction occurred for a group member are offset by potential gains of the other group member. There is no possibility to make profits/losses in a group as a whole.</w:t>
      </w:r>
      <w:r w:rsidR="005873F9">
        <w:t xml:space="preserve"> Reporting of intra-group transactions</w:t>
      </w:r>
      <w:r w:rsidR="00817762">
        <w:t xml:space="preserve"> is of no benefit</w:t>
      </w:r>
      <w:r w:rsidR="005873F9">
        <w:t>, from the perspective of supervisory authorities and companies.</w:t>
      </w:r>
    </w:p>
    <w:p w14:paraId="617149AC" w14:textId="69EDA6CE" w:rsidR="005873F9" w:rsidRDefault="005873F9" w:rsidP="00285616"/>
    <w:p w14:paraId="4FA1B3DC" w14:textId="77777777" w:rsidR="005873F9" w:rsidRDefault="005873F9" w:rsidP="00285616"/>
    <w:p w14:paraId="5F9C0472" w14:textId="2E2AE120" w:rsidR="00285616" w:rsidRPr="00285616" w:rsidRDefault="005873F9" w:rsidP="00285616">
      <w:r w:rsidRPr="005B419E">
        <w:rPr>
          <w:color w:val="000000" w:themeColor="text1"/>
        </w:rPr>
        <w:t xml:space="preserve">At least, legislator should streamline </w:t>
      </w:r>
      <w:r w:rsidR="00285616" w:rsidRPr="005B419E">
        <w:rPr>
          <w:color w:val="000000" w:themeColor="text1"/>
        </w:rPr>
        <w:t xml:space="preserve">the </w:t>
      </w:r>
      <w:r w:rsidR="00817762" w:rsidRPr="005B419E">
        <w:rPr>
          <w:color w:val="000000" w:themeColor="text1"/>
        </w:rPr>
        <w:t xml:space="preserve">notification </w:t>
      </w:r>
      <w:r w:rsidR="00285616" w:rsidRPr="005B419E">
        <w:rPr>
          <w:color w:val="000000" w:themeColor="text1"/>
        </w:rPr>
        <w:t xml:space="preserve">process. It should only be necessary to submit an initial </w:t>
      </w:r>
      <w:r w:rsidRPr="005B419E">
        <w:rPr>
          <w:color w:val="000000" w:themeColor="text1"/>
        </w:rPr>
        <w:t xml:space="preserve">notification </w:t>
      </w:r>
      <w:r w:rsidR="00285616" w:rsidRPr="005B419E">
        <w:rPr>
          <w:color w:val="000000" w:themeColor="text1"/>
        </w:rPr>
        <w:t xml:space="preserve">to the </w:t>
      </w:r>
      <w:r w:rsidRPr="005B419E">
        <w:rPr>
          <w:color w:val="000000" w:themeColor="text1"/>
        </w:rPr>
        <w:t xml:space="preserve">home </w:t>
      </w:r>
      <w:r w:rsidR="00285616" w:rsidRPr="005B419E">
        <w:rPr>
          <w:color w:val="000000" w:themeColor="text1"/>
        </w:rPr>
        <w:t>supervisory authority responsible for the parent company</w:t>
      </w:r>
      <w:r w:rsidR="00817762" w:rsidRPr="005B419E">
        <w:rPr>
          <w:color w:val="000000" w:themeColor="text1"/>
        </w:rPr>
        <w:t>, which is evaluated by the authority in the 3-month-period</w:t>
      </w:r>
      <w:r w:rsidR="00285616" w:rsidRPr="005B419E">
        <w:rPr>
          <w:color w:val="000000" w:themeColor="text1"/>
        </w:rPr>
        <w:t xml:space="preserve">. Once this has been approved, </w:t>
      </w:r>
      <w:r w:rsidR="00B161BA" w:rsidRPr="005B419E">
        <w:rPr>
          <w:color w:val="000000" w:themeColor="text1"/>
        </w:rPr>
        <w:t xml:space="preserve">in the future </w:t>
      </w:r>
      <w:r w:rsidR="00285616" w:rsidRPr="005B419E">
        <w:rPr>
          <w:color w:val="000000" w:themeColor="text1"/>
        </w:rPr>
        <w:t xml:space="preserve">the parent company </w:t>
      </w:r>
      <w:r w:rsidR="00B161BA" w:rsidRPr="005B419E">
        <w:rPr>
          <w:color w:val="000000" w:themeColor="text1"/>
        </w:rPr>
        <w:t xml:space="preserve">simply </w:t>
      </w:r>
      <w:r w:rsidR="00285616" w:rsidRPr="005B419E">
        <w:rPr>
          <w:color w:val="000000" w:themeColor="text1"/>
        </w:rPr>
        <w:t xml:space="preserve">notifies its competent supervisory authority of any additional group companies for which </w:t>
      </w:r>
      <w:r w:rsidR="00285616" w:rsidRPr="00285616">
        <w:t xml:space="preserve">the exemption is utilised. </w:t>
      </w:r>
      <w:r w:rsidR="00817762">
        <w:t xml:space="preserve">An additional evaluation process taking 3 month is superfluous. In this case, </w:t>
      </w:r>
      <w:proofErr w:type="gramStart"/>
      <w:r w:rsidR="00285616" w:rsidRPr="00285616">
        <w:t>It</w:t>
      </w:r>
      <w:proofErr w:type="gramEnd"/>
      <w:r w:rsidR="00285616" w:rsidRPr="00285616">
        <w:t xml:space="preserve"> is no longer necessary </w:t>
      </w:r>
      <w:r w:rsidR="00817762">
        <w:t xml:space="preserve">for companies </w:t>
      </w:r>
      <w:r w:rsidR="00285616" w:rsidRPr="00285616">
        <w:t>to report the transactions. It is also no longer necessary to involve the supervisory authority responsible for the group company in the respective EU member state in the application process in an EU case.</w:t>
      </w:r>
    </w:p>
    <w:p w14:paraId="4B97751A" w14:textId="77777777" w:rsidR="00E732F2" w:rsidRDefault="00E732F2" w:rsidP="004F1823"/>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5BEDD48B" w:rsidR="00926BDA" w:rsidRDefault="00CE6DAC" w:rsidP="00926BDA">
      <w:permStart w:id="545925079" w:edGrp="everyone"/>
      <w:r>
        <w:t xml:space="preserve">In </w:t>
      </w:r>
      <w:r w:rsidR="00C21527">
        <w:t xml:space="preserve">our answer to Q1 we </w:t>
      </w:r>
      <w:r>
        <w:t>described consequence steps toward less bureaucracy. Transition to a new reporting system which creates additional bureaucracy is not the way forward.</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lastRenderedPageBreak/>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lastRenderedPageBreak/>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 xml:space="preserve">Where do you think the cost associated with dual sided reporting is generated? What would be the cost impact of removing dual-sided reporting (e.g. Substituting reconciliation requirements with other measures such as audits </w:t>
      </w:r>
      <w:r>
        <w:lastRenderedPageBreak/>
        <w:t>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4DC0335" w14:textId="695F52D0" w:rsidR="00285616" w:rsidRDefault="00CE6DAC" w:rsidP="00926BDA">
      <w:permStart w:id="1652326327" w:edGrp="everyone"/>
      <w:r>
        <w:t xml:space="preserve">According to Art. 9(1a) EMIR </w:t>
      </w:r>
      <w:r w:rsidR="00285616">
        <w:t>f</w:t>
      </w:r>
      <w:r w:rsidR="00285616" w:rsidRPr="00285616">
        <w:t>inancial counterparties shall be solely responsible, and legally liable, for reporting on behalf of both counterparties</w:t>
      </w:r>
      <w:r w:rsidR="00285616">
        <w:t xml:space="preserve">, the financial and the non-financial counterparty. </w:t>
      </w:r>
      <w:r w:rsidRPr="00CE6DAC">
        <w:t>The option that the financial counterparties take over the reporting of transactions with non</w:t>
      </w:r>
      <w:r w:rsidR="00285616">
        <w:t>-</w:t>
      </w:r>
      <w:r w:rsidRPr="00CE6DAC">
        <w:t>financial counterparties is limited to financial counterparties domiciled in the EU and therefore subject to EMIR. Transactions with non-EU banks can be delegated, but the non</w:t>
      </w:r>
      <w:r w:rsidR="00285616">
        <w:t>-</w:t>
      </w:r>
      <w:r w:rsidRPr="00CE6DAC">
        <w:t>financial counterparty remains liable for the data. Therefore, many non</w:t>
      </w:r>
      <w:r w:rsidR="00285616">
        <w:t>-</w:t>
      </w:r>
      <w:r w:rsidRPr="00CE6DAC">
        <w:t xml:space="preserve">financial counterparties report for their own and maintain their reporting infrastructure for that reason. </w:t>
      </w:r>
      <w:r w:rsidR="00285616" w:rsidRPr="00285616">
        <w:t xml:space="preserve">In this regard, it is important </w:t>
      </w:r>
      <w:r w:rsidR="00285616">
        <w:t xml:space="preserve">that the legislator </w:t>
      </w:r>
      <w:r w:rsidR="00285616" w:rsidRPr="00285616">
        <w:t>recognise</w:t>
      </w:r>
      <w:r w:rsidR="00285616">
        <w:t>s</w:t>
      </w:r>
      <w:r w:rsidR="00285616" w:rsidRPr="00285616">
        <w:t xml:space="preserve"> non-EU banks from other jurisdictions such as the US and Japan as equivalent to EU banks. Non-financial companies would then have the opportunity to have these banks report external derivatives. </w:t>
      </w:r>
    </w:p>
    <w:p w14:paraId="6869EE33" w14:textId="77777777" w:rsidR="00285616" w:rsidRDefault="00285616" w:rsidP="00926BDA"/>
    <w:p w14:paraId="6E39AACB" w14:textId="08F8E2D0" w:rsidR="00926BDA" w:rsidRDefault="00285616" w:rsidP="00926BDA">
      <w:r>
        <w:t>At least, i</w:t>
      </w:r>
      <w:r w:rsidR="00CE6DAC" w:rsidRPr="00CE6DAC">
        <w:t>t would be helpful if the EU supervisory authorities conclude information-sharing agreements with the supervisory authorities of important third countries</w:t>
      </w:r>
      <w:r>
        <w:t xml:space="preserve"> (e.g. US or Japan)</w:t>
      </w:r>
      <w:r w:rsidR="00CE6DAC" w:rsidRPr="00CE6DAC">
        <w:t>. This would give them access to the information of financial counterparties from non-EU countries. According to EMIR, in that case banks from third countries could be treated equivalent to EU banks. Reporting by the non</w:t>
      </w:r>
      <w:r>
        <w:t>-</w:t>
      </w:r>
      <w:r w:rsidR="00CE6DAC" w:rsidRPr="00CE6DAC">
        <w:t>financial counterparty would then be superfluous.</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 xml:space="preserve">Question for reporting entities under EMIR: what is the one-off cost of implementing EMIR requirements to date? This cost should include all cost lines, such as familiarisation with obligations, staff recruitment, training, legal </w:t>
      </w:r>
      <w:r>
        <w:lastRenderedPageBreak/>
        <w:t>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lastRenderedPageBreak/>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DEB32" w14:textId="77777777" w:rsidR="0046024A" w:rsidRDefault="0046024A" w:rsidP="007E7997">
      <w:r>
        <w:separator/>
      </w:r>
    </w:p>
  </w:endnote>
  <w:endnote w:type="continuationSeparator" w:id="0">
    <w:p w14:paraId="0A53AF29" w14:textId="77777777" w:rsidR="0046024A" w:rsidRDefault="0046024A" w:rsidP="007E7997">
      <w:r>
        <w:continuationSeparator/>
      </w:r>
    </w:p>
  </w:endnote>
  <w:endnote w:type="continuationNotice" w:id="1">
    <w:p w14:paraId="3091FCB4" w14:textId="77777777" w:rsidR="0046024A" w:rsidRDefault="004602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B340" w14:textId="77777777" w:rsidR="0046024A" w:rsidRDefault="0046024A" w:rsidP="007E7997">
      <w:r>
        <w:separator/>
      </w:r>
    </w:p>
  </w:footnote>
  <w:footnote w:type="continuationSeparator" w:id="0">
    <w:p w14:paraId="71D75BA0" w14:textId="77777777" w:rsidR="0046024A" w:rsidRDefault="0046024A" w:rsidP="007E7997">
      <w:r>
        <w:continuationSeparator/>
      </w:r>
    </w:p>
  </w:footnote>
  <w:footnote w:type="continuationNotice" w:id="1">
    <w:p w14:paraId="3A666734" w14:textId="77777777" w:rsidR="0046024A" w:rsidRDefault="004602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Kopfzeil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Kopfzeil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Kopfzeil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fzeile"/>
      <w:jc w:val="right"/>
      <w:rPr>
        <w:rFonts w:asciiTheme="minorHAnsi" w:hAnsiTheme="minorHAnsi" w:cstheme="minorHAnsi"/>
        <w:color w:val="2F5496" w:themeColor="accent5" w:themeShade="BF"/>
        <w:sz w:val="20"/>
      </w:rPr>
    </w:pPr>
  </w:p>
  <w:p w14:paraId="3E983FE8" w14:textId="71D87355" w:rsidR="00FA64BE" w:rsidRDefault="00FA64BE" w:rsidP="00FA64BE">
    <w:pPr>
      <w:pStyle w:val="Kopfzeil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fzeil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616"/>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2B66"/>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710"/>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024A"/>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182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873F9"/>
    <w:rsid w:val="0059175F"/>
    <w:rsid w:val="00591AAC"/>
    <w:rsid w:val="00595F08"/>
    <w:rsid w:val="00595FBE"/>
    <w:rsid w:val="005A1C55"/>
    <w:rsid w:val="005A4636"/>
    <w:rsid w:val="005A5EF1"/>
    <w:rsid w:val="005B169D"/>
    <w:rsid w:val="005B419E"/>
    <w:rsid w:val="005B467C"/>
    <w:rsid w:val="005B4A69"/>
    <w:rsid w:val="005B4ACA"/>
    <w:rsid w:val="005B6B12"/>
    <w:rsid w:val="005C19E9"/>
    <w:rsid w:val="005C2DBC"/>
    <w:rsid w:val="005C5F13"/>
    <w:rsid w:val="005C65F9"/>
    <w:rsid w:val="005C6B0E"/>
    <w:rsid w:val="005C7E1F"/>
    <w:rsid w:val="005D0EE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294"/>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1776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607C"/>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2769"/>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1BA"/>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1527"/>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243"/>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E6DAC"/>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DDD"/>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16C11"/>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32F2"/>
    <w:rsid w:val="00E74A40"/>
    <w:rsid w:val="00E76AF9"/>
    <w:rsid w:val="00E84EF0"/>
    <w:rsid w:val="00E8577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26555"/>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7E7997"/>
    <w:pPr>
      <w:tabs>
        <w:tab w:val="center" w:pos="4536"/>
        <w:tab w:val="right" w:pos="9072"/>
      </w:tabs>
    </w:pPr>
  </w:style>
  <w:style w:type="character" w:customStyle="1" w:styleId="KopfzeileZchn">
    <w:name w:val="Kopfzeile Zchn"/>
    <w:basedOn w:val="Absatz-Standardschriftart"/>
    <w:link w:val="Kopfzeile"/>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FA64BE"/>
    <w:rPr>
      <w:b w:val="0"/>
      <w:bCs/>
      <w:caps/>
      <w:smallCaps w:val="0"/>
      <w:color w:val="70AD47" w:themeColor="accent6"/>
      <w:sz w:val="22"/>
    </w:rPr>
  </w:style>
  <w:style w:type="paragraph" w:customStyle="1" w:styleId="Paragraph">
    <w:name w:val="Paragraph"/>
    <w:basedOn w:val="Listenabsatz"/>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Absatz-Standardschriftar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8EB5AA-6A2A-49CF-91F2-5942051F0ABF}">
  <we:reference id="e1f40240-f478-4862-8db1-bc98921eb38c" version="1.0.0.2" store="EXCatalog" storeType="EXCatalog"/>
  <we:alternateReferences>
    <we:reference id="WA200008128" version="1.0.0.2"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Props1.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12</Pages>
  <Words>2469</Words>
  <Characters>15555</Characters>
  <Application>Microsoft Office Word</Application>
  <DocSecurity>8</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17989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Kuhn, Dr. Norbert</cp:lastModifiedBy>
  <cp:revision>3</cp:revision>
  <cp:lastPrinted>2017-07-24T14:47:00Z</cp:lastPrinted>
  <dcterms:created xsi:type="dcterms:W3CDTF">2025-09-19T11:54:00Z</dcterms:created>
  <dcterms:modified xsi:type="dcterms:W3CDTF">2025-09-19T11:55:00Z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