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13D1824C" w:rsidR="00C85C8B" w:rsidRPr="00B16706" w:rsidRDefault="003C4C21" w:rsidP="00C85C8B">
                <w:pPr>
                  <w:rPr>
                    <w:rFonts w:ascii="Arial" w:hAnsi="Arial" w:cs="Arial"/>
                    <w:color w:val="808080"/>
                    <w:sz w:val="16"/>
                    <w:szCs w:val="20"/>
                    <w:lang w:eastAsia="de-DE"/>
                  </w:rPr>
                </w:pPr>
                <w:proofErr w:type="spellStart"/>
                <w:r>
                  <w:rPr>
                    <w:rFonts w:ascii="Arial" w:hAnsi="Arial" w:cs="Arial"/>
                    <w:color w:val="808080"/>
                    <w:sz w:val="16"/>
                    <w:szCs w:val="20"/>
                    <w:lang w:eastAsia="de-DE"/>
                  </w:rPr>
                  <w:t>Eurogas</w:t>
                </w:r>
                <w:proofErr w:type="spellEnd"/>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485D4ACD"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3C4C21">
                  <w:rPr>
                    <w:rFonts w:ascii="Arial" w:hAnsi="Arial" w:cs="Arial"/>
                    <w:sz w:val="16"/>
                    <w:szCs w:val="20"/>
                    <w:lang w:eastAsia="de-DE"/>
                  </w:rPr>
                  <w:t>Non-financial counterparty</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Content>
            <w:tc>
              <w:tcPr>
                <w:tcW w:w="5595" w:type="dxa"/>
              </w:tcPr>
              <w:p w14:paraId="6C4423E1" w14:textId="00F0B487" w:rsidR="00C85C8B" w:rsidRPr="00B16706" w:rsidRDefault="003C4C21"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469A1091" w:rsidR="00C85C8B" w:rsidRPr="00B16706" w:rsidRDefault="003C4C21" w:rsidP="00C85C8B">
                <w:pPr>
                  <w:rPr>
                    <w:rFonts w:ascii="Arial" w:hAnsi="Arial" w:cs="Arial"/>
                    <w:sz w:val="16"/>
                    <w:szCs w:val="20"/>
                    <w:lang w:eastAsia="de-DE"/>
                  </w:rPr>
                </w:pPr>
                <w:r>
                  <w:rPr>
                    <w:rFonts w:ascii="Arial" w:hAnsi="Arial" w:cs="Arial"/>
                    <w:sz w:val="16"/>
                    <w:szCs w:val="20"/>
                    <w:lang w:eastAsia="de-DE"/>
                  </w:rPr>
                  <w:t>Belgium</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01FB1377" w14:textId="77777777" w:rsidR="003C4C21" w:rsidRPr="003C4C21" w:rsidRDefault="003C4C21" w:rsidP="003C4C21">
      <w:pPr>
        <w:rPr>
          <w:lang w:val="en-BE"/>
        </w:rPr>
      </w:pPr>
      <w:permStart w:id="785210304" w:edGrp="everyone"/>
      <w:r w:rsidRPr="003C4C21">
        <w:t xml:space="preserve">In this context, </w:t>
      </w:r>
      <w:proofErr w:type="spellStart"/>
      <w:r w:rsidRPr="003C4C21">
        <w:t>Eurogas</w:t>
      </w:r>
      <w:proofErr w:type="spellEnd"/>
      <w:r w:rsidRPr="003C4C21">
        <w:t xml:space="preserve"> highlight the following main cost drivers from NFC perspective:</w:t>
      </w:r>
      <w:r w:rsidRPr="003C4C21">
        <w:rPr>
          <w:lang w:val="en-BE"/>
        </w:rPr>
        <w:t> </w:t>
      </w:r>
    </w:p>
    <w:p w14:paraId="18266991" w14:textId="77777777" w:rsidR="003C4C21" w:rsidRPr="003C4C21" w:rsidRDefault="003C4C21" w:rsidP="003C4C21">
      <w:pPr>
        <w:numPr>
          <w:ilvl w:val="0"/>
          <w:numId w:val="37"/>
        </w:numPr>
        <w:rPr>
          <w:lang w:val="en-BE"/>
        </w:rPr>
      </w:pPr>
      <w:r w:rsidRPr="003C4C21">
        <w:t>Dual-sided reporting obligation under EMIR and SFTR.</w:t>
      </w:r>
      <w:r w:rsidRPr="003C4C21">
        <w:rPr>
          <w:lang w:val="en-BE"/>
        </w:rPr>
        <w:t> </w:t>
      </w:r>
    </w:p>
    <w:p w14:paraId="14AC8F09" w14:textId="77777777" w:rsidR="003C4C21" w:rsidRPr="003C4C21" w:rsidRDefault="003C4C21" w:rsidP="003C4C21">
      <w:pPr>
        <w:numPr>
          <w:ilvl w:val="0"/>
          <w:numId w:val="38"/>
        </w:numPr>
        <w:rPr>
          <w:lang w:val="en-BE"/>
        </w:rPr>
      </w:pPr>
      <w:r w:rsidRPr="003C4C21">
        <w:t>Frequent regulatory changes and lack of flexibility to enable a phased implementation, synchronisation and coordination of the changes in the different reporting regimes. In this context, stakeholders must invest substantial time and resources to adapt to frequently revised requirements. A more structural, coordinated approach could reduce these costs. Any future revisions should be well-considered, as definitive as possible, and allow sufficient time for all parties to adjust systems and processes.</w:t>
      </w:r>
      <w:r w:rsidRPr="003C4C21">
        <w:rPr>
          <w:lang w:val="en-BE"/>
        </w:rPr>
        <w:t> </w:t>
      </w:r>
    </w:p>
    <w:p w14:paraId="118F100F" w14:textId="3BB613DC" w:rsidR="00926BDA" w:rsidRPr="003C4C21" w:rsidRDefault="003C4C21" w:rsidP="00926BDA">
      <w:pPr>
        <w:numPr>
          <w:ilvl w:val="0"/>
          <w:numId w:val="39"/>
        </w:numPr>
        <w:rPr>
          <w:lang w:val="en-BE"/>
        </w:rPr>
      </w:pPr>
      <w:r w:rsidRPr="003C4C21">
        <w:t>Intragroup derivative reporting.</w:t>
      </w:r>
      <w:r w:rsidRPr="003C4C21">
        <w:rPr>
          <w:lang w:val="en-BE"/>
        </w:rPr>
        <w:t> </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t>&lt;ESMA_QUESTION_CASR_2&gt;</w:t>
      </w:r>
    </w:p>
    <w:p w14:paraId="1B5E1A7E" w14:textId="7ED06029" w:rsidR="00926BDA" w:rsidRDefault="003C4C21" w:rsidP="00926BDA">
      <w:permStart w:id="545925079" w:edGrp="everyone"/>
      <w:r w:rsidRPr="003C4C21">
        <w:t xml:space="preserve">In general, </w:t>
      </w:r>
      <w:proofErr w:type="spellStart"/>
      <w:r w:rsidRPr="003C4C21">
        <w:t>Eurogas</w:t>
      </w:r>
      <w:proofErr w:type="spellEnd"/>
      <w:r w:rsidRPr="003C4C21">
        <w:t xml:space="preserve"> agrees with the proposed principles and related descriptions. However, </w:t>
      </w:r>
      <w:proofErr w:type="spellStart"/>
      <w:r w:rsidRPr="003C4C21">
        <w:t>Eurogas</w:t>
      </w:r>
      <w:proofErr w:type="spellEnd"/>
      <w:r w:rsidRPr="003C4C21">
        <w:t xml:space="preserve"> underlines that "Preserve Information Scope" is not a key principle applicable to all suggested options. </w:t>
      </w:r>
      <w:proofErr w:type="spellStart"/>
      <w:r w:rsidRPr="003C4C21">
        <w:t>Eurogas</w:t>
      </w:r>
      <w:proofErr w:type="spellEnd"/>
      <w:r w:rsidRPr="003C4C21">
        <w:t xml:space="preserve"> proposes instead to restrict the information needed by authorities to financial counterparties. Indeed, information related to non-financial counterparties is not a priority to perform supervisory tasks, like monitoring systemic risks to financial stability or detecting and identifying market abuse cases. Moreover, the most critical aspect to be considered is balancing costs and benefits.</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10B78F54" w14:textId="70DFE9E7" w:rsidR="00926BDA" w:rsidRDefault="003C4C21" w:rsidP="00926BDA">
      <w:permStart w:id="666895774" w:edGrp="everyone"/>
      <w:r w:rsidRPr="003C4C21">
        <w:t>Option 1a presents some key advantages as it cuts reporting burden fast by including the revision of dual-sided reporting and the removal of ETD (Transactions) from EMIR. In addition, the overall implementation costs are small. </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lastRenderedPageBreak/>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C5A1F1B" w14:textId="77777777" w:rsidR="003C4C21" w:rsidRPr="003C4C21" w:rsidRDefault="003C4C21" w:rsidP="003C4C21">
      <w:pPr>
        <w:rPr>
          <w:lang w:val="en-BE"/>
        </w:rPr>
      </w:pPr>
      <w:permStart w:id="1901729855" w:edGrp="everyone"/>
      <w:r w:rsidRPr="003C4C21">
        <w:t xml:space="preserve">Key limitations depend on the specific delineation and determination of reporting scope – e.g., non-financial counterparties trading on a third country venue while involving third country central counterparties and/or third country direct clearing members. An important aspect to consider is that non-financial counterparties currently not in scope of </w:t>
      </w:r>
      <w:proofErr w:type="spellStart"/>
      <w:r w:rsidRPr="003C4C21">
        <w:t>MiFIR</w:t>
      </w:r>
      <w:proofErr w:type="spellEnd"/>
      <w:r w:rsidRPr="003C4C21">
        <w:t xml:space="preserve"> may need to establish a </w:t>
      </w:r>
      <w:proofErr w:type="spellStart"/>
      <w:r w:rsidRPr="003C4C21">
        <w:t>MiFIR</w:t>
      </w:r>
      <w:proofErr w:type="spellEnd"/>
      <w:r w:rsidRPr="003C4C21">
        <w:t xml:space="preserve"> solution not yet required. For example, the obligation to report transactions under Article 26 of </w:t>
      </w:r>
      <w:proofErr w:type="spellStart"/>
      <w:r w:rsidRPr="003C4C21">
        <w:t>MiFIR</w:t>
      </w:r>
      <w:proofErr w:type="spellEnd"/>
      <w:r w:rsidRPr="003C4C21">
        <w:t xml:space="preserve"> applies to financial counterparties and not to non-financial counterparties. Thus, extending the </w:t>
      </w:r>
      <w:proofErr w:type="spellStart"/>
      <w:r w:rsidRPr="003C4C21">
        <w:t>MiFIR</w:t>
      </w:r>
      <w:proofErr w:type="spellEnd"/>
      <w:r w:rsidRPr="003C4C21">
        <w:t xml:space="preserve"> scope to non-financial counterparties would be a fundamental change in scope, making such an extension highly problematic.</w:t>
      </w:r>
      <w:r w:rsidRPr="003C4C21">
        <w:rPr>
          <w:lang w:val="en-BE"/>
        </w:rPr>
        <w:t> </w:t>
      </w:r>
    </w:p>
    <w:p w14:paraId="271C2CA6" w14:textId="03C0A0A1" w:rsidR="00926BDA" w:rsidRPr="003C4C21" w:rsidRDefault="003C4C21" w:rsidP="00926BDA">
      <w:pPr>
        <w:rPr>
          <w:lang w:val="en-BE"/>
        </w:rPr>
      </w:pPr>
      <w:r w:rsidRPr="003C4C21">
        <w:t>In addition, the limited changes do not lead to big long-term savings as changes are limited, and the various reporting regimes remain.</w:t>
      </w:r>
      <w:r w:rsidRPr="003C4C21">
        <w:rPr>
          <w:lang w:val="en-BE"/>
        </w:rPr>
        <w:t> </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50815A66" w14:textId="77777777" w:rsidR="003C4C21" w:rsidRPr="003C4C21" w:rsidRDefault="003C4C21" w:rsidP="003C4C21">
      <w:pPr>
        <w:rPr>
          <w:lang w:val="en-BE"/>
        </w:rPr>
      </w:pPr>
      <w:permStart w:id="1034637762" w:edGrp="everyone"/>
      <w:r w:rsidRPr="003C4C21">
        <w:t>Some components are missing or not adequately addressed in option 1a.</w:t>
      </w:r>
      <w:r w:rsidRPr="003C4C21">
        <w:rPr>
          <w:lang w:val="en-BE"/>
        </w:rPr>
        <w:t> </w:t>
      </w:r>
    </w:p>
    <w:p w14:paraId="0D75D259" w14:textId="77777777" w:rsidR="003C4C21" w:rsidRPr="003C4C21" w:rsidRDefault="003C4C21" w:rsidP="003C4C21">
      <w:pPr>
        <w:rPr>
          <w:lang w:val="en-BE"/>
        </w:rPr>
      </w:pPr>
      <w:proofErr w:type="spellStart"/>
      <w:r w:rsidRPr="003C4C21">
        <w:t>i</w:t>
      </w:r>
      <w:proofErr w:type="spellEnd"/>
      <w:r w:rsidRPr="003C4C21">
        <w:t xml:space="preserve">. The exact delineation and determination of reporting scope is missing. For example, non-financial counterparties trading on a third country venue while involving third-country central counterparties and/or third-country direct clearing members. Thus, </w:t>
      </w:r>
      <w:proofErr w:type="spellStart"/>
      <w:r w:rsidRPr="003C4C21">
        <w:t>Eurogas</w:t>
      </w:r>
      <w:proofErr w:type="spellEnd"/>
      <w:r w:rsidRPr="003C4C21">
        <w:t xml:space="preserve"> consider extending the </w:t>
      </w:r>
      <w:proofErr w:type="spellStart"/>
      <w:r w:rsidRPr="003C4C21">
        <w:t>MiFIR</w:t>
      </w:r>
      <w:proofErr w:type="spellEnd"/>
      <w:r w:rsidRPr="003C4C21">
        <w:t xml:space="preserve"> scope to non-financial counterparties as detrimental.</w:t>
      </w:r>
      <w:r w:rsidRPr="003C4C21">
        <w:rPr>
          <w:lang w:val="en-BE"/>
        </w:rPr>
        <w:t> </w:t>
      </w:r>
    </w:p>
    <w:p w14:paraId="7C136B42" w14:textId="77777777" w:rsidR="003C4C21" w:rsidRPr="003C4C21" w:rsidRDefault="003C4C21" w:rsidP="003C4C21">
      <w:pPr>
        <w:rPr>
          <w:lang w:val="en-BE"/>
        </w:rPr>
      </w:pPr>
      <w:r w:rsidRPr="003C4C21">
        <w:t>ii. The determination of Entity Responsible for Reporting is missing. For example, mandatory delegated reporting under EMIR Article 9 refers to OTC derivative contracts. Some derivative contracts traded on a third-country venue are classified as OTC derivative contract, while other derivative contracts traded on a third-country venue are not classified as OTC derivative contract.</w:t>
      </w:r>
      <w:r w:rsidRPr="003C4C21">
        <w:rPr>
          <w:lang w:val="en-BE"/>
        </w:rPr>
        <w:t> </w:t>
      </w:r>
    </w:p>
    <w:p w14:paraId="1006B565" w14:textId="77777777" w:rsidR="003C4C21" w:rsidRPr="003C4C21" w:rsidRDefault="003C4C21" w:rsidP="003C4C21">
      <w:pPr>
        <w:rPr>
          <w:lang w:val="en-BE"/>
        </w:rPr>
      </w:pPr>
      <w:r w:rsidRPr="003C4C21">
        <w:t>iii. The reporting technical standards are missing – e.g., ISO 20022 XML schema, csv/ comma separated values, JSON/ JavaScript Object Notation, making necessary adjustments to IT systems to produce, process, validate and submit the data unclear.</w:t>
      </w:r>
      <w:r w:rsidRPr="003C4C21">
        <w:rPr>
          <w:lang w:val="en-BE"/>
        </w:rPr>
        <w:t> </w:t>
      </w:r>
    </w:p>
    <w:p w14:paraId="1F27D03C" w14:textId="497EAE7B" w:rsidR="00926BDA" w:rsidRPr="003C4C21" w:rsidRDefault="003C4C21" w:rsidP="00926BDA">
      <w:pPr>
        <w:rPr>
          <w:lang w:val="en-BE"/>
        </w:rPr>
      </w:pPr>
      <w:r w:rsidRPr="003C4C21">
        <w:t>iv. The recipient of the data reported needs to be confirmed- e.g., trade repository, national competent authority, approved reporting mechanism, to ensure clarity concerning the necessary adjustments to IT systems to produce, process, validate and submit the data.</w:t>
      </w:r>
      <w:r w:rsidRPr="003C4C21">
        <w:rPr>
          <w:lang w:val="en-BE"/>
        </w:rPr>
        <w:t> </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1FA6E054" w14:textId="284088AD" w:rsidR="00926BDA" w:rsidRDefault="003C4C21" w:rsidP="00926BDA">
      <w:permStart w:id="276758894" w:edGrp="everyone"/>
      <w:proofErr w:type="gramStart"/>
      <w:r w:rsidRPr="003C4C21">
        <w:lastRenderedPageBreak/>
        <w:t>The vast majority of</w:t>
      </w:r>
      <w:proofErr w:type="gramEnd"/>
      <w:r w:rsidRPr="003C4C21">
        <w:t xml:space="preserve"> companies within the energy industry are non-financial counterparties (NFCs). From an NFC perspective, option 1b has no advantages, as it would require NFCs to implement a full EMIR/</w:t>
      </w:r>
      <w:proofErr w:type="spellStart"/>
      <w:r w:rsidRPr="003C4C21">
        <w:t>MiFIR</w:t>
      </w:r>
      <w:proofErr w:type="spellEnd"/>
      <w:r w:rsidRPr="003C4C21">
        <w:t>/SFTR solution. It is important to note that different IT systems are not all able to produce, process, validate and submit the data under EMIR/</w:t>
      </w:r>
      <w:proofErr w:type="spellStart"/>
      <w:r w:rsidRPr="003C4C21">
        <w:t>MiFIR</w:t>
      </w:r>
      <w:proofErr w:type="spellEnd"/>
      <w:r w:rsidRPr="003C4C21">
        <w:t>/SFTR, therefore not reducing any burden.</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1CFEB751" w14:textId="0BD62ED0" w:rsidR="00926BDA" w:rsidRDefault="003C4C21" w:rsidP="00926BDA">
      <w:permStart w:id="1327239170" w:edGrp="everyone"/>
      <w:r w:rsidRPr="003C4C21">
        <w:t>For NFC which have not implemented a full EMIR/</w:t>
      </w:r>
      <w:proofErr w:type="spellStart"/>
      <w:r w:rsidRPr="003C4C21">
        <w:t>MiFIR</w:t>
      </w:r>
      <w:proofErr w:type="spellEnd"/>
      <w:r w:rsidRPr="003C4C21">
        <w:t>/SFTR solution, this option would not be leading to any simplification nor burden reduction. Option 1b is not designed to reduce the burden for NFCs as they would have to comply with financial regulatory reporting. </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2B895E9" w14:textId="77777777" w:rsidR="003C4C21" w:rsidRPr="003C4C21" w:rsidRDefault="003C4C21" w:rsidP="003C4C21">
      <w:pPr>
        <w:rPr>
          <w:lang w:val="en-BE"/>
        </w:rPr>
      </w:pPr>
      <w:permStart w:id="275065348" w:edGrp="everyone"/>
      <w:r w:rsidRPr="003C4C21">
        <w:t>As for Q5, some components are missing or not adequately addressed in option 1b.</w:t>
      </w:r>
      <w:r w:rsidRPr="003C4C21">
        <w:rPr>
          <w:lang w:val="en-BE"/>
        </w:rPr>
        <w:t> </w:t>
      </w:r>
    </w:p>
    <w:p w14:paraId="4E5BC437" w14:textId="77777777" w:rsidR="003C4C21" w:rsidRPr="003C4C21" w:rsidRDefault="003C4C21" w:rsidP="003C4C21">
      <w:pPr>
        <w:rPr>
          <w:lang w:val="en-BE"/>
        </w:rPr>
      </w:pPr>
      <w:proofErr w:type="spellStart"/>
      <w:r w:rsidRPr="003C4C21">
        <w:t>i</w:t>
      </w:r>
      <w:proofErr w:type="spellEnd"/>
      <w:r w:rsidRPr="003C4C21">
        <w:t xml:space="preserve">. The exact delineation and determination of reporting scope is missing. For example, non-financial counterparties trading on a third country venue while involving third-country central counterparties and/or third-country direct clearing members. Thus, </w:t>
      </w:r>
      <w:proofErr w:type="spellStart"/>
      <w:r w:rsidRPr="003C4C21">
        <w:t>Eurogas</w:t>
      </w:r>
      <w:proofErr w:type="spellEnd"/>
      <w:r w:rsidRPr="003C4C21">
        <w:t xml:space="preserve"> considers extending the </w:t>
      </w:r>
      <w:proofErr w:type="spellStart"/>
      <w:r w:rsidRPr="003C4C21">
        <w:t>MiFIR</w:t>
      </w:r>
      <w:proofErr w:type="spellEnd"/>
      <w:r w:rsidRPr="003C4C21">
        <w:t xml:space="preserve"> scope to non-financial counterparties as detrimental.</w:t>
      </w:r>
      <w:r w:rsidRPr="003C4C21">
        <w:rPr>
          <w:lang w:val="en-BE"/>
        </w:rPr>
        <w:t> </w:t>
      </w:r>
    </w:p>
    <w:p w14:paraId="31835124" w14:textId="77777777" w:rsidR="003C4C21" w:rsidRPr="003C4C21" w:rsidRDefault="003C4C21" w:rsidP="003C4C21">
      <w:pPr>
        <w:rPr>
          <w:lang w:val="en-BE"/>
        </w:rPr>
      </w:pPr>
      <w:r w:rsidRPr="003C4C21">
        <w:t>ii. The determination of Entity Responsible for Reporting is missing. For example, mandatory delegated reporting under EMIR Article 9 refers to OTC derivative contracts. Some derivative contracts traded on a third-country venue are classified as OTC derivative contract, while other derivative contracts traded on a third-country venue are not classified as OTC derivative contract.</w:t>
      </w:r>
      <w:r w:rsidRPr="003C4C21">
        <w:rPr>
          <w:lang w:val="en-BE"/>
        </w:rPr>
        <w:t> </w:t>
      </w:r>
    </w:p>
    <w:p w14:paraId="15CC9FC8" w14:textId="77777777" w:rsidR="003C4C21" w:rsidRPr="003C4C21" w:rsidRDefault="003C4C21" w:rsidP="003C4C21">
      <w:pPr>
        <w:rPr>
          <w:lang w:val="en-BE"/>
        </w:rPr>
      </w:pPr>
      <w:r w:rsidRPr="003C4C21">
        <w:t>iii. The reporting technical standards are missing – e.g., ISO 20022 XML schema, csv/ comma separated values, JSON/ JavaScript Object Notation, making necessary adjustments to IT systems to produce, process, validate and submit the data unclear.</w:t>
      </w:r>
      <w:r w:rsidRPr="003C4C21">
        <w:rPr>
          <w:lang w:val="en-BE"/>
        </w:rPr>
        <w:t> </w:t>
      </w:r>
    </w:p>
    <w:p w14:paraId="156B7223" w14:textId="592E9B53" w:rsidR="00926BDA" w:rsidRPr="003C4C21" w:rsidRDefault="003C4C21" w:rsidP="00926BDA">
      <w:pPr>
        <w:rPr>
          <w:lang w:val="en-BE"/>
        </w:rPr>
      </w:pPr>
      <w:r w:rsidRPr="003C4C21">
        <w:t>iv. The recipient of the data reported needs to be confirmed- e.g., trade repository, national competent authority, approved reporting mechanism, to ensure clarity concerning the necessary adjustments to IT systems to produce, process, validate and submit the data.</w:t>
      </w:r>
      <w:r w:rsidRPr="003C4C21">
        <w:rPr>
          <w:lang w:val="en-BE"/>
        </w:rPr>
        <w:t> </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5A8801BA" w14:textId="593D6D35" w:rsidR="00926BDA" w:rsidRDefault="003C4C21" w:rsidP="00926BDA">
      <w:permStart w:id="1249454344" w:edGrp="everyone"/>
      <w:r w:rsidRPr="003C4C21">
        <w:t xml:space="preserve">This option could have the potential to strongly reduce burdens, through the standardisation of the currently different financial market regulation reporting channels, formats, terminology and definitions. In addition, the removal of duplicative reporting of the same derivative instruments under </w:t>
      </w:r>
      <w:proofErr w:type="spellStart"/>
      <w:r w:rsidRPr="003C4C21">
        <w:t>MiFIR</w:t>
      </w:r>
      <w:proofErr w:type="spellEnd"/>
      <w:r w:rsidRPr="003C4C21">
        <w:t xml:space="preserve"> and EMIR leads to cost savings.  </w:t>
      </w:r>
    </w:p>
    <w:permEnd w:id="1249454344"/>
    <w:p w14:paraId="2EB71523" w14:textId="77777777" w:rsidR="00926BDA" w:rsidRDefault="00926BDA" w:rsidP="00926BDA">
      <w:r>
        <w:lastRenderedPageBreak/>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13FC5FAB" w14:textId="77777777" w:rsidR="003C4C21" w:rsidRPr="003C4C21" w:rsidRDefault="003C4C21" w:rsidP="003C4C21">
      <w:pPr>
        <w:rPr>
          <w:lang w:val="en-BE"/>
        </w:rPr>
      </w:pPr>
      <w:permStart w:id="199837036" w:edGrp="everyone"/>
      <w:r w:rsidRPr="003C4C21">
        <w:t>Key limitations and potential risks of option 2a include significant changes to the current approach requiring substantial one-off implementation costs due to changes to systems and processes demanding significant time and resources. Phased implementation starting with option 1a and then option 2a could potentially mitigate these limitations.</w:t>
      </w:r>
      <w:r w:rsidRPr="003C4C21">
        <w:rPr>
          <w:lang w:val="en-BE"/>
        </w:rPr>
        <w:t> </w:t>
      </w:r>
    </w:p>
    <w:p w14:paraId="56C38C26" w14:textId="03DC1347" w:rsidR="00926BDA" w:rsidRPr="003C4C21" w:rsidRDefault="003C4C21" w:rsidP="00926BDA">
      <w:pPr>
        <w:rPr>
          <w:lang w:val="en-BE"/>
        </w:rPr>
      </w:pPr>
      <w:r w:rsidRPr="003C4C21">
        <w:t xml:space="preserve">In addition, the question remains how possible data gaps are filled when non-financials deal with non-financials, and hence no FC or CCP, is involved who perform the one-sided reporting. </w:t>
      </w:r>
      <w:proofErr w:type="spellStart"/>
      <w:r w:rsidRPr="003C4C21">
        <w:t>Eurogas</w:t>
      </w:r>
      <w:proofErr w:type="spellEnd"/>
      <w:r w:rsidRPr="003C4C21">
        <w:t xml:space="preserve"> suggests revoking the reporting of any derivatives under </w:t>
      </w:r>
      <w:proofErr w:type="spellStart"/>
      <w:r w:rsidRPr="003C4C21">
        <w:t>MiFIR</w:t>
      </w:r>
      <w:proofErr w:type="spellEnd"/>
      <w:r w:rsidRPr="003C4C21">
        <w:t>, as this could be subsumed into single-sided EMIR Article 9 reporting by simply adding certain data elements.</w:t>
      </w:r>
      <w:r w:rsidRPr="003C4C21">
        <w:rPr>
          <w:lang w:val="en-BE"/>
        </w:rPr>
        <w:t> </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66E31431" w14:textId="77777777" w:rsidR="003C4C21" w:rsidRPr="003C4C21" w:rsidRDefault="003C4C21" w:rsidP="003C4C21">
      <w:pPr>
        <w:rPr>
          <w:lang w:val="en-BE"/>
        </w:rPr>
      </w:pPr>
      <w:permStart w:id="2123508368" w:edGrp="everyone"/>
      <w:r w:rsidRPr="003C4C21">
        <w:t>As for Q5 and Q8, some components are missing or not adequately addressed in option 2a.</w:t>
      </w:r>
      <w:r w:rsidRPr="003C4C21">
        <w:rPr>
          <w:lang w:val="en-BE"/>
        </w:rPr>
        <w:t> </w:t>
      </w:r>
    </w:p>
    <w:p w14:paraId="308A769D" w14:textId="77777777" w:rsidR="003C4C21" w:rsidRPr="003C4C21" w:rsidRDefault="003C4C21" w:rsidP="003C4C21">
      <w:pPr>
        <w:rPr>
          <w:lang w:val="en-BE"/>
        </w:rPr>
      </w:pPr>
      <w:proofErr w:type="spellStart"/>
      <w:r w:rsidRPr="003C4C21">
        <w:t>i</w:t>
      </w:r>
      <w:proofErr w:type="spellEnd"/>
      <w:r w:rsidRPr="003C4C21">
        <w:t xml:space="preserve">. The exact delineation and determination of reporting scope is missing. For example, non-financial counterparties trading on a third country venue while involving third-country central counterparties and/or third-country direct clearing members. Thus, </w:t>
      </w:r>
      <w:proofErr w:type="spellStart"/>
      <w:r w:rsidRPr="003C4C21">
        <w:t>Eurogas</w:t>
      </w:r>
      <w:proofErr w:type="spellEnd"/>
      <w:r w:rsidRPr="003C4C21">
        <w:t xml:space="preserve"> considers extending the </w:t>
      </w:r>
      <w:proofErr w:type="spellStart"/>
      <w:r w:rsidRPr="003C4C21">
        <w:t>MiFIR</w:t>
      </w:r>
      <w:proofErr w:type="spellEnd"/>
      <w:r w:rsidRPr="003C4C21">
        <w:t xml:space="preserve"> scope to non-financial counterparties as detrimental.</w:t>
      </w:r>
      <w:r w:rsidRPr="003C4C21">
        <w:rPr>
          <w:lang w:val="en-BE"/>
        </w:rPr>
        <w:t> </w:t>
      </w:r>
    </w:p>
    <w:p w14:paraId="4AF54492" w14:textId="77777777" w:rsidR="003C4C21" w:rsidRPr="003C4C21" w:rsidRDefault="003C4C21" w:rsidP="003C4C21">
      <w:pPr>
        <w:rPr>
          <w:lang w:val="en-BE"/>
        </w:rPr>
      </w:pPr>
      <w:r w:rsidRPr="003C4C21">
        <w:t>ii. The determination of Entity Responsible for Reporting is missing. For example, mandatory delegated reporting under EMIR Article 9 refers to OTC derivative contracts. Some derivative contracts traded on a third-country venue are classified as OTC derivative contract, while other derivative contracts traded on a third-country venue are not classified as OTC derivative contract.</w:t>
      </w:r>
      <w:r w:rsidRPr="003C4C21">
        <w:rPr>
          <w:lang w:val="en-BE"/>
        </w:rPr>
        <w:t> </w:t>
      </w:r>
    </w:p>
    <w:p w14:paraId="3E545F38" w14:textId="77777777" w:rsidR="003C4C21" w:rsidRPr="003C4C21" w:rsidRDefault="003C4C21" w:rsidP="003C4C21">
      <w:pPr>
        <w:rPr>
          <w:lang w:val="en-BE"/>
        </w:rPr>
      </w:pPr>
      <w:r w:rsidRPr="003C4C21">
        <w:t>iii. The reporting technical standards are missing – e.g., ISO 20022 XML schema, csv/ comma separated values, JSON/ JavaScript Object Notation, making necessary adjustments to IT systems to produce, process, validate and submit the data unclear.</w:t>
      </w:r>
      <w:r w:rsidRPr="003C4C21">
        <w:rPr>
          <w:lang w:val="en-BE"/>
        </w:rPr>
        <w:t> </w:t>
      </w:r>
    </w:p>
    <w:p w14:paraId="04BEB89B" w14:textId="27341F69" w:rsidR="00926BDA" w:rsidRPr="003C4C21" w:rsidRDefault="003C4C21" w:rsidP="00926BDA">
      <w:pPr>
        <w:rPr>
          <w:lang w:val="en-BE"/>
        </w:rPr>
      </w:pPr>
      <w:r w:rsidRPr="003C4C21">
        <w:t>iv. The recipient of the data reported needs to be confirmed- e.g., trade repository, national competent authority, approved reporting mechanism, to ensure clarity concerning the necessary adjustments to IT systems to produce, process, validate and submit the data.</w:t>
      </w:r>
      <w:r w:rsidRPr="003C4C21">
        <w:rPr>
          <w:lang w:val="en-BE"/>
        </w:rPr>
        <w:t> </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766D4117" w14:textId="77777777" w:rsidR="00926BDA" w:rsidRDefault="00926BDA" w:rsidP="00926BDA">
      <w:permStart w:id="16780711" w:edGrp="everyone"/>
      <w:r>
        <w:t>TYPE YOUR TEXT HERE</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5D5E1360" w14:textId="77777777" w:rsidR="003C4C21" w:rsidRPr="003C4C21" w:rsidRDefault="003C4C21" w:rsidP="003C4C21">
      <w:pPr>
        <w:rPr>
          <w:lang w:val="en-BE"/>
        </w:rPr>
      </w:pPr>
      <w:permStart w:id="1489376342" w:edGrp="everyone"/>
      <w:r w:rsidRPr="003C4C21">
        <w:t>Option 2b implies high implementation costs, additionally to the loosening of sector-specific information and/or to end up with an excessively wide and confusing reporting content, due to the aggregation of information of a very broad and differentiated nature. </w:t>
      </w:r>
      <w:r w:rsidRPr="003C4C21">
        <w:rPr>
          <w:lang w:val="en-BE"/>
        </w:rPr>
        <w:t> </w:t>
      </w:r>
    </w:p>
    <w:p w14:paraId="7D1A2CA1" w14:textId="77777777" w:rsidR="003C4C21" w:rsidRPr="003C4C21" w:rsidRDefault="003C4C21" w:rsidP="003C4C21">
      <w:pPr>
        <w:rPr>
          <w:lang w:val="en-BE"/>
        </w:rPr>
      </w:pPr>
      <w:r w:rsidRPr="003C4C21">
        <w:t>For example, the reporting currently required under REMIT Regulation requires the presence of six different tables for submitting various types of wholesale energy products, covering not only gas and power commodities but also the related capacity and storage contracts. These tables and the data collected are instrumental in sector regulation and the analyses that the National Authorities and ACER must conduct. This complex structure has little overlap with financial regulation due to the nature of the information collected and the analyses required. While REMIT and MAR can be said to cover the same manipulative practices and have the same objectives, the markets to which they apply are profoundly different and must therefore be read and interpreted consistently. In this case, simplification would lead to greater complexity and increased burden for market participants. Finally, this type of harmonisation would lead to permanently higher IT costs, with important investments to be made for missing infrastructure and additional expertise.</w:t>
      </w:r>
      <w:r w:rsidRPr="003C4C21">
        <w:rPr>
          <w:lang w:val="en-BE"/>
        </w:rPr>
        <w:t> </w:t>
      </w:r>
    </w:p>
    <w:p w14:paraId="702F05C3" w14:textId="77777777" w:rsidR="003C4C21" w:rsidRPr="003C4C21" w:rsidRDefault="003C4C21" w:rsidP="003C4C21">
      <w:pPr>
        <w:rPr>
          <w:lang w:val="en-BE"/>
        </w:rPr>
      </w:pPr>
      <w:r w:rsidRPr="003C4C21">
        <w:t>It is important to note that there are market entry barriers for small- and medium-sized non-financial companies, including increased reporting requirements for industrial companies comparable to those for financial companies. Certain activities by non-financial companies can facilitate hedging, enhance efficiency and support liquidity in financial markets. Market entry barrier creation may amplify stress and deteriorate liquidity in underlying markets, therefore diminishing efficiency as well.</w:t>
      </w:r>
      <w:r w:rsidRPr="003C4C21">
        <w:rPr>
          <w:lang w:val="en-BE"/>
        </w:rPr>
        <w:t> </w:t>
      </w:r>
    </w:p>
    <w:p w14:paraId="4183663D" w14:textId="189F5934" w:rsidR="00926BDA" w:rsidRPr="003C4C21" w:rsidRDefault="003C4C21" w:rsidP="00926BDA">
      <w:pPr>
        <w:rPr>
          <w:lang w:val="en-BE"/>
        </w:rPr>
      </w:pPr>
      <w:r w:rsidRPr="003C4C21">
        <w:t xml:space="preserve">Finally, any harmonisation in reporting should not lead to a legal reclassification of instruments. A reclassification/definition of financial instruments </w:t>
      </w:r>
      <w:proofErr w:type="gramStart"/>
      <w:r w:rsidRPr="003C4C21">
        <w:t>would  represent</w:t>
      </w:r>
      <w:proofErr w:type="gramEnd"/>
      <w:r w:rsidRPr="003C4C21">
        <w:t xml:space="preserve"> an important limitation - e.g., maintain REMIT C.6 carve-out.</w:t>
      </w:r>
      <w:r w:rsidRPr="003C4C21">
        <w:rPr>
          <w:lang w:val="en-BE"/>
        </w:rPr>
        <w:t> </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34036BA7" w:rsidR="00926BDA" w:rsidRDefault="003C4C21" w:rsidP="00926BDA">
      <w:permStart w:id="1849847968" w:edGrp="everyone"/>
      <w:r w:rsidRPr="003C4C21">
        <w:t>Same as question Q5, Q8 and Q11. </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53069A83" w14:textId="778C70E0" w:rsidR="00926BDA" w:rsidRDefault="003C4C21" w:rsidP="00926BDA">
      <w:permStart w:id="695482675" w:edGrp="everyone"/>
      <w:r w:rsidRPr="003C4C21">
        <w:t xml:space="preserve">Even though option 2a has the potential of allowing more a definitive harmonization in the long term, in the light of the great complexity and significant costs linked to its implementation, we think that option 1a might be prioritised, as it would be easier to </w:t>
      </w:r>
      <w:r w:rsidRPr="003C4C21">
        <w:lastRenderedPageBreak/>
        <w:t>implement and would reduce overlapping information with an acceptable initial workload. Only after thorough further consultation and assessment, option 2a should be potentially implemented.</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7469BB7" w14:textId="77777777" w:rsidR="00926BDA" w:rsidRDefault="00926BDA" w:rsidP="00926BDA">
      <w:permStart w:id="1784418006" w:edGrp="everyone"/>
      <w:r>
        <w:t>TYPE YOUR TEXT HERE</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7546B02" w14:textId="631431F7" w:rsidR="00926BDA" w:rsidRDefault="003C4C21" w:rsidP="00926BDA">
      <w:permStart w:id="1438851636" w:edGrp="everyone"/>
      <w:r w:rsidRPr="003C4C21">
        <w:t xml:space="preserve">Yes, the reporting channels and flows should ensure consistent reporting to a trade repository (removal of national competent authority, approved reporting mechanism and regulatory reporting mechanism channels) under all options </w:t>
      </w:r>
      <w:proofErr w:type="gramStart"/>
      <w:r w:rsidRPr="003C4C21">
        <w:t>in order to</w:t>
      </w:r>
      <w:proofErr w:type="gramEnd"/>
      <w:r w:rsidRPr="003C4C21">
        <w:t xml:space="preserve"> achieve simplification and burden reduction. Otherwise, burden reduction is significantly limited, as different IT interfaces and systems must be maintained. </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786D0F41" w14:textId="77777777" w:rsidR="003C4C21" w:rsidRPr="003C4C21" w:rsidRDefault="003C4C21" w:rsidP="003C4C21">
      <w:pPr>
        <w:rPr>
          <w:lang w:val="en-BE"/>
        </w:rPr>
      </w:pPr>
      <w:permStart w:id="1962436404" w:edGrp="everyone"/>
      <w:r w:rsidRPr="003C4C21">
        <w:rPr>
          <w:lang w:val="en-US"/>
        </w:rPr>
        <w:t xml:space="preserve">There are some advantages in transferring the reporting of on-venue transactions under </w:t>
      </w:r>
      <w:proofErr w:type="spellStart"/>
      <w:r w:rsidRPr="003C4C21">
        <w:rPr>
          <w:lang w:val="en-US"/>
        </w:rPr>
        <w:t>MiFIR</w:t>
      </w:r>
      <w:proofErr w:type="spellEnd"/>
      <w:r w:rsidRPr="003C4C21">
        <w:rPr>
          <w:lang w:val="en-US"/>
        </w:rPr>
        <w:t xml:space="preserve"> and EMIR to trading venues, such as achieving simplification and burden reduction for all Market Participants.</w:t>
      </w:r>
      <w:r w:rsidRPr="003C4C21">
        <w:rPr>
          <w:lang w:val="en-BE"/>
        </w:rPr>
        <w:t> </w:t>
      </w:r>
    </w:p>
    <w:p w14:paraId="0AEF358A" w14:textId="77777777" w:rsidR="003C4C21" w:rsidRPr="003C4C21" w:rsidRDefault="003C4C21" w:rsidP="003C4C21">
      <w:pPr>
        <w:rPr>
          <w:lang w:val="en-BE"/>
        </w:rPr>
      </w:pPr>
      <w:r w:rsidRPr="003C4C21">
        <w:rPr>
          <w:lang w:val="en-US"/>
        </w:rPr>
        <w:t xml:space="preserve">At the same time, transferring the </w:t>
      </w:r>
      <w:proofErr w:type="gramStart"/>
      <w:r w:rsidRPr="003C4C21">
        <w:rPr>
          <w:lang w:val="en-US"/>
        </w:rPr>
        <w:t>reporting of</w:t>
      </w:r>
      <w:proofErr w:type="gramEnd"/>
      <w:r w:rsidRPr="003C4C21">
        <w:rPr>
          <w:lang w:val="en-US"/>
        </w:rPr>
        <w:t xml:space="preserve"> on-venue transactions under </w:t>
      </w:r>
      <w:proofErr w:type="spellStart"/>
      <w:r w:rsidRPr="003C4C21">
        <w:rPr>
          <w:lang w:val="en-US"/>
        </w:rPr>
        <w:t>MiFIR</w:t>
      </w:r>
      <w:proofErr w:type="spellEnd"/>
      <w:r w:rsidRPr="003C4C21">
        <w:rPr>
          <w:lang w:val="en-US"/>
        </w:rPr>
        <w:t xml:space="preserve"> and EMIR to trading venues also presents some disadvantages.</w:t>
      </w:r>
      <w:r w:rsidRPr="003C4C21">
        <w:rPr>
          <w:lang w:val="en-BE"/>
        </w:rPr>
        <w:t> </w:t>
      </w:r>
    </w:p>
    <w:p w14:paraId="15E5AB9A" w14:textId="77777777" w:rsidR="003C4C21" w:rsidRPr="003C4C21" w:rsidRDefault="003C4C21" w:rsidP="003C4C21">
      <w:pPr>
        <w:numPr>
          <w:ilvl w:val="0"/>
          <w:numId w:val="40"/>
        </w:numPr>
        <w:rPr>
          <w:lang w:val="en-BE"/>
        </w:rPr>
      </w:pPr>
      <w:r w:rsidRPr="003C4C21">
        <w:rPr>
          <w:lang w:val="en-US"/>
        </w:rPr>
        <w:t>When it comes to post-trade events, transferring the reporting requires trading venues having necessary data for all scenarios of post-trade events, and high-level impact analysis is not sufficient to verify this option.</w:t>
      </w:r>
      <w:r w:rsidRPr="003C4C21">
        <w:rPr>
          <w:lang w:val="en-BE"/>
        </w:rPr>
        <w:t> </w:t>
      </w:r>
    </w:p>
    <w:p w14:paraId="33B78B8E" w14:textId="4F979DFF" w:rsidR="00926BDA" w:rsidRPr="003C4C21" w:rsidRDefault="003C4C21" w:rsidP="00926BDA">
      <w:pPr>
        <w:numPr>
          <w:ilvl w:val="0"/>
          <w:numId w:val="41"/>
        </w:numPr>
        <w:rPr>
          <w:lang w:val="en-BE"/>
        </w:rPr>
      </w:pPr>
      <w:r w:rsidRPr="003C4C21">
        <w:rPr>
          <w:lang w:val="en-US"/>
        </w:rPr>
        <w:t>Transferring the reporting to third-country trading venues requires third-country trading venues being subject to EU legislation and supervision, meaning applying a mitigation for EU non-financial counterparties via waterfall approach referring to central counterparties and/or direct clearing members.</w:t>
      </w:r>
      <w:r w:rsidRPr="003C4C21">
        <w:rPr>
          <w:lang w:val="en-BE"/>
        </w:rPr>
        <w:t> </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1A3BE8DE" w14:textId="46BC09C3" w:rsidR="00926BDA" w:rsidRDefault="003C4C21" w:rsidP="00926BDA">
      <w:permStart w:id="105197077" w:edGrp="everyone"/>
      <w:r w:rsidRPr="003C4C21">
        <w:rPr>
          <w:lang w:val="en-US"/>
        </w:rPr>
        <w:t xml:space="preserve">The reporting channels and flows should ensure consistent reporting to a trade repository under all options </w:t>
      </w:r>
      <w:proofErr w:type="gramStart"/>
      <w:r w:rsidRPr="003C4C21">
        <w:rPr>
          <w:lang w:val="en-US"/>
        </w:rPr>
        <w:t>in order to</w:t>
      </w:r>
      <w:proofErr w:type="gramEnd"/>
      <w:r w:rsidRPr="003C4C21">
        <w:rPr>
          <w:lang w:val="en-US"/>
        </w:rPr>
        <w:t xml:space="preserve"> achieve simplification and burden reduction. This should happen without enhancing ESMA's role as data hub by developing a framework where entities would report consistent and </w:t>
      </w:r>
      <w:proofErr w:type="spellStart"/>
      <w:r w:rsidRPr="003C4C21">
        <w:rPr>
          <w:lang w:val="en-US"/>
        </w:rPr>
        <w:t>harmonised</w:t>
      </w:r>
      <w:proofErr w:type="spellEnd"/>
      <w:r w:rsidRPr="003C4C21">
        <w:rPr>
          <w:lang w:val="en-US"/>
        </w:rPr>
        <w:t xml:space="preserve"> data directly to ESMA. Indeed, ESMA should rather focus on supervisory activities and facilitating market discipline.</w:t>
      </w:r>
      <w:r w:rsidRPr="003C4C21">
        <w:t> </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t>&lt;ESMA_QUESTION_CASR_20&gt;</w:t>
      </w:r>
    </w:p>
    <w:p w14:paraId="18F148C1" w14:textId="77777777" w:rsidR="00926BDA" w:rsidRDefault="00926BDA" w:rsidP="00926BDA">
      <w:permStart w:id="817709938" w:edGrp="everyone"/>
      <w:r>
        <w:t>TYPE YOUR TEXT HERE</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E85F6A9" w14:textId="00F09FC9" w:rsidR="00926BDA" w:rsidRDefault="003C4C21" w:rsidP="00926BDA">
      <w:permStart w:id="993723206" w:edGrp="everyone"/>
      <w:r w:rsidRPr="003C4C21">
        <w:t>We consider other technologies - e.g., DLT and Smart Contracts, to be relevant for the simplification of the reporting process in the long-term, while it is also fundamental to achieve simplification and burden reduction in short- and mid-term. Furthermore, these other technologies should be aligned with clearing services and collateral management services, as well as confirmation matching services and therefore with the technology usually used by financial counterparties </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6E39AACB" w14:textId="3F9F0F22" w:rsidR="00926BDA" w:rsidRDefault="003C4C21" w:rsidP="00926BDA">
      <w:permStart w:id="1652326327" w:edGrp="everyone"/>
      <w:proofErr w:type="spellStart"/>
      <w:r w:rsidRPr="003C4C21">
        <w:rPr>
          <w:lang w:val="en-US"/>
        </w:rPr>
        <w:lastRenderedPageBreak/>
        <w:t>Eurogas</w:t>
      </w:r>
      <w:proofErr w:type="spellEnd"/>
      <w:r w:rsidRPr="003C4C21">
        <w:rPr>
          <w:lang w:val="en-US"/>
        </w:rPr>
        <w:t xml:space="preserve"> calls for reporting to always be single-sided and performed by one side - either a Financial Counterparty or a CCP, never by a non-financial counterparty. Currently, the cost associated with dual-sided reporting mainly stems from the reconciliation process, rather than from the submission of the data itself. This is particularly true for the reconciliation of unpaired and unmatched reports. In addition, costs increase due to discussions and alignment of data submission with the counterparty, rather than aligning upon data itself with the counterparty. Removing dual-sided reporting would bring important simplification and burden reduction, but only if this is combined with the reconciliation obligation is removed.</w:t>
      </w:r>
      <w:r w:rsidRPr="003C4C21">
        <w:t> </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162ABCEF" w14:textId="77777777" w:rsidR="00926BDA" w:rsidRDefault="00926BDA" w:rsidP="00926BDA">
      <w:permStart w:id="806124853" w:edGrp="everyone"/>
      <w:r>
        <w:t>TYPE YOUR TEXT HERE</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96D4D3C" w14:textId="77777777" w:rsidR="00926BDA" w:rsidRDefault="00926BDA" w:rsidP="00926BDA">
      <w:permStart w:id="1360161894" w:edGrp="everyone"/>
      <w:r>
        <w:t>TYPE YOUR TEXT HERE</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lastRenderedPageBreak/>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68E87AF9" w14:textId="77777777" w:rsidR="00926BDA" w:rsidRDefault="00926BDA" w:rsidP="00926BDA">
      <w:permStart w:id="443381358" w:edGrp="everyone"/>
      <w:r>
        <w:t>TYPE YOUR TEXT HERE</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B9C02" w14:textId="77777777" w:rsidR="004F11EF" w:rsidRDefault="004F11EF" w:rsidP="007E7997">
      <w:r>
        <w:separator/>
      </w:r>
    </w:p>
  </w:endnote>
  <w:endnote w:type="continuationSeparator" w:id="0">
    <w:p w14:paraId="13DF953F" w14:textId="77777777" w:rsidR="004F11EF" w:rsidRDefault="004F11EF" w:rsidP="007E7997">
      <w:r>
        <w:continuationSeparator/>
      </w:r>
    </w:p>
  </w:endnote>
  <w:endnote w:type="continuationNotice" w:id="1">
    <w:p w14:paraId="1235F085" w14:textId="77777777" w:rsidR="004F11EF" w:rsidRDefault="004F11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BB9A3" w14:textId="77777777" w:rsidR="004F11EF" w:rsidRDefault="004F11EF" w:rsidP="007E7997">
      <w:r>
        <w:separator/>
      </w:r>
    </w:p>
  </w:footnote>
  <w:footnote w:type="continuationSeparator" w:id="0">
    <w:p w14:paraId="29B5C1E2" w14:textId="77777777" w:rsidR="004F11EF" w:rsidRDefault="004F11EF" w:rsidP="007E7997">
      <w:r>
        <w:continuationSeparator/>
      </w:r>
    </w:p>
  </w:footnote>
  <w:footnote w:type="continuationNotice" w:id="1">
    <w:p w14:paraId="5412A66F" w14:textId="77777777" w:rsidR="004F11EF" w:rsidRDefault="004F11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A709E0"/>
    <w:multiLevelType w:val="multilevel"/>
    <w:tmpl w:val="316430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FC7E55"/>
    <w:multiLevelType w:val="multilevel"/>
    <w:tmpl w:val="C27E13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8993FFF"/>
    <w:multiLevelType w:val="multilevel"/>
    <w:tmpl w:val="CD4A08B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6D4D0376"/>
    <w:multiLevelType w:val="multilevel"/>
    <w:tmpl w:val="CC102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8A15F8"/>
    <w:multiLevelType w:val="multilevel"/>
    <w:tmpl w:val="F22873B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3"/>
  </w:num>
  <w:num w:numId="2" w16cid:durableId="1495532731">
    <w:abstractNumId w:val="3"/>
  </w:num>
  <w:num w:numId="3" w16cid:durableId="994409496">
    <w:abstractNumId w:val="27"/>
  </w:num>
  <w:num w:numId="4" w16cid:durableId="1880320868">
    <w:abstractNumId w:val="4"/>
  </w:num>
  <w:num w:numId="5" w16cid:durableId="290864581">
    <w:abstractNumId w:val="15"/>
  </w:num>
  <w:num w:numId="6" w16cid:durableId="952590553">
    <w:abstractNumId w:val="31"/>
  </w:num>
  <w:num w:numId="7" w16cid:durableId="1159686949">
    <w:abstractNumId w:val="14"/>
  </w:num>
  <w:num w:numId="8" w16cid:durableId="765269892">
    <w:abstractNumId w:val="6"/>
  </w:num>
  <w:num w:numId="9" w16cid:durableId="1301960395">
    <w:abstractNumId w:val="9"/>
  </w:num>
  <w:num w:numId="10" w16cid:durableId="1228616548">
    <w:abstractNumId w:val="8"/>
  </w:num>
  <w:num w:numId="11" w16cid:durableId="2051027016">
    <w:abstractNumId w:val="7"/>
  </w:num>
  <w:num w:numId="12" w16cid:durableId="83380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32"/>
  </w:num>
  <w:num w:numId="15" w16cid:durableId="986476960">
    <w:abstractNumId w:val="24"/>
  </w:num>
  <w:num w:numId="16" w16cid:durableId="398749299">
    <w:abstractNumId w:val="29"/>
  </w:num>
  <w:num w:numId="17" w16cid:durableId="14076118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5"/>
  </w:num>
  <w:num w:numId="19" w16cid:durableId="558588771">
    <w:abstractNumId w:val="31"/>
  </w:num>
  <w:num w:numId="20" w16cid:durableId="1306933315">
    <w:abstractNumId w:val="12"/>
  </w:num>
  <w:num w:numId="21" w16cid:durableId="1623876054">
    <w:abstractNumId w:val="26"/>
  </w:num>
  <w:num w:numId="22" w16cid:durableId="783383837">
    <w:abstractNumId w:val="16"/>
  </w:num>
  <w:num w:numId="23" w16cid:durableId="2112964618">
    <w:abstractNumId w:val="23"/>
  </w:num>
  <w:num w:numId="24" w16cid:durableId="1958565453">
    <w:abstractNumId w:val="0"/>
  </w:num>
  <w:num w:numId="25" w16cid:durableId="1372725395">
    <w:abstractNumId w:val="21"/>
  </w:num>
  <w:num w:numId="26" w16cid:durableId="1686445133">
    <w:abstractNumId w:val="18"/>
  </w:num>
  <w:num w:numId="27" w16cid:durableId="1247768697">
    <w:abstractNumId w:val="11"/>
  </w:num>
  <w:num w:numId="28" w16cid:durableId="954170948">
    <w:abstractNumId w:val="2"/>
  </w:num>
  <w:num w:numId="29" w16cid:durableId="837424337">
    <w:abstractNumId w:val="19"/>
  </w:num>
  <w:num w:numId="30" w16cid:durableId="299657983">
    <w:abstractNumId w:val="5"/>
  </w:num>
  <w:num w:numId="31" w16cid:durableId="699822250">
    <w:abstractNumId w:val="17"/>
  </w:num>
  <w:num w:numId="32" w16cid:durableId="730466929">
    <w:abstractNumId w:val="13"/>
    <w:lvlOverride w:ilvl="0">
      <w:startOverride w:val="1"/>
    </w:lvlOverride>
  </w:num>
  <w:num w:numId="33" w16cid:durableId="552498262">
    <w:abstractNumId w:val="22"/>
  </w:num>
  <w:num w:numId="34" w16cid:durableId="1829132647">
    <w:abstractNumId w:val="13"/>
    <w:lvlOverride w:ilvl="0">
      <w:startOverride w:val="1"/>
    </w:lvlOverride>
  </w:num>
  <w:num w:numId="35" w16cid:durableId="1915964461">
    <w:abstractNumId w:val="13"/>
    <w:lvlOverride w:ilvl="0">
      <w:startOverride w:val="1"/>
    </w:lvlOverride>
  </w:num>
  <w:num w:numId="36" w16cid:durableId="1385182617">
    <w:abstractNumId w:val="13"/>
    <w:lvlOverride w:ilvl="0">
      <w:startOverride w:val="1"/>
    </w:lvlOverride>
  </w:num>
  <w:num w:numId="37" w16cid:durableId="1091586320">
    <w:abstractNumId w:val="28"/>
  </w:num>
  <w:num w:numId="38" w16cid:durableId="214125462">
    <w:abstractNumId w:val="10"/>
  </w:num>
  <w:num w:numId="39" w16cid:durableId="1655646389">
    <w:abstractNumId w:val="1"/>
  </w:num>
  <w:num w:numId="40" w16cid:durableId="1078477496">
    <w:abstractNumId w:val="30"/>
  </w:num>
  <w:num w:numId="41" w16cid:durableId="1497453493">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45FD"/>
    <w:rsid w:val="002E685C"/>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73A4"/>
    <w:rsid w:val="003B102E"/>
    <w:rsid w:val="003B26BA"/>
    <w:rsid w:val="003B4E3D"/>
    <w:rsid w:val="003B7E44"/>
    <w:rsid w:val="003C167E"/>
    <w:rsid w:val="003C481D"/>
    <w:rsid w:val="003C4C21"/>
    <w:rsid w:val="003C4EB5"/>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11EF"/>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21B0"/>
    <w:rsid w:val="0059175F"/>
    <w:rsid w:val="00591AAC"/>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261E"/>
    <w:rsid w:val="00937B82"/>
    <w:rsid w:val="0094008E"/>
    <w:rsid w:val="00941C0C"/>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66B5"/>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2E1F"/>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customXml/itemProps2.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5.xml><?xml version="1.0" encoding="utf-8"?>
<ds:datastoreItem xmlns:ds="http://schemas.openxmlformats.org/officeDocument/2006/customXml" ds:itemID="{4FBC0C5A-5A55-4279-A037-D43AA8D9680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0</TotalTime>
  <Pages>14</Pages>
  <Words>3837</Words>
  <Characters>21875</Characters>
  <Application>Microsoft Office Word</Application>
  <DocSecurity>8</DocSecurity>
  <Lines>182</Lines>
  <Paragraphs>51</Paragraphs>
  <ScaleCrop>false</ScaleCrop>
  <Company>ESMA</Company>
  <LinksUpToDate>false</LinksUpToDate>
  <CharactersWithSpaces>25661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Francesca Bodini</cp:lastModifiedBy>
  <cp:revision>2</cp:revision>
  <cp:lastPrinted>2017-07-24T14:47:00Z</cp:lastPrinted>
  <dcterms:created xsi:type="dcterms:W3CDTF">2025-09-19T16:06:00Z</dcterms:created>
  <dcterms:modified xsi:type="dcterms:W3CDTF">2025-09-19T16:06:00Z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Sensitivity">
    <vt:lpwstr>Regular</vt:lpwstr>
  </property>
</Properties>
</file>