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inorHAnsi" w:hAnsiTheme="minorHAnsi" w:cstheme="minorBidi"/>
          <w:sz w:val="20"/>
          <w:szCs w:val="20"/>
        </w:rPr>
        <w:id w:val="-973058580"/>
        <w:docPartObj>
          <w:docPartGallery w:val="Cover Pages"/>
          <w:docPartUnique/>
        </w:docPartObj>
      </w:sdtPr>
      <w:sdtEndPr>
        <w:rPr>
          <w:highlight w:val="yellow"/>
        </w:rPr>
      </w:sdtEndPr>
      <w:sdtContent>
        <w:p w14:paraId="61BFF4B7" w14:textId="77777777" w:rsidR="00AF2EF7" w:rsidRPr="00B16706" w:rsidRDefault="00AF2EF7" w:rsidP="00AF2EF7">
          <w:pPr>
            <w:spacing w:line="276" w:lineRule="auto"/>
            <w:rPr>
              <w:rFonts w:asciiTheme="minorHAnsi" w:hAnsiTheme="minorHAnsi" w:cstheme="minorHAnsi"/>
              <w:color w:val="FF0000"/>
              <w:sz w:val="20"/>
              <w:szCs w:val="20"/>
            </w:rPr>
          </w:pPr>
        </w:p>
        <w:p w14:paraId="1C1BFAE2" w14:textId="77777777" w:rsidR="00AF2EF7" w:rsidRPr="00B16706" w:rsidRDefault="00AF2EF7" w:rsidP="00AF2EF7">
          <w:pPr>
            <w:spacing w:after="120" w:line="276" w:lineRule="auto"/>
            <w:rPr>
              <w:rFonts w:asciiTheme="minorHAnsi" w:hAnsiTheme="minorHAnsi" w:cstheme="minorHAnsi"/>
              <w:sz w:val="20"/>
              <w:szCs w:val="20"/>
            </w:rPr>
          </w:pPr>
        </w:p>
        <w:p w14:paraId="787460E0" w14:textId="77777777" w:rsidR="00AF2EF7" w:rsidRPr="00B16706" w:rsidRDefault="00AF2EF7" w:rsidP="00AF2EF7">
          <w:pPr>
            <w:spacing w:line="276" w:lineRule="auto"/>
            <w:rPr>
              <w:rFonts w:asciiTheme="minorHAnsi" w:hAnsiTheme="minorHAnsi" w:cstheme="minorHAnsi"/>
              <w:sz w:val="20"/>
              <w:szCs w:val="20"/>
            </w:rPr>
          </w:pPr>
        </w:p>
        <w:p w14:paraId="23B57B18" w14:textId="77777777" w:rsidR="00AF2EF7" w:rsidRPr="00B16706" w:rsidRDefault="00AF2EF7" w:rsidP="00AF2EF7">
          <w:pPr>
            <w:spacing w:line="276" w:lineRule="auto"/>
            <w:rPr>
              <w:rFonts w:asciiTheme="minorHAnsi" w:hAnsiTheme="minorHAnsi" w:cstheme="minorHAnsi"/>
              <w:sz w:val="20"/>
              <w:szCs w:val="20"/>
            </w:rPr>
          </w:pPr>
        </w:p>
        <w:tbl>
          <w:tblPr>
            <w:tblpPr w:leftFromText="8505" w:vertAnchor="page" w:horzAnchor="margin" w:tblpY="2571"/>
            <w:tblW w:w="10490" w:type="dxa"/>
            <w:tblLayout w:type="fixed"/>
            <w:tblCellMar>
              <w:left w:w="0" w:type="dxa"/>
              <w:right w:w="0" w:type="dxa"/>
            </w:tblCellMar>
            <w:tblLook w:val="01E0" w:firstRow="1" w:lastRow="1" w:firstColumn="1" w:lastColumn="1" w:noHBand="0" w:noVBand="0"/>
          </w:tblPr>
          <w:tblGrid>
            <w:gridCol w:w="10490"/>
          </w:tblGrid>
          <w:tr w:rsidR="000310AB" w:rsidRPr="00B16706" w14:paraId="2B695382" w14:textId="77777777" w:rsidTr="000310AB">
            <w:trPr>
              <w:trHeight w:hRule="exact" w:val="1492"/>
            </w:trPr>
            <w:tc>
              <w:tcPr>
                <w:tcW w:w="10490" w:type="dxa"/>
                <w:vAlign w:val="bottom"/>
              </w:tcPr>
              <w:p w14:paraId="0FBF0B89" w14:textId="77777777" w:rsidR="000310AB" w:rsidRPr="00FA64BE" w:rsidRDefault="000310AB" w:rsidP="000310AB">
                <w:pPr>
                  <w:pStyle w:val="Title"/>
                  <w:rPr>
                    <w:sz w:val="48"/>
                    <w:szCs w:val="48"/>
                  </w:rPr>
                </w:pPr>
                <w:r w:rsidRPr="00FA64BE">
                  <w:rPr>
                    <w:sz w:val="48"/>
                    <w:szCs w:val="48"/>
                  </w:rPr>
                  <w:t xml:space="preserve">Reply form </w:t>
                </w:r>
              </w:p>
              <w:p w14:paraId="2F2A3347" w14:textId="77777777" w:rsidR="000310AB" w:rsidRPr="00FA64BE" w:rsidRDefault="000310AB" w:rsidP="000310AB"/>
              <w:p w14:paraId="00FE0097" w14:textId="16164DCD" w:rsidR="000310AB" w:rsidRPr="00FA64BE" w:rsidRDefault="000310AB" w:rsidP="000310AB">
                <w:pPr>
                  <w:pStyle w:val="Title"/>
                  <w:spacing w:line="276" w:lineRule="auto"/>
                  <w:ind w:right="854"/>
                  <w:rPr>
                    <w:rFonts w:asciiTheme="minorHAnsi" w:hAnsiTheme="minorHAnsi" w:cstheme="minorHAnsi"/>
                    <w:sz w:val="24"/>
                    <w:szCs w:val="24"/>
                  </w:rPr>
                </w:pPr>
                <w:r>
                  <w:rPr>
                    <w:rFonts w:cs="Arial"/>
                    <w:color w:val="auto"/>
                    <w:sz w:val="24"/>
                    <w:szCs w:val="24"/>
                  </w:rPr>
                  <w:t>for</w:t>
                </w:r>
                <w:r w:rsidRPr="00FA64BE">
                  <w:rPr>
                    <w:rFonts w:cs="Arial"/>
                    <w:color w:val="auto"/>
                    <w:sz w:val="24"/>
                    <w:szCs w:val="24"/>
                  </w:rPr>
                  <w:t xml:space="preserve"> </w:t>
                </w:r>
                <w:r w:rsidRPr="00FA64BE">
                  <w:rPr>
                    <w:rFonts w:cs="Arial"/>
                    <w:bCs/>
                    <w:color w:val="auto"/>
                    <w:sz w:val="24"/>
                    <w:szCs w:val="24"/>
                  </w:rPr>
                  <w:t xml:space="preserve">the </w:t>
                </w:r>
                <w:r w:rsidR="00D40FA1">
                  <w:rPr>
                    <w:rFonts w:cs="Arial"/>
                    <w:bCs/>
                    <w:color w:val="auto"/>
                    <w:sz w:val="24"/>
                    <w:szCs w:val="24"/>
                  </w:rPr>
                  <w:t>Call for Evidence on a</w:t>
                </w:r>
                <w:r w:rsidR="006C791B">
                  <w:rPr>
                    <w:rFonts w:cs="Arial"/>
                    <w:bCs/>
                    <w:color w:val="auto"/>
                    <w:sz w:val="24"/>
                    <w:szCs w:val="24"/>
                  </w:rPr>
                  <w:t xml:space="preserve"> </w:t>
                </w:r>
                <w:r w:rsidR="005A5EF1">
                  <w:rPr>
                    <w:rFonts w:cs="Arial"/>
                    <w:bCs/>
                    <w:color w:val="auto"/>
                    <w:sz w:val="24"/>
                    <w:szCs w:val="24"/>
                  </w:rPr>
                  <w:t>C</w:t>
                </w:r>
                <w:r w:rsidR="006C791B" w:rsidRPr="006C791B">
                  <w:rPr>
                    <w:rFonts w:cs="Arial"/>
                    <w:bCs/>
                    <w:color w:val="auto"/>
                    <w:sz w:val="24"/>
                    <w:szCs w:val="24"/>
                  </w:rPr>
                  <w:t xml:space="preserve">omprehensive </w:t>
                </w:r>
                <w:r w:rsidR="005A5EF1">
                  <w:rPr>
                    <w:rFonts w:cs="Arial"/>
                    <w:bCs/>
                    <w:color w:val="auto"/>
                    <w:sz w:val="24"/>
                    <w:szCs w:val="24"/>
                  </w:rPr>
                  <w:t>A</w:t>
                </w:r>
                <w:r w:rsidR="006C791B" w:rsidRPr="006C791B">
                  <w:rPr>
                    <w:rFonts w:cs="Arial"/>
                    <w:bCs/>
                    <w:color w:val="auto"/>
                    <w:sz w:val="24"/>
                    <w:szCs w:val="24"/>
                  </w:rPr>
                  <w:t xml:space="preserve">pproach for the </w:t>
                </w:r>
                <w:r w:rsidR="005A5EF1">
                  <w:rPr>
                    <w:rFonts w:cs="Arial"/>
                    <w:bCs/>
                    <w:color w:val="auto"/>
                    <w:sz w:val="24"/>
                    <w:szCs w:val="24"/>
                  </w:rPr>
                  <w:t>S</w:t>
                </w:r>
                <w:r w:rsidR="006C791B" w:rsidRPr="006C791B">
                  <w:rPr>
                    <w:rFonts w:cs="Arial"/>
                    <w:bCs/>
                    <w:color w:val="auto"/>
                    <w:sz w:val="24"/>
                    <w:szCs w:val="24"/>
                  </w:rPr>
                  <w:t xml:space="preserve">implification of </w:t>
                </w:r>
                <w:r w:rsidR="005A5EF1">
                  <w:rPr>
                    <w:rFonts w:cs="Arial"/>
                    <w:bCs/>
                    <w:color w:val="auto"/>
                    <w:sz w:val="24"/>
                    <w:szCs w:val="24"/>
                  </w:rPr>
                  <w:t>F</w:t>
                </w:r>
                <w:r w:rsidR="006C791B" w:rsidRPr="006C791B">
                  <w:rPr>
                    <w:rFonts w:cs="Arial"/>
                    <w:bCs/>
                    <w:color w:val="auto"/>
                    <w:sz w:val="24"/>
                    <w:szCs w:val="24"/>
                  </w:rPr>
                  <w:t xml:space="preserve">inancial </w:t>
                </w:r>
                <w:r w:rsidR="005A5EF1">
                  <w:rPr>
                    <w:rFonts w:cs="Arial"/>
                    <w:bCs/>
                    <w:color w:val="auto"/>
                    <w:sz w:val="24"/>
                    <w:szCs w:val="24"/>
                  </w:rPr>
                  <w:t>T</w:t>
                </w:r>
                <w:r w:rsidR="006C791B" w:rsidRPr="006C791B">
                  <w:rPr>
                    <w:rFonts w:cs="Arial"/>
                    <w:bCs/>
                    <w:color w:val="auto"/>
                    <w:sz w:val="24"/>
                    <w:szCs w:val="24"/>
                  </w:rPr>
                  <w:t xml:space="preserve">ransaction </w:t>
                </w:r>
                <w:r w:rsidR="005A5EF1">
                  <w:rPr>
                    <w:rFonts w:cs="Arial"/>
                    <w:bCs/>
                    <w:color w:val="auto"/>
                    <w:sz w:val="24"/>
                    <w:szCs w:val="24"/>
                  </w:rPr>
                  <w:t>R</w:t>
                </w:r>
                <w:r w:rsidR="006C791B" w:rsidRPr="006C791B">
                  <w:rPr>
                    <w:rFonts w:cs="Arial"/>
                    <w:bCs/>
                    <w:color w:val="auto"/>
                    <w:sz w:val="24"/>
                    <w:szCs w:val="24"/>
                  </w:rPr>
                  <w:t>eporting</w:t>
                </w:r>
              </w:p>
            </w:tc>
          </w:tr>
          <w:tr w:rsidR="000310AB" w:rsidRPr="00B16706" w14:paraId="062F0352" w14:textId="77777777" w:rsidTr="000310AB">
            <w:trPr>
              <w:trHeight w:hRule="exact" w:val="747"/>
            </w:trPr>
            <w:tc>
              <w:tcPr>
                <w:tcW w:w="10490" w:type="dxa"/>
                <w:tcMar>
                  <w:top w:w="142" w:type="dxa"/>
                </w:tcMar>
              </w:tcPr>
              <w:p w14:paraId="02B573FB" w14:textId="77777777" w:rsidR="000310AB" w:rsidRPr="00B16706" w:rsidRDefault="000310AB" w:rsidP="000310AB">
                <w:pPr>
                  <w:pStyle w:val="Heading2"/>
                  <w:numPr>
                    <w:ilvl w:val="0"/>
                    <w:numId w:val="0"/>
                  </w:numPr>
                  <w:spacing w:before="0"/>
                  <w:rPr>
                    <w:sz w:val="22"/>
                    <w:szCs w:val="22"/>
                  </w:rPr>
                </w:pPr>
              </w:p>
            </w:tc>
          </w:tr>
        </w:tbl>
        <w:p w14:paraId="04401C2B" w14:textId="77777777" w:rsidR="00AF2EF7" w:rsidRPr="00B16706" w:rsidRDefault="00AF2EF7" w:rsidP="00AF2EF7">
          <w:pPr>
            <w:spacing w:line="276" w:lineRule="auto"/>
            <w:rPr>
              <w:rFonts w:asciiTheme="minorHAnsi" w:hAnsiTheme="minorHAnsi" w:cstheme="minorHAnsi"/>
              <w:sz w:val="20"/>
              <w:szCs w:val="20"/>
            </w:rPr>
          </w:pPr>
        </w:p>
        <w:p w14:paraId="5B933631" w14:textId="2F88045F" w:rsidR="00AF2EF7" w:rsidRPr="00B16706" w:rsidRDefault="00FA64BE" w:rsidP="00FA64BE">
          <w:pPr>
            <w:pStyle w:val="Heading2"/>
            <w:numPr>
              <w:ilvl w:val="0"/>
              <w:numId w:val="0"/>
            </w:numPr>
            <w:sectPr w:rsidR="00AF2EF7" w:rsidRPr="00B16706" w:rsidSect="007E7997">
              <w:headerReference w:type="default" r:id="rId11"/>
              <w:footerReference w:type="default" r:id="rId12"/>
              <w:headerReference w:type="first" r:id="rId13"/>
              <w:footerReference w:type="first" r:id="rId14"/>
              <w:pgSz w:w="11906" w:h="16838"/>
              <w:pgMar w:top="1417" w:right="1417" w:bottom="1417" w:left="1417" w:header="708" w:footer="708" w:gutter="0"/>
              <w:pgNumType w:start="0"/>
              <w:cols w:space="708"/>
              <w:titlePg/>
              <w:docGrid w:linePitch="360"/>
            </w:sectPr>
          </w:pPr>
          <w:r>
            <w:rPr>
              <w:noProof/>
            </w:rPr>
            <mc:AlternateContent>
              <mc:Choice Requires="wps">
                <w:drawing>
                  <wp:anchor distT="0" distB="0" distL="114300" distR="114300" simplePos="0" relativeHeight="251658240" behindDoc="1" locked="1" layoutInCell="1" allowOverlap="0" wp14:anchorId="101C8A94" wp14:editId="1D86A440">
                    <wp:simplePos x="0" y="0"/>
                    <wp:positionH relativeFrom="page">
                      <wp:align>left</wp:align>
                    </wp:positionH>
                    <wp:positionV relativeFrom="paragraph">
                      <wp:posOffset>-466725</wp:posOffset>
                    </wp:positionV>
                    <wp:extent cx="7570470" cy="9777095"/>
                    <wp:effectExtent l="0" t="0" r="0" b="0"/>
                    <wp:wrapNone/>
                    <wp:docPr id="8" name="Freeform: Shape 8"/>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15"/>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CE726E" id="Freeform: Shape 8" o:spid="_x0000_s1026" style="position:absolute;margin-left:0;margin-top:-36.75pt;width:596.1pt;height:769.85pt;z-index:-25165824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" o:allowoverlap="f" path="m2939613,926867c5038819,-714379,6826523,267027,7569200,545025r,2628099l7569200,9779055r,l,9779055r,l,3173124,2939613,926867xe" stroked="f" strokeweight="1pt">
                    <v:fill r:id="rId17" o:title="" recolor="t" rotate="t" type="frame"/>
                    <v:stroke joinstyle="miter"/>
                    <v:path arrowok="t" o:connecttype="custom" o:connectlocs="2940106,926681;7570470,544916;7570470,3172488;7570470,9777095;7570470,9777095;0,9777095;0,9777095;0,3172488;2940106,926681" o:connectangles="0,0,0,0,0,0,0,0,0"/>
                    <w10:wrap anchorx="page"/>
                    <w10:anchorlock/>
                  </v:shape>
                </w:pict>
              </mc:Fallback>
            </mc:AlternateContent>
          </w:r>
        </w:p>
        <w:p w14:paraId="50F24FB7" w14:textId="77777777" w:rsidR="00AF2EF7" w:rsidRPr="00B16706" w:rsidRDefault="00AF2EF7" w:rsidP="00AF2EF7">
          <w:pPr>
            <w:numPr>
              <w:ilvl w:val="1"/>
              <w:numId w:val="0"/>
            </w:numPr>
            <w:spacing w:after="250" w:line="276" w:lineRule="auto"/>
            <w:jc w:val="both"/>
            <w:rPr>
              <w:rFonts w:asciiTheme="majorHAnsi" w:eastAsiaTheme="majorEastAsia" w:hAnsiTheme="majorHAnsi" w:cstheme="majorBidi"/>
              <w:b/>
              <w:sz w:val="22"/>
              <w:szCs w:val="20"/>
              <w:lang w:eastAsia="en-US"/>
            </w:rPr>
          </w:pPr>
          <w:r w:rsidRPr="00B16706">
            <w:rPr>
              <w:rFonts w:asciiTheme="majorHAnsi" w:eastAsiaTheme="majorEastAsia" w:hAnsiTheme="majorHAnsi" w:cstheme="majorBidi"/>
              <w:b/>
              <w:sz w:val="22"/>
              <w:szCs w:val="20"/>
              <w:lang w:eastAsia="en-US"/>
            </w:rPr>
            <w:lastRenderedPageBreak/>
            <w:t xml:space="preserve">Responding to this paper </w:t>
          </w:r>
        </w:p>
        <w:p w14:paraId="46CF9AD5" w14:textId="41E1E65E"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ESMA invites comments on all matters in this </w:t>
          </w:r>
          <w:r w:rsidR="00CD7091">
            <w:rPr>
              <w:rFonts w:asciiTheme="minorHAnsi" w:eastAsiaTheme="minorEastAsia" w:hAnsiTheme="minorHAnsi" w:cstheme="minorBidi"/>
              <w:sz w:val="18"/>
              <w:szCs w:val="16"/>
              <w:lang w:eastAsia="en-US"/>
            </w:rPr>
            <w:t>call for evidence</w:t>
          </w:r>
          <w:r w:rsidRPr="00B16706">
            <w:rPr>
              <w:rFonts w:asciiTheme="minorHAnsi" w:eastAsiaTheme="minorEastAsia" w:hAnsiTheme="minorHAnsi" w:cstheme="minorBidi"/>
              <w:sz w:val="18"/>
              <w:szCs w:val="16"/>
              <w:lang w:eastAsia="en-US"/>
            </w:rPr>
            <w:t xml:space="preserve"> and </w:t>
          </w:r>
          <w:r w:rsidRPr="00B16706">
            <w:rPr>
              <w:rFonts w:asciiTheme="minorHAnsi" w:eastAsiaTheme="minorEastAsia" w:hAnsiTheme="minorHAnsi" w:cstheme="minorBidi"/>
              <w:sz w:val="18"/>
              <w:szCs w:val="16"/>
              <w:u w:val="dottedHeavy" w:color="BF8F00" w:themeColor="accent4" w:themeShade="BF"/>
              <w:lang w:eastAsia="en-US"/>
            </w:rPr>
            <w:t>in particular on</w:t>
          </w:r>
          <w:r w:rsidRPr="00B16706">
            <w:rPr>
              <w:rFonts w:asciiTheme="minorHAnsi" w:eastAsiaTheme="minorEastAsia" w:hAnsiTheme="minorHAnsi" w:cstheme="minorBidi"/>
              <w:sz w:val="18"/>
              <w:szCs w:val="16"/>
              <w:lang w:eastAsia="en-US"/>
            </w:rPr>
            <w:t xml:space="preserve"> the specific questions. Comments are most helpful if they:</w:t>
          </w:r>
        </w:p>
        <w:p w14:paraId="2573C72E" w14:textId="77777777" w:rsidR="00AB6157" w:rsidRPr="00B16706" w:rsidRDefault="00AB6157" w:rsidP="00F073A5">
          <w:pPr>
            <w:numPr>
              <w:ilvl w:val="0"/>
              <w:numId w:val="8"/>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respond to the question stated;</w:t>
          </w:r>
        </w:p>
        <w:p w14:paraId="65ACF578" w14:textId="77777777" w:rsidR="00AB6157" w:rsidRPr="00B16706" w:rsidRDefault="00AB6157" w:rsidP="00F073A5">
          <w:pPr>
            <w:numPr>
              <w:ilvl w:val="0"/>
              <w:numId w:val="8"/>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indicate the specific question to which the comment relates;</w:t>
          </w:r>
        </w:p>
        <w:p w14:paraId="3751DA8E" w14:textId="77777777" w:rsidR="00AB6157" w:rsidRPr="00B16706" w:rsidRDefault="00AB6157" w:rsidP="00F073A5">
          <w:pPr>
            <w:numPr>
              <w:ilvl w:val="0"/>
              <w:numId w:val="8"/>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contain a clear rationale; and</w:t>
          </w:r>
        </w:p>
        <w:p w14:paraId="5A3A4AE2" w14:textId="77777777" w:rsidR="00AB6157" w:rsidRPr="00B16706" w:rsidRDefault="00AB6157" w:rsidP="00F073A5">
          <w:pPr>
            <w:numPr>
              <w:ilvl w:val="0"/>
              <w:numId w:val="8"/>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describe any alternatives ESMA should consider.</w:t>
          </w:r>
        </w:p>
        <w:p w14:paraId="09579D04" w14:textId="5D303D54"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ESMA will consider all comments received </w:t>
          </w:r>
          <w:r w:rsidRPr="00A76C98">
            <w:rPr>
              <w:rFonts w:asciiTheme="minorHAnsi" w:eastAsiaTheme="minorEastAsia" w:hAnsiTheme="minorHAnsi" w:cstheme="minorBidi"/>
              <w:sz w:val="18"/>
              <w:szCs w:val="16"/>
              <w:lang w:eastAsia="en-US"/>
            </w:rPr>
            <w:t xml:space="preserve">by </w:t>
          </w:r>
          <w:r w:rsidR="00BF7E68">
            <w:rPr>
              <w:rFonts w:asciiTheme="minorHAnsi" w:eastAsiaTheme="minorEastAsia" w:hAnsiTheme="minorHAnsi" w:cstheme="minorBidi"/>
              <w:b/>
              <w:bCs/>
              <w:sz w:val="18"/>
              <w:szCs w:val="16"/>
              <w:lang w:eastAsia="en-US"/>
            </w:rPr>
            <w:t>19</w:t>
          </w:r>
          <w:r w:rsidR="005B4A69" w:rsidRPr="005B4A69">
            <w:rPr>
              <w:rFonts w:asciiTheme="minorHAnsi" w:eastAsiaTheme="minorEastAsia" w:hAnsiTheme="minorHAnsi" w:cstheme="minorBidi"/>
              <w:b/>
              <w:bCs/>
              <w:sz w:val="18"/>
              <w:szCs w:val="16"/>
              <w:vertAlign w:val="superscript"/>
              <w:lang w:eastAsia="en-US"/>
            </w:rPr>
            <w:t>th</w:t>
          </w:r>
          <w:r w:rsidR="005B4A69" w:rsidRPr="005B4A69">
            <w:rPr>
              <w:rFonts w:asciiTheme="minorHAnsi" w:eastAsiaTheme="minorEastAsia" w:hAnsiTheme="minorHAnsi" w:cstheme="minorBidi"/>
              <w:sz w:val="18"/>
              <w:szCs w:val="16"/>
              <w:lang w:eastAsia="en-US"/>
            </w:rPr>
            <w:t xml:space="preserve"> </w:t>
          </w:r>
          <w:r w:rsidR="004D19BD">
            <w:rPr>
              <w:rFonts w:asciiTheme="minorHAnsi" w:eastAsiaTheme="minorEastAsia" w:hAnsiTheme="minorHAnsi" w:cstheme="minorBidi"/>
              <w:b/>
              <w:sz w:val="18"/>
              <w:szCs w:val="16"/>
              <w:lang w:eastAsia="en-US"/>
            </w:rPr>
            <w:t>September</w:t>
          </w:r>
          <w:r w:rsidR="00C17150">
            <w:rPr>
              <w:rFonts w:asciiTheme="minorHAnsi" w:eastAsiaTheme="minorEastAsia" w:hAnsiTheme="minorHAnsi" w:cstheme="minorBidi"/>
              <w:b/>
              <w:sz w:val="18"/>
              <w:szCs w:val="16"/>
              <w:lang w:eastAsia="en-US"/>
            </w:rPr>
            <w:t xml:space="preserve"> 2025</w:t>
          </w:r>
          <w:r w:rsidR="002C76AE" w:rsidRPr="00A76C98">
            <w:rPr>
              <w:rFonts w:asciiTheme="minorHAnsi" w:eastAsiaTheme="minorEastAsia" w:hAnsiTheme="minorHAnsi" w:cstheme="minorBidi"/>
              <w:b/>
              <w:sz w:val="18"/>
              <w:szCs w:val="16"/>
              <w:lang w:eastAsia="en-US"/>
            </w:rPr>
            <w:t>.</w:t>
          </w:r>
          <w:r w:rsidR="002C76AE">
            <w:rPr>
              <w:rFonts w:asciiTheme="minorHAnsi" w:eastAsiaTheme="minorEastAsia" w:hAnsiTheme="minorHAnsi" w:cstheme="minorBidi"/>
              <w:b/>
              <w:sz w:val="18"/>
              <w:szCs w:val="16"/>
              <w:lang w:eastAsia="en-US"/>
            </w:rPr>
            <w:t xml:space="preserve"> </w:t>
          </w:r>
          <w:r w:rsidRPr="00B16706">
            <w:rPr>
              <w:rFonts w:asciiTheme="minorHAnsi" w:eastAsiaTheme="minorEastAsia" w:hAnsiTheme="minorHAnsi" w:cstheme="minorBidi"/>
              <w:b/>
              <w:sz w:val="18"/>
              <w:szCs w:val="16"/>
              <w:lang w:eastAsia="en-US"/>
            </w:rPr>
            <w:t xml:space="preserve"> </w:t>
          </w:r>
        </w:p>
        <w:p w14:paraId="71848F2A" w14:textId="77777777" w:rsidR="00C85C8B" w:rsidRPr="00B16706" w:rsidRDefault="00C85C8B" w:rsidP="00C85C8B">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Instructions</w:t>
          </w:r>
        </w:p>
        <w:p w14:paraId="057542CF" w14:textId="31609EB1" w:rsidR="00C85C8B" w:rsidRPr="00B16706" w:rsidRDefault="00C85C8B" w:rsidP="00C85C8B">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In order to facilitate analysis of responses to the </w:t>
          </w:r>
          <w:r w:rsidR="00C97337">
            <w:rPr>
              <w:rFonts w:asciiTheme="minorHAnsi" w:eastAsiaTheme="minorEastAsia" w:hAnsiTheme="minorHAnsi" w:cstheme="minorBidi"/>
              <w:sz w:val="18"/>
              <w:szCs w:val="16"/>
              <w:lang w:eastAsia="en-US"/>
            </w:rPr>
            <w:t>Call for Evidence</w:t>
          </w:r>
          <w:r w:rsidRPr="00B16706">
            <w:rPr>
              <w:rFonts w:asciiTheme="minorHAnsi" w:eastAsiaTheme="minorEastAsia" w:hAnsiTheme="minorHAnsi" w:cstheme="minorBidi"/>
              <w:sz w:val="18"/>
              <w:szCs w:val="16"/>
              <w:lang w:eastAsia="en-US"/>
            </w:rPr>
            <w:t>, respondents are requested to follow the below steps when preparing and submitting their response:</w:t>
          </w:r>
        </w:p>
        <w:p w14:paraId="7AAE3F58" w14:textId="495A59C6" w:rsidR="00A409C2" w:rsidRPr="00A409C2" w:rsidRDefault="00B16706" w:rsidP="00F073A5">
          <w:pPr>
            <w:pStyle w:val="ListParagraph"/>
            <w:numPr>
              <w:ilvl w:val="0"/>
              <w:numId w:val="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 xml:space="preserve">Insert your responses to the questions in the </w:t>
          </w:r>
          <w:r w:rsidR="00C97337">
            <w:rPr>
              <w:rFonts w:eastAsiaTheme="minorEastAsia" w:cstheme="minorBidi"/>
              <w:sz w:val="18"/>
              <w:szCs w:val="16"/>
              <w:lang w:eastAsia="en-US"/>
            </w:rPr>
            <w:t>Call for Evidence</w:t>
          </w:r>
          <w:r w:rsidRPr="00A409C2">
            <w:rPr>
              <w:rFonts w:eastAsiaTheme="minorEastAsia" w:cstheme="minorBidi"/>
              <w:sz w:val="18"/>
              <w:szCs w:val="16"/>
              <w:lang w:eastAsia="en-US"/>
            </w:rPr>
            <w:t xml:space="preserve"> in the present response form. </w:t>
          </w:r>
        </w:p>
        <w:p w14:paraId="28D63108" w14:textId="0392516A" w:rsidR="00A409C2" w:rsidRPr="00871163" w:rsidRDefault="008279D3" w:rsidP="00F073A5">
          <w:pPr>
            <w:pStyle w:val="ListParagraph"/>
            <w:numPr>
              <w:ilvl w:val="0"/>
              <w:numId w:val="9"/>
            </w:numPr>
            <w:spacing w:after="250" w:line="276" w:lineRule="auto"/>
            <w:rPr>
              <w:rFonts w:eastAsiaTheme="minorEastAsia" w:cstheme="minorBidi"/>
              <w:sz w:val="18"/>
              <w:szCs w:val="16"/>
              <w:u w:val="single"/>
              <w:lang w:eastAsia="en-US"/>
            </w:rPr>
          </w:pPr>
          <w:r>
            <w:rPr>
              <w:rFonts w:eastAsiaTheme="minorEastAsia" w:cstheme="minorBidi"/>
              <w:sz w:val="18"/>
              <w:szCs w:val="16"/>
              <w:lang w:eastAsia="en-US"/>
            </w:rPr>
            <w:t>U</w:t>
          </w:r>
          <w:r w:rsidR="00A409C2" w:rsidRPr="00A409C2">
            <w:rPr>
              <w:rFonts w:eastAsiaTheme="minorEastAsia" w:cstheme="minorBidi"/>
              <w:sz w:val="18"/>
              <w:szCs w:val="16"/>
              <w:lang w:eastAsia="en-US"/>
            </w:rPr>
            <w:t>se this form and send your responses in Word format (</w:t>
          </w:r>
          <w:r w:rsidR="00A409C2" w:rsidRPr="00871163">
            <w:rPr>
              <w:rFonts w:eastAsiaTheme="minorEastAsia" w:cstheme="minorBidi"/>
              <w:b/>
              <w:bCs/>
              <w:sz w:val="18"/>
              <w:szCs w:val="16"/>
              <w:u w:val="single"/>
              <w:lang w:eastAsia="en-US"/>
            </w:rPr>
            <w:t>pdf documents will not be considered except for annexes</w:t>
          </w:r>
          <w:r w:rsidR="00A409C2" w:rsidRPr="00871163">
            <w:rPr>
              <w:rFonts w:eastAsiaTheme="minorEastAsia" w:cstheme="minorBidi"/>
              <w:sz w:val="18"/>
              <w:szCs w:val="16"/>
              <w:u w:val="single"/>
              <w:lang w:eastAsia="en-US"/>
            </w:rPr>
            <w:t>);</w:t>
          </w:r>
        </w:p>
        <w:p w14:paraId="6692798E" w14:textId="51F62ACA" w:rsidR="00B16706" w:rsidRPr="00A409C2" w:rsidRDefault="00B16706" w:rsidP="00F073A5">
          <w:pPr>
            <w:pStyle w:val="ListParagraph"/>
            <w:numPr>
              <w:ilvl w:val="0"/>
              <w:numId w:val="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Please do not remove tags of the type &lt;ESMA_QUESTION</w:t>
          </w:r>
          <w:r w:rsidR="007148CC" w:rsidRPr="00A409C2">
            <w:rPr>
              <w:rFonts w:eastAsiaTheme="minorEastAsia" w:cstheme="minorBidi"/>
              <w:sz w:val="18"/>
              <w:szCs w:val="16"/>
              <w:lang w:eastAsia="en-US"/>
            </w:rPr>
            <w:t xml:space="preserve"> </w:t>
          </w:r>
          <w:r w:rsidRPr="00A409C2">
            <w:rPr>
              <w:rFonts w:eastAsiaTheme="minorEastAsia" w:cstheme="minorBidi"/>
              <w:sz w:val="18"/>
              <w:szCs w:val="16"/>
              <w:lang w:eastAsia="en-US"/>
            </w:rPr>
            <w:t>_</w:t>
          </w:r>
          <w:r w:rsidR="00340647">
            <w:rPr>
              <w:rFonts w:eastAsiaTheme="minorEastAsia" w:cstheme="minorBidi"/>
              <w:sz w:val="18"/>
              <w:szCs w:val="16"/>
              <w:lang w:eastAsia="en-US"/>
            </w:rPr>
            <w:t>CASR</w:t>
          </w:r>
          <w:r w:rsidRPr="00A409C2">
            <w:rPr>
              <w:rFonts w:eastAsiaTheme="minorEastAsia" w:cstheme="minorBidi"/>
              <w:sz w:val="18"/>
              <w:szCs w:val="16"/>
              <w:lang w:eastAsia="en-US"/>
            </w:rPr>
            <w:t>_1&gt;. Your response to each question has to be framed by the two tags corresponding to the question.</w:t>
          </w:r>
        </w:p>
        <w:p w14:paraId="1C4E226A" w14:textId="1D43AA8A" w:rsidR="00B16706" w:rsidRPr="00A409C2" w:rsidRDefault="00B16706" w:rsidP="00F073A5">
          <w:pPr>
            <w:pStyle w:val="ListParagraph"/>
            <w:numPr>
              <w:ilvl w:val="0"/>
              <w:numId w:val="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If you do not wish to respond to a given question, please do not delete it but simply leave the text “TYPE YOUR TEXT HERE” between the tags.</w:t>
          </w:r>
        </w:p>
        <w:p w14:paraId="7C8B1093" w14:textId="019DBA5D" w:rsidR="00B16706" w:rsidRPr="00A409C2" w:rsidRDefault="00B16706" w:rsidP="00F073A5">
          <w:pPr>
            <w:pStyle w:val="ListParagraph"/>
            <w:numPr>
              <w:ilvl w:val="0"/>
              <w:numId w:val="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When you have drafted your response, name your response form according to the following convention: ESMA_</w:t>
          </w:r>
          <w:r w:rsidR="00340647">
            <w:rPr>
              <w:rFonts w:eastAsiaTheme="minorEastAsia" w:cstheme="minorBidi"/>
              <w:sz w:val="18"/>
              <w:szCs w:val="16"/>
              <w:lang w:eastAsia="en-US"/>
            </w:rPr>
            <w:t>CASR</w:t>
          </w:r>
          <w:r w:rsidRPr="00A409C2">
            <w:rPr>
              <w:rFonts w:eastAsiaTheme="minorEastAsia" w:cstheme="minorBidi"/>
              <w:sz w:val="18"/>
              <w:szCs w:val="16"/>
              <w:lang w:eastAsia="en-US"/>
            </w:rPr>
            <w:t>_nameofrespondent_RESPONSEFORM. For example, for a respondent named ABCD, the response form would be entitled ESMA_</w:t>
          </w:r>
          <w:r w:rsidR="00340647">
            <w:rPr>
              <w:rFonts w:eastAsiaTheme="minorEastAsia" w:cstheme="minorBidi"/>
              <w:sz w:val="18"/>
              <w:szCs w:val="16"/>
              <w:lang w:eastAsia="en-US"/>
            </w:rPr>
            <w:t>CASR</w:t>
          </w:r>
          <w:r w:rsidRPr="00A409C2">
            <w:rPr>
              <w:rFonts w:eastAsiaTheme="minorEastAsia" w:cstheme="minorBidi"/>
              <w:sz w:val="18"/>
              <w:szCs w:val="16"/>
              <w:lang w:eastAsia="en-US"/>
            </w:rPr>
            <w:t>_ABCD_RESPONSEFORM.</w:t>
          </w:r>
        </w:p>
        <w:p w14:paraId="28EEA743" w14:textId="0DC50177" w:rsidR="00A02199" w:rsidRPr="00A409C2" w:rsidRDefault="00B16706" w:rsidP="00F073A5">
          <w:pPr>
            <w:pStyle w:val="ListParagraph"/>
            <w:numPr>
              <w:ilvl w:val="0"/>
              <w:numId w:val="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 xml:space="preserve">Upload the form containing your responses, </w:t>
          </w:r>
          <w:r w:rsidRPr="00A409C2">
            <w:rPr>
              <w:rFonts w:eastAsiaTheme="minorEastAsia" w:cstheme="minorBidi"/>
              <w:b/>
              <w:bCs/>
              <w:sz w:val="18"/>
              <w:szCs w:val="16"/>
              <w:lang w:eastAsia="en-US"/>
            </w:rPr>
            <w:t>in Word format</w:t>
          </w:r>
          <w:r w:rsidRPr="00A409C2">
            <w:rPr>
              <w:rFonts w:eastAsiaTheme="minorEastAsia" w:cstheme="minorBidi"/>
              <w:sz w:val="18"/>
              <w:szCs w:val="16"/>
              <w:lang w:eastAsia="en-US"/>
            </w:rPr>
            <w:t xml:space="preserve">, to ESMA’s website (www.esma.europa.eu under the heading “Your input – Open Consultations” -&gt;  </w:t>
          </w:r>
          <w:r w:rsidR="00340647">
            <w:rPr>
              <w:rFonts w:eastAsiaTheme="minorEastAsia" w:cstheme="minorBidi"/>
              <w:sz w:val="18"/>
              <w:szCs w:val="16"/>
              <w:lang w:eastAsia="en-US"/>
            </w:rPr>
            <w:t>Call for evidence on a comprehensive approach for the simplification of financial transaction reporting</w:t>
          </w:r>
          <w:r w:rsidR="00A409C2" w:rsidRPr="00A409C2">
            <w:rPr>
              <w:rFonts w:eastAsiaTheme="minorEastAsia" w:cstheme="minorBidi"/>
              <w:sz w:val="18"/>
              <w:szCs w:val="16"/>
              <w:lang w:eastAsia="en-US"/>
            </w:rPr>
            <w:t xml:space="preserve">”). </w:t>
          </w:r>
        </w:p>
        <w:p w14:paraId="6BB993D0" w14:textId="77777777" w:rsidR="00AF2EF7" w:rsidRPr="00B16706" w:rsidRDefault="00AF2EF7" w:rsidP="00AF2EF7">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Publication of responses</w:t>
          </w:r>
        </w:p>
        <w:p w14:paraId="214D8BBA" w14:textId="7E7B7DDF"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All contributions received will be published following the close of the consultation, unless you request otherwise. Please clearly and prominently indicate in your submission any part you do not wish to be </w:t>
          </w:r>
          <w:r w:rsidR="00896D5B" w:rsidRPr="00B16706">
            <w:rPr>
              <w:rFonts w:asciiTheme="minorHAnsi" w:eastAsiaTheme="minorEastAsia" w:hAnsiTheme="minorHAnsi" w:cstheme="minorBidi"/>
              <w:sz w:val="18"/>
              <w:szCs w:val="16"/>
              <w:lang w:eastAsia="en-US"/>
            </w:rPr>
            <w:t>publicly</w:t>
          </w:r>
          <w:r w:rsidRPr="00B16706">
            <w:rPr>
              <w:rFonts w:asciiTheme="minorHAnsi" w:eastAsiaTheme="minorEastAsia" w:hAnsiTheme="minorHAnsi" w:cstheme="minorBidi"/>
              <w:sz w:val="18"/>
              <w:szCs w:val="16"/>
              <w:lang w:eastAsia="en-US"/>
            </w:rPr>
            <w:t xml:space="preserve">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p>
        <w:p w14:paraId="144C43BA" w14:textId="4C539C0B" w:rsidR="00AF2EF7" w:rsidRPr="00B16706" w:rsidRDefault="00AF2EF7" w:rsidP="00AF2EF7">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Data protection</w:t>
          </w:r>
        </w:p>
        <w:p w14:paraId="1D46B82F" w14:textId="77777777"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Information on data protection can be found at </w:t>
          </w:r>
          <w:hyperlink r:id="rId18" w:history="1">
            <w:r w:rsidRPr="00B16706">
              <w:rPr>
                <w:rFonts w:asciiTheme="minorHAnsi" w:eastAsiaTheme="minorEastAsia" w:hAnsiTheme="minorHAnsi" w:cstheme="minorBidi"/>
                <w:color w:val="0563C1" w:themeColor="hyperlink"/>
                <w:sz w:val="18"/>
                <w:szCs w:val="16"/>
                <w:u w:val="single"/>
                <w:lang w:eastAsia="en-US"/>
              </w:rPr>
              <w:t>www.esma.europa.eu</w:t>
            </w:r>
          </w:hyperlink>
          <w:r w:rsidRPr="00B16706">
            <w:rPr>
              <w:rFonts w:asciiTheme="minorHAnsi" w:eastAsiaTheme="minorEastAsia" w:hAnsiTheme="minorHAnsi" w:cstheme="minorBidi"/>
              <w:sz w:val="18"/>
              <w:szCs w:val="16"/>
              <w:lang w:eastAsia="en-US"/>
            </w:rPr>
            <w:t xml:space="preserve"> under the heading </w:t>
          </w:r>
          <w:hyperlink r:id="rId19" w:history="1">
            <w:r w:rsidRPr="00B16706">
              <w:rPr>
                <w:rFonts w:asciiTheme="minorHAnsi" w:eastAsiaTheme="minorEastAsia" w:hAnsiTheme="minorHAnsi" w:cstheme="minorBidi"/>
                <w:color w:val="0563C1" w:themeColor="hyperlink"/>
                <w:sz w:val="18"/>
                <w:szCs w:val="16"/>
                <w:u w:val="single"/>
                <w:lang w:eastAsia="en-US"/>
              </w:rPr>
              <w:t>Legal Notice</w:t>
            </w:r>
          </w:hyperlink>
          <w:r w:rsidRPr="00B16706">
            <w:rPr>
              <w:rFonts w:asciiTheme="minorHAnsi" w:eastAsiaTheme="minorEastAsia" w:hAnsiTheme="minorHAnsi" w:cstheme="minorBidi"/>
              <w:sz w:val="18"/>
              <w:szCs w:val="16"/>
              <w:lang w:eastAsia="en-US"/>
            </w:rPr>
            <w:t>.</w:t>
          </w:r>
        </w:p>
        <w:p w14:paraId="7C02CD7B" w14:textId="1F4A0C5A" w:rsidR="00AF2EF7" w:rsidRPr="00B16706" w:rsidRDefault="00AF2EF7" w:rsidP="00AF2EF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b/>
              <w:sz w:val="18"/>
              <w:szCs w:val="16"/>
              <w:lang w:eastAsia="en-US"/>
            </w:rPr>
            <w:lastRenderedPageBreak/>
            <w:t>Who should read this paper</w:t>
          </w:r>
        </w:p>
      </w:sdtContent>
    </w:sdt>
    <w:p w14:paraId="230BBB13" w14:textId="77777777" w:rsidR="00F954EE" w:rsidRPr="00F954EE" w:rsidRDefault="00F954EE" w:rsidP="00F954EE">
      <w:pPr>
        <w:pStyle w:val="Heading1"/>
        <w:numPr>
          <w:ilvl w:val="0"/>
          <w:numId w:val="0"/>
        </w:numPr>
        <w:spacing w:line="276" w:lineRule="auto"/>
        <w:rPr>
          <w:rFonts w:ascii="Arial" w:eastAsia="Times New Roman" w:hAnsi="Arial" w:cs="Arial"/>
          <w:b w:val="0"/>
          <w:sz w:val="18"/>
          <w:szCs w:val="18"/>
          <w:lang w:eastAsia="it-IT"/>
        </w:rPr>
      </w:pPr>
      <w:r w:rsidRPr="00F954EE">
        <w:rPr>
          <w:rFonts w:ascii="Arial" w:eastAsia="Times New Roman" w:hAnsi="Arial" w:cs="Arial"/>
          <w:b w:val="0"/>
          <w:sz w:val="18"/>
          <w:szCs w:val="18"/>
          <w:lang w:eastAsia="it-IT"/>
        </w:rPr>
        <w:t xml:space="preserve">This paper is primarily addressed to all financial market participants and in particular reporting entities and market infrastructures, as well as to trade associations and other stakeholders involved in financial regulation, investor education, and retail investment market developments.  It seeks input on major cost drivers linked to derivative regulatory reporting and the identification of possibilities on integration, streamlining and simplification. </w:t>
      </w:r>
    </w:p>
    <w:p w14:paraId="14147BD5" w14:textId="77777777" w:rsidR="00F954EE" w:rsidRPr="00F954EE" w:rsidRDefault="00F954EE" w:rsidP="00F954EE">
      <w:pPr>
        <w:pStyle w:val="Heading1"/>
        <w:numPr>
          <w:ilvl w:val="0"/>
          <w:numId w:val="0"/>
        </w:numPr>
        <w:spacing w:line="276" w:lineRule="auto"/>
        <w:rPr>
          <w:rFonts w:ascii="Arial" w:eastAsia="Times New Roman" w:hAnsi="Arial" w:cs="Arial"/>
          <w:b w:val="0"/>
          <w:sz w:val="18"/>
          <w:szCs w:val="18"/>
          <w:lang w:eastAsia="it-IT"/>
        </w:rPr>
      </w:pPr>
      <w:r w:rsidRPr="00F954EE">
        <w:rPr>
          <w:rFonts w:ascii="Arial" w:eastAsia="Times New Roman" w:hAnsi="Arial" w:cs="Arial"/>
          <w:b w:val="0"/>
          <w:sz w:val="18"/>
          <w:szCs w:val="18"/>
          <w:lang w:eastAsia="it-IT"/>
        </w:rPr>
        <w:t xml:space="preserve">The paper is also relevant to competent authorities, with competences in the context of MiFIR, EMIR, SFTR regulation. </w:t>
      </w:r>
    </w:p>
    <w:p w14:paraId="1F90B8D3" w14:textId="6DE5C6E2" w:rsidR="00C85C8B" w:rsidRDefault="00AF2EF7" w:rsidP="008279D3">
      <w:pPr>
        <w:pStyle w:val="Heading1"/>
        <w:numPr>
          <w:ilvl w:val="0"/>
          <w:numId w:val="0"/>
        </w:numPr>
        <w:spacing w:line="276" w:lineRule="auto"/>
        <w:rPr>
          <w:rFonts w:asciiTheme="minorHAnsi" w:hAnsiTheme="minorHAnsi" w:cstheme="minorHAnsi"/>
          <w:sz w:val="20"/>
          <w:szCs w:val="20"/>
        </w:rPr>
      </w:pPr>
      <w:r w:rsidRPr="00B16706">
        <w:rPr>
          <w:rFonts w:asciiTheme="minorHAnsi" w:hAnsiTheme="minorHAnsi" w:cstheme="minorHAnsi"/>
          <w:sz w:val="20"/>
          <w:szCs w:val="20"/>
        </w:rPr>
        <w:br w:type="page"/>
      </w:r>
      <w:bookmarkStart w:id="0" w:name="_Toc515564428"/>
    </w:p>
    <w:p w14:paraId="16A587D0" w14:textId="77777777" w:rsidR="008279D3" w:rsidRPr="008279D3" w:rsidRDefault="008279D3" w:rsidP="008279D3"/>
    <w:p w14:paraId="622C18E8" w14:textId="77777777" w:rsidR="00C85C8B" w:rsidRPr="00B16706" w:rsidRDefault="00C85C8B" w:rsidP="00C85C8B">
      <w:pPr>
        <w:keepNext/>
        <w:keepLines/>
        <w:spacing w:before="320" w:after="250" w:line="276" w:lineRule="auto"/>
        <w:jc w:val="both"/>
        <w:outlineLvl w:val="0"/>
        <w:rPr>
          <w:rFonts w:asciiTheme="majorHAnsi" w:eastAsiaTheme="majorEastAsia" w:hAnsiTheme="majorHAnsi" w:cstheme="majorBidi"/>
          <w:b/>
          <w:lang w:eastAsia="en-US"/>
        </w:rPr>
      </w:pPr>
      <w:r w:rsidRPr="00B16706">
        <w:rPr>
          <w:rFonts w:asciiTheme="majorHAnsi" w:eastAsiaTheme="majorEastAsia" w:hAnsiTheme="majorHAnsi" w:cstheme="majorBidi"/>
          <w:b/>
          <w:lang w:eastAsia="en-US"/>
        </w:rPr>
        <w:t>General information about respondent</w:t>
      </w:r>
    </w:p>
    <w:tbl>
      <w:tblPr>
        <w:tblW w:w="9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9"/>
        <w:gridCol w:w="5595"/>
      </w:tblGrid>
      <w:tr w:rsidR="00C85C8B" w:rsidRPr="00B16706" w14:paraId="63AA68E2" w14:textId="77777777" w:rsidTr="00C16775">
        <w:tc>
          <w:tcPr>
            <w:tcW w:w="3929" w:type="dxa"/>
          </w:tcPr>
          <w:p w14:paraId="50C47271" w14:textId="77777777" w:rsidR="00C85C8B" w:rsidRPr="00B16706" w:rsidRDefault="00C85C8B" w:rsidP="00C85C8B">
            <w:pPr>
              <w:rPr>
                <w:rFonts w:ascii="Arial" w:hAnsi="Arial" w:cs="Arial"/>
                <w:sz w:val="18"/>
                <w:szCs w:val="20"/>
                <w:lang w:eastAsia="de-DE"/>
              </w:rPr>
            </w:pPr>
            <w:permStart w:id="108885406" w:edGrp="everyone" w:colFirst="1" w:colLast="1"/>
            <w:r w:rsidRPr="00B16706">
              <w:rPr>
                <w:rFonts w:ascii="Arial" w:hAnsi="Arial" w:cs="Arial"/>
                <w:sz w:val="18"/>
                <w:szCs w:val="20"/>
                <w:lang w:eastAsia="de-DE"/>
              </w:rPr>
              <w:t>Name of the company / organisation</w:t>
            </w:r>
          </w:p>
        </w:tc>
        <w:sdt>
          <w:sdtPr>
            <w:rPr>
              <w:rFonts w:ascii="Arial" w:hAnsi="Arial" w:cs="Arial"/>
              <w:color w:val="808080"/>
              <w:sz w:val="16"/>
              <w:szCs w:val="20"/>
              <w:lang w:eastAsia="de-DE"/>
            </w:rPr>
            <w:id w:val="-1905066999"/>
            <w:text/>
          </w:sdtPr>
          <w:sdtEndPr/>
          <w:sdtContent>
            <w:tc>
              <w:tcPr>
                <w:tcW w:w="5595" w:type="dxa"/>
              </w:tcPr>
              <w:p w14:paraId="1B67440D" w14:textId="35845395" w:rsidR="00C85C8B" w:rsidRPr="00B16706" w:rsidRDefault="002F292E" w:rsidP="00C85C8B">
                <w:pPr>
                  <w:rPr>
                    <w:rFonts w:ascii="Arial" w:hAnsi="Arial" w:cs="Arial"/>
                    <w:color w:val="808080"/>
                    <w:sz w:val="16"/>
                    <w:szCs w:val="20"/>
                    <w:lang w:eastAsia="de-DE"/>
                  </w:rPr>
                </w:pPr>
                <w:r w:rsidRPr="002F292E">
                  <w:rPr>
                    <w:rFonts w:ascii="Arial" w:hAnsi="Arial" w:cs="Arial"/>
                    <w:color w:val="808080"/>
                    <w:sz w:val="16"/>
                    <w:szCs w:val="20"/>
                    <w:lang w:eastAsia="de-DE"/>
                  </w:rPr>
                  <w:t>International Securities Lending Association – Transparency No. 575888466-70</w:t>
                </w:r>
              </w:p>
            </w:tc>
          </w:sdtContent>
        </w:sdt>
      </w:tr>
      <w:tr w:rsidR="00C85C8B" w:rsidRPr="00B16706" w14:paraId="216F3E57" w14:textId="77777777" w:rsidTr="00C16775">
        <w:tc>
          <w:tcPr>
            <w:tcW w:w="3929" w:type="dxa"/>
          </w:tcPr>
          <w:p w14:paraId="1B868EDB" w14:textId="77777777" w:rsidR="00C85C8B" w:rsidRPr="00B16706" w:rsidRDefault="00C85C8B" w:rsidP="00C85C8B">
            <w:pPr>
              <w:rPr>
                <w:rFonts w:ascii="Arial" w:hAnsi="Arial" w:cs="Arial"/>
                <w:sz w:val="18"/>
                <w:szCs w:val="20"/>
                <w:lang w:eastAsia="de-DE"/>
              </w:rPr>
            </w:pPr>
            <w:permStart w:id="11734600" w:edGrp="everyone" w:colFirst="1" w:colLast="1"/>
            <w:permEnd w:id="108885406"/>
            <w:r w:rsidRPr="00B16706">
              <w:rPr>
                <w:rFonts w:ascii="Arial" w:hAnsi="Arial" w:cs="Arial"/>
                <w:sz w:val="18"/>
                <w:szCs w:val="20"/>
                <w:lang w:eastAsia="de-DE"/>
              </w:rPr>
              <w:t>Activity</w:t>
            </w:r>
          </w:p>
        </w:tc>
        <w:tc>
          <w:tcPr>
            <w:tcW w:w="5595" w:type="dxa"/>
          </w:tcPr>
          <w:p w14:paraId="1423187D" w14:textId="4F975561" w:rsidR="00C85C8B" w:rsidRPr="00B16706" w:rsidRDefault="00F073A5" w:rsidP="00C85C8B">
            <w:pPr>
              <w:rPr>
                <w:rFonts w:ascii="Arial" w:hAnsi="Arial" w:cs="Arial"/>
                <w:sz w:val="16"/>
                <w:szCs w:val="20"/>
                <w:lang w:eastAsia="de-DE"/>
              </w:rPr>
            </w:pPr>
            <w:sdt>
              <w:sdtPr>
                <w:rPr>
                  <w:rFonts w:ascii="Arial" w:hAnsi="Arial" w:cs="Arial"/>
                  <w:sz w:val="16"/>
                  <w:szCs w:val="20"/>
                  <w:lang w:eastAsia="de-DE"/>
                </w:rPr>
                <w:alias w:val="Activity"/>
                <w:tag w:val="Activity"/>
                <w:id w:val="-476845391"/>
                <w:comboBox>
                  <w:listItem w:value="Choose an item."/>
                  <w:listItem w:displayText="Audit/Legal/Individual" w:value="Audit/Legal/Individual"/>
                  <w:listItem w:displayText="Banking sector" w:value="Banking sector"/>
                  <w:listItem w:displayText="Central Counterparty" w:value="Central Counterparty"/>
                  <w:listItem w:displayText="Government, Regulatory and Enforcement" w:value="Government, Regulatory and Enforcement"/>
                  <w:listItem w:displayText="Insurance and Pension" w:value="Insurance and Pension"/>
                  <w:listItem w:displayText="Investment Services" w:value="Investment Services"/>
                  <w:listItem w:displayText="Non-financial counterparty" w:value="Non-financial counterparty"/>
                  <w:listItem w:displayText="Regulated markets/Exchanges/Trading Systems" w:value="Regulated markets/Exchanges/Trading Systems"/>
                  <w:listItem w:displayText="Other Financial service providers" w:value="Other Financial service providers"/>
                </w:comboBox>
              </w:sdtPr>
              <w:sdtEndPr/>
              <w:sdtContent>
                <w:r w:rsidR="005D2621">
                  <w:rPr>
                    <w:rFonts w:ascii="Arial" w:hAnsi="Arial" w:cs="Arial"/>
                    <w:sz w:val="16"/>
                    <w:szCs w:val="20"/>
                    <w:lang w:eastAsia="de-DE"/>
                  </w:rPr>
                  <w:t>Other Financial service providers</w:t>
                </w:r>
              </w:sdtContent>
            </w:sdt>
          </w:p>
        </w:tc>
      </w:tr>
      <w:tr w:rsidR="00C85C8B" w:rsidRPr="00B16706" w14:paraId="0D216581" w14:textId="77777777" w:rsidTr="00C16775">
        <w:tc>
          <w:tcPr>
            <w:tcW w:w="3929" w:type="dxa"/>
          </w:tcPr>
          <w:p w14:paraId="43B75BA8" w14:textId="77777777" w:rsidR="00C85C8B" w:rsidRPr="00B16706" w:rsidRDefault="00C85C8B" w:rsidP="00C85C8B">
            <w:pPr>
              <w:rPr>
                <w:rFonts w:ascii="Arial" w:hAnsi="Arial" w:cs="Arial"/>
                <w:sz w:val="18"/>
                <w:szCs w:val="20"/>
                <w:lang w:eastAsia="de-DE"/>
              </w:rPr>
            </w:pPr>
            <w:permStart w:id="310511986" w:edGrp="everyone" w:colFirst="1" w:colLast="1"/>
            <w:permEnd w:id="11734600"/>
            <w:r w:rsidRPr="00B16706">
              <w:rPr>
                <w:rFonts w:ascii="Arial" w:hAnsi="Arial" w:cs="Arial"/>
                <w:sz w:val="18"/>
                <w:szCs w:val="20"/>
                <w:lang w:eastAsia="de-DE"/>
              </w:rPr>
              <w:t>Are you representing an association?</w:t>
            </w:r>
          </w:p>
        </w:tc>
        <w:sdt>
          <w:sdtPr>
            <w:rPr>
              <w:rFonts w:ascii="Arial" w:hAnsi="Arial" w:cs="Arial"/>
              <w:sz w:val="16"/>
              <w:szCs w:val="20"/>
              <w:lang w:eastAsia="de-DE"/>
            </w:rPr>
            <w:id w:val="-242871467"/>
            <w14:checkbox>
              <w14:checked w14:val="1"/>
              <w14:checkedState w14:val="2612" w14:font="MS Gothic"/>
              <w14:uncheckedState w14:val="2610" w14:font="MS Gothic"/>
            </w14:checkbox>
          </w:sdtPr>
          <w:sdtEndPr/>
          <w:sdtContent>
            <w:tc>
              <w:tcPr>
                <w:tcW w:w="5595" w:type="dxa"/>
              </w:tcPr>
              <w:p w14:paraId="6C4423E1" w14:textId="60670492" w:rsidR="00C85C8B" w:rsidRPr="00B16706" w:rsidRDefault="00CF52E8" w:rsidP="00C85C8B">
                <w:pPr>
                  <w:rPr>
                    <w:rFonts w:ascii="Arial" w:hAnsi="Arial" w:cs="Arial"/>
                    <w:sz w:val="16"/>
                    <w:szCs w:val="20"/>
                    <w:lang w:eastAsia="de-DE"/>
                  </w:rPr>
                </w:pPr>
                <w:r>
                  <w:rPr>
                    <w:rFonts w:ascii="MS Gothic" w:eastAsia="MS Gothic" w:hAnsi="MS Gothic" w:cs="Arial" w:hint="eastAsia"/>
                    <w:sz w:val="16"/>
                    <w:szCs w:val="20"/>
                    <w:lang w:eastAsia="de-DE"/>
                  </w:rPr>
                  <w:t>☒</w:t>
                </w:r>
              </w:p>
            </w:tc>
          </w:sdtContent>
        </w:sdt>
      </w:tr>
      <w:tr w:rsidR="00C85C8B" w:rsidRPr="00B16706" w14:paraId="41DA9EA6" w14:textId="77777777" w:rsidTr="00C16775">
        <w:tc>
          <w:tcPr>
            <w:tcW w:w="3929" w:type="dxa"/>
          </w:tcPr>
          <w:p w14:paraId="553FB597" w14:textId="77777777" w:rsidR="00C85C8B" w:rsidRPr="00B16706" w:rsidRDefault="00C85C8B" w:rsidP="00C85C8B">
            <w:pPr>
              <w:rPr>
                <w:rFonts w:ascii="Arial" w:hAnsi="Arial" w:cs="Arial"/>
                <w:sz w:val="18"/>
                <w:szCs w:val="20"/>
                <w:lang w:eastAsia="de-DE"/>
              </w:rPr>
            </w:pPr>
            <w:permStart w:id="1269442871" w:edGrp="everyone" w:colFirst="1" w:colLast="1"/>
            <w:permEnd w:id="310511986"/>
            <w:r w:rsidRPr="00B16706">
              <w:rPr>
                <w:rFonts w:ascii="Arial" w:hAnsi="Arial" w:cs="Arial"/>
                <w:sz w:val="18"/>
                <w:szCs w:val="20"/>
                <w:lang w:eastAsia="de-DE"/>
              </w:rPr>
              <w:t>Country/Region</w:t>
            </w:r>
          </w:p>
        </w:tc>
        <w:sdt>
          <w:sdtPr>
            <w:rPr>
              <w:rFonts w:ascii="Arial" w:hAnsi="Arial" w:cs="Arial"/>
              <w:sz w:val="16"/>
              <w:szCs w:val="20"/>
              <w:lang w:eastAsia="de-DE"/>
            </w:rPr>
            <w:alias w:val="Country"/>
            <w:tag w:val="Country"/>
            <w:id w:val="-403371040"/>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EndPr/>
          <w:sdtContent>
            <w:tc>
              <w:tcPr>
                <w:tcW w:w="5595" w:type="dxa"/>
              </w:tcPr>
              <w:p w14:paraId="082656BF" w14:textId="50AB1796" w:rsidR="00C85C8B" w:rsidRPr="00B16706" w:rsidRDefault="006B3CF0" w:rsidP="00C85C8B">
                <w:pPr>
                  <w:rPr>
                    <w:rFonts w:ascii="Arial" w:hAnsi="Arial" w:cs="Arial"/>
                    <w:sz w:val="16"/>
                    <w:szCs w:val="20"/>
                    <w:lang w:eastAsia="de-DE"/>
                  </w:rPr>
                </w:pPr>
                <w:r>
                  <w:rPr>
                    <w:rFonts w:ascii="Arial" w:hAnsi="Arial" w:cs="Arial"/>
                    <w:sz w:val="16"/>
                    <w:szCs w:val="20"/>
                    <w:lang w:eastAsia="de-DE"/>
                  </w:rPr>
                  <w:t>Europe</w:t>
                </w:r>
              </w:p>
            </w:tc>
          </w:sdtContent>
        </w:sdt>
      </w:tr>
      <w:permEnd w:id="1269442871"/>
    </w:tbl>
    <w:p w14:paraId="2F5D9ECE" w14:textId="77777777" w:rsidR="000C5032" w:rsidRDefault="000C5032">
      <w:pPr>
        <w:spacing w:after="120" w:line="264" w:lineRule="auto"/>
        <w:rPr>
          <w:rFonts w:asciiTheme="minorHAnsi" w:hAnsiTheme="minorHAnsi" w:cstheme="minorHAnsi"/>
          <w:b/>
          <w:sz w:val="22"/>
          <w:szCs w:val="22"/>
        </w:rPr>
      </w:pPr>
      <w:r>
        <w:rPr>
          <w:rFonts w:asciiTheme="minorHAnsi" w:hAnsiTheme="minorHAnsi" w:cstheme="minorHAnsi"/>
          <w:b/>
          <w:sz w:val="22"/>
          <w:szCs w:val="22"/>
        </w:rPr>
        <w:br w:type="page"/>
      </w:r>
    </w:p>
    <w:p w14:paraId="721779C4" w14:textId="518CE3AD" w:rsidR="009835AD" w:rsidRDefault="009835AD">
      <w:pPr>
        <w:spacing w:after="120" w:line="264" w:lineRule="auto"/>
        <w:rPr>
          <w:rFonts w:ascii="Arial" w:hAnsi="Arial" w:cs="Arial"/>
          <w:b/>
          <w:sz w:val="22"/>
          <w:szCs w:val="22"/>
          <w:lang w:val="en-US" w:eastAsia="en-US"/>
        </w:rPr>
      </w:pPr>
      <w:r w:rsidRPr="009835AD">
        <w:rPr>
          <w:rFonts w:ascii="Arial" w:hAnsi="Arial" w:cs="Arial"/>
          <w:b/>
          <w:sz w:val="22"/>
          <w:szCs w:val="22"/>
          <w:lang w:val="en-US" w:eastAsia="en-US"/>
        </w:rPr>
        <w:lastRenderedPageBreak/>
        <w:t>Questions</w:t>
      </w:r>
    </w:p>
    <w:bookmarkEnd w:id="0"/>
    <w:p w14:paraId="473708D6" w14:textId="77777777" w:rsidR="00926BDA" w:rsidRDefault="00926BDA" w:rsidP="00BF7E68">
      <w:pPr>
        <w:pStyle w:val="Questionstyle"/>
        <w:numPr>
          <w:ilvl w:val="0"/>
          <w:numId w:val="0"/>
        </w:numPr>
        <w:ind w:left="360"/>
      </w:pPr>
    </w:p>
    <w:p w14:paraId="255AD77B" w14:textId="77777777" w:rsidR="00926BDA" w:rsidRPr="00BC53D2" w:rsidRDefault="00926BDA" w:rsidP="00926BDA">
      <w:pPr>
        <w:rPr>
          <w:lang w:val="en-US"/>
        </w:rPr>
      </w:pPr>
    </w:p>
    <w:p w14:paraId="29094614" w14:textId="77777777" w:rsidR="00926BDA" w:rsidRPr="00E56247" w:rsidRDefault="00926BDA" w:rsidP="00926BDA">
      <w:pPr>
        <w:pStyle w:val="Questionstyle"/>
        <w:spacing w:before="120" w:after="120"/>
        <w:ind w:left="851" w:hanging="709"/>
      </w:pPr>
      <w:r w:rsidRPr="00E56247">
        <w:t>Do stakeholders agree with the description of the key challenges outlined above? Is there any other issue linked to multiple regulatory regimes with duplicative or inconsistent requirements that is not reflected in this section? Out of the 10 sources of costs identified in this section and the ones that you may add, what are the three main cost drivers in your view?</w:t>
      </w:r>
    </w:p>
    <w:p w14:paraId="63D2302D" w14:textId="77777777" w:rsidR="00926BDA" w:rsidRDefault="00926BDA" w:rsidP="00926BDA">
      <w:r>
        <w:t>&lt;ESMA_QUESTION_CASR_1&gt;</w:t>
      </w:r>
    </w:p>
    <w:p w14:paraId="74D2E05D" w14:textId="77777777" w:rsidR="002D5F5B" w:rsidRDefault="002D5F5B" w:rsidP="002D5F5B">
      <w:permStart w:id="785210304" w:edGrp="everyone"/>
      <w:r>
        <w:t xml:space="preserve">The International Securities Lending Association (ISLA) </w:t>
      </w:r>
      <w:r w:rsidRPr="00FA61EB">
        <w:t xml:space="preserve">is a non-profit industry association, representing the common interests of securities financing market participants across Europe, </w:t>
      </w:r>
      <w:r>
        <w:t xml:space="preserve">the </w:t>
      </w:r>
      <w:r w:rsidRPr="00FA61EB">
        <w:t>Middle East, and Africa</w:t>
      </w:r>
      <w:r>
        <w:t>, f</w:t>
      </w:r>
      <w:r w:rsidRPr="00FA61EB">
        <w:t xml:space="preserve">ocusing primarily on securities lending and borrowing activity. </w:t>
      </w:r>
      <w:r>
        <w:t xml:space="preserve">ISLA’s </w:t>
      </w:r>
      <w:r w:rsidRPr="00FA61EB">
        <w:t>geographically diverse membership of over 2</w:t>
      </w:r>
      <w:r>
        <w:t>1</w:t>
      </w:r>
      <w:r w:rsidRPr="00FA61EB">
        <w:t xml:space="preserve">0 firms includes </w:t>
      </w:r>
      <w:r>
        <w:t xml:space="preserve">a broad range of market participants engaging in SFTs including; </w:t>
      </w:r>
      <w:r w:rsidRPr="00FA61EB">
        <w:t>institutional investors, asset managers, custodial banks, prime brokers, and service providers.</w:t>
      </w:r>
      <w:r>
        <w:t xml:space="preserve"> </w:t>
      </w:r>
    </w:p>
    <w:p w14:paraId="78981F4A" w14:textId="77777777" w:rsidR="00D002B7" w:rsidRDefault="00D002B7" w:rsidP="002D5F5B"/>
    <w:p w14:paraId="58F63A2F" w14:textId="77777777" w:rsidR="002D5F5B" w:rsidRDefault="002D5F5B" w:rsidP="002D5F5B">
      <w:r>
        <w:t xml:space="preserve">ISLA’s response to the consultation will be focussed on the perspective of those subject to SFTR reporting, however we acknowledge that many of our member firms are also subject to reporting under EMIR &amp; MiFIR. </w:t>
      </w:r>
    </w:p>
    <w:p w14:paraId="21ED7084" w14:textId="77777777" w:rsidR="00D002B7" w:rsidRDefault="00D002B7" w:rsidP="002D5F5B"/>
    <w:p w14:paraId="7922F436" w14:textId="77777777" w:rsidR="002D5F5B" w:rsidRDefault="002D5F5B" w:rsidP="002D5F5B">
      <w:r>
        <w:t xml:space="preserve">ISLA members </w:t>
      </w:r>
      <w:r w:rsidRPr="005A1E5B">
        <w:t xml:space="preserve">largely </w:t>
      </w:r>
      <w:r w:rsidRPr="00B81271">
        <w:t>agree</w:t>
      </w:r>
      <w:r w:rsidRPr="005A1E5B">
        <w:t xml:space="preserve"> with the key challenges outlined by ESMA in Section 3 of the Call for Evidence. These issues resonate strongly with the specific burdens encountered in complying with </w:t>
      </w:r>
      <w:r w:rsidRPr="00C10E36">
        <w:t xml:space="preserve">SFTR </w:t>
      </w:r>
      <w:r w:rsidRPr="005A1E5B">
        <w:t>and its interaction with other regimes.</w:t>
      </w:r>
    </w:p>
    <w:p w14:paraId="53D96004" w14:textId="77777777" w:rsidR="00195519" w:rsidRDefault="00195519" w:rsidP="00195519">
      <w:r w:rsidRPr="006D545E">
        <w:t>ISLA concurs with the following critical issues:</w:t>
      </w:r>
    </w:p>
    <w:p w14:paraId="31D90DB9" w14:textId="77777777" w:rsidR="00195519" w:rsidRPr="006D545E" w:rsidRDefault="00195519" w:rsidP="00195519"/>
    <w:p w14:paraId="1D12D472" w14:textId="4797D99E" w:rsidR="00B621A7" w:rsidRDefault="00195519" w:rsidP="00195519">
      <w:r w:rsidRPr="006D545E">
        <w:rPr>
          <w:b/>
          <w:bCs/>
        </w:rPr>
        <w:t>Frequent regulatory changes and lack of flexibility/synchronisation:</w:t>
      </w:r>
      <w:r w:rsidRPr="006D545E">
        <w:t xml:space="preserve"> Even post-go-live, SFTR has seen numerous updates to its Re</w:t>
      </w:r>
      <w:r>
        <w:t>gulatory</w:t>
      </w:r>
      <w:r w:rsidRPr="006D545E">
        <w:t xml:space="preserve"> Technical Standards (RTS) and validation rules, requiring continuous adaptation, system changes, and significant resource allocation for firms handling SFTs.</w:t>
      </w:r>
      <w:r>
        <w:t xml:space="preserve"> There are also still several outstanding issues and challenges, that ISLA has raised to both ESMA and the Commission over the years since its implementation, that require both Level 1 and Level 2 changes. In July 2025, ISLA’s Regulatory Reporting Working Group compiled an updated list of outstanding SFTR challenges that can be found here [</w:t>
      </w:r>
      <w:r w:rsidR="00044630">
        <w:t>https:</w:t>
      </w:r>
      <w:r w:rsidR="00561000">
        <w:t>//www.islaemea.org/wp-content/uploads/2025/09/isla-sftr-known-issues-list.xlsx</w:t>
      </w:r>
      <w:r w:rsidR="00847589">
        <w:t>]</w:t>
      </w:r>
    </w:p>
    <w:p w14:paraId="064B7BED" w14:textId="470413CB" w:rsidR="00B621A7" w:rsidRDefault="00B03937" w:rsidP="00926BDA">
      <w:r w:rsidRPr="00096288">
        <w:rPr>
          <w:i/>
          <w:iCs/>
        </w:rPr>
        <w:t xml:space="preserve">(also added as </w:t>
      </w:r>
      <w:r>
        <w:rPr>
          <w:i/>
          <w:iCs/>
        </w:rPr>
        <w:t xml:space="preserve">an </w:t>
      </w:r>
      <w:r w:rsidRPr="00096288">
        <w:rPr>
          <w:i/>
          <w:iCs/>
        </w:rPr>
        <w:t xml:space="preserve">additional document to </w:t>
      </w:r>
      <w:r>
        <w:rPr>
          <w:i/>
          <w:iCs/>
        </w:rPr>
        <w:t xml:space="preserve">the </w:t>
      </w:r>
      <w:r w:rsidRPr="00096288">
        <w:rPr>
          <w:i/>
          <w:iCs/>
        </w:rPr>
        <w:t>submission)</w:t>
      </w:r>
      <w:r>
        <w:t>.</w:t>
      </w:r>
    </w:p>
    <w:p w14:paraId="1F2903D8" w14:textId="77777777" w:rsidR="00B621A7" w:rsidRDefault="00B621A7" w:rsidP="00926BDA"/>
    <w:p w14:paraId="4AEC42BB" w14:textId="77777777" w:rsidR="00D002B7" w:rsidRDefault="00D002B7" w:rsidP="00D002B7">
      <w:r>
        <w:t>ISLA would welcome the opportunity to discuss these with ESMA in more detail, prior to any future amendments being made to the regulation at either Level 1 or Level 2.</w:t>
      </w:r>
    </w:p>
    <w:p w14:paraId="1CABDABB" w14:textId="2D0243B5" w:rsidR="00D002B7" w:rsidRDefault="00D002B7" w:rsidP="00D002B7">
      <w:r>
        <w:t xml:space="preserve"> </w:t>
      </w:r>
    </w:p>
    <w:p w14:paraId="07F2F980" w14:textId="77777777" w:rsidR="00D002B7" w:rsidRDefault="00D002B7" w:rsidP="00F073A5">
      <w:pPr>
        <w:numPr>
          <w:ilvl w:val="0"/>
          <w:numId w:val="11"/>
        </w:numPr>
        <w:spacing w:after="160" w:line="259" w:lineRule="auto"/>
        <w:ind w:left="0"/>
      </w:pPr>
      <w:r w:rsidRPr="2FFDF73F">
        <w:rPr>
          <w:b/>
          <w:bCs/>
        </w:rPr>
        <w:t>Different terminology and definitions:</w:t>
      </w:r>
      <w:r>
        <w:t xml:space="preserve"> This is a critical challenge for SFTs. Precise and consistent drafting and interpretations are vital for fields unique to securities lending and repo, such as collateralisation type, re-use, netting set definitions, and lifecycle events. Inconsistencies within SFTR itself, and potentially with other reporting frameworks, lead to difficulties in implementation, unnecessary system development costs, reconciliation breaks, </w:t>
      </w:r>
      <w:r>
        <w:lastRenderedPageBreak/>
        <w:t xml:space="preserve">and increased compliance costs. For instance, the Level 2 of SFTR was insufficient for a reporting entity to obtain a comprehensive and unambiguous understanding of how to comply with a considerable number of reporting requirements, and as a result, a 216 page Level 3 Guidance had to be issued post the implementation date, in order to provide clarity as to completion of the tables and fields. It remains the case however, that there continues to be inconsistencies within SFTR, leading to difficulties in reporting and reconciliation. We also note that no fitness check has been carried out for SFTR. Therefore, it would be difficult without first evaluating SFTR’s fitness, to include SFTR within an approach that is designed around EMIR and focused on derivatives. </w:t>
      </w:r>
    </w:p>
    <w:p w14:paraId="0F5A5482" w14:textId="77777777" w:rsidR="00D002B7" w:rsidRPr="007C1911" w:rsidRDefault="00D002B7" w:rsidP="00F073A5">
      <w:pPr>
        <w:numPr>
          <w:ilvl w:val="0"/>
          <w:numId w:val="11"/>
        </w:numPr>
        <w:tabs>
          <w:tab w:val="clear" w:pos="720"/>
          <w:tab w:val="num" w:pos="426"/>
        </w:tabs>
        <w:spacing w:after="160" w:line="259" w:lineRule="auto"/>
        <w:ind w:left="0"/>
      </w:pPr>
      <w:r w:rsidRPr="003B0B8C">
        <w:rPr>
          <w:b/>
          <w:bCs/>
        </w:rPr>
        <w:t>Requirements to report both transaction-level and position-level data under SFTR</w:t>
      </w:r>
      <w:r>
        <w:rPr>
          <w:b/>
          <w:bCs/>
        </w:rPr>
        <w:t xml:space="preserve">: </w:t>
      </w:r>
      <w:r w:rsidRPr="00C15E09">
        <w:t xml:space="preserve">ISLA acknowledges that </w:t>
      </w:r>
      <w:r w:rsidRPr="00D71C03">
        <w:t>both transaction-level and position-level data offer</w:t>
      </w:r>
      <w:r>
        <w:t>s</w:t>
      </w:r>
      <w:r w:rsidRPr="00D71C03">
        <w:t xml:space="preserve"> distinct but complementary value for regulators.</w:t>
      </w:r>
      <w:r w:rsidRPr="00970E83">
        <w:t xml:space="preserve"> The challenge lies in the duplication and reconciliation burden of collecting highly granular transaction-level data from both sides under SFTR. While the detail is valuable for regulators, the current collection method significantly increases costs for the industry.</w:t>
      </w:r>
      <w:r>
        <w:t xml:space="preserve"> ISLA believes that </w:t>
      </w:r>
      <w:r w:rsidRPr="00970E83">
        <w:t>for the process to be truly useful and efficient for both regulators and the industry, the focus should be on streamlining the submission of this granular transaction data (e.g., through single-sided reporting or robust central reconciliation mechanisms to reduce the compliance burden, rather than eliminating one type of reporting which could lead to a loss of valuable insights. Position-level data can supplement this for broader trend analysis.</w:t>
      </w:r>
      <w:r>
        <w:t xml:space="preserve"> </w:t>
      </w:r>
    </w:p>
    <w:p w14:paraId="1768AAC3" w14:textId="77777777" w:rsidR="00D002B7" w:rsidRPr="0041274A" w:rsidRDefault="00D002B7" w:rsidP="00F073A5">
      <w:pPr>
        <w:numPr>
          <w:ilvl w:val="0"/>
          <w:numId w:val="11"/>
        </w:numPr>
        <w:spacing w:after="160" w:line="259" w:lineRule="auto"/>
        <w:ind w:left="0"/>
      </w:pPr>
      <w:r w:rsidRPr="006D545E">
        <w:rPr>
          <w:b/>
          <w:bCs/>
        </w:rPr>
        <w:t>Different reporting channels:</w:t>
      </w:r>
      <w:r w:rsidRPr="006D545E">
        <w:t xml:space="preserve"> The varied Approved Trade Repositories (TRs) and reporting mechanisms used for SFTR can create fragmented infrastructure and inefficiencies, particularly for firms operating cross-border or reporting </w:t>
      </w:r>
      <w:r>
        <w:t xml:space="preserve">multiple different </w:t>
      </w:r>
      <w:r w:rsidRPr="006D545E">
        <w:t>transaction types.</w:t>
      </w:r>
      <w:r>
        <w:rPr>
          <w:b/>
          <w:bCs/>
          <w:color w:val="FF3300"/>
        </w:rPr>
        <w:t xml:space="preserve"> </w:t>
      </w:r>
    </w:p>
    <w:p w14:paraId="256BC2C6" w14:textId="77777777" w:rsidR="00D002B7" w:rsidRDefault="00D002B7" w:rsidP="00F073A5">
      <w:pPr>
        <w:numPr>
          <w:ilvl w:val="0"/>
          <w:numId w:val="11"/>
        </w:numPr>
        <w:spacing w:after="160" w:line="259" w:lineRule="auto"/>
        <w:ind w:left="0"/>
      </w:pPr>
      <w:r w:rsidRPr="006D545E">
        <w:rPr>
          <w:b/>
          <w:bCs/>
        </w:rPr>
        <w:t>Duplication of IT systems and processes:</w:t>
      </w:r>
      <w:r w:rsidRPr="006D545E">
        <w:t xml:space="preserve"> Firms often develop and maintain dedicated, SFTR-specific IT infrastructure for data extraction, transformation, validation, and submission. These systems </w:t>
      </w:r>
      <w:r>
        <w:t>are usually not</w:t>
      </w:r>
      <w:r w:rsidRPr="006D545E">
        <w:t xml:space="preserve"> fully integrated with</w:t>
      </w:r>
      <w:r>
        <w:t>,</w:t>
      </w:r>
      <w:r w:rsidRPr="006D545E">
        <w:t xml:space="preserve"> or optimised across other reporting obligations, leading to redundant investments and higher ongoing IT maintenance costs for SFT reporting</w:t>
      </w:r>
      <w:r>
        <w:t>.</w:t>
      </w:r>
    </w:p>
    <w:p w14:paraId="321BE7CB" w14:textId="77777777" w:rsidR="00D002B7" w:rsidRPr="006D545E" w:rsidRDefault="00D002B7" w:rsidP="00F073A5">
      <w:pPr>
        <w:numPr>
          <w:ilvl w:val="0"/>
          <w:numId w:val="11"/>
        </w:numPr>
        <w:spacing w:after="160" w:line="259" w:lineRule="auto"/>
        <w:ind w:left="0"/>
      </w:pPr>
      <w:r w:rsidRPr="006D545E">
        <w:rPr>
          <w:b/>
          <w:bCs/>
        </w:rPr>
        <w:t>Dual-sided reporting obligation (under SFTR):</w:t>
      </w:r>
      <w:r w:rsidRPr="006D545E">
        <w:t xml:space="preserve"> This remains a core and particularly burdensome feature for SFTs. The requirement for both the lender and borrower (or their delegates) to report the same transaction, </w:t>
      </w:r>
      <w:r w:rsidRPr="001E75D3">
        <w:t xml:space="preserve">with overly tight reporting tolerances that are based on different source datasets, </w:t>
      </w:r>
      <w:r w:rsidRPr="006D545E">
        <w:t>followed by intensive reconciliation processes, generates substantial operational overhead and IT development costs.</w:t>
      </w:r>
    </w:p>
    <w:p w14:paraId="7398239F" w14:textId="77777777" w:rsidR="00D002B7" w:rsidRDefault="00D002B7" w:rsidP="00D002B7">
      <w:r w:rsidRPr="00EC6257">
        <w:t>Based on the challenges detailed</w:t>
      </w:r>
      <w:r>
        <w:t xml:space="preserve"> above</w:t>
      </w:r>
      <w:r w:rsidRPr="00EC6257">
        <w:t xml:space="preserve">, the </w:t>
      </w:r>
      <w:r>
        <w:t>three main</w:t>
      </w:r>
      <w:r w:rsidRPr="00EC6257">
        <w:t xml:space="preserve"> primary cost drivers for ISLA members engaging in SFTs </w:t>
      </w:r>
      <w:r>
        <w:t>have been identified as the following</w:t>
      </w:r>
      <w:r w:rsidRPr="00EC6257">
        <w:t>:</w:t>
      </w:r>
    </w:p>
    <w:p w14:paraId="055319B2" w14:textId="77777777" w:rsidR="00362DB3" w:rsidRPr="00EC6257" w:rsidRDefault="00362DB3" w:rsidP="00D002B7"/>
    <w:p w14:paraId="77D3A9D2" w14:textId="77777777" w:rsidR="00362DB3" w:rsidRPr="00EC6257" w:rsidRDefault="00362DB3" w:rsidP="00F073A5">
      <w:pPr>
        <w:numPr>
          <w:ilvl w:val="0"/>
          <w:numId w:val="12"/>
        </w:numPr>
        <w:spacing w:after="160" w:line="259" w:lineRule="auto"/>
        <w:ind w:left="0"/>
      </w:pPr>
      <w:r w:rsidRPr="2FFDF73F">
        <w:rPr>
          <w:b/>
          <w:bCs/>
        </w:rPr>
        <w:t>Dual-sided reporting obligation under SFTR:</w:t>
      </w:r>
      <w:r>
        <w:t xml:space="preserve"> This continues to be the single largest cost driver due to the inherent duplication of reporting efforts for every SFT and the extensive resources, both human and technological, required for continuous reconciliation and exception management to achieve accurate matching rates.</w:t>
      </w:r>
    </w:p>
    <w:p w14:paraId="0E26E73C" w14:textId="77777777" w:rsidR="00362DB3" w:rsidRPr="00EC6257" w:rsidRDefault="00362DB3" w:rsidP="00F073A5">
      <w:pPr>
        <w:numPr>
          <w:ilvl w:val="0"/>
          <w:numId w:val="12"/>
        </w:numPr>
        <w:spacing w:after="160" w:line="259" w:lineRule="auto"/>
        <w:ind w:left="0"/>
      </w:pPr>
      <w:r w:rsidRPr="00EC6257">
        <w:rPr>
          <w:b/>
          <w:bCs/>
        </w:rPr>
        <w:lastRenderedPageBreak/>
        <w:t>Duplication of IT systems and processes:</w:t>
      </w:r>
      <w:r w:rsidRPr="00EC6257">
        <w:t xml:space="preserve"> The need to build, maintain, and support distinct IT infrastructures and data pipelines specifically for SFTR reporting (often separate from other regulatory reporting frameworks) leads to significant and ongoing capital expenditure, operational costs for data management, and training expenses for specialised SFTR teams.</w:t>
      </w:r>
    </w:p>
    <w:p w14:paraId="0581ABB6" w14:textId="77777777" w:rsidR="00362DB3" w:rsidRDefault="00362DB3" w:rsidP="00F073A5">
      <w:pPr>
        <w:numPr>
          <w:ilvl w:val="0"/>
          <w:numId w:val="12"/>
        </w:numPr>
        <w:spacing w:after="160" w:line="259" w:lineRule="auto"/>
        <w:ind w:left="0"/>
      </w:pPr>
      <w:r w:rsidRPr="2FFDF73F">
        <w:rPr>
          <w:b/>
          <w:bCs/>
        </w:rPr>
        <w:t>Frequent regulatory changes combined with inconsistent terminology/definitions:</w:t>
      </w:r>
      <w:r>
        <w:t xml:space="preserve"> The continuous stream of ESMA Q&amp;As, validation rule updates, schema changes, and inconsistent and ambiguous Level 3 drafting, as well as at Level 2, leads to divergent interpretations of SFTR fields and necessitates constant analysis, system adjustments, and re-training. This lack of a truly stable and uniformly defined framework for SFTs creates persistent implementation difficulties, errors, and costly manual interventions, particularly for complex SFT lifecycle events. As well as imposing significant reporting burdens on reporting entities, an over complex and granular framework also results in poor or even unusable data that does not meet the supervisory objectives of authorities that SFTR was introduced to provide, namely to monitor systemic risk and interconnectedness, follow developments in markets and make informed decisions about financial stability and market integrity.</w:t>
      </w:r>
    </w:p>
    <w:p w14:paraId="5AA52076" w14:textId="77777777" w:rsidR="00362DB3" w:rsidRDefault="00362DB3" w:rsidP="00362DB3">
      <w:pPr>
        <w:rPr>
          <w:b/>
          <w:bCs/>
        </w:rPr>
      </w:pPr>
      <w:r w:rsidRPr="00654B14">
        <w:rPr>
          <w:b/>
          <w:bCs/>
        </w:rPr>
        <w:t>See other associated impacts causing additional costs:</w:t>
      </w:r>
    </w:p>
    <w:p w14:paraId="301E3726" w14:textId="77777777" w:rsidR="006B3710" w:rsidRPr="00654B14" w:rsidRDefault="006B3710" w:rsidP="00362DB3">
      <w:pPr>
        <w:rPr>
          <w:b/>
          <w:bCs/>
        </w:rPr>
      </w:pPr>
    </w:p>
    <w:p w14:paraId="0BDB2351" w14:textId="77777777" w:rsidR="00362DB3" w:rsidRDefault="00362DB3" w:rsidP="00F073A5">
      <w:pPr>
        <w:pStyle w:val="ListParagraph"/>
        <w:numPr>
          <w:ilvl w:val="0"/>
          <w:numId w:val="13"/>
        </w:numPr>
        <w:tabs>
          <w:tab w:val="clear" w:pos="0"/>
          <w:tab w:val="clear" w:pos="142"/>
          <w:tab w:val="clear" w:pos="284"/>
          <w:tab w:val="clear" w:pos="567"/>
        </w:tabs>
        <w:autoSpaceDE/>
        <w:autoSpaceDN/>
        <w:adjustRightInd/>
        <w:spacing w:after="160" w:line="259" w:lineRule="auto"/>
        <w:contextualSpacing/>
        <w:jc w:val="left"/>
        <w:rPr>
          <w:rFonts w:ascii="Calibri" w:eastAsiaTheme="minorEastAsia" w:hAnsi="Calibri" w:cs="Calibri"/>
          <w:lang w:eastAsia="zh-CN"/>
        </w:rPr>
      </w:pPr>
      <w:r w:rsidRPr="007A4158">
        <w:rPr>
          <w:b/>
          <w:bCs/>
        </w:rPr>
        <w:t>Settlement Fail Reporting:</w:t>
      </w:r>
      <w:r w:rsidRPr="007C4FDC">
        <w:rPr>
          <w:b/>
          <w:bCs/>
        </w:rPr>
        <w:t xml:space="preserve"> </w:t>
      </w:r>
      <w:r w:rsidRPr="007C4FDC">
        <w:t>The obligation to monitor and report settlement fails has caused disproportionate reporting burdens and additional associated costs. This caused the industry to come up with an ad hoc method of reporting, as this was confirmed by ESMA post the launch of SFTR. This interferes with the post-trade processes of firms for instance, fails must be reported as extensions of maturity, which then require monitoring of settlement fails for full returns. This is a severe duplication of efforts, as these events and are already monitored through other post-trade regimes such as CSDR, and is therefore deemed an unnecessary requirement to have within SFTR. ISLA would note that securities lending transacts on an actual settlement basis and not on a contractual basis. This was discussed with ESMA prior to go live however, ESMA confirmed within the Level 3 guidelines that the industry would have to adhere to a non-standard contractual process, which has had significant impacts to firms’ development and operating costs.</w:t>
      </w:r>
      <w:r w:rsidRPr="007A4158">
        <w:rPr>
          <w:rFonts w:ascii="Calibri" w:eastAsiaTheme="minorEastAsia" w:hAnsi="Calibri" w:cs="Calibri"/>
          <w:lang w:eastAsia="zh-CN"/>
        </w:rPr>
        <w:t xml:space="preserve"> </w:t>
      </w:r>
    </w:p>
    <w:p w14:paraId="70E682BC" w14:textId="77777777" w:rsidR="00362DB3" w:rsidRPr="007A4158" w:rsidRDefault="00362DB3" w:rsidP="00362DB3">
      <w:pPr>
        <w:pStyle w:val="ListParagraph"/>
        <w:numPr>
          <w:ilvl w:val="0"/>
          <w:numId w:val="0"/>
        </w:numPr>
        <w:ind w:left="720"/>
        <w:rPr>
          <w:rFonts w:ascii="Calibri" w:eastAsiaTheme="minorEastAsia" w:hAnsi="Calibri" w:cs="Calibri"/>
          <w:lang w:eastAsia="zh-CN"/>
        </w:rPr>
      </w:pPr>
    </w:p>
    <w:p w14:paraId="56325BDC" w14:textId="77777777" w:rsidR="00362DB3" w:rsidRPr="00B01CE9" w:rsidRDefault="00362DB3" w:rsidP="00F073A5">
      <w:pPr>
        <w:pStyle w:val="ListParagraph"/>
        <w:numPr>
          <w:ilvl w:val="0"/>
          <w:numId w:val="13"/>
        </w:numPr>
        <w:tabs>
          <w:tab w:val="clear" w:pos="0"/>
          <w:tab w:val="clear" w:pos="142"/>
          <w:tab w:val="clear" w:pos="284"/>
          <w:tab w:val="clear" w:pos="567"/>
        </w:tabs>
        <w:autoSpaceDE/>
        <w:autoSpaceDN/>
        <w:adjustRightInd/>
        <w:spacing w:after="160" w:line="259" w:lineRule="auto"/>
        <w:contextualSpacing/>
        <w:jc w:val="left"/>
        <w:rPr>
          <w:b/>
          <w:bCs/>
        </w:rPr>
      </w:pPr>
      <w:r w:rsidRPr="00B01CE9">
        <w:rPr>
          <w:b/>
          <w:bCs/>
        </w:rPr>
        <w:t xml:space="preserve">Back reporting: </w:t>
      </w:r>
      <w:r w:rsidRPr="007C4FDC">
        <w:t xml:space="preserve">Correct single data elements of a transaction report, rather than requiring a </w:t>
      </w:r>
      <w:r w:rsidRPr="000A50BE">
        <w:rPr>
          <w:i/>
          <w:iCs/>
        </w:rPr>
        <w:t xml:space="preserve">cancel </w:t>
      </w:r>
      <w:r w:rsidRPr="007C4FDC">
        <w:t xml:space="preserve">and </w:t>
      </w:r>
      <w:r w:rsidRPr="000A50BE">
        <w:rPr>
          <w:i/>
          <w:iCs/>
        </w:rPr>
        <w:t>new</w:t>
      </w:r>
      <w:r w:rsidRPr="007C4FDC">
        <w:t xml:space="preserve"> report being submitted.  This would allow firms to correct only the part of the report that was incorrect and reduce the cost burden on firms to correct incorrect reports.  </w:t>
      </w:r>
      <w:r>
        <w:t>Additionally, t</w:t>
      </w:r>
      <w:r w:rsidRPr="007C4FDC">
        <w:t xml:space="preserve">his would also allow firms to correct reports in a </w:t>
      </w:r>
      <w:r>
        <w:t xml:space="preserve">more </w:t>
      </w:r>
      <w:r w:rsidRPr="007C4FDC">
        <w:t>timely manner</w:t>
      </w:r>
      <w:r>
        <w:t>, r</w:t>
      </w:r>
      <w:r w:rsidRPr="00B01CE9">
        <w:t xml:space="preserve">emoving </w:t>
      </w:r>
      <w:r>
        <w:t xml:space="preserve">the </w:t>
      </w:r>
      <w:r w:rsidRPr="00B01CE9">
        <w:t xml:space="preserve">requirement to back report historical event correction. </w:t>
      </w:r>
      <w:r>
        <w:t>ISLA</w:t>
      </w:r>
      <w:r w:rsidRPr="00B01CE9">
        <w:t xml:space="preserve"> would propose that the ESMA allows firms to only back report providing the latest view of the transaction</w:t>
      </w:r>
      <w:r w:rsidRPr="007C4FDC">
        <w:t xml:space="preserve">.  Removing </w:t>
      </w:r>
      <w:r>
        <w:t xml:space="preserve">the </w:t>
      </w:r>
      <w:r w:rsidRPr="007C4FDC">
        <w:t>requirement to back report historic collateral or valuation back-reporting</w:t>
      </w:r>
      <w:r>
        <w:t>.</w:t>
      </w:r>
    </w:p>
    <w:p w14:paraId="64FAE09C" w14:textId="77777777" w:rsidR="00362DB3" w:rsidRPr="001559FE" w:rsidRDefault="00362DB3" w:rsidP="003257ED">
      <w:pPr>
        <w:pStyle w:val="ListParagraph"/>
        <w:numPr>
          <w:ilvl w:val="0"/>
          <w:numId w:val="0"/>
        </w:numPr>
        <w:ind w:left="1068"/>
        <w:rPr>
          <w:b/>
          <w:bCs/>
        </w:rPr>
      </w:pPr>
    </w:p>
    <w:p w14:paraId="0787AAC6" w14:textId="77777777" w:rsidR="00362DB3" w:rsidRPr="007C4FDC" w:rsidRDefault="00362DB3" w:rsidP="00F073A5">
      <w:pPr>
        <w:pStyle w:val="ListParagraph"/>
        <w:numPr>
          <w:ilvl w:val="0"/>
          <w:numId w:val="13"/>
        </w:numPr>
        <w:tabs>
          <w:tab w:val="clear" w:pos="0"/>
          <w:tab w:val="clear" w:pos="142"/>
          <w:tab w:val="clear" w:pos="284"/>
          <w:tab w:val="clear" w:pos="567"/>
        </w:tabs>
        <w:autoSpaceDE/>
        <w:autoSpaceDN/>
        <w:adjustRightInd/>
        <w:spacing w:after="160" w:line="259" w:lineRule="auto"/>
        <w:contextualSpacing/>
        <w:jc w:val="left"/>
      </w:pPr>
      <w:r w:rsidRPr="00F95725">
        <w:rPr>
          <w:b/>
          <w:bCs/>
        </w:rPr>
        <w:t>Removal of collateral reuse report</w:t>
      </w:r>
      <w:r>
        <w:t>: ISLA</w:t>
      </w:r>
      <w:r w:rsidRPr="007C4FDC">
        <w:t xml:space="preserve"> recommend</w:t>
      </w:r>
      <w:r>
        <w:t>s</w:t>
      </w:r>
      <w:r w:rsidRPr="007C4FDC">
        <w:t xml:space="preserve"> the removal of the collateral reuse report, which provides an estimate of the collateral available for reuse</w:t>
      </w:r>
      <w:r>
        <w:t>,</w:t>
      </w:r>
      <w:r w:rsidRPr="007C4FDC">
        <w:t xml:space="preserve"> as we believe it offers limited value as a reporting obligation.  The calculation of securities’ </w:t>
      </w:r>
      <w:r w:rsidRPr="007C4FDC">
        <w:lastRenderedPageBreak/>
        <w:t>re-usability based on the types of agreements</w:t>
      </w:r>
      <w:r>
        <w:t>,</w:t>
      </w:r>
      <w:r w:rsidRPr="007C4FDC">
        <w:t xml:space="preserve"> represents a technical and cost challenge to the industry, which is misaligned with the value of the reported data. </w:t>
      </w:r>
    </w:p>
    <w:p w14:paraId="7AAF2932" w14:textId="77777777" w:rsidR="00362DB3" w:rsidRPr="001559FE" w:rsidRDefault="00362DB3" w:rsidP="003257ED">
      <w:pPr>
        <w:pStyle w:val="ListParagraph"/>
        <w:numPr>
          <w:ilvl w:val="0"/>
          <w:numId w:val="0"/>
        </w:numPr>
        <w:ind w:left="1068"/>
        <w:rPr>
          <w:b/>
          <w:bCs/>
        </w:rPr>
      </w:pPr>
    </w:p>
    <w:p w14:paraId="2CCC5701" w14:textId="77777777" w:rsidR="00362DB3" w:rsidRPr="001559FE" w:rsidRDefault="00362DB3" w:rsidP="00F073A5">
      <w:pPr>
        <w:pStyle w:val="ListParagraph"/>
        <w:numPr>
          <w:ilvl w:val="0"/>
          <w:numId w:val="13"/>
        </w:numPr>
        <w:tabs>
          <w:tab w:val="clear" w:pos="0"/>
          <w:tab w:val="clear" w:pos="142"/>
          <w:tab w:val="clear" w:pos="284"/>
          <w:tab w:val="clear" w:pos="567"/>
        </w:tabs>
        <w:autoSpaceDE/>
        <w:autoSpaceDN/>
        <w:adjustRightInd/>
        <w:spacing w:after="160" w:line="259" w:lineRule="auto"/>
        <w:contextualSpacing/>
        <w:jc w:val="left"/>
        <w:rPr>
          <w:b/>
          <w:bCs/>
        </w:rPr>
      </w:pPr>
      <w:r w:rsidRPr="001559FE">
        <w:rPr>
          <w:b/>
          <w:bCs/>
        </w:rPr>
        <w:t>Single-sided reporting</w:t>
      </w:r>
      <w:r>
        <w:rPr>
          <w:b/>
          <w:bCs/>
        </w:rPr>
        <w:t xml:space="preserve">: </w:t>
      </w:r>
      <w:r w:rsidRPr="007C4FDC">
        <w:t>Requiring cleared, triparty and agency lending transactions to be reported by CCPs, Triparty agent</w:t>
      </w:r>
      <w:r>
        <w:t>s</w:t>
      </w:r>
      <w:r w:rsidRPr="007C4FDC">
        <w:t xml:space="preserve"> and Agent lenders will reduce compliance cost and improve data quality. Reporting firms are currently dependent on third party data for their own reporting given the dual-sided pairing and matching requirement. This would remove the dependency on matching and copying third party data from reporting firms and achieve consistency between the third part</w:t>
      </w:r>
      <w:r>
        <w:t>y</w:t>
      </w:r>
      <w:r w:rsidRPr="007C4FDC">
        <w:t>’s interpretation of the report and the report submitted.  This would allow market participants to focus on accurate, complete and timely reporting of non-cleared transactions.</w:t>
      </w:r>
      <w:r>
        <w:t xml:space="preserve">  </w:t>
      </w:r>
      <w:r w:rsidRPr="003E5013">
        <w:t>We would propose a single sided reporting model to limit the impact on firms to have to report on behalf of others and propose that ARMs, TRs and CCPs be required to support reporting for firms where they do not currently have the capability to report</w:t>
      </w:r>
      <w:r>
        <w:t xml:space="preserve">.  </w:t>
      </w:r>
      <w:r w:rsidRPr="007C4FDC">
        <w:t xml:space="preserve"> </w:t>
      </w:r>
    </w:p>
    <w:p w14:paraId="3632944F" w14:textId="77777777" w:rsidR="00362DB3" w:rsidRPr="001559FE" w:rsidRDefault="00362DB3" w:rsidP="003257ED">
      <w:pPr>
        <w:pStyle w:val="ListParagraph"/>
        <w:numPr>
          <w:ilvl w:val="0"/>
          <w:numId w:val="0"/>
        </w:numPr>
        <w:ind w:left="1068"/>
        <w:rPr>
          <w:b/>
          <w:bCs/>
        </w:rPr>
      </w:pPr>
    </w:p>
    <w:p w14:paraId="4D707776" w14:textId="77777777" w:rsidR="00362DB3" w:rsidRPr="001559FE" w:rsidRDefault="00362DB3" w:rsidP="00F073A5">
      <w:pPr>
        <w:pStyle w:val="ListParagraph"/>
        <w:numPr>
          <w:ilvl w:val="0"/>
          <w:numId w:val="13"/>
        </w:numPr>
        <w:tabs>
          <w:tab w:val="clear" w:pos="0"/>
          <w:tab w:val="clear" w:pos="142"/>
          <w:tab w:val="clear" w:pos="284"/>
          <w:tab w:val="clear" w:pos="567"/>
        </w:tabs>
        <w:autoSpaceDE/>
        <w:autoSpaceDN/>
        <w:adjustRightInd/>
        <w:spacing w:after="160" w:line="259" w:lineRule="auto"/>
        <w:contextualSpacing/>
        <w:jc w:val="left"/>
        <w:rPr>
          <w:b/>
          <w:bCs/>
        </w:rPr>
      </w:pPr>
      <w:r w:rsidRPr="001559FE">
        <w:rPr>
          <w:b/>
          <w:bCs/>
        </w:rPr>
        <w:t>Delegated reporting</w:t>
      </w:r>
      <w:r>
        <w:rPr>
          <w:b/>
          <w:bCs/>
        </w:rPr>
        <w:t xml:space="preserve"> - </w:t>
      </w:r>
      <w:r w:rsidRPr="007C4FDC">
        <w:t>Trades between Financial Counterparties (FCs) and small Non-Financial Counterparties (NFCs)</w:t>
      </w:r>
      <w:r>
        <w:t>:</w:t>
      </w:r>
      <w:r w:rsidRPr="007C4FDC">
        <w:t xml:space="preserve"> Under both EMIR and SFTR, investment firms (as FCs) are legally required to report on behalf of their NFC counterparties. Although the definition of an NFC varies slightly between the two regulations, the principle remains the same. In practice, this means that FCs submit both sides of the report, with the NFC  simply mirroring the FC</w:t>
      </w:r>
      <w:r>
        <w:t>’s</w:t>
      </w:r>
      <w:r w:rsidRPr="007C4FDC">
        <w:t xml:space="preserve"> side and being automatically generated by IT systems. Requiring firms to report both sides in such cases creates unnecessary compliance burdens, as the second report adds no substantive value.</w:t>
      </w:r>
      <w:r w:rsidRPr="00187323">
        <w:rPr>
          <w:b/>
          <w:bCs/>
        </w:rPr>
        <w:t xml:space="preserve"> </w:t>
      </w:r>
      <w:r>
        <w:rPr>
          <w:b/>
          <w:bCs/>
        </w:rPr>
        <w:t xml:space="preserve"> </w:t>
      </w:r>
    </w:p>
    <w:p w14:paraId="6EA3BEC2" w14:textId="77777777" w:rsidR="00362DB3" w:rsidRPr="001559FE" w:rsidRDefault="00362DB3" w:rsidP="003257ED">
      <w:pPr>
        <w:pStyle w:val="ListParagraph"/>
        <w:numPr>
          <w:ilvl w:val="0"/>
          <w:numId w:val="0"/>
        </w:numPr>
        <w:ind w:left="1068"/>
        <w:rPr>
          <w:b/>
          <w:bCs/>
        </w:rPr>
      </w:pPr>
    </w:p>
    <w:p w14:paraId="7B47413F" w14:textId="77777777" w:rsidR="003257ED" w:rsidRPr="003257ED" w:rsidRDefault="00362DB3" w:rsidP="00F073A5">
      <w:pPr>
        <w:pStyle w:val="ListParagraph"/>
        <w:numPr>
          <w:ilvl w:val="0"/>
          <w:numId w:val="13"/>
        </w:numPr>
        <w:tabs>
          <w:tab w:val="clear" w:pos="0"/>
          <w:tab w:val="clear" w:pos="142"/>
          <w:tab w:val="clear" w:pos="284"/>
          <w:tab w:val="clear" w:pos="567"/>
        </w:tabs>
        <w:autoSpaceDE/>
        <w:autoSpaceDN/>
        <w:adjustRightInd/>
        <w:spacing w:after="160" w:line="259" w:lineRule="auto"/>
        <w:contextualSpacing/>
        <w:jc w:val="left"/>
        <w:rPr>
          <w:b/>
          <w:bCs/>
        </w:rPr>
      </w:pPr>
      <w:r w:rsidRPr="001559FE">
        <w:rPr>
          <w:b/>
          <w:bCs/>
        </w:rPr>
        <w:t>Product reference data</w:t>
      </w:r>
      <w:r>
        <w:rPr>
          <w:b/>
          <w:bCs/>
        </w:rPr>
        <w:t xml:space="preserve">: </w:t>
      </w:r>
      <w:r w:rsidRPr="00EB7A42">
        <w:t>This</w:t>
      </w:r>
      <w:r>
        <w:rPr>
          <w:b/>
          <w:bCs/>
        </w:rPr>
        <w:t xml:space="preserve"> </w:t>
      </w:r>
      <w:r w:rsidRPr="007C4FDC">
        <w:t xml:space="preserve">is costly to maintain and reconcile across multiple sources hence </w:t>
      </w:r>
      <w:r>
        <w:t>ISLA recommends o</w:t>
      </w:r>
      <w:r w:rsidRPr="007C4FDC">
        <w:t>nly report</w:t>
      </w:r>
      <w:r>
        <w:t>ing</w:t>
      </w:r>
      <w:r w:rsidRPr="007C4FDC">
        <w:t xml:space="preserve"> a product identifier (UPI/ISIN) - In reporting regimes where there is a requirement for reporting firms to identify the derivative product via a product identifier (e.g. ISIN or UPI) and for firms to additionally populate further duplicative product related fields (e.g. Product Classification, Delivery Type, Option Type etc.) there would be benefit in removing the requirement for each individual firm to report these product-related-fields in the submission to the ARM or Trade Repository, and instead for these fields to be enriched post-submission from the reliable data source (e.g. ANNA-DSB for OTC Derivatives) at the Trade Repository. This would reduce the complexity and reporting, and reduce the risk of inconsistent reporting between similar reporting fields by reporting firms.</w:t>
      </w:r>
    </w:p>
    <w:p w14:paraId="779F1461" w14:textId="77777777" w:rsidR="003257ED" w:rsidRPr="003257ED" w:rsidRDefault="003257ED" w:rsidP="003257ED">
      <w:pPr>
        <w:pStyle w:val="ListParagraph"/>
        <w:numPr>
          <w:ilvl w:val="0"/>
          <w:numId w:val="0"/>
        </w:numPr>
        <w:ind w:left="1068"/>
        <w:rPr>
          <w:b/>
          <w:bCs/>
        </w:rPr>
      </w:pPr>
    </w:p>
    <w:p w14:paraId="51C8CB57" w14:textId="7BE71D1F" w:rsidR="00B621A7" w:rsidRDefault="00362DB3" w:rsidP="00F073A5">
      <w:pPr>
        <w:pStyle w:val="ListParagraph"/>
        <w:numPr>
          <w:ilvl w:val="0"/>
          <w:numId w:val="13"/>
        </w:numPr>
        <w:tabs>
          <w:tab w:val="clear" w:pos="0"/>
          <w:tab w:val="clear" w:pos="142"/>
          <w:tab w:val="clear" w:pos="284"/>
          <w:tab w:val="clear" w:pos="567"/>
        </w:tabs>
        <w:autoSpaceDE/>
        <w:autoSpaceDN/>
        <w:adjustRightInd/>
        <w:spacing w:after="160" w:line="259" w:lineRule="auto"/>
        <w:contextualSpacing/>
        <w:jc w:val="left"/>
      </w:pPr>
      <w:r w:rsidRPr="00E40B17">
        <w:rPr>
          <w:b/>
          <w:bCs/>
        </w:rPr>
        <w:t xml:space="preserve">Optional Fields with Reconciliation Tolerance requirements: </w:t>
      </w:r>
      <w:r w:rsidRPr="007C4FDC">
        <w:t>Remove th</w:t>
      </w:r>
      <w:r>
        <w:t xml:space="preserve">e requirement to reconcile fields that have an ‘Optional’ conditionality.  It is not comprehendible to require conditionality on fields to be populated on an </w:t>
      </w:r>
      <w:r w:rsidRPr="00E40B17">
        <w:rPr>
          <w:i/>
          <w:iCs/>
        </w:rPr>
        <w:t>optional</w:t>
      </w:r>
      <w:r>
        <w:t xml:space="preserve"> basis and set high tolerance reconciliation requirements on those optional fields.  See link to ISLA insight for impacted fields that create reconciliation challenges when the optional fields are not populated.</w:t>
      </w:r>
      <w:r w:rsidR="00E40B17">
        <w:t xml:space="preserve"> [</w:t>
      </w:r>
      <w:r w:rsidR="00E40B17" w:rsidRPr="00E40B17">
        <w:t>https://www.islaemea.org/isla-best-practice-handbook/isla-sftr-best-practices/frequently-asked-questions/known-issues/optional-sftr-fields-reconciliation-requirement/</w:t>
      </w:r>
      <w:r w:rsidR="00E40B17">
        <w:t>]</w:t>
      </w:r>
    </w:p>
    <w:p w14:paraId="0EEF089B" w14:textId="77777777" w:rsidR="00B621A7" w:rsidRDefault="00B621A7" w:rsidP="00926BDA"/>
    <w:permEnd w:id="785210304"/>
    <w:p w14:paraId="3867BD88" w14:textId="77777777" w:rsidR="00926BDA" w:rsidRDefault="00926BDA" w:rsidP="00926BDA">
      <w:r>
        <w:lastRenderedPageBreak/>
        <w:t>&lt;ESMA_QUESTION_CASR_1&gt;</w:t>
      </w:r>
    </w:p>
    <w:p w14:paraId="7EDED914" w14:textId="77777777" w:rsidR="00926BDA" w:rsidRDefault="00926BDA" w:rsidP="00926BDA"/>
    <w:p w14:paraId="463AC9D4" w14:textId="77777777" w:rsidR="00926BDA" w:rsidRDefault="00926BDA" w:rsidP="00926BDA">
      <w:pPr>
        <w:pStyle w:val="Questionstyle"/>
        <w:spacing w:before="120" w:after="120"/>
        <w:ind w:left="851" w:hanging="709"/>
      </w:pPr>
      <w:r w:rsidRPr="002E01A5">
        <w:t>Do stakeholders agree with the proposed principles and related description? Is there any other aspect/principle that should be considered?</w:t>
      </w:r>
    </w:p>
    <w:p w14:paraId="585DA3B4" w14:textId="77777777" w:rsidR="00926BDA" w:rsidRDefault="00926BDA" w:rsidP="00926BDA">
      <w:r>
        <w:t>&lt;ESMA_QUESTION_CASR_2&gt;</w:t>
      </w:r>
    </w:p>
    <w:p w14:paraId="1A1C7D77" w14:textId="77777777" w:rsidR="00946049" w:rsidRDefault="00946049" w:rsidP="00946049">
      <w:permStart w:id="545925079" w:edGrp="everyone"/>
      <w:r>
        <w:t>I</w:t>
      </w:r>
      <w:r w:rsidRPr="00300635">
        <w:t>SLA members largely agree with the four core principles identified by ESMA as forming the basis for all simplification options. These principles provide a robust and necessary framework for evaluating any proposed changes to financial transaction reporting, particularly for SFTs.</w:t>
      </w:r>
    </w:p>
    <w:p w14:paraId="44794452" w14:textId="77777777" w:rsidR="00946049" w:rsidRDefault="00946049" w:rsidP="00946049"/>
    <w:p w14:paraId="5205EE1C" w14:textId="77777777" w:rsidR="00946049" w:rsidRPr="007B0FF7" w:rsidRDefault="00946049" w:rsidP="00946049">
      <w:r w:rsidRPr="007B0FF7">
        <w:rPr>
          <w:b/>
          <w:bCs/>
        </w:rPr>
        <w:t>Preserve Information Scope:</w:t>
      </w:r>
    </w:p>
    <w:p w14:paraId="488C84A2" w14:textId="77777777" w:rsidR="00946049" w:rsidRDefault="00946049" w:rsidP="00F073A5">
      <w:pPr>
        <w:numPr>
          <w:ilvl w:val="0"/>
          <w:numId w:val="14"/>
        </w:numPr>
        <w:spacing w:after="160" w:line="259" w:lineRule="auto"/>
        <w:ind w:left="0"/>
      </w:pPr>
      <w:r w:rsidRPr="00732809">
        <w:t xml:space="preserve">ISLA agrees that any simplification should ensure the preservation of essential information required for effective supervisory oversight, financial stability monitoring, and market transparency. For SFTs, this means retaining data elements that are truly critical for understanding market activity, exposure, and risk. However, "preserving information scope" should not imply maintaining data fields that have proven to be of low utility, are excessively burdensome to produce accurately, are duplicative or even erroneous. Simplification should focus on the </w:t>
      </w:r>
      <w:r w:rsidRPr="00732809">
        <w:rPr>
          <w:i/>
          <w:iCs/>
        </w:rPr>
        <w:t>quality and utility</w:t>
      </w:r>
      <w:r w:rsidRPr="00732809">
        <w:t xml:space="preserve"> of the information obtained, rather than merely its quantity. </w:t>
      </w:r>
    </w:p>
    <w:p w14:paraId="51C91A3C" w14:textId="77777777" w:rsidR="00946049" w:rsidRDefault="00946049" w:rsidP="00946049">
      <w:pPr>
        <w:rPr>
          <w:b/>
          <w:bCs/>
        </w:rPr>
      </w:pPr>
    </w:p>
    <w:p w14:paraId="2B005267" w14:textId="77777777" w:rsidR="00946049" w:rsidRPr="007B0FF7" w:rsidRDefault="00946049" w:rsidP="00946049">
      <w:r w:rsidRPr="007B0FF7">
        <w:rPr>
          <w:b/>
          <w:bCs/>
        </w:rPr>
        <w:t>Decrease overlaps to reduce reporting burden:</w:t>
      </w:r>
    </w:p>
    <w:p w14:paraId="466614C1" w14:textId="77777777" w:rsidR="00946049" w:rsidRDefault="00946049" w:rsidP="00F073A5">
      <w:pPr>
        <w:numPr>
          <w:ilvl w:val="0"/>
          <w:numId w:val="14"/>
        </w:numPr>
        <w:spacing w:after="160" w:line="259" w:lineRule="auto"/>
        <w:ind w:left="0"/>
      </w:pPr>
      <w:r w:rsidRPr="007B0FF7">
        <w:t xml:space="preserve">This principle is of paramount importance to ISLA and its members, representing a key area where significant reporting burden can be alleviated. Duplicative reporting across different regimes (e.g., potential overlaps or inconsistencies between MiFIR and SFTR for certain SFTs, or varying national interpretations within SFTR itself) drives unnecessary costs, IT complexity, and reconciliation challenges. </w:t>
      </w:r>
      <w:r>
        <w:t xml:space="preserve">For example, </w:t>
      </w:r>
      <w:r w:rsidRPr="00DF6EF7">
        <w:t>SFTs involving EU central banks, where SFTR explicitly exempts these transactions under Article 2(3), but MiFIR's Delegated Regulation (EU) 2017/590, Article 2(5) includes them, creat</w:t>
      </w:r>
      <w:r>
        <w:t>es</w:t>
      </w:r>
      <w:r w:rsidRPr="00DF6EF7">
        <w:t xml:space="preserve"> a direct conflict and unnecessary reporting. ISLA strongly advocates for the elimination of such overlaps and inconsistencies to create a more efficient and less burdensome reporting landscape for SFTs.</w:t>
      </w:r>
      <w:r>
        <w:t xml:space="preserve"> All SFTs should be reported under the SFTR regimes only.</w:t>
      </w:r>
    </w:p>
    <w:p w14:paraId="55371A10" w14:textId="77777777" w:rsidR="00946049" w:rsidRPr="007B0FF7" w:rsidRDefault="00946049" w:rsidP="00946049">
      <w:r w:rsidRPr="007B0FF7">
        <w:rPr>
          <w:b/>
          <w:bCs/>
        </w:rPr>
        <w:t>Ensure global alignment:</w:t>
      </w:r>
    </w:p>
    <w:p w14:paraId="3DEFAB82" w14:textId="77777777" w:rsidR="00946049" w:rsidRPr="00F2680D" w:rsidRDefault="00946049" w:rsidP="00F073A5">
      <w:pPr>
        <w:numPr>
          <w:ilvl w:val="0"/>
          <w:numId w:val="15"/>
        </w:numPr>
        <w:spacing w:after="160" w:line="259" w:lineRule="auto"/>
        <w:ind w:left="0"/>
      </w:pPr>
      <w:r w:rsidRPr="007B0FF7">
        <w:t>Given the global nature of securities financing markets, achieving greater global alignment in reporting standards, definitions, and formats is fundamental. Divergences between EU SFTR and regimes in other major jurisdictions (e.g., UK SFTR</w:t>
      </w:r>
      <w:r>
        <w:t>)</w:t>
      </w:r>
      <w:r w:rsidRPr="007B0FF7">
        <w:t xml:space="preserve"> create fragmentation, increase compliance complexity for global firms, and can hinder efficient cross-border operations. </w:t>
      </w:r>
      <w:r w:rsidRPr="009B2E89">
        <w:t>For example, the US's proposed 10c-1a reporting requirement for securities lending transactions</w:t>
      </w:r>
      <w:r>
        <w:t>, that comes from the same FSB initiative as SFTR,</w:t>
      </w:r>
      <w:r w:rsidRPr="009B2E89">
        <w:t xml:space="preserve"> offers a model of a single-sided reporting regime with a significantly smaller number of </w:t>
      </w:r>
      <w:r>
        <w:t xml:space="preserve">reportable </w:t>
      </w:r>
      <w:r w:rsidRPr="009B2E89">
        <w:t xml:space="preserve">fields compared to SFTR. This approach demonstrates that effective transparency can be achieved with a lighter reporting burden. ISLA supports efforts to align with international </w:t>
      </w:r>
      <w:r>
        <w:t>standards</w:t>
      </w:r>
      <w:r w:rsidRPr="009B2E89">
        <w:t xml:space="preserve"> where feasible, facilitating a more consistent and cost-effective reporting environment</w:t>
      </w:r>
      <w:r>
        <w:t xml:space="preserve"> for firms operating and engaging in SFTs globally</w:t>
      </w:r>
      <w:r w:rsidRPr="009B2E89">
        <w:t>.</w:t>
      </w:r>
    </w:p>
    <w:p w14:paraId="2E936FF2" w14:textId="77777777" w:rsidR="00946049" w:rsidRPr="007B0FF7" w:rsidRDefault="00946049" w:rsidP="00946049">
      <w:r w:rsidRPr="007B0FF7">
        <w:rPr>
          <w:b/>
          <w:bCs/>
        </w:rPr>
        <w:lastRenderedPageBreak/>
        <w:t>Balance Cost and Benefit:</w:t>
      </w:r>
    </w:p>
    <w:p w14:paraId="693A68F5" w14:textId="77777777" w:rsidR="00946049" w:rsidRDefault="00946049" w:rsidP="00F073A5">
      <w:pPr>
        <w:numPr>
          <w:ilvl w:val="0"/>
          <w:numId w:val="16"/>
        </w:numPr>
        <w:spacing w:after="160" w:line="259" w:lineRule="auto"/>
        <w:ind w:left="0"/>
      </w:pPr>
      <w:r w:rsidRPr="007B0FF7">
        <w:t>ISLA consistently advocates for a rigorous and transparent cost-benefit analysis for all regulatory reporting requirements. For SFTs, the substantial one-off and ongoing operational and IT costs associated with SFTR (particularly driven by dual-sided reporting, IT system duplication, and constant rule changes) must be clearly outweighed by the demonstrable benefits derived by supervisors in terms of market oversight and stability. Simplification efforts should prioritise changes that yield significant, measurable cost savings for the industry while maintaining or enhancing the effectiveness and utility of the reported data for supervisory purposes over the long term. As highlighted in point 28, assessing both transition costs and long-term gains is essential for a proper balance.</w:t>
      </w:r>
      <w:r>
        <w:t xml:space="preserve"> </w:t>
      </w:r>
    </w:p>
    <w:p w14:paraId="00D97B3D" w14:textId="77777777" w:rsidR="00946049" w:rsidRDefault="00946049" w:rsidP="00946049">
      <w:r w:rsidRPr="00A568CD">
        <w:t>In addition to the four principles outlined, ISLA believes the following aspects should be explicitly considered when evaluating simplification options:</w:t>
      </w:r>
    </w:p>
    <w:p w14:paraId="422013D3" w14:textId="77777777" w:rsidR="00946049" w:rsidRPr="00A568CD" w:rsidRDefault="00946049" w:rsidP="00946049"/>
    <w:p w14:paraId="263A77E4" w14:textId="77777777" w:rsidR="000F5CE8" w:rsidRDefault="00946049" w:rsidP="00F073A5">
      <w:pPr>
        <w:numPr>
          <w:ilvl w:val="0"/>
          <w:numId w:val="17"/>
        </w:numPr>
        <w:spacing w:after="160" w:line="259" w:lineRule="auto"/>
        <w:ind w:left="0"/>
      </w:pPr>
      <w:r w:rsidRPr="00306006">
        <w:rPr>
          <w:b/>
        </w:rPr>
        <w:t>Consistent Interpretation and Enforcement by National Competent Authorities (NCAs):</w:t>
      </w:r>
      <w:r w:rsidRPr="00A568CD">
        <w:t xml:space="preserve"> Beyond harmonised rules, a principle focused on ensuring consistent interpretation and enforcement by NCAs across all Member States is crucial. Divergent national guidance or supervisory practices for SFTR, even under a harmonised EU framework, create fragmentation and an uneven playing field for cross-border firms, undermining the goal of a single market.</w:t>
      </w:r>
      <w:r>
        <w:t xml:space="preserve"> For example, across the EU, approximately 25% of trades are received by the trade repositories on a T+0 basis, and the remaining 75% on a T+1 basis, causing multiple reconciliation breaks. </w:t>
      </w:r>
    </w:p>
    <w:p w14:paraId="4BF17B9A" w14:textId="24568CFD" w:rsidR="000F2A23" w:rsidRDefault="000F5CE8" w:rsidP="00F073A5">
      <w:pPr>
        <w:numPr>
          <w:ilvl w:val="0"/>
          <w:numId w:val="17"/>
        </w:numPr>
        <w:spacing w:after="160" w:line="259" w:lineRule="auto"/>
        <w:ind w:left="0"/>
      </w:pPr>
      <w:r w:rsidRPr="00CE5DDC">
        <w:rPr>
          <w:b/>
        </w:rPr>
        <w:t>Technological Interoperability and Data Standardisation:</w:t>
      </w:r>
      <w:r w:rsidRPr="00A568CD">
        <w:t xml:space="preserve"> </w:t>
      </w:r>
      <w:r>
        <w:t xml:space="preserve">As the three reporting regimes have been created in silo, there has been no established standard way of reporting these products. </w:t>
      </w:r>
      <w:r w:rsidRPr="00A568CD">
        <w:t>While "decreasing overlaps" implies efficiency, a more explicit principle related to promoting technological interoperability and the adoption of common data models</w:t>
      </w:r>
      <w:r>
        <w:t>,</w:t>
      </w:r>
      <w:r w:rsidRPr="00A568CD">
        <w:t xml:space="preserve"> should be considered. </w:t>
      </w:r>
      <w:r w:rsidRPr="00D26989">
        <w:t>Solutions that enable machine-readable, standardised data across the entire trade lifecycle will drive more sustainable cost reductions, improve data quality, and facilitate future adaptations.</w:t>
      </w:r>
      <w:r>
        <w:t xml:space="preserve"> For true efficiency, ISLA believes that ESMA should prioritise the development and adoption of Digital Regulatory Reporting (DRR). This will r</w:t>
      </w:r>
      <w:r w:rsidRPr="00394EAF">
        <w:t>educe costs and ensure a more harmoni</w:t>
      </w:r>
      <w:r>
        <w:t>s</w:t>
      </w:r>
      <w:r w:rsidRPr="00394EAF">
        <w:t>ed framework across the EU.</w:t>
      </w:r>
      <w:r w:rsidR="00586D9E" w:rsidRPr="00586D9E">
        <w:t xml:space="preserve"> </w:t>
      </w:r>
      <w:r w:rsidR="00586D9E">
        <w:t>T</w:t>
      </w:r>
      <w:r w:rsidR="00586D9E" w:rsidRPr="00A568CD">
        <w:t xml:space="preserve">he </w:t>
      </w:r>
      <w:hyperlink r:id="rId20" w:history="1">
        <w:r w:rsidR="00586D9E" w:rsidRPr="00CE5DDC">
          <w:rPr>
            <w:rStyle w:val="Hyperlink"/>
            <w:color w:val="009999"/>
          </w:rPr>
          <w:t>FINOS Common Domain Model</w:t>
        </w:r>
      </w:hyperlink>
      <w:r w:rsidR="00586D9E" w:rsidRPr="00A568CD">
        <w:t xml:space="preserve"> that ISLA</w:t>
      </w:r>
      <w:r w:rsidR="00586D9E">
        <w:t xml:space="preserve"> (representing securities lending and borrowing), ISDA (representing derivatives) and ICMA (representing repo, reverse repo and sell/buy backs) already</w:t>
      </w:r>
      <w:r w:rsidR="00586D9E" w:rsidRPr="00A568CD">
        <w:t xml:space="preserve"> support</w:t>
      </w:r>
      <w:r w:rsidR="00586D9E">
        <w:t xml:space="preserve"> and develop, </w:t>
      </w:r>
      <w:r w:rsidR="00586D9E" w:rsidRPr="00394EAF">
        <w:t>provides a crucial foundation for this effort, offering a standardi</w:t>
      </w:r>
      <w:r w:rsidR="00586D9E">
        <w:t>s</w:t>
      </w:r>
      <w:r w:rsidR="00586D9E" w:rsidRPr="00394EAF">
        <w:t>ed, machine-readable format for financial transactions that would significantly streamline reporting obligations and reduce reconciliation breaks</w:t>
      </w:r>
      <w:r w:rsidR="00CE5DDC">
        <w:t>.</w:t>
      </w:r>
    </w:p>
    <w:permEnd w:id="545925079"/>
    <w:p w14:paraId="042B0F0C" w14:textId="77777777" w:rsidR="00926BDA" w:rsidRDefault="00926BDA" w:rsidP="00926BDA">
      <w:r>
        <w:t>&lt;ESMA_QUESTION_CASR_2&gt;</w:t>
      </w:r>
    </w:p>
    <w:p w14:paraId="02ECE67A" w14:textId="77777777" w:rsidR="00926BDA" w:rsidRDefault="00926BDA" w:rsidP="00926BDA"/>
    <w:p w14:paraId="555282C0" w14:textId="77777777" w:rsidR="00926BDA" w:rsidRDefault="00926BDA" w:rsidP="00926BDA">
      <w:pPr>
        <w:pStyle w:val="Questionstyle"/>
        <w:spacing w:before="120" w:after="120"/>
        <w:ind w:left="851" w:hanging="709"/>
      </w:pPr>
      <w:r>
        <w:t>What are the key advantages of option 1a and how do these benefits address the issues in section 3?</w:t>
      </w:r>
    </w:p>
    <w:p w14:paraId="596EF4F0" w14:textId="77777777" w:rsidR="00926BDA" w:rsidRDefault="00926BDA" w:rsidP="00926BDA">
      <w:r>
        <w:t>&lt;ESMA_QUESTION_CASR_3&gt;</w:t>
      </w:r>
    </w:p>
    <w:p w14:paraId="6B20705A" w14:textId="77777777" w:rsidR="001601C1" w:rsidRDefault="001601C1" w:rsidP="001601C1">
      <w:permStart w:id="666895774" w:edGrp="everyone"/>
      <w:r>
        <w:lastRenderedPageBreak/>
        <w:t xml:space="preserve">Although this question focusses on delineation by instrument for derivatives specifically, which, from the perspective of the remit of ISLA, we have no position on, when thinking about reporting for SFTs, </w:t>
      </w:r>
      <w:r w:rsidRPr="003A1D29">
        <w:t xml:space="preserve">ISLA </w:t>
      </w:r>
      <w:r>
        <w:t xml:space="preserve">supports </w:t>
      </w:r>
      <w:r w:rsidRPr="003A1D29">
        <w:t>the underlying logic of "delineation by instrument" and avoiding duplicative reporting</w:t>
      </w:r>
      <w:r>
        <w:t>.</w:t>
      </w:r>
    </w:p>
    <w:p w14:paraId="1408D101" w14:textId="77777777" w:rsidR="001601C1" w:rsidRDefault="001601C1" w:rsidP="001601C1"/>
    <w:p w14:paraId="568310A6" w14:textId="77777777" w:rsidR="001601C1" w:rsidRDefault="001601C1" w:rsidP="001601C1">
      <w:r>
        <w:t>For example, ISLA recently responded to the ESMA consultation</w:t>
      </w:r>
      <w:r w:rsidRPr="000E5383">
        <w:rPr>
          <w:b/>
          <w:bCs/>
          <w:color w:val="002060"/>
        </w:rPr>
        <w:t xml:space="preserve"> </w:t>
      </w:r>
      <w:r w:rsidRPr="000E5383">
        <w:t>Paper on the Review of RTS 22 on Transaction Data Reporting under Article 26 and RTS 24 on Order Book data to be maintained under Article 25 of MiFIR</w:t>
      </w:r>
      <w:r>
        <w:t>, in January 2025</w:t>
      </w:r>
      <w:r w:rsidRPr="000E5383">
        <w:t>.</w:t>
      </w:r>
      <w:r w:rsidRPr="00081C0A">
        <w:t xml:space="preserve"> </w:t>
      </w:r>
    </w:p>
    <w:p w14:paraId="35600D1A" w14:textId="77777777" w:rsidR="001601C1" w:rsidRDefault="001601C1" w:rsidP="001601C1"/>
    <w:p w14:paraId="7D229621" w14:textId="77777777" w:rsidR="001601C1" w:rsidRPr="00D40FC3" w:rsidRDefault="001601C1" w:rsidP="001601C1">
      <w:r>
        <w:t xml:space="preserve">ISLA members requested a complete exemption from reporting securities borrowing &amp; lending transactions when facing a member of the European System of Central Banks under EU MiFIR. ISLA members were somewhat confused by the requirement of aligning MiFIR fields to SFTR fields, when it would simply be more coherent to report all SFTs under EU SFTR. By having to currently report SFTs vs. members of the ESCB under EU MiFIR, and SFTs with other counterparty types under SFTR, it has created unnecessary costs for development to the industry, and bifurcation of reporting, adding no additional value to regulators. </w:t>
      </w:r>
      <w:r w:rsidRPr="00BE0E40">
        <w:t>ISLA was disappointed to see that no recommendation was made to the Commission in ESMA’s final report on this matter, which ISLA feels would be aligned to the simplification principle.</w:t>
      </w:r>
      <w:r>
        <w:t xml:space="preserve"> </w:t>
      </w:r>
    </w:p>
    <w:permEnd w:id="666895774"/>
    <w:p w14:paraId="6D0251D2" w14:textId="77777777" w:rsidR="00926BDA" w:rsidRDefault="00926BDA" w:rsidP="00926BDA">
      <w:r>
        <w:t>&lt;ESMA_QUESTION_CASR_3&gt;</w:t>
      </w:r>
    </w:p>
    <w:p w14:paraId="0D09C9FF" w14:textId="77777777" w:rsidR="00926BDA" w:rsidRDefault="00926BDA" w:rsidP="00926BDA"/>
    <w:p w14:paraId="4B96F3E8" w14:textId="77777777" w:rsidR="00926BDA" w:rsidRDefault="00926BDA" w:rsidP="00926BDA">
      <w:pPr>
        <w:pStyle w:val="Questionstyle"/>
        <w:spacing w:before="120" w:after="120"/>
        <w:ind w:left="851" w:hanging="709"/>
      </w:pPr>
      <w:r>
        <w:t>What are the key limitations and potential risks of option 1a? For example, do you consider the adaptation of the emir template to cover the data points used for market abuse surveillance as meeting the general objective of reducing the reporting burden, and why?</w:t>
      </w:r>
    </w:p>
    <w:p w14:paraId="7917F4ED" w14:textId="77777777" w:rsidR="00926BDA" w:rsidRDefault="00926BDA" w:rsidP="00926BDA">
      <w:r>
        <w:t>&lt;ESMA_QUESTION_CASR_4&gt;</w:t>
      </w:r>
    </w:p>
    <w:p w14:paraId="7D03F6B1" w14:textId="77777777" w:rsidR="006252DB" w:rsidRDefault="006252DB" w:rsidP="006252DB">
      <w:permStart w:id="1901729855" w:edGrp="everyone"/>
      <w:r w:rsidRPr="00FA03CE">
        <w:t>From the perspective of ISLA members engaged in SFTs, the primary limitation and potential risk of Option 1a ("Delineation by instrument</w:t>
      </w:r>
      <w:r>
        <w:t>”</w:t>
      </w:r>
      <w:r w:rsidRPr="00FA03CE">
        <w:t>: ETDs</w:t>
      </w:r>
      <w:r>
        <w:t xml:space="preserve"> </w:t>
      </w:r>
      <w:r w:rsidRPr="00FA03CE">
        <w:t>reported in MiFIR, OTC Derivatives in EMIR) is its narrow scope, as it does not directly address or simplify the reporting landscape for SFTs.</w:t>
      </w:r>
      <w:r w:rsidRPr="00860FF6">
        <w:t xml:space="preserve"> However, ISLA supports the principle underpinning Option 1a – namely, the delineation of instrument types to enable a single, definitive reporting regime for each. This principle is precisely what the securities financing market requires. Therefore, ISLA would propose that if Option 1a is advanced, </w:t>
      </w:r>
      <w:r>
        <w:t xml:space="preserve">the logic of </w:t>
      </w:r>
      <w:r w:rsidRPr="00860FF6">
        <w:t>its core principle</w:t>
      </w:r>
      <w:r>
        <w:t>,</w:t>
      </w:r>
      <w:r w:rsidRPr="00860FF6">
        <w:t xml:space="preserve"> of instrument</w:t>
      </w:r>
      <w:r>
        <w:t xml:space="preserve"> or product</w:t>
      </w:r>
      <w:r w:rsidRPr="00860FF6">
        <w:t xml:space="preserve">-based delineation </w:t>
      </w:r>
      <w:r>
        <w:t xml:space="preserve">should </w:t>
      </w:r>
      <w:r w:rsidRPr="00860FF6">
        <w:t>be extended to SFTs</w:t>
      </w:r>
      <w:r>
        <w:t xml:space="preserve">, so that all SFTs are reported </w:t>
      </w:r>
      <w:r w:rsidRPr="00860FF6">
        <w:t>within SFTR alone.</w:t>
      </w:r>
    </w:p>
    <w:p w14:paraId="06F17725" w14:textId="77777777" w:rsidR="00072C32" w:rsidRDefault="00072C32" w:rsidP="006252DB"/>
    <w:p w14:paraId="1C1BE388" w14:textId="46FA2F32" w:rsidR="006252DB" w:rsidRDefault="006252DB" w:rsidP="006252DB">
      <w:r w:rsidRPr="00A773A6">
        <w:t>The limitation of Option 1a, as currently conceived, is therefore a missed opportunity to apply this effective simplification strategy comprehensively across all financial instruments. Without its extension to SFTs:</w:t>
      </w:r>
    </w:p>
    <w:p w14:paraId="28AF4FF3" w14:textId="77777777" w:rsidR="00072C32" w:rsidRPr="00A773A6" w:rsidRDefault="00072C32" w:rsidP="006252DB"/>
    <w:p w14:paraId="74F49C5D" w14:textId="77777777" w:rsidR="006252DB" w:rsidRPr="00A773A6" w:rsidRDefault="006252DB" w:rsidP="00F073A5">
      <w:pPr>
        <w:numPr>
          <w:ilvl w:val="0"/>
          <w:numId w:val="18"/>
        </w:numPr>
        <w:spacing w:after="160" w:line="259" w:lineRule="auto"/>
        <w:ind w:left="0"/>
      </w:pPr>
      <w:r w:rsidRPr="00A773A6">
        <w:t>The significant and well-documented burdens faced by firms reporting SFTs under SFTR – such as the costly dual-sided reporting obligation, extensive reconciliation requirements, and the proliferation of distinct IT systems – would remain unaddressed by this option.</w:t>
      </w:r>
    </w:p>
    <w:p w14:paraId="671F9252" w14:textId="77777777" w:rsidR="006252DB" w:rsidRPr="00A773A6" w:rsidRDefault="006252DB" w:rsidP="00F073A5">
      <w:pPr>
        <w:numPr>
          <w:ilvl w:val="0"/>
          <w:numId w:val="18"/>
        </w:numPr>
        <w:spacing w:after="160" w:line="259" w:lineRule="auto"/>
        <w:ind w:left="0"/>
      </w:pPr>
      <w:r w:rsidRPr="00A773A6">
        <w:lastRenderedPageBreak/>
        <w:t>It would perpetuate existing overlaps and inconsistencies between SFTR and other reporting regimes, particularly MiFID/MiFIR. As ISLA has consistently highlighted, the fragmented regulatory landscape for SFTs creates unnecessary complexity and cost for market participants, undermining efforts towards a truly harmonised European capital market.</w:t>
      </w:r>
    </w:p>
    <w:p w14:paraId="413D3B6A" w14:textId="77777777" w:rsidR="006252DB" w:rsidRPr="00E855FA" w:rsidRDefault="006252DB" w:rsidP="006252DB">
      <w:pPr>
        <w:pStyle w:val="NormalWeb"/>
        <w:rPr>
          <w:rFonts w:asciiTheme="minorHAnsi" w:eastAsiaTheme="minorHAnsi" w:hAnsiTheme="minorHAnsi" w:cstheme="minorBidi"/>
          <w:kern w:val="2"/>
          <w:sz w:val="22"/>
          <w:szCs w:val="22"/>
          <w:lang w:eastAsia="en-US"/>
          <w14:ligatures w14:val="standardContextual"/>
        </w:rPr>
      </w:pPr>
      <w:r w:rsidRPr="00E855FA">
        <w:rPr>
          <w:rFonts w:asciiTheme="minorHAnsi" w:eastAsiaTheme="minorHAnsi" w:hAnsiTheme="minorHAnsi" w:cstheme="minorBidi"/>
          <w:kern w:val="2"/>
          <w:sz w:val="22"/>
          <w:szCs w:val="22"/>
          <w:lang w:eastAsia="en-US"/>
          <w14:ligatures w14:val="standardContextual"/>
        </w:rPr>
        <w:t>With regards to the adaptation of the SFTR template for Market Abuse Surveillance (using the analogy to the EMIR example): ISLA concurs that if the SFTR template were adapted to cover data points used for market abuse surveillance related to SFTs, and this adaptation directly led to the exclusive reporting of all SFT-related market abuse data under SFTR alone</w:t>
      </w:r>
      <w:r>
        <w:rPr>
          <w:rFonts w:asciiTheme="minorHAnsi" w:eastAsiaTheme="minorHAnsi" w:hAnsiTheme="minorHAnsi" w:cstheme="minorBidi"/>
          <w:kern w:val="2"/>
          <w:sz w:val="22"/>
          <w:szCs w:val="22"/>
          <w:lang w:eastAsia="en-US"/>
          <w14:ligatures w14:val="standardContextual"/>
        </w:rPr>
        <w:t>,</w:t>
      </w:r>
      <w:r w:rsidRPr="00E855FA">
        <w:rPr>
          <w:rFonts w:asciiTheme="minorHAnsi" w:eastAsiaTheme="minorHAnsi" w:hAnsiTheme="minorHAnsi" w:cstheme="minorBidi"/>
          <w:kern w:val="2"/>
          <w:sz w:val="22"/>
          <w:szCs w:val="22"/>
          <w:lang w:eastAsia="en-US"/>
          <w14:ligatures w14:val="standardContextual"/>
        </w:rPr>
        <w:t xml:space="preserve"> then it would unequivocally meet the general objective of significantly reducing the reporting burden. This would consolidate all SFT-related reporting into a single, comprehensive regime, thereby eliminating overlaps, streamlining compliance, and enhancing data coherence for firms.</w:t>
      </w:r>
    </w:p>
    <w:p w14:paraId="651D335D" w14:textId="77777777" w:rsidR="006252DB" w:rsidRDefault="006252DB" w:rsidP="006252DB">
      <w:r w:rsidRPr="00606A30">
        <w:t xml:space="preserve">Conversely, if such an adaptation merely meant adding more data fields to the SFTR template </w:t>
      </w:r>
      <w:r w:rsidRPr="000577CA">
        <w:t>without simultaneously removing corresponding SFT reporting obligations from other regimes like MiFID/MiFIR</w:t>
      </w:r>
      <w:r w:rsidRPr="00606A30">
        <w:t xml:space="preserve">, then it would clearly </w:t>
      </w:r>
      <w:r w:rsidRPr="000577CA">
        <w:t>not</w:t>
      </w:r>
      <w:r w:rsidRPr="00606A30">
        <w:t xml:space="preserve"> reduce the overall reporting burden. Instead, it would merely shift or even increase the granularity of reporting within SFTR, while the underlying problem of multi-regime reporting for the same instrument</w:t>
      </w:r>
      <w:r>
        <w:t>/ product</w:t>
      </w:r>
      <w:r w:rsidRPr="00606A30">
        <w:t xml:space="preserve"> type persists. For effective simplification, the addition of new data requirements must always be accompanied by the elimination of existing duplicative or redundant obligations</w:t>
      </w:r>
      <w:r>
        <w:t xml:space="preserve"> (where currently numerous SFTR fields add no reporting value at all)</w:t>
      </w:r>
      <w:r w:rsidRPr="00606A30">
        <w:t>.</w:t>
      </w:r>
    </w:p>
    <w:p w14:paraId="271C2CA6" w14:textId="229D0635" w:rsidR="00926BDA" w:rsidRDefault="00926BDA" w:rsidP="00926BDA"/>
    <w:permEnd w:id="1901729855"/>
    <w:p w14:paraId="7EE99C37" w14:textId="77777777" w:rsidR="00926BDA" w:rsidRDefault="00926BDA" w:rsidP="00926BDA">
      <w:r>
        <w:t>&lt;ESMA_QUESTION_CASR_4&gt;</w:t>
      </w:r>
    </w:p>
    <w:p w14:paraId="631AE7DC" w14:textId="77777777" w:rsidR="00926BDA" w:rsidRDefault="00926BDA" w:rsidP="00926BDA"/>
    <w:p w14:paraId="1A3DC2C2" w14:textId="77777777" w:rsidR="00926BDA" w:rsidRDefault="00926BDA" w:rsidP="00926BDA">
      <w:pPr>
        <w:pStyle w:val="Questionstyle"/>
        <w:spacing w:before="120" w:after="120"/>
        <w:ind w:left="851" w:hanging="709"/>
      </w:pPr>
      <w:r>
        <w:t>What components are missing or not adequately addressed in option 1a? Why are these elements important, and how might their inclusion change the evaluation or implementation of option 1a?</w:t>
      </w:r>
    </w:p>
    <w:p w14:paraId="4E654C2A" w14:textId="77777777" w:rsidR="00926BDA" w:rsidRDefault="00926BDA" w:rsidP="00926BDA">
      <w:r>
        <w:t>&lt;ESMA_QUESTION_CASR_5&gt;</w:t>
      </w:r>
    </w:p>
    <w:p w14:paraId="50BF4FB9" w14:textId="77777777" w:rsidR="00796EF6" w:rsidRDefault="00796EF6" w:rsidP="00796EF6">
      <w:permStart w:id="1034637762" w:edGrp="everyone"/>
      <w:r w:rsidRPr="007E437D">
        <w:t>The most significant omission in Option 1a is its exclusive focus on derivatives (ETDs and OTCs), completely leaving out SFTs from its "delineation by instrument" simplification.</w:t>
      </w:r>
      <w:r w:rsidRPr="00671A5B">
        <w:t xml:space="preserve"> SFTs represent a substantial and interconnected segment of financial markets, subject to the complex and burdensome SFTR.</w:t>
      </w:r>
      <w:r w:rsidRPr="00221530">
        <w:t xml:space="preserve"> Omitting SFTs means that a large and critical part of financial transaction reporting remains </w:t>
      </w:r>
      <w:r>
        <w:t>un-</w:t>
      </w:r>
      <w:r w:rsidRPr="00221530">
        <w:t>simplified, perpetuating fragmentation and inefficiencies across the broader market.</w:t>
      </w:r>
      <w:r w:rsidRPr="00206087">
        <w:t xml:space="preserve"> If Option 1a</w:t>
      </w:r>
      <w:r>
        <w:t>’s logic</w:t>
      </w:r>
      <w:r w:rsidRPr="00206087">
        <w:t xml:space="preserve"> w</w:t>
      </w:r>
      <w:r>
        <w:t>as</w:t>
      </w:r>
      <w:r w:rsidRPr="00206087">
        <w:t xml:space="preserve"> extended to explicitly include SFTs under the sole purview of SFTR, it would transform into a truly comprehensive and powerful instrument</w:t>
      </w:r>
      <w:r>
        <w:t>/ product</w:t>
      </w:r>
      <w:r w:rsidRPr="00206087">
        <w:t>-based delineation approach across all major transaction types. This would drastically increase its potential benefits in terms of cost savings, reporting clarity, and reduced overlaps for a significant portion of the financial industry. It would also lead to a more logical and unified reporting architecture</w:t>
      </w:r>
      <w:r>
        <w:t>.</w:t>
      </w:r>
    </w:p>
    <w:p w14:paraId="566240E0" w14:textId="77777777" w:rsidR="00796EF6" w:rsidRDefault="00796EF6" w:rsidP="00796EF6"/>
    <w:p w14:paraId="125FB4F5" w14:textId="77777777" w:rsidR="00796EF6" w:rsidRDefault="00796EF6" w:rsidP="00796EF6">
      <w:pPr>
        <w:rPr>
          <w:b/>
          <w:bCs/>
        </w:rPr>
      </w:pPr>
      <w:r w:rsidRPr="00F72693">
        <w:rPr>
          <w:b/>
          <w:bCs/>
        </w:rPr>
        <w:t>Comprehensive Data Harmonisation and Standards across Regimes:</w:t>
      </w:r>
    </w:p>
    <w:p w14:paraId="7CADDDD6" w14:textId="77777777" w:rsidR="00796EF6" w:rsidRPr="00F72693" w:rsidRDefault="00796EF6" w:rsidP="00796EF6"/>
    <w:p w14:paraId="35245BD8" w14:textId="77777777" w:rsidR="00796EF6" w:rsidRPr="00F72693" w:rsidRDefault="00796EF6" w:rsidP="00F073A5">
      <w:pPr>
        <w:numPr>
          <w:ilvl w:val="0"/>
          <w:numId w:val="19"/>
        </w:numPr>
        <w:spacing w:line="259" w:lineRule="auto"/>
        <w:ind w:left="0"/>
      </w:pPr>
      <w:r w:rsidRPr="00F72693">
        <w:rPr>
          <w:b/>
          <w:bCs/>
        </w:rPr>
        <w:t>What's missing/inadequately addressed:</w:t>
      </w:r>
      <w:r w:rsidRPr="00F72693">
        <w:t xml:space="preserve"> Option 1a primarily focuses on </w:t>
      </w:r>
      <w:r w:rsidRPr="00F72693">
        <w:rPr>
          <w:i/>
          <w:iCs/>
        </w:rPr>
        <w:t>which</w:t>
      </w:r>
      <w:r w:rsidRPr="00F72693">
        <w:t xml:space="preserve"> regime reports </w:t>
      </w:r>
      <w:r w:rsidRPr="00F72693">
        <w:rPr>
          <w:i/>
          <w:iCs/>
        </w:rPr>
        <w:t>which</w:t>
      </w:r>
      <w:r w:rsidRPr="00F72693">
        <w:t xml:space="preserve"> instrument. While this delineates scope, it does not explicitly guarantee full </w:t>
      </w:r>
      <w:r w:rsidRPr="00F72693">
        <w:lastRenderedPageBreak/>
        <w:t>harmonisation of underlying data fields, formats, and definitions for elements that are common across different reporting regimes (e.g., legal entity identifiers (LEIs), unique trade identifiers (UTIs), or common counterparty attributes).</w:t>
      </w:r>
    </w:p>
    <w:p w14:paraId="4EE4461C" w14:textId="77777777" w:rsidR="00796EF6" w:rsidRPr="00F72693" w:rsidRDefault="00796EF6" w:rsidP="00F073A5">
      <w:pPr>
        <w:numPr>
          <w:ilvl w:val="0"/>
          <w:numId w:val="19"/>
        </w:numPr>
        <w:spacing w:line="259" w:lineRule="auto"/>
        <w:ind w:left="0"/>
      </w:pPr>
      <w:r w:rsidRPr="00F72693">
        <w:rPr>
          <w:b/>
          <w:bCs/>
        </w:rPr>
        <w:t>Why important:</w:t>
      </w:r>
      <w:r w:rsidRPr="00F72693">
        <w:t xml:space="preserve"> Even with clear delineation, inconsistent definitions, or formats for common data points across SFTR, EMIR, and MiFIR create significant data transformation burdens for firms and complicate supervisory aggregation and cross-market analysis. True simplification requires an underlying layer of universal data consistency.</w:t>
      </w:r>
    </w:p>
    <w:p w14:paraId="26627571" w14:textId="77777777" w:rsidR="00796EF6" w:rsidRPr="00F72693" w:rsidRDefault="00796EF6" w:rsidP="00F073A5">
      <w:pPr>
        <w:numPr>
          <w:ilvl w:val="0"/>
          <w:numId w:val="19"/>
        </w:numPr>
        <w:spacing w:line="259" w:lineRule="auto"/>
        <w:ind w:left="0"/>
      </w:pPr>
      <w:r w:rsidRPr="00F72693">
        <w:rPr>
          <w:b/>
          <w:bCs/>
        </w:rPr>
        <w:t>How inclusion changes evaluation/implementation:</w:t>
      </w:r>
      <w:r w:rsidRPr="00F72693">
        <w:t xml:space="preserve"> Explicitly integrating principles of universal data standardisation and machine readability (e.g., consistent use of a </w:t>
      </w:r>
      <w:r>
        <w:t xml:space="preserve">standards such as the FINOS </w:t>
      </w:r>
      <w:r w:rsidRPr="00F72693">
        <w:t>CDM</w:t>
      </w:r>
      <w:r>
        <w:t xml:space="preserve">, </w:t>
      </w:r>
      <w:r w:rsidRPr="00F72693">
        <w:t xml:space="preserve">for all relevant data elements across </w:t>
      </w:r>
      <w:r w:rsidRPr="00F72693">
        <w:rPr>
          <w:i/>
          <w:iCs/>
        </w:rPr>
        <w:t>all</w:t>
      </w:r>
      <w:r w:rsidRPr="00F72693">
        <w:t xml:space="preserve"> financial transaction reporting, not just by instrument type) would </w:t>
      </w:r>
      <w:r w:rsidRPr="007C4FDC">
        <w:rPr>
          <w:b/>
          <w:bCs/>
          <w:i/>
          <w:iCs/>
        </w:rPr>
        <w:t>significantly</w:t>
      </w:r>
      <w:r w:rsidRPr="00F72693">
        <w:t xml:space="preserve"> enhance the long-term effectiveness and "future-proofing" of Option 1a</w:t>
      </w:r>
      <w:r>
        <w:t>, if the logic was extended to SFTR</w:t>
      </w:r>
      <w:r w:rsidRPr="00F72693">
        <w:t>. This would streamline data management for firms and vastly improve data usability and comparability for regulators, making the overall implementation more efficient and resilient to future changes.</w:t>
      </w:r>
    </w:p>
    <w:p w14:paraId="2A403EA7" w14:textId="77777777" w:rsidR="00796EF6" w:rsidRDefault="00796EF6" w:rsidP="00796EF6"/>
    <w:p w14:paraId="1F27D03C" w14:textId="5B4653AD" w:rsidR="00926BDA" w:rsidRDefault="00796EF6" w:rsidP="00926BDA">
      <w:r w:rsidRPr="00FE3DF5">
        <w:t>Our primary concern</w:t>
      </w:r>
      <w:r>
        <w:t>,</w:t>
      </w:r>
      <w:r w:rsidRPr="00FE3DF5">
        <w:t xml:space="preserve"> is that simplification should not lead to the creation of more data fields in each regime; instead, we advocate for a collaborative approach with regulators to identify and tailor only the truly usable fields, ensuring data relevance and reducing unnecessary burden. We see significant merit in leveraging initiatives like the Common Domain Model to drive standardisation and greater efficiency across the entire transaction lifecycle, thinking beyond just reporting regime benefits and aligning with broader digital advancements and interoperability goals, including future plans for Distributed Ledger Technology (DLT) as referenced in the SIU </w:t>
      </w:r>
      <w:r>
        <w:t>A</w:t>
      </w:r>
      <w:r w:rsidRPr="00FE3DF5">
        <w:t xml:space="preserve">ction </w:t>
      </w:r>
      <w:r>
        <w:t>P</w:t>
      </w:r>
      <w:r w:rsidRPr="00FE3DF5">
        <w:t xml:space="preserve">lan. Our aim is to work closely with regulators to ensure they receive accurate, relevant data that truly reflects market activity, enabling them to effectively identify and address potential risks to financial stability. Ultimately, ISLA envisions an "endgame" where, in line with the ambitions of the SIU, reporting is largely digitised. This would involve a shift to </w:t>
      </w:r>
      <w:r>
        <w:t xml:space="preserve">DRR - </w:t>
      </w:r>
      <w:r w:rsidRPr="00FE3DF5">
        <w:t>Digital Regulatory Reporting, through frameworks like the CDM, allowing regulators to efficiently extract the specific data they need directly, rather than firms having to push data through complex, static reporting channels.</w:t>
      </w:r>
      <w:r>
        <w:t xml:space="preserve"> </w:t>
      </w:r>
      <w:r w:rsidRPr="00FB7D93">
        <w:t>If policymakers would like market participants to invest further in improving reporting regimes, this investment should be explicitly encouraged towards digitisation of the market</w:t>
      </w:r>
      <w:r>
        <w:t>,</w:t>
      </w:r>
      <w:r w:rsidRPr="00FB7D93">
        <w:t xml:space="preserve"> rather than merely enhancing the current, often fragmented, regimes, as the latter would represent largely sunk costs for the industry.</w:t>
      </w:r>
      <w:r>
        <w:t xml:space="preserve"> ISLA notes that ESMA has already demonstrated support for the CDM through its </w:t>
      </w:r>
      <w:hyperlink r:id="rId21" w:history="1">
        <w:r w:rsidRPr="00083C6B">
          <w:rPr>
            <w:rStyle w:val="Hyperlink"/>
            <w:color w:val="009999"/>
          </w:rPr>
          <w:t>MRER (Machine Readable and Executable Reporting) proof of concept</w:t>
        </w:r>
      </w:hyperlink>
      <w:r>
        <w:t xml:space="preserve">, when it was tested against the CDM in 2022, as referenced in the Call for Evidence, under footnote 35. </w:t>
      </w:r>
    </w:p>
    <w:permEnd w:id="1034637762"/>
    <w:p w14:paraId="556C53A1" w14:textId="77777777" w:rsidR="00926BDA" w:rsidRDefault="00926BDA" w:rsidP="00926BDA">
      <w:r>
        <w:t>&lt;ESMA_QUESTION_CASR_5&gt;</w:t>
      </w:r>
    </w:p>
    <w:p w14:paraId="37D12C6B" w14:textId="77777777" w:rsidR="00926BDA" w:rsidRDefault="00926BDA" w:rsidP="00926BDA"/>
    <w:p w14:paraId="6EA1D20B" w14:textId="77777777" w:rsidR="00926BDA" w:rsidRDefault="00926BDA" w:rsidP="00926BDA">
      <w:pPr>
        <w:pStyle w:val="Questionstyle"/>
        <w:spacing w:before="120" w:after="120"/>
        <w:ind w:left="851" w:hanging="709"/>
      </w:pPr>
      <w:r>
        <w:t>What are the key advantages of option 1b and how do these benefits address the issues in section 3?</w:t>
      </w:r>
    </w:p>
    <w:p w14:paraId="5103F3A5" w14:textId="77777777" w:rsidR="00926BDA" w:rsidRDefault="00926BDA" w:rsidP="00926BDA">
      <w:r>
        <w:t>&lt;ESMA_QUESTION_CASR_6&gt;</w:t>
      </w:r>
    </w:p>
    <w:p w14:paraId="4F21FC6F" w14:textId="77777777" w:rsidR="001A3850" w:rsidRDefault="001A3850" w:rsidP="001A3850">
      <w:permStart w:id="276758894" w:edGrp="everyone"/>
      <w:r w:rsidRPr="00842CCE">
        <w:t>From the perspective of ISLA members and SFT reporting, ISLA sees no discernible advantages of Option 1b</w:t>
      </w:r>
      <w:r>
        <w:t>.</w:t>
      </w:r>
    </w:p>
    <w:permEnd w:id="276758894"/>
    <w:p w14:paraId="5FF8B2C2" w14:textId="77777777" w:rsidR="00926BDA" w:rsidRDefault="00926BDA" w:rsidP="00926BDA">
      <w:r>
        <w:t>&lt;ESMA_QUESTION_CASR_6&gt;</w:t>
      </w:r>
    </w:p>
    <w:p w14:paraId="62EE97D0" w14:textId="77777777" w:rsidR="00926BDA" w:rsidRDefault="00926BDA" w:rsidP="00926BDA"/>
    <w:p w14:paraId="7642F082" w14:textId="77777777" w:rsidR="00926BDA" w:rsidRDefault="00926BDA" w:rsidP="00926BDA">
      <w:pPr>
        <w:pStyle w:val="Questionstyle"/>
        <w:spacing w:before="120" w:after="120"/>
        <w:ind w:left="851" w:hanging="709"/>
      </w:pPr>
      <w:r>
        <w:t>What are the key limitations and potential risks of option 1b?</w:t>
      </w:r>
    </w:p>
    <w:p w14:paraId="0111A54A" w14:textId="77777777" w:rsidR="00926BDA" w:rsidRDefault="00926BDA" w:rsidP="00926BDA">
      <w:r>
        <w:t>&lt;ESMA_QUESTION_CASR_7&gt;</w:t>
      </w:r>
    </w:p>
    <w:p w14:paraId="7F0D351B" w14:textId="77777777" w:rsidR="009E53AA" w:rsidRDefault="009E53AA" w:rsidP="009E53AA">
      <w:permStart w:id="1327239170" w:edGrp="everyone"/>
      <w:r w:rsidRPr="00C72619">
        <w:t>Whil</w:t>
      </w:r>
      <w:r>
        <w:t>st ISLA</w:t>
      </w:r>
      <w:r w:rsidRPr="00C72619">
        <w:t xml:space="preserve"> acknowled</w:t>
      </w:r>
      <w:r>
        <w:t>ges</w:t>
      </w:r>
      <w:r w:rsidRPr="00C72619">
        <w:t xml:space="preserve"> the theoretical aims, ISLA members </w:t>
      </w:r>
      <w:r w:rsidRPr="001F6B7A">
        <w:t>do not</w:t>
      </w:r>
      <w:r w:rsidRPr="00C72619">
        <w:t xml:space="preserve"> support Option 1b, particularly its proposal to integrate SFTR reporting under MiFIR and EMIR. This approach presents significant limitations and risks for the securities financing market, failing to address the issues in Section 3 and indeed, creating new, </w:t>
      </w:r>
      <w:r>
        <w:t>challenges</w:t>
      </w:r>
      <w:r w:rsidRPr="00C72619">
        <w:t>:</w:t>
      </w:r>
    </w:p>
    <w:p w14:paraId="38BB49B7" w14:textId="77777777" w:rsidR="009E53AA" w:rsidRPr="00C72619" w:rsidRDefault="009E53AA" w:rsidP="009E53AA"/>
    <w:p w14:paraId="0407C388" w14:textId="77777777" w:rsidR="009E53AA" w:rsidRDefault="009E53AA" w:rsidP="00F073A5">
      <w:pPr>
        <w:numPr>
          <w:ilvl w:val="0"/>
          <w:numId w:val="20"/>
        </w:numPr>
        <w:tabs>
          <w:tab w:val="clear" w:pos="720"/>
        </w:tabs>
        <w:spacing w:line="259" w:lineRule="auto"/>
        <w:ind w:left="0"/>
        <w:rPr>
          <w:b/>
          <w:bCs/>
        </w:rPr>
      </w:pPr>
      <w:r w:rsidRPr="00C72619">
        <w:rPr>
          <w:b/>
          <w:bCs/>
        </w:rPr>
        <w:t>Fundamental Incompatibility of SFT Characteristics and Data Fields:</w:t>
      </w:r>
    </w:p>
    <w:p w14:paraId="38E4E7E9" w14:textId="77777777" w:rsidR="009E53AA" w:rsidRPr="00C72619" w:rsidRDefault="009E53AA" w:rsidP="009E53AA">
      <w:pPr>
        <w:rPr>
          <w:b/>
          <w:bCs/>
        </w:rPr>
      </w:pPr>
    </w:p>
    <w:p w14:paraId="40A1B5A1" w14:textId="77777777" w:rsidR="009E53AA" w:rsidRPr="00C72619" w:rsidRDefault="009E53AA" w:rsidP="00F073A5">
      <w:pPr>
        <w:numPr>
          <w:ilvl w:val="1"/>
          <w:numId w:val="20"/>
        </w:numPr>
        <w:spacing w:line="259" w:lineRule="auto"/>
        <w:ind w:left="0"/>
      </w:pPr>
      <w:r w:rsidRPr="00C72619">
        <w:t xml:space="preserve">The core limitation is the inherent incompatibility of SFTs with the reporting structures of MiFIR and EMIR. SFTR was specifically designed to capture the unique characteristics of SFTs, including their complex collateral arrangements, re-use provisions, specific lifecycle events (e.g., recalls, returns), and </w:t>
      </w:r>
      <w:r>
        <w:t>two</w:t>
      </w:r>
      <w:r w:rsidRPr="00C72619">
        <w:t>-sided nature. The approximately 15</w:t>
      </w:r>
      <w:r>
        <w:t>5</w:t>
      </w:r>
      <w:r w:rsidRPr="00C72619">
        <w:t xml:space="preserve"> granular data fields mandated by SFTR are tailored to these specific features, which are fundamentally different from those of </w:t>
      </w:r>
      <w:r>
        <w:t xml:space="preserve">other securities transactions and </w:t>
      </w:r>
      <w:r w:rsidRPr="00C72619">
        <w:t>derivatives</w:t>
      </w:r>
      <w:r>
        <w:t>,</w:t>
      </w:r>
      <w:r w:rsidRPr="00C72619">
        <w:t xml:space="preserve"> covered by MiFIR and EMIR.</w:t>
      </w:r>
    </w:p>
    <w:p w14:paraId="16C1AF1E" w14:textId="77777777" w:rsidR="009E53AA" w:rsidRDefault="009E53AA" w:rsidP="00F073A5">
      <w:pPr>
        <w:numPr>
          <w:ilvl w:val="1"/>
          <w:numId w:val="20"/>
        </w:numPr>
        <w:spacing w:line="259" w:lineRule="auto"/>
        <w:ind w:left="0"/>
      </w:pPr>
      <w:r w:rsidRPr="00C72619">
        <w:t>Forcing SFT data into MiFIR or EMIR templates would be a highly complex, inefficient, and ultimately distorting exercise. It would necessitate a substantial "translation" and "mapping" effort that would likely lead to a loss of critical SFT-specific information, compromise data quality, and fail to provide regulators with the accurate, detailed insights into markets that SFTR currently aims to deliver. This would exacerbate Issue 3 ("Different terminology and definitions") from Section 3, rather than resolving it.</w:t>
      </w:r>
    </w:p>
    <w:p w14:paraId="1F67CC45" w14:textId="77777777" w:rsidR="009E53AA" w:rsidRDefault="009E53AA" w:rsidP="00F073A5">
      <w:pPr>
        <w:numPr>
          <w:ilvl w:val="1"/>
          <w:numId w:val="20"/>
        </w:numPr>
        <w:spacing w:line="259" w:lineRule="auto"/>
        <w:ind w:left="0"/>
      </w:pPr>
      <w:r>
        <w:t>ISLA has performed an exercise to outline the core differences in fields between:</w:t>
      </w:r>
    </w:p>
    <w:p w14:paraId="6C1439A6" w14:textId="77777777" w:rsidR="009E53AA" w:rsidRDefault="009E53AA" w:rsidP="00F073A5">
      <w:pPr>
        <w:numPr>
          <w:ilvl w:val="2"/>
          <w:numId w:val="20"/>
        </w:numPr>
        <w:spacing w:line="259" w:lineRule="auto"/>
      </w:pPr>
      <w:hyperlink r:id="rId22" w:history="1">
        <w:r w:rsidRPr="00723E8E">
          <w:rPr>
            <w:rStyle w:val="Hyperlink"/>
          </w:rPr>
          <w:t>SFTR &amp; EMIR</w:t>
        </w:r>
      </w:hyperlink>
      <w:r>
        <w:t xml:space="preserve"> </w:t>
      </w:r>
    </w:p>
    <w:p w14:paraId="5EF47330" w14:textId="77777777" w:rsidR="009E53AA" w:rsidRDefault="009E53AA" w:rsidP="00F073A5">
      <w:pPr>
        <w:numPr>
          <w:ilvl w:val="2"/>
          <w:numId w:val="20"/>
        </w:numPr>
        <w:spacing w:line="259" w:lineRule="auto"/>
      </w:pPr>
      <w:hyperlink r:id="rId23" w:history="1">
        <w:r w:rsidRPr="00723E8E">
          <w:rPr>
            <w:rStyle w:val="Hyperlink"/>
          </w:rPr>
          <w:t>SFTR &amp; MiFIR</w:t>
        </w:r>
      </w:hyperlink>
      <w:r>
        <w:t xml:space="preserve"> </w:t>
      </w:r>
    </w:p>
    <w:p w14:paraId="62F3E934" w14:textId="77777777" w:rsidR="009E53AA" w:rsidRPr="00C72619" w:rsidRDefault="009E53AA" w:rsidP="00F073A5">
      <w:pPr>
        <w:numPr>
          <w:ilvl w:val="2"/>
          <w:numId w:val="20"/>
        </w:numPr>
        <w:spacing w:line="259" w:lineRule="auto"/>
      </w:pPr>
      <w:hyperlink r:id="rId24" w:history="1">
        <w:r w:rsidRPr="00F563CB">
          <w:rPr>
            <w:rStyle w:val="Hyperlink"/>
          </w:rPr>
          <w:t>EMIR &amp; MiFIR</w:t>
        </w:r>
      </w:hyperlink>
      <w:r>
        <w:t xml:space="preserve"> </w:t>
      </w:r>
    </w:p>
    <w:p w14:paraId="424657E4" w14:textId="77777777" w:rsidR="009E53AA" w:rsidRDefault="009E53AA" w:rsidP="009E53AA">
      <w:pPr>
        <w:rPr>
          <w:b/>
          <w:bCs/>
          <w:color w:val="006666"/>
        </w:rPr>
      </w:pPr>
    </w:p>
    <w:p w14:paraId="1FA6A42A" w14:textId="77777777" w:rsidR="009E53AA" w:rsidRDefault="009E53AA" w:rsidP="00F073A5">
      <w:pPr>
        <w:pStyle w:val="ListParagraph"/>
        <w:numPr>
          <w:ilvl w:val="0"/>
          <w:numId w:val="20"/>
        </w:numPr>
        <w:tabs>
          <w:tab w:val="clear" w:pos="0"/>
          <w:tab w:val="clear" w:pos="142"/>
          <w:tab w:val="clear" w:pos="284"/>
          <w:tab w:val="clear" w:pos="567"/>
        </w:tabs>
        <w:autoSpaceDE/>
        <w:autoSpaceDN/>
        <w:adjustRightInd/>
        <w:spacing w:line="259" w:lineRule="auto"/>
        <w:ind w:left="0"/>
        <w:contextualSpacing/>
        <w:jc w:val="left"/>
        <w:rPr>
          <w:b/>
          <w:bCs/>
        </w:rPr>
      </w:pPr>
      <w:r w:rsidRPr="003149D1">
        <w:rPr>
          <w:b/>
          <w:bCs/>
        </w:rPr>
        <w:t>Prohibitive Costs with No Material Benefit for the Industry:</w:t>
      </w:r>
    </w:p>
    <w:p w14:paraId="56F4AD08" w14:textId="77777777" w:rsidR="009E53AA" w:rsidRPr="003149D1" w:rsidRDefault="009E53AA" w:rsidP="009E53AA">
      <w:pPr>
        <w:pStyle w:val="ListParagraph"/>
        <w:numPr>
          <w:ilvl w:val="0"/>
          <w:numId w:val="0"/>
        </w:numPr>
        <w:rPr>
          <w:b/>
          <w:bCs/>
        </w:rPr>
      </w:pPr>
    </w:p>
    <w:p w14:paraId="039EFA94" w14:textId="77777777" w:rsidR="009E53AA" w:rsidRDefault="009E53AA" w:rsidP="00F073A5">
      <w:pPr>
        <w:numPr>
          <w:ilvl w:val="1"/>
          <w:numId w:val="20"/>
        </w:numPr>
        <w:spacing w:line="259" w:lineRule="auto"/>
        <w:ind w:left="0"/>
      </w:pPr>
      <w:r w:rsidRPr="009327A4">
        <w:t>Implementing this integration for SFTR would impose a huge, additional, and entirely unjustified cost to the industry. Firms have already invested heavily in building robust, dedicated SFTR reporting infrastructures and processes. Migrating SFTR reporting to MiFIR and EMIR would render these past investments largely sunk costs, requiring a complete re-platforming of systems, new data aggregation and mapping logic</w:t>
      </w:r>
      <w:r>
        <w:t xml:space="preserve"> and </w:t>
      </w:r>
      <w:r w:rsidRPr="009327A4">
        <w:t>extensive staff retraining</w:t>
      </w:r>
      <w:r>
        <w:t>.</w:t>
      </w:r>
      <w:r w:rsidRPr="009327A4">
        <w:t xml:space="preserve"> </w:t>
      </w:r>
    </w:p>
    <w:p w14:paraId="04FFBE1C" w14:textId="77777777" w:rsidR="009E53AA" w:rsidRPr="009327A4" w:rsidRDefault="009E53AA" w:rsidP="009E53AA"/>
    <w:p w14:paraId="622CF071" w14:textId="77777777" w:rsidR="009E53AA" w:rsidRDefault="009E53AA" w:rsidP="00F073A5">
      <w:pPr>
        <w:numPr>
          <w:ilvl w:val="1"/>
          <w:numId w:val="20"/>
        </w:numPr>
        <w:spacing w:line="259" w:lineRule="auto"/>
        <w:ind w:left="0"/>
      </w:pPr>
      <w:r w:rsidRPr="009327A4">
        <w:t>Crucially, these colossal investments would yield no material benefit in terms of reduced regulatory burden or improved market efficiency for SFTs. Instead, firms would face increased complexity, operational risk during transition, and a likely degradation of data quality due to the forced fit of SFT data into unsuitable frameworks. This fundamentally violates the "Balance Cost and Benefit" principle and would exacerbate Issue 9 ("Duplication of IT systems and processes") by forcing a rebuilding rather than consolidation.</w:t>
      </w:r>
    </w:p>
    <w:p w14:paraId="711108B2" w14:textId="77777777" w:rsidR="009E53AA" w:rsidRPr="009327A4" w:rsidRDefault="009E53AA" w:rsidP="009E53AA"/>
    <w:p w14:paraId="35879937" w14:textId="77777777" w:rsidR="009E53AA" w:rsidRDefault="009E53AA" w:rsidP="00F073A5">
      <w:pPr>
        <w:pStyle w:val="ListParagraph"/>
        <w:numPr>
          <w:ilvl w:val="0"/>
          <w:numId w:val="20"/>
        </w:numPr>
        <w:tabs>
          <w:tab w:val="clear" w:pos="0"/>
          <w:tab w:val="clear" w:pos="142"/>
          <w:tab w:val="clear" w:pos="284"/>
          <w:tab w:val="clear" w:pos="567"/>
        </w:tabs>
        <w:autoSpaceDE/>
        <w:autoSpaceDN/>
        <w:adjustRightInd/>
        <w:spacing w:line="259" w:lineRule="auto"/>
        <w:ind w:left="0"/>
        <w:contextualSpacing/>
        <w:jc w:val="left"/>
        <w:rPr>
          <w:b/>
          <w:bCs/>
        </w:rPr>
      </w:pPr>
      <w:r w:rsidRPr="00191D15">
        <w:rPr>
          <w:b/>
          <w:bCs/>
        </w:rPr>
        <w:t>Dilution of SFT-Specific Supervisory Focus:</w:t>
      </w:r>
    </w:p>
    <w:p w14:paraId="2E0D92E5" w14:textId="77777777" w:rsidR="009E53AA" w:rsidRPr="00191D15" w:rsidRDefault="009E53AA" w:rsidP="009E53AA">
      <w:pPr>
        <w:pStyle w:val="ListParagraph"/>
        <w:numPr>
          <w:ilvl w:val="0"/>
          <w:numId w:val="0"/>
        </w:numPr>
        <w:rPr>
          <w:b/>
          <w:bCs/>
        </w:rPr>
      </w:pPr>
    </w:p>
    <w:p w14:paraId="59C932B5" w14:textId="77777777" w:rsidR="009E53AA" w:rsidRPr="00E23FE0" w:rsidRDefault="009E53AA" w:rsidP="00F073A5">
      <w:pPr>
        <w:numPr>
          <w:ilvl w:val="1"/>
          <w:numId w:val="20"/>
        </w:numPr>
        <w:spacing w:line="259" w:lineRule="auto"/>
        <w:ind w:left="0"/>
      </w:pPr>
      <w:r w:rsidRPr="00E23FE0">
        <w:t xml:space="preserve">SFTR was introduced precisely to provide a dedicated and granular view of the securities financing market, essential for monitoring </w:t>
      </w:r>
      <w:r>
        <w:t>systemic risks and interconnectedness</w:t>
      </w:r>
      <w:r w:rsidRPr="00E23FE0">
        <w:t>, particularly following the 2008 financial crisis. Integrating SFTR data into broader MiFIR or EMIR regimes risks diluting this specific supervisory focus. It could make it harder for regulators to extract and analyse the bespoke SFT data required for targeted insights into liquidity</w:t>
      </w:r>
      <w:r>
        <w:t xml:space="preserve"> </w:t>
      </w:r>
      <w:r w:rsidRPr="00E23FE0">
        <w:t xml:space="preserve">and </w:t>
      </w:r>
      <w:r>
        <w:t xml:space="preserve">any potential </w:t>
      </w:r>
      <w:r w:rsidRPr="00E23FE0">
        <w:t>systemic risk with these instruments.</w:t>
      </w:r>
    </w:p>
    <w:p w14:paraId="16AB2997" w14:textId="77777777" w:rsidR="009E53AA" w:rsidRDefault="009E53AA" w:rsidP="009E53AA">
      <w:pPr>
        <w:rPr>
          <w:b/>
          <w:bCs/>
          <w:color w:val="006666"/>
        </w:rPr>
      </w:pPr>
    </w:p>
    <w:p w14:paraId="28EC0966" w14:textId="59B9807A" w:rsidR="009E53AA" w:rsidRDefault="009E53AA" w:rsidP="00926BDA">
      <w:r w:rsidRPr="00501AFF">
        <w:t xml:space="preserve">In conclusion, </w:t>
      </w:r>
      <w:r>
        <w:t>the</w:t>
      </w:r>
      <w:r w:rsidRPr="00501AFF">
        <w:t xml:space="preserve"> proposed extension to integrate SFTR under MiFIR and EMIR represents a disproportionate cost for the industry with no tangible benefit, and would ultimately undermine the effectiveness of SFT data for supervisory purposes, thus failing to address the core issues of simplification.</w:t>
      </w:r>
      <w:r>
        <w:t xml:space="preserve">  The industry has firsthand experience of trying to fit an SFT into a MiFIR template for example, when an SFT is transacted versus a member of the European System of Central Banks as outlined in response to earlier questions. It was found that only new trades and cancellations could be reported using the MiFIR template, as there was no way to report the maturity or termination of trades, as the fields were not granular enough. As previously mentioned, the MiFIR template is limited for the SFT product.</w:t>
      </w:r>
    </w:p>
    <w:permEnd w:id="1327239170"/>
    <w:p w14:paraId="72CB5113" w14:textId="77777777" w:rsidR="00926BDA" w:rsidRDefault="00926BDA" w:rsidP="00926BDA">
      <w:r>
        <w:t>&lt;ESMA_QUESTION_CASR_7&gt;</w:t>
      </w:r>
    </w:p>
    <w:p w14:paraId="7CF24983" w14:textId="77777777" w:rsidR="00926BDA" w:rsidRDefault="00926BDA" w:rsidP="00926BDA"/>
    <w:p w14:paraId="75FB15B5" w14:textId="77777777" w:rsidR="00926BDA" w:rsidRDefault="00926BDA" w:rsidP="00926BDA">
      <w:pPr>
        <w:pStyle w:val="Questionstyle"/>
        <w:spacing w:before="120" w:after="120"/>
        <w:ind w:left="851" w:hanging="709"/>
      </w:pPr>
      <w:r>
        <w:t>What components are missing or not adequately addressed in option 1b? Why are these elements important, and how might their inclusion change the evaluation or implementation of option 1b?</w:t>
      </w:r>
    </w:p>
    <w:p w14:paraId="3C7CA8FB" w14:textId="77777777" w:rsidR="00926BDA" w:rsidRDefault="00926BDA" w:rsidP="00926BDA">
      <w:r>
        <w:t>&lt;ESMA_QUESTION_CASR_8&gt;</w:t>
      </w:r>
    </w:p>
    <w:p w14:paraId="4DCA27D0" w14:textId="77777777" w:rsidR="008B73BE" w:rsidRPr="00730032" w:rsidRDefault="008B73BE" w:rsidP="008B73BE">
      <w:permStart w:id="275065348" w:edGrp="everyone"/>
      <w:r w:rsidRPr="00730032">
        <w:t>Beyond the fundamental incompatibility and disproportionate costs, Option 1b also critically overlooks or inadequately addresses the following elements, which are vital for any meaningful simplification of financial transaction reporting:</w:t>
      </w:r>
    </w:p>
    <w:p w14:paraId="5F662C81" w14:textId="77777777" w:rsidR="008B73BE" w:rsidRDefault="008B73BE" w:rsidP="008B73BE">
      <w:pPr>
        <w:tabs>
          <w:tab w:val="num" w:pos="720"/>
        </w:tabs>
      </w:pPr>
    </w:p>
    <w:p w14:paraId="6DC637D0" w14:textId="77777777" w:rsidR="008B73BE" w:rsidRDefault="008B73BE" w:rsidP="00F073A5">
      <w:pPr>
        <w:pStyle w:val="ListParagraph"/>
        <w:numPr>
          <w:ilvl w:val="1"/>
          <w:numId w:val="15"/>
        </w:numPr>
        <w:tabs>
          <w:tab w:val="clear" w:pos="0"/>
          <w:tab w:val="clear" w:pos="142"/>
          <w:tab w:val="clear" w:pos="284"/>
          <w:tab w:val="clear" w:pos="567"/>
          <w:tab w:val="num" w:pos="720"/>
        </w:tabs>
        <w:autoSpaceDE/>
        <w:autoSpaceDN/>
        <w:adjustRightInd/>
        <w:spacing w:line="259" w:lineRule="auto"/>
        <w:ind w:left="0"/>
        <w:contextualSpacing/>
        <w:jc w:val="left"/>
        <w:rPr>
          <w:b/>
          <w:bCs/>
        </w:rPr>
      </w:pPr>
      <w:r w:rsidRPr="00686F02">
        <w:rPr>
          <w:b/>
          <w:bCs/>
        </w:rPr>
        <w:t>Regulatory Certainty and Transition Risk:</w:t>
      </w:r>
    </w:p>
    <w:p w14:paraId="6858166E" w14:textId="77777777" w:rsidR="008B73BE" w:rsidRPr="00686F02" w:rsidRDefault="008B73BE" w:rsidP="008B73BE">
      <w:pPr>
        <w:pStyle w:val="ListParagraph"/>
        <w:numPr>
          <w:ilvl w:val="0"/>
          <w:numId w:val="0"/>
        </w:numPr>
        <w:rPr>
          <w:b/>
          <w:bCs/>
        </w:rPr>
      </w:pPr>
    </w:p>
    <w:p w14:paraId="16615B25" w14:textId="77777777" w:rsidR="008B73BE" w:rsidRDefault="008B73BE" w:rsidP="008B73BE">
      <w:pPr>
        <w:tabs>
          <w:tab w:val="num" w:pos="1440"/>
        </w:tabs>
      </w:pPr>
      <w:r w:rsidRPr="00730032">
        <w:rPr>
          <w:b/>
          <w:bCs/>
        </w:rPr>
        <w:t>What's missing/inadequately addressed</w:t>
      </w:r>
      <w:r w:rsidRPr="00730032">
        <w:t>: Option 1b fails to account for the immense regulatory uncertainty and the profound transition risk involved in dismantling an established and live reporting regime like SFTR and attempting to integrate it into others. The proposal does not provide a clear roadmap or acknowledge the scale of the change required.</w:t>
      </w:r>
    </w:p>
    <w:p w14:paraId="2FF26479" w14:textId="77777777" w:rsidR="008B73BE" w:rsidRPr="00730032" w:rsidRDefault="008B73BE" w:rsidP="008B73BE">
      <w:pPr>
        <w:tabs>
          <w:tab w:val="num" w:pos="1440"/>
        </w:tabs>
      </w:pPr>
    </w:p>
    <w:p w14:paraId="01053B1F" w14:textId="77777777" w:rsidR="008B73BE" w:rsidRDefault="008B73BE" w:rsidP="008B73BE">
      <w:pPr>
        <w:tabs>
          <w:tab w:val="num" w:pos="1440"/>
        </w:tabs>
      </w:pPr>
      <w:r w:rsidRPr="00730032">
        <w:rPr>
          <w:b/>
          <w:bCs/>
        </w:rPr>
        <w:t>Why important:</w:t>
      </w:r>
      <w:r w:rsidRPr="00730032">
        <w:t xml:space="preserve"> Regulatory certainty is paramount for market participants to ensure compliance and avoid disruption. Such a drastic overhaul would inevitably entail years of revisions. This prolonged period of uncertainty </w:t>
      </w:r>
      <w:r>
        <w:t>c</w:t>
      </w:r>
      <w:r w:rsidRPr="00730032">
        <w:t xml:space="preserve">ould lead to increased operational risk, and the potential for regulatory penalties due to a perpetually moving target. </w:t>
      </w:r>
    </w:p>
    <w:p w14:paraId="40B9BA7A" w14:textId="77777777" w:rsidR="008B73BE" w:rsidRDefault="008B73BE" w:rsidP="008B73BE">
      <w:pPr>
        <w:tabs>
          <w:tab w:val="num" w:pos="1440"/>
        </w:tabs>
      </w:pPr>
    </w:p>
    <w:p w14:paraId="3033A63A" w14:textId="77777777" w:rsidR="008B73BE" w:rsidRDefault="008B73BE" w:rsidP="008B73BE">
      <w:pPr>
        <w:tabs>
          <w:tab w:val="num" w:pos="1440"/>
        </w:tabs>
      </w:pPr>
      <w:r w:rsidRPr="00BA3DF1">
        <w:rPr>
          <w:b/>
          <w:bCs/>
        </w:rPr>
        <w:t>How inclusion changes evaluation/implementation:</w:t>
      </w:r>
      <w:r w:rsidRPr="00BA3DF1">
        <w:t xml:space="preserve"> A proper assessment must factor in the unquantifiable transition costs and the severe disruption to ongoing reporting. The inherent complexity and risk associated with such an overhaul would dramatically diminish any </w:t>
      </w:r>
      <w:r w:rsidRPr="00BA3DF1">
        <w:lastRenderedPageBreak/>
        <w:t>perceived theoretical benefits</w:t>
      </w:r>
      <w:r>
        <w:t xml:space="preserve"> in the short term</w:t>
      </w:r>
      <w:r w:rsidRPr="00BA3DF1">
        <w:t>, making Option 1b impractical and undesirable to implement from an industry perspective</w:t>
      </w:r>
      <w:r>
        <w:t>.</w:t>
      </w:r>
    </w:p>
    <w:p w14:paraId="487CBE16" w14:textId="77777777" w:rsidR="008B73BE" w:rsidRDefault="008B73BE" w:rsidP="008B73BE">
      <w:pPr>
        <w:tabs>
          <w:tab w:val="num" w:pos="1440"/>
        </w:tabs>
      </w:pPr>
    </w:p>
    <w:p w14:paraId="7495229D" w14:textId="77777777" w:rsidR="008B73BE" w:rsidRDefault="008B73BE" w:rsidP="00F073A5">
      <w:pPr>
        <w:pStyle w:val="ListParagraph"/>
        <w:numPr>
          <w:ilvl w:val="1"/>
          <w:numId w:val="15"/>
        </w:numPr>
        <w:tabs>
          <w:tab w:val="clear" w:pos="0"/>
          <w:tab w:val="clear" w:pos="142"/>
          <w:tab w:val="clear" w:pos="284"/>
          <w:tab w:val="clear" w:pos="567"/>
          <w:tab w:val="num" w:pos="720"/>
        </w:tabs>
        <w:autoSpaceDE/>
        <w:autoSpaceDN/>
        <w:adjustRightInd/>
        <w:spacing w:line="259" w:lineRule="auto"/>
        <w:ind w:left="0"/>
        <w:contextualSpacing/>
        <w:jc w:val="left"/>
        <w:rPr>
          <w:b/>
          <w:bCs/>
        </w:rPr>
      </w:pPr>
      <w:r w:rsidRPr="00EA7F16">
        <w:rPr>
          <w:b/>
          <w:bCs/>
        </w:rPr>
        <w:t>Inherent Risk of Data Quality Deterioration and Loss of Granularity for SFTs:</w:t>
      </w:r>
    </w:p>
    <w:p w14:paraId="185DCBF6" w14:textId="77777777" w:rsidR="008B73BE" w:rsidRPr="00EA7F16" w:rsidRDefault="008B73BE" w:rsidP="008B73BE">
      <w:pPr>
        <w:pStyle w:val="NormalWeb"/>
        <w:rPr>
          <w:rFonts w:asciiTheme="minorHAnsi" w:hAnsiTheme="minorHAnsi"/>
          <w:sz w:val="22"/>
          <w:szCs w:val="22"/>
        </w:rPr>
      </w:pPr>
      <w:r w:rsidRPr="00EA7F16">
        <w:rPr>
          <w:rFonts w:asciiTheme="minorHAnsi" w:hAnsiTheme="minorHAnsi"/>
          <w:b/>
          <w:bCs/>
          <w:sz w:val="22"/>
          <w:szCs w:val="22"/>
        </w:rPr>
        <w:t>What's missing/inadequately addressed:</w:t>
      </w:r>
      <w:r w:rsidRPr="00EA7F16">
        <w:rPr>
          <w:rFonts w:asciiTheme="minorHAnsi" w:hAnsiTheme="minorHAnsi"/>
          <w:sz w:val="22"/>
          <w:szCs w:val="22"/>
        </w:rPr>
        <w:t xml:space="preserve"> Option 1b does not adequately address the almost inevitable deterioration of data quality and the loss of granular, SFT-specific information that would occur if these instruments were forced into reporting templates primarily designed for derivatives</w:t>
      </w:r>
      <w:r>
        <w:rPr>
          <w:rFonts w:asciiTheme="minorHAnsi" w:hAnsiTheme="minorHAnsi"/>
          <w:sz w:val="22"/>
          <w:szCs w:val="22"/>
        </w:rPr>
        <w:t xml:space="preserve"> and other securities transactions</w:t>
      </w:r>
      <w:r w:rsidRPr="00EA7F16">
        <w:rPr>
          <w:rFonts w:asciiTheme="minorHAnsi" w:hAnsiTheme="minorHAnsi"/>
          <w:sz w:val="22"/>
          <w:szCs w:val="22"/>
        </w:rPr>
        <w:t xml:space="preserve"> (MiFIR/EMIR).</w:t>
      </w:r>
    </w:p>
    <w:p w14:paraId="616657A2" w14:textId="77777777" w:rsidR="008B73BE" w:rsidRPr="00EA7F16" w:rsidRDefault="008B73BE" w:rsidP="008B73BE">
      <w:pPr>
        <w:pStyle w:val="NormalWeb"/>
        <w:rPr>
          <w:rFonts w:asciiTheme="minorHAnsi" w:hAnsiTheme="minorHAnsi"/>
          <w:sz w:val="22"/>
          <w:szCs w:val="22"/>
        </w:rPr>
      </w:pPr>
      <w:r w:rsidRPr="00EA7F16">
        <w:rPr>
          <w:rFonts w:asciiTheme="minorHAnsi" w:hAnsiTheme="minorHAnsi"/>
          <w:b/>
          <w:bCs/>
          <w:sz w:val="22"/>
          <w:szCs w:val="22"/>
        </w:rPr>
        <w:t>Why important:</w:t>
      </w:r>
      <w:r w:rsidRPr="00EA7F16">
        <w:rPr>
          <w:rFonts w:asciiTheme="minorHAnsi" w:hAnsiTheme="minorHAnsi"/>
          <w:sz w:val="22"/>
          <w:szCs w:val="22"/>
        </w:rPr>
        <w:t xml:space="preserve"> Data quality is absolutely critical for effective supervisory oversight, risk monitoring, and policy formulation. SFTs require highly specific and nuanced data fields. These fields are essential for understanding market dynamics, contagion risks, and collateral velocity. Forcing this granular data into less appropriate or more generic derivative-focused fields, or requiring complex and potentially error-prone transformations, would result in a significant loss of data fidelity and meaning. This would render the reported SFT data less useful, or even misleading, for supervisory analysis.</w:t>
      </w:r>
    </w:p>
    <w:p w14:paraId="156B7223" w14:textId="2E3CD5B1" w:rsidR="00926BDA" w:rsidRDefault="008B73BE" w:rsidP="008B73BE">
      <w:r w:rsidRPr="00EA7F16">
        <w:rPr>
          <w:rFonts w:asciiTheme="minorHAnsi" w:hAnsiTheme="minorHAnsi"/>
          <w:b/>
          <w:bCs/>
          <w:sz w:val="22"/>
          <w:szCs w:val="22"/>
        </w:rPr>
        <w:t>How inclusion changes evaluation/implementation:</w:t>
      </w:r>
      <w:r w:rsidRPr="00EA7F16">
        <w:rPr>
          <w:rFonts w:asciiTheme="minorHAnsi" w:hAnsiTheme="minorHAnsi"/>
          <w:sz w:val="22"/>
          <w:szCs w:val="22"/>
        </w:rPr>
        <w:t xml:space="preserve"> The potential "benefits" of consolidating reporting platforms would be completely offset by a substantial loss in the actionable intelligence derived from SFT data, thereby undermining the very purpose of financial transaction reporting. Any implementation would have to include a detailed, field-by-field mapping exercise proving no loss of critical data, which ISLA believes would be exceedingly difficult, if not impossible, to achieve effectively.</w:t>
      </w:r>
    </w:p>
    <w:permEnd w:id="275065348"/>
    <w:p w14:paraId="56067118" w14:textId="77777777" w:rsidR="00926BDA" w:rsidRDefault="00926BDA" w:rsidP="00926BDA">
      <w:r>
        <w:t>&lt;ESMA_QUESTION_CASR_8&gt;</w:t>
      </w:r>
    </w:p>
    <w:p w14:paraId="502D9164" w14:textId="77777777" w:rsidR="00926BDA" w:rsidRDefault="00926BDA" w:rsidP="00926BDA"/>
    <w:p w14:paraId="7F2F83D7" w14:textId="77777777" w:rsidR="00926BDA" w:rsidRDefault="00926BDA" w:rsidP="00926BDA">
      <w:pPr>
        <w:pStyle w:val="Questionstyle"/>
        <w:spacing w:before="120" w:after="120"/>
        <w:ind w:left="851" w:hanging="709"/>
      </w:pPr>
      <w:r>
        <w:t>What are the key advantages of option 2a and how do these benefits address the issues in section 3?</w:t>
      </w:r>
    </w:p>
    <w:p w14:paraId="5CE1B921" w14:textId="77777777" w:rsidR="00926BDA" w:rsidRDefault="00926BDA" w:rsidP="00926BDA">
      <w:r>
        <w:t>&lt;ESMA_QUESTION_CASR_9&gt;</w:t>
      </w:r>
    </w:p>
    <w:p w14:paraId="13DCADB2" w14:textId="77777777" w:rsidR="003C3209" w:rsidRDefault="003C3209" w:rsidP="003C3209">
      <w:permStart w:id="1249454344" w:edGrp="everyone"/>
      <w:r w:rsidRPr="008D005B">
        <w:t>ISLA members</w:t>
      </w:r>
      <w:r>
        <w:t xml:space="preserve"> are</w:t>
      </w:r>
      <w:r w:rsidRPr="008D005B">
        <w:t xml:space="preserve"> not supportive of this option</w:t>
      </w:r>
      <w:r>
        <w:t xml:space="preserve">, </w:t>
      </w:r>
      <w:r w:rsidRPr="008D005B">
        <w:t>due to its profound practical complexities and risks.</w:t>
      </w:r>
    </w:p>
    <w:p w14:paraId="14003B3E" w14:textId="77777777" w:rsidR="003C3209" w:rsidRDefault="003C3209" w:rsidP="003C3209">
      <w:pPr>
        <w:rPr>
          <w:b/>
          <w:bCs/>
        </w:rPr>
      </w:pPr>
    </w:p>
    <w:p w14:paraId="67ED6820" w14:textId="77777777" w:rsidR="003C3209" w:rsidRDefault="003C3209" w:rsidP="003C3209">
      <w:r w:rsidRPr="00C82155">
        <w:t xml:space="preserve">From a purely conceptual standpoint, Option 2a aims for the ultimate level of simplification, </w:t>
      </w:r>
      <w:r>
        <w:t>suggesting</w:t>
      </w:r>
      <w:r w:rsidRPr="00C82155">
        <w:t>:</w:t>
      </w:r>
      <w:r>
        <w:t xml:space="preserve"> </w:t>
      </w:r>
    </w:p>
    <w:p w14:paraId="19C09315" w14:textId="77777777" w:rsidR="003C3209" w:rsidRDefault="003C3209" w:rsidP="003C3209">
      <w:pPr>
        <w:tabs>
          <w:tab w:val="num" w:pos="426"/>
        </w:tabs>
      </w:pPr>
      <w:r>
        <w:t xml:space="preserve">a) </w:t>
      </w:r>
      <w:r w:rsidRPr="00C82155">
        <w:t>Complete Elimination of Duplicative Reporting</w:t>
      </w:r>
      <w:r>
        <w:t>,</w:t>
      </w:r>
    </w:p>
    <w:p w14:paraId="0BD73EFC" w14:textId="77777777" w:rsidR="003C3209" w:rsidRDefault="003C3209" w:rsidP="003C3209">
      <w:pPr>
        <w:tabs>
          <w:tab w:val="num" w:pos="426"/>
        </w:tabs>
      </w:pPr>
      <w:r>
        <w:t xml:space="preserve">b) </w:t>
      </w:r>
      <w:r w:rsidRPr="00C82155">
        <w:t>Unified Data View for Regulators</w:t>
      </w:r>
    </w:p>
    <w:p w14:paraId="5B97FF6B" w14:textId="77777777" w:rsidR="003C3209" w:rsidRDefault="003C3209" w:rsidP="003C3209">
      <w:pPr>
        <w:tabs>
          <w:tab w:val="num" w:pos="426"/>
        </w:tabs>
      </w:pPr>
      <w:r>
        <w:t xml:space="preserve">c) </w:t>
      </w:r>
      <w:r w:rsidRPr="00C82155">
        <w:t xml:space="preserve">Streamlined IT Infrastructure (Long-Term Ideal): </w:t>
      </w:r>
    </w:p>
    <w:p w14:paraId="712E9CB6" w14:textId="77777777" w:rsidR="003C3209" w:rsidRPr="00C82155" w:rsidRDefault="003C3209" w:rsidP="003C3209">
      <w:pPr>
        <w:tabs>
          <w:tab w:val="num" w:pos="426"/>
        </w:tabs>
      </w:pPr>
    </w:p>
    <w:p w14:paraId="5A8801BA" w14:textId="1B1139AA" w:rsidR="00926BDA" w:rsidRDefault="003C3209" w:rsidP="00926BDA">
      <w:r w:rsidRPr="00F704F4">
        <w:t>However,</w:t>
      </w:r>
      <w:r w:rsidRPr="00C82155">
        <w:t xml:space="preserve"> ISLA emphasi</w:t>
      </w:r>
      <w:r>
        <w:t>s</w:t>
      </w:r>
      <w:r w:rsidRPr="00C82155">
        <w:t xml:space="preserve">es that these perceived advantages are largely theoretical and vastly outweighed by the practical complexities and risks for market participants, particularly when considering the diverse nature of SFTs </w:t>
      </w:r>
      <w:r>
        <w:t xml:space="preserve">and </w:t>
      </w:r>
      <w:r w:rsidRPr="00C82155">
        <w:t>derivatives compared to other MiFIR-scoped transactions.</w:t>
      </w:r>
      <w:r>
        <w:t xml:space="preserve"> As advised in the previous response to Question 8, ISLA does not see that it would be feasible to expand MiFIR to incorporate EMIR and SFTR requirements.</w:t>
      </w:r>
    </w:p>
    <w:permEnd w:id="1249454344"/>
    <w:p w14:paraId="2EB71523" w14:textId="77777777" w:rsidR="00926BDA" w:rsidRDefault="00926BDA" w:rsidP="00926BDA">
      <w:r>
        <w:t>&lt;ESMA_QUESTION_CASR_9&gt;</w:t>
      </w:r>
    </w:p>
    <w:p w14:paraId="40B2AE04" w14:textId="77777777" w:rsidR="00926BDA" w:rsidRDefault="00926BDA" w:rsidP="00926BDA"/>
    <w:p w14:paraId="21CAA22D" w14:textId="77777777" w:rsidR="00926BDA" w:rsidRDefault="00926BDA" w:rsidP="00926BDA">
      <w:pPr>
        <w:pStyle w:val="Questionstyle"/>
        <w:spacing w:before="120" w:after="120"/>
        <w:ind w:left="851" w:hanging="709"/>
      </w:pPr>
      <w:r>
        <w:t>What are the key limitations and potential risks of option 2a?</w:t>
      </w:r>
    </w:p>
    <w:p w14:paraId="75BC6033" w14:textId="77777777" w:rsidR="00926BDA" w:rsidRDefault="00926BDA" w:rsidP="00926BDA">
      <w:r>
        <w:lastRenderedPageBreak/>
        <w:t>&lt;ESMA_QUESTION_CASR_10&gt;</w:t>
      </w:r>
    </w:p>
    <w:p w14:paraId="2E75B515" w14:textId="77777777" w:rsidR="005E613A" w:rsidRDefault="005E613A" w:rsidP="005E613A">
      <w:permStart w:id="199837036" w:edGrp="everyone"/>
      <w:r w:rsidRPr="001B5854">
        <w:t>The implementation of Option 2a presents a multitude of profound limitations and risks for the industry:</w:t>
      </w:r>
    </w:p>
    <w:p w14:paraId="74B0A7E3" w14:textId="77777777" w:rsidR="005E613A" w:rsidRPr="001B5854" w:rsidRDefault="005E613A" w:rsidP="005E613A"/>
    <w:p w14:paraId="3825B7AF" w14:textId="77777777" w:rsidR="005E613A" w:rsidRPr="00D9532D" w:rsidRDefault="005E613A" w:rsidP="00F073A5">
      <w:pPr>
        <w:numPr>
          <w:ilvl w:val="0"/>
          <w:numId w:val="21"/>
        </w:numPr>
        <w:tabs>
          <w:tab w:val="clear" w:pos="720"/>
        </w:tabs>
        <w:spacing w:line="259" w:lineRule="auto"/>
        <w:ind w:left="0"/>
        <w:contextualSpacing/>
      </w:pPr>
      <w:r w:rsidRPr="001B5854">
        <w:rPr>
          <w:b/>
          <w:bCs/>
        </w:rPr>
        <w:t>Unprecedented Transition Costs and Market Disruption:</w:t>
      </w:r>
      <w:r w:rsidRPr="001B5854">
        <w:t xml:space="preserve"> This option would necessitate a complete and unparalleled re-engineering of every firm's entire transaction reporting infrastructure. The transition costs (including decommissioning legacy systems, re-platforming, new data mapping, extensive retraining, and compliance overhauls) would be </w:t>
      </w:r>
      <w:r>
        <w:t>hugely significant</w:t>
      </w:r>
      <w:r w:rsidRPr="001B5854">
        <w:t xml:space="preserve"> and dwarfs those of Option </w:t>
      </w:r>
      <w:r>
        <w:t>1</w:t>
      </w:r>
      <w:r w:rsidRPr="001B5854">
        <w:t>. The sheer scale of such a change would lead to years of market uncertainty, operational chaos, and significant risk of widespread reporting errors, potentially undermining market stability during the transition.</w:t>
      </w:r>
    </w:p>
    <w:p w14:paraId="1A04971C" w14:textId="77777777" w:rsidR="005E613A" w:rsidRDefault="005E613A" w:rsidP="00F073A5">
      <w:pPr>
        <w:pStyle w:val="NormalWeb"/>
        <w:numPr>
          <w:ilvl w:val="0"/>
          <w:numId w:val="21"/>
        </w:numPr>
        <w:tabs>
          <w:tab w:val="clear" w:pos="720"/>
        </w:tabs>
        <w:ind w:left="0"/>
        <w:contextualSpacing/>
        <w:rPr>
          <w:rFonts w:asciiTheme="minorHAnsi" w:hAnsiTheme="minorHAnsi"/>
          <w:sz w:val="22"/>
          <w:szCs w:val="22"/>
        </w:rPr>
      </w:pPr>
      <w:r w:rsidRPr="001B5854">
        <w:rPr>
          <w:rFonts w:asciiTheme="minorHAnsi" w:hAnsiTheme="minorHAnsi"/>
          <w:b/>
          <w:bCs/>
          <w:sz w:val="22"/>
          <w:szCs w:val="22"/>
        </w:rPr>
        <w:t>Loss of Data Granularity and Specificity:</w:t>
      </w:r>
      <w:r w:rsidRPr="001B5854">
        <w:rPr>
          <w:rFonts w:asciiTheme="minorHAnsi" w:hAnsiTheme="minorHAnsi"/>
          <w:sz w:val="22"/>
          <w:szCs w:val="22"/>
        </w:rPr>
        <w:t xml:space="preserve"> Attempting to force the diverse data requirements of EMIR (derivatives), SFTR (SFTs), and MiFIR (securities transactions) into a single "report once" template </w:t>
      </w:r>
      <w:r>
        <w:rPr>
          <w:rFonts w:asciiTheme="minorHAnsi" w:hAnsiTheme="minorHAnsi"/>
          <w:sz w:val="22"/>
          <w:szCs w:val="22"/>
        </w:rPr>
        <w:t xml:space="preserve">under MiFIR, </w:t>
      </w:r>
      <w:r w:rsidRPr="001B5854">
        <w:rPr>
          <w:rFonts w:asciiTheme="minorHAnsi" w:hAnsiTheme="minorHAnsi"/>
          <w:sz w:val="22"/>
          <w:szCs w:val="22"/>
        </w:rPr>
        <w:t>would almost inevitably lead to a lowest common denominator approach. This would result in a significant loss of critical, granular data points specific to each instrument type rendering the consolidated data less useful for targeted supervisory analysis and financial stability monitoring</w:t>
      </w:r>
      <w:r>
        <w:rPr>
          <w:rFonts w:asciiTheme="minorHAnsi" w:hAnsiTheme="minorHAnsi"/>
          <w:sz w:val="22"/>
          <w:szCs w:val="22"/>
        </w:rPr>
        <w:t>,</w:t>
      </w:r>
      <w:r w:rsidRPr="001B5854">
        <w:rPr>
          <w:rFonts w:asciiTheme="minorHAnsi" w:hAnsiTheme="minorHAnsi"/>
          <w:sz w:val="22"/>
          <w:szCs w:val="22"/>
        </w:rPr>
        <w:t xml:space="preserve"> relevant to each specific market.</w:t>
      </w:r>
      <w:r>
        <w:rPr>
          <w:rFonts w:asciiTheme="minorHAnsi" w:hAnsiTheme="minorHAnsi"/>
          <w:sz w:val="22"/>
          <w:szCs w:val="22"/>
        </w:rPr>
        <w:t xml:space="preserve"> </w:t>
      </w:r>
    </w:p>
    <w:p w14:paraId="3D25BB2E" w14:textId="77777777" w:rsidR="005E613A" w:rsidRDefault="005E613A" w:rsidP="005E613A">
      <w:pPr>
        <w:pStyle w:val="NormalWeb"/>
        <w:contextualSpacing/>
        <w:rPr>
          <w:rFonts w:asciiTheme="minorHAnsi" w:hAnsiTheme="minorHAnsi"/>
          <w:sz w:val="22"/>
          <w:szCs w:val="22"/>
        </w:rPr>
      </w:pPr>
    </w:p>
    <w:p w14:paraId="6B8A9B6A" w14:textId="77777777" w:rsidR="005E613A" w:rsidRPr="008800C0" w:rsidRDefault="005E613A" w:rsidP="005E613A">
      <w:pPr>
        <w:pStyle w:val="NormalWeb"/>
        <w:contextualSpacing/>
        <w:rPr>
          <w:rFonts w:asciiTheme="minorHAnsi" w:hAnsiTheme="minorHAnsi"/>
          <w:sz w:val="22"/>
          <w:szCs w:val="22"/>
        </w:rPr>
      </w:pPr>
      <w:r>
        <w:rPr>
          <w:rFonts w:asciiTheme="minorHAnsi" w:hAnsiTheme="minorHAnsi"/>
          <w:sz w:val="22"/>
          <w:szCs w:val="22"/>
        </w:rPr>
        <w:t xml:space="preserve">Point 42 of the CfE states that </w:t>
      </w:r>
      <w:r w:rsidRPr="005E77D5">
        <w:rPr>
          <w:rFonts w:asciiTheme="minorHAnsi" w:hAnsiTheme="minorHAnsi"/>
          <w:i/>
          <w:iCs/>
          <w:sz w:val="22"/>
          <w:szCs w:val="22"/>
        </w:rPr>
        <w:t xml:space="preserve">‘one way of implementing this option could be to use MiFIR as a basis for reporting due to: </w:t>
      </w:r>
      <w:r w:rsidRPr="005E77D5">
        <w:rPr>
          <w:rFonts w:asciiTheme="minorHAnsi" w:hAnsiTheme="minorHAnsi"/>
          <w:b/>
          <w:bCs/>
          <w:i/>
          <w:iCs/>
          <w:sz w:val="22"/>
          <w:szCs w:val="22"/>
        </w:rPr>
        <w:t>a) the significant larger scope of instruments covered (beyond derivatives; b) its granularity; c</w:t>
      </w:r>
      <w:r>
        <w:rPr>
          <w:rFonts w:asciiTheme="minorHAnsi" w:hAnsiTheme="minorHAnsi"/>
          <w:b/>
          <w:bCs/>
          <w:i/>
          <w:iCs/>
          <w:sz w:val="22"/>
          <w:szCs w:val="22"/>
        </w:rPr>
        <w:t>)</w:t>
      </w:r>
      <w:r w:rsidRPr="005E77D5">
        <w:rPr>
          <w:rFonts w:asciiTheme="minorHAnsi" w:hAnsiTheme="minorHAnsi"/>
          <w:b/>
          <w:bCs/>
          <w:i/>
          <w:iCs/>
          <w:sz w:val="22"/>
          <w:szCs w:val="22"/>
        </w:rPr>
        <w:t xml:space="preserve"> level of sophistication</w:t>
      </w:r>
      <w:r w:rsidRPr="005E77D5">
        <w:rPr>
          <w:rFonts w:asciiTheme="minorHAnsi" w:hAnsiTheme="minorHAnsi"/>
          <w:i/>
          <w:iCs/>
          <w:sz w:val="22"/>
          <w:szCs w:val="22"/>
        </w:rPr>
        <w:t xml:space="preserve">; and </w:t>
      </w:r>
      <w:r w:rsidRPr="007C4FDC">
        <w:rPr>
          <w:rFonts w:asciiTheme="minorHAnsi" w:hAnsiTheme="minorHAnsi"/>
          <w:b/>
          <w:bCs/>
          <w:i/>
          <w:iCs/>
          <w:sz w:val="22"/>
          <w:szCs w:val="22"/>
        </w:rPr>
        <w:t>d) greater possibility to streamline and potentially centralise the reporting flows, given that the report goes directly to competent authorities</w:t>
      </w:r>
      <w:r w:rsidRPr="005E77D5">
        <w:rPr>
          <w:rFonts w:asciiTheme="minorHAnsi" w:hAnsiTheme="minorHAnsi"/>
          <w:i/>
          <w:iCs/>
          <w:sz w:val="22"/>
          <w:szCs w:val="22"/>
        </w:rPr>
        <w:t>.’</w:t>
      </w:r>
      <w:r>
        <w:rPr>
          <w:rFonts w:asciiTheme="minorHAnsi" w:hAnsiTheme="minorHAnsi"/>
          <w:i/>
          <w:iCs/>
          <w:sz w:val="22"/>
          <w:szCs w:val="22"/>
        </w:rPr>
        <w:t xml:space="preserve"> </w:t>
      </w:r>
      <w:r>
        <w:rPr>
          <w:rFonts w:asciiTheme="minorHAnsi" w:hAnsiTheme="minorHAnsi"/>
          <w:sz w:val="22"/>
          <w:szCs w:val="22"/>
        </w:rPr>
        <w:t xml:space="preserve">ISLA believes that this statement is inaccurate. As described in response to previous questions in the CfE, the industry has struggled to report SFTs facing a member of the ESCB within the MiFIR template, as it simply does not have the level of granularity required for the SFT product. MiFIR would have to be expanded extensively to incorporate the required fields. </w:t>
      </w:r>
    </w:p>
    <w:p w14:paraId="3F792B31" w14:textId="77777777" w:rsidR="005E613A" w:rsidRPr="007B122E" w:rsidRDefault="005E613A" w:rsidP="005E613A">
      <w:pPr>
        <w:pStyle w:val="NormalWeb"/>
        <w:contextualSpacing/>
        <w:rPr>
          <w:rFonts w:asciiTheme="minorHAnsi" w:hAnsiTheme="minorHAnsi"/>
          <w:sz w:val="22"/>
          <w:szCs w:val="22"/>
        </w:rPr>
      </w:pPr>
    </w:p>
    <w:p w14:paraId="267AD00B" w14:textId="77777777" w:rsidR="005E613A" w:rsidRDefault="005E613A" w:rsidP="00F073A5">
      <w:pPr>
        <w:pStyle w:val="NormalWeb"/>
        <w:numPr>
          <w:ilvl w:val="0"/>
          <w:numId w:val="21"/>
        </w:numPr>
        <w:tabs>
          <w:tab w:val="clear" w:pos="720"/>
        </w:tabs>
        <w:ind w:left="0"/>
        <w:contextualSpacing/>
        <w:rPr>
          <w:rFonts w:asciiTheme="minorHAnsi" w:hAnsiTheme="minorHAnsi"/>
          <w:sz w:val="22"/>
          <w:szCs w:val="22"/>
        </w:rPr>
      </w:pPr>
      <w:r w:rsidRPr="008810B6">
        <w:rPr>
          <w:rFonts w:asciiTheme="minorHAnsi" w:hAnsiTheme="minorHAnsi"/>
          <w:b/>
          <w:bCs/>
          <w:sz w:val="22"/>
          <w:szCs w:val="22"/>
        </w:rPr>
        <w:t>Complexity of Legal and Governance Frameworks:</w:t>
      </w:r>
      <w:r w:rsidRPr="00BF3AC1">
        <w:rPr>
          <w:rFonts w:asciiTheme="minorHAnsi" w:hAnsiTheme="minorHAnsi"/>
          <w:sz w:val="22"/>
          <w:szCs w:val="22"/>
        </w:rPr>
        <w:t xml:space="preserve"> Implementing </w:t>
      </w:r>
      <w:r>
        <w:rPr>
          <w:rFonts w:asciiTheme="minorHAnsi" w:hAnsiTheme="minorHAnsi"/>
          <w:sz w:val="22"/>
          <w:szCs w:val="22"/>
        </w:rPr>
        <w:t xml:space="preserve">the </w:t>
      </w:r>
      <w:r w:rsidRPr="00BF3AC1">
        <w:rPr>
          <w:rFonts w:asciiTheme="minorHAnsi" w:hAnsiTheme="minorHAnsi"/>
          <w:sz w:val="22"/>
          <w:szCs w:val="22"/>
        </w:rPr>
        <w:t xml:space="preserve">"Report once" </w:t>
      </w:r>
      <w:r>
        <w:rPr>
          <w:rFonts w:asciiTheme="minorHAnsi" w:hAnsiTheme="minorHAnsi"/>
          <w:sz w:val="22"/>
          <w:szCs w:val="22"/>
        </w:rPr>
        <w:t xml:space="preserve">principle </w:t>
      </w:r>
      <w:r w:rsidRPr="00BF3AC1">
        <w:rPr>
          <w:rFonts w:asciiTheme="minorHAnsi" w:hAnsiTheme="minorHAnsi"/>
          <w:sz w:val="22"/>
          <w:szCs w:val="22"/>
        </w:rPr>
        <w:t>across multiple, fundamentally different regulatory mandates (market abuse, systemic risk, financial stability) would entail immense legal and governance complexities. Defining who is responsible for the single report, how liability is assigned for errors, and how the diverse data needs of various National Competent Authorities (NCAs) and ESMA are met from one data set, poses an almost insurmountable challenge.</w:t>
      </w:r>
    </w:p>
    <w:p w14:paraId="508BF649" w14:textId="77777777" w:rsidR="005E613A" w:rsidRPr="0083247C" w:rsidRDefault="005E613A" w:rsidP="005E613A">
      <w:pPr>
        <w:pStyle w:val="NormalWeb"/>
        <w:contextualSpacing/>
        <w:rPr>
          <w:rFonts w:asciiTheme="minorHAnsi" w:hAnsiTheme="minorHAnsi"/>
          <w:sz w:val="22"/>
          <w:szCs w:val="22"/>
        </w:rPr>
      </w:pPr>
    </w:p>
    <w:p w14:paraId="4954EBC1" w14:textId="1EE609E3" w:rsidR="00876C17" w:rsidRPr="005E613A" w:rsidRDefault="005E613A" w:rsidP="00F073A5">
      <w:pPr>
        <w:pStyle w:val="NormalWeb"/>
        <w:numPr>
          <w:ilvl w:val="0"/>
          <w:numId w:val="21"/>
        </w:numPr>
        <w:tabs>
          <w:tab w:val="clear" w:pos="720"/>
        </w:tabs>
        <w:spacing w:after="0"/>
        <w:ind w:left="0"/>
        <w:contextualSpacing/>
        <w:rPr>
          <w:b/>
          <w:bCs/>
          <w:color w:val="006666"/>
        </w:rPr>
      </w:pPr>
      <w:r w:rsidRPr="008810B6">
        <w:rPr>
          <w:rFonts w:asciiTheme="minorHAnsi" w:hAnsiTheme="minorHAnsi"/>
          <w:b/>
          <w:bCs/>
          <w:sz w:val="22"/>
          <w:szCs w:val="22"/>
        </w:rPr>
        <w:t>Risk of Inaccurate or Misleading Data:</w:t>
      </w:r>
      <w:r w:rsidRPr="00BF3AC1">
        <w:rPr>
          <w:rFonts w:asciiTheme="minorHAnsi" w:hAnsiTheme="minorHAnsi"/>
          <w:sz w:val="22"/>
          <w:szCs w:val="22"/>
        </w:rPr>
        <w:t xml:space="preserve"> The inherent differences in transaction characteristics, lifecycle events, and valuation methodologies across SFTs, derivatives, and securities transactions mean that a single reporting model is highly prone to producing inaccurate or inconsistent data. Forcing disparate data into a uniform structure</w:t>
      </w:r>
      <w:r>
        <w:rPr>
          <w:rFonts w:asciiTheme="minorHAnsi" w:hAnsiTheme="minorHAnsi"/>
          <w:sz w:val="22"/>
          <w:szCs w:val="22"/>
        </w:rPr>
        <w:t xml:space="preserve"> under MiFIR</w:t>
      </w:r>
      <w:r w:rsidRPr="00BF3AC1">
        <w:rPr>
          <w:rFonts w:asciiTheme="minorHAnsi" w:hAnsiTheme="minorHAnsi"/>
          <w:sz w:val="22"/>
          <w:szCs w:val="22"/>
        </w:rPr>
        <w:t xml:space="preserve"> risks creating misleading insights for regulators, potentially leading to misinformed policy decisions regarding financial stability.</w:t>
      </w:r>
    </w:p>
    <w:permEnd w:id="199837036"/>
    <w:p w14:paraId="26E45EF4" w14:textId="77777777" w:rsidR="00926BDA" w:rsidRDefault="00926BDA" w:rsidP="00926BDA">
      <w:r>
        <w:t>&lt;ESMA_QUESTION_CASR_10&gt;</w:t>
      </w:r>
    </w:p>
    <w:p w14:paraId="221B859E" w14:textId="77777777" w:rsidR="00926BDA" w:rsidRDefault="00926BDA" w:rsidP="00926BDA"/>
    <w:p w14:paraId="14E1C31C" w14:textId="77777777" w:rsidR="00926BDA" w:rsidRDefault="00926BDA" w:rsidP="00926BDA">
      <w:pPr>
        <w:pStyle w:val="Questionstyle"/>
        <w:spacing w:before="120" w:after="120"/>
        <w:ind w:left="851" w:hanging="709"/>
      </w:pPr>
      <w:r w:rsidRPr="00CF1984">
        <w:t xml:space="preserve">What components are missing or not adequately addressed in option 2a? Why are these elements important, and how might their inclusion change the evaluation or implementation of option 2a? </w:t>
      </w:r>
    </w:p>
    <w:p w14:paraId="3406D24E" w14:textId="77777777" w:rsidR="00926BDA" w:rsidRDefault="00926BDA" w:rsidP="00926BDA">
      <w:r>
        <w:lastRenderedPageBreak/>
        <w:t>&lt;ESMA_QUESTION_CASR_11&gt;</w:t>
      </w:r>
    </w:p>
    <w:p w14:paraId="744F3A52" w14:textId="77777777" w:rsidR="00885D15" w:rsidRDefault="00885D15" w:rsidP="00885D15">
      <w:permStart w:id="2123508368" w:edGrp="everyone"/>
      <w:r w:rsidRPr="00A207B1">
        <w:t>Whil</w:t>
      </w:r>
      <w:r>
        <w:t>st</w:t>
      </w:r>
      <w:r w:rsidRPr="00A207B1">
        <w:t xml:space="preserve"> the industry generally does not support Option 2a</w:t>
      </w:r>
      <w:r>
        <w:t xml:space="preserve"> </w:t>
      </w:r>
      <w:r w:rsidRPr="00A207B1">
        <w:t xml:space="preserve">due to its inherent complexities and risks, if ESMA were to proceed with this "Report once" principle across EMIR, SFTR, and MiFIR, its feasibility and successful implementation </w:t>
      </w:r>
      <w:r>
        <w:t xml:space="preserve">in a future state </w:t>
      </w:r>
      <w:r w:rsidRPr="00A207B1">
        <w:t>would hinge entirely on the upfront and comprehensive integration of the following critical components:</w:t>
      </w:r>
    </w:p>
    <w:p w14:paraId="1E7D5E2B" w14:textId="77777777" w:rsidR="00885D15" w:rsidRPr="00A207B1" w:rsidRDefault="00885D15" w:rsidP="00885D15"/>
    <w:p w14:paraId="4A924D32" w14:textId="77777777" w:rsidR="00885D15" w:rsidRPr="004F6955" w:rsidRDefault="00885D15" w:rsidP="00F073A5">
      <w:pPr>
        <w:numPr>
          <w:ilvl w:val="0"/>
          <w:numId w:val="22"/>
        </w:numPr>
        <w:spacing w:line="259" w:lineRule="auto"/>
        <w:ind w:left="0"/>
      </w:pPr>
      <w:r w:rsidRPr="004F6955">
        <w:rPr>
          <w:b/>
          <w:bCs/>
        </w:rPr>
        <w:t>Support a Robust, Centralised Technical Architecture:</w:t>
      </w:r>
    </w:p>
    <w:p w14:paraId="69A84C21" w14:textId="77777777" w:rsidR="00885D15" w:rsidRPr="004F6955" w:rsidRDefault="00885D15" w:rsidP="00885D15"/>
    <w:p w14:paraId="787D8D70" w14:textId="77777777" w:rsidR="00885D15" w:rsidRPr="004F6955" w:rsidRDefault="00885D15" w:rsidP="00F073A5">
      <w:pPr>
        <w:numPr>
          <w:ilvl w:val="1"/>
          <w:numId w:val="22"/>
        </w:numPr>
        <w:spacing w:line="259" w:lineRule="auto"/>
        <w:ind w:left="0"/>
      </w:pPr>
      <w:r w:rsidRPr="004F6955">
        <w:rPr>
          <w:b/>
          <w:bCs/>
        </w:rPr>
        <w:t>Proposed Solution:</w:t>
      </w:r>
      <w:r w:rsidRPr="004F6955">
        <w:t xml:space="preserve"> A fundamental prerequisite for Option 2a's success would be the development and adoption of a fully defined, scalable, and centrally managed data infrastructure. This must include the creation of a</w:t>
      </w:r>
      <w:r>
        <w:t xml:space="preserve"> global</w:t>
      </w:r>
      <w:r w:rsidRPr="004F6955">
        <w:t xml:space="preserve"> central data repository, which would serve as the single authoritative source for all reported transaction data. This infrastructure would be complemented by the universal adoption of a common data model such as the FINOS Common Domain Model, capable of accommodating all instrument types without loss of specific detail, standardised APIs for secure data submission, and a robust central processing engine.</w:t>
      </w:r>
    </w:p>
    <w:p w14:paraId="03A800C5" w14:textId="77777777" w:rsidR="00885D15" w:rsidRPr="004F6955" w:rsidRDefault="00885D15" w:rsidP="00885D15"/>
    <w:p w14:paraId="5F323B70" w14:textId="77777777" w:rsidR="00885D15" w:rsidRPr="004F6955" w:rsidRDefault="00885D15" w:rsidP="00F073A5">
      <w:pPr>
        <w:numPr>
          <w:ilvl w:val="1"/>
          <w:numId w:val="22"/>
        </w:numPr>
        <w:spacing w:line="259" w:lineRule="auto"/>
        <w:ind w:left="0"/>
      </w:pPr>
      <w:r w:rsidRPr="004F6955">
        <w:rPr>
          <w:b/>
          <w:bCs/>
        </w:rPr>
        <w:t>Importance and Impact:</w:t>
      </w:r>
      <w:r w:rsidRPr="004F6955">
        <w:t xml:space="preserve"> This component is paramount because it provides the necessary operational backbone for a true "Report once" system, enabling regulators to </w:t>
      </w:r>
      <w:r w:rsidRPr="004F6955">
        <w:rPr>
          <w:i/>
          <w:iCs/>
        </w:rPr>
        <w:t>pull</w:t>
      </w:r>
      <w:r w:rsidRPr="004F6955">
        <w:t xml:space="preserve"> the specific data they need, rather than firms </w:t>
      </w:r>
      <w:r w:rsidRPr="004F6955">
        <w:rPr>
          <w:i/>
          <w:iCs/>
        </w:rPr>
        <w:t>pushing</w:t>
      </w:r>
      <w:r w:rsidRPr="004F6955">
        <w:t xml:space="preserve"> individual reports to multiple destinations. Without it, the concept remains an abstraction. Its inclusion would shift the evaluation of Option 2a from an aspirational goal to a concrete, albeit immensely challenging, engineering undertaking. It would also define the only conceivable path to achieving the promised efficiencies and a genuine single view of the market.</w:t>
      </w:r>
    </w:p>
    <w:p w14:paraId="251F2888" w14:textId="77777777" w:rsidR="00885D15" w:rsidRPr="004F6955" w:rsidRDefault="00885D15" w:rsidP="00885D15"/>
    <w:p w14:paraId="3762B203" w14:textId="77777777" w:rsidR="00885D15" w:rsidRPr="004F6955" w:rsidRDefault="00885D15" w:rsidP="00F073A5">
      <w:pPr>
        <w:numPr>
          <w:ilvl w:val="0"/>
          <w:numId w:val="22"/>
        </w:numPr>
        <w:spacing w:line="259" w:lineRule="auto"/>
        <w:ind w:left="0"/>
      </w:pPr>
      <w:r w:rsidRPr="004F6955">
        <w:rPr>
          <w:b/>
          <w:bCs/>
        </w:rPr>
        <w:t>Creation of a Universally Applicable, Granular, and Maintained Data Dictionary:</w:t>
      </w:r>
    </w:p>
    <w:p w14:paraId="6053F74D" w14:textId="77777777" w:rsidR="00885D15" w:rsidRPr="004F6955" w:rsidRDefault="00885D15" w:rsidP="00885D15"/>
    <w:p w14:paraId="1043397D" w14:textId="77777777" w:rsidR="00885D15" w:rsidRPr="004F6955" w:rsidRDefault="00885D15" w:rsidP="00F073A5">
      <w:pPr>
        <w:numPr>
          <w:ilvl w:val="1"/>
          <w:numId w:val="22"/>
        </w:numPr>
        <w:spacing w:line="259" w:lineRule="auto"/>
        <w:ind w:left="0"/>
      </w:pPr>
      <w:r w:rsidRPr="004F6955">
        <w:rPr>
          <w:b/>
          <w:bCs/>
        </w:rPr>
        <w:t>Proposed Solution:</w:t>
      </w:r>
      <w:r w:rsidRPr="004F6955">
        <w:t xml:space="preserve"> Option 2a demands the creation of a single, universally applicable, and highly granular data dictionary that encompasses and precisely defines all necessary fields from EMIR, SFTR, and MiFIR. This dictionary must ensure absolute consistency in definitions and formats across all instrument types, critically preserving instrument-specific details, particularly for SFTs. This critical component should be underpinned by a robust Common Data Model (CDM), providing a standardised, machine-readable language for transactions and their lifecycles. Furthermore, the principles of Digital Regulatory Reporting would be essential for its ongoing, agile maintenance and evolution, ensuring the dictionary remains current and universally adopted across the digital reporting ecosystem.</w:t>
      </w:r>
    </w:p>
    <w:p w14:paraId="7E013531" w14:textId="77777777" w:rsidR="00885D15" w:rsidRPr="004F6955" w:rsidRDefault="00885D15" w:rsidP="00885D15"/>
    <w:p w14:paraId="0F628F44" w14:textId="77777777" w:rsidR="00885D15" w:rsidRPr="004F6955" w:rsidRDefault="00885D15" w:rsidP="00F073A5">
      <w:pPr>
        <w:numPr>
          <w:ilvl w:val="1"/>
          <w:numId w:val="22"/>
        </w:numPr>
        <w:spacing w:line="259" w:lineRule="auto"/>
        <w:ind w:left="0"/>
      </w:pPr>
      <w:r w:rsidRPr="004F6955">
        <w:rPr>
          <w:b/>
          <w:bCs/>
        </w:rPr>
        <w:t>Importance and Impact:</w:t>
      </w:r>
      <w:r w:rsidRPr="004F6955">
        <w:t xml:space="preserve"> This component is foundational for data integrity and usability within the proposed central repository. Without it, the notion of "Report once" would lead to data dilution, misinterpretation, and diminished regulatory utility. Leveraging the CDM and DRR for this purpose is the only way to ensure that the consolidated data is truly accurate, meaningful, and actionable for diverse supervisory purposes, fundamentally influencing the assessment of whether the consolidated data can truly serve all regulatory needs effectively.</w:t>
      </w:r>
    </w:p>
    <w:p w14:paraId="531EDDEC" w14:textId="77777777" w:rsidR="00885D15" w:rsidRPr="00A207B1" w:rsidRDefault="00885D15" w:rsidP="00885D15"/>
    <w:p w14:paraId="623485BE" w14:textId="77777777" w:rsidR="00885D15" w:rsidRPr="00ED745C" w:rsidRDefault="00885D15" w:rsidP="00F073A5">
      <w:pPr>
        <w:numPr>
          <w:ilvl w:val="0"/>
          <w:numId w:val="22"/>
        </w:numPr>
        <w:spacing w:line="259" w:lineRule="auto"/>
        <w:ind w:left="0"/>
      </w:pPr>
      <w:r w:rsidRPr="00ED745C">
        <w:rPr>
          <w:b/>
          <w:bCs/>
        </w:rPr>
        <w:lastRenderedPageBreak/>
        <w:t>Establishment of Clearly Defined Roles, Responsibilities, and a Supervisory Utilisation Framework:</w:t>
      </w:r>
    </w:p>
    <w:p w14:paraId="13FBB027" w14:textId="77777777" w:rsidR="00885D15" w:rsidRPr="00ED745C" w:rsidRDefault="00885D15" w:rsidP="00885D15"/>
    <w:p w14:paraId="39A191C0" w14:textId="77777777" w:rsidR="00885D15" w:rsidRPr="00ED745C" w:rsidRDefault="00885D15" w:rsidP="00F073A5">
      <w:pPr>
        <w:numPr>
          <w:ilvl w:val="1"/>
          <w:numId w:val="22"/>
        </w:numPr>
        <w:spacing w:line="259" w:lineRule="auto"/>
        <w:ind w:left="0"/>
      </w:pPr>
      <w:r w:rsidRPr="00ED745C">
        <w:rPr>
          <w:b/>
          <w:bCs/>
        </w:rPr>
        <w:t>Proposed Solution:</w:t>
      </w:r>
      <w:r w:rsidRPr="00ED745C">
        <w:t xml:space="preserve"> For Option 2a to function, there must be unambiguous definition of roles and responsibilities for all stakeholders: reporting entities (including data quality assurance and validation), Trade Repositories (or a central data aggregator), and National Competent Authorities (NCAs) and ESMA. </w:t>
      </w:r>
    </w:p>
    <w:p w14:paraId="06613477" w14:textId="77777777" w:rsidR="00885D15" w:rsidRPr="00ED745C" w:rsidRDefault="00885D15" w:rsidP="00885D15">
      <w:pPr>
        <w:rPr>
          <w:highlight w:val="yellow"/>
        </w:rPr>
      </w:pPr>
    </w:p>
    <w:p w14:paraId="5A26782B" w14:textId="77777777" w:rsidR="00885D15" w:rsidRPr="00ED745C" w:rsidRDefault="00885D15" w:rsidP="00F073A5">
      <w:pPr>
        <w:numPr>
          <w:ilvl w:val="1"/>
          <w:numId w:val="22"/>
        </w:numPr>
        <w:spacing w:line="259" w:lineRule="auto"/>
        <w:ind w:left="0"/>
      </w:pPr>
      <w:r w:rsidRPr="00ED745C">
        <w:rPr>
          <w:b/>
          <w:bCs/>
        </w:rPr>
        <w:t>Importance and Impact:</w:t>
      </w:r>
      <w:r w:rsidRPr="00ED745C">
        <w:t xml:space="preserve"> Clarity on roles and data access is vital for accountability and effective supervision. Without it, there would be significant confusion, gaps in oversight, and potential legal challenges. Its inclusion would necessitate a deep restructuring of regulatory processes and legal mandates, demonstrating the sheer scale of the change required beyond just industry reporting, and fundamentally shaping how regulators themselves would operate going forward.</w:t>
      </w:r>
    </w:p>
    <w:p w14:paraId="10DCF9A4" w14:textId="77777777" w:rsidR="00885D15" w:rsidRPr="00A207B1" w:rsidRDefault="00885D15" w:rsidP="00885D15"/>
    <w:p w14:paraId="0861D143" w14:textId="77777777" w:rsidR="00885D15" w:rsidRPr="00D9683C" w:rsidRDefault="00885D15" w:rsidP="00F073A5">
      <w:pPr>
        <w:numPr>
          <w:ilvl w:val="0"/>
          <w:numId w:val="22"/>
        </w:numPr>
        <w:spacing w:line="259" w:lineRule="auto"/>
        <w:ind w:left="0"/>
      </w:pPr>
      <w:r w:rsidRPr="00A207B1">
        <w:rPr>
          <w:b/>
          <w:bCs/>
        </w:rPr>
        <w:t>Integrated Strategy for Global Interoperability and Alignment:</w:t>
      </w:r>
    </w:p>
    <w:p w14:paraId="2BA5B229" w14:textId="77777777" w:rsidR="00885D15" w:rsidRPr="00A207B1" w:rsidRDefault="00885D15" w:rsidP="00885D15"/>
    <w:p w14:paraId="0EB098ED" w14:textId="77777777" w:rsidR="00885D15" w:rsidRDefault="00885D15" w:rsidP="00F073A5">
      <w:pPr>
        <w:numPr>
          <w:ilvl w:val="1"/>
          <w:numId w:val="22"/>
        </w:numPr>
        <w:spacing w:line="259" w:lineRule="auto"/>
        <w:ind w:left="0"/>
      </w:pPr>
      <w:r w:rsidRPr="00A207B1">
        <w:rPr>
          <w:b/>
          <w:bCs/>
        </w:rPr>
        <w:t>Proposed Solution:</w:t>
      </w:r>
      <w:r w:rsidRPr="00A207B1">
        <w:t xml:space="preserve"> Any progression with Option 2a must incorporate a robust strategy for global interoperability and alignment from its inception. This means actively engaging with third-country regulators and international standard-setting bodies to ensure that the EU's "Report once" approach minimi</w:t>
      </w:r>
      <w:r>
        <w:t>s</w:t>
      </w:r>
      <w:r w:rsidRPr="00A207B1">
        <w:t>es international fragmentation for global firms and facilitates cross-border operations, rather than creating additional reporting complexities</w:t>
      </w:r>
      <w:r>
        <w:t>, to be aligned with the wider objectives of the European Commission’s SIU and the objective to make Europe more competitive for global firms to be able to operate with ease.</w:t>
      </w:r>
    </w:p>
    <w:p w14:paraId="27E78142" w14:textId="77777777" w:rsidR="00885D15" w:rsidRPr="00A207B1" w:rsidRDefault="00885D15" w:rsidP="00885D15"/>
    <w:p w14:paraId="77568D8D" w14:textId="77777777" w:rsidR="00885D15" w:rsidRPr="0016480D" w:rsidRDefault="00885D15" w:rsidP="00F073A5">
      <w:pPr>
        <w:numPr>
          <w:ilvl w:val="1"/>
          <w:numId w:val="22"/>
        </w:numPr>
        <w:spacing w:line="259" w:lineRule="auto"/>
        <w:ind w:left="0"/>
      </w:pPr>
      <w:r w:rsidRPr="00A207B1">
        <w:rPr>
          <w:b/>
          <w:bCs/>
        </w:rPr>
        <w:t>Importance and Impact:</w:t>
      </w:r>
      <w:r w:rsidRPr="00A207B1">
        <w:t xml:space="preserve"> Given the global nature of financial markets, an EU-centric "Report once" solution, if not designed with global alignment in mind, could inadvertently create new barriers for international firms and data users. Its inclusion would broaden the scope of the project significantly but would be essential to ensure that the EU's internal simplification does not come at the cost of global market efficiency and consistency.</w:t>
      </w:r>
      <w:r>
        <w:t xml:space="preserve">  ISLA would like to note that Digital Regulatory Reporting initiatives are already underway in other jurisdictions, particularly making use of the ISDA reporting standards within the CDM. </w:t>
      </w:r>
      <w:r w:rsidRPr="0016480D">
        <w:t xml:space="preserve">The first iteration of the DRR was launched ahead of the initial set of reporting rule changes introduced by the US Commodity Futures Trading Commission (CFTC) </w:t>
      </w:r>
      <w:r>
        <w:t>i</w:t>
      </w:r>
      <w:r w:rsidRPr="0016480D">
        <w:t>n December, 2022.</w:t>
      </w:r>
      <w:r w:rsidRPr="0016480D">
        <w:rPr>
          <w:rFonts w:ascii="Roboto" w:hAnsi="Roboto"/>
          <w:color w:val="323232"/>
        </w:rPr>
        <w:t xml:space="preserve"> </w:t>
      </w:r>
      <w:r w:rsidRPr="0016480D">
        <w:t>The ISDA DRR has since been extended to cover amended rules in Japan (April 2024), EU for reporting rules under EMIR (April, 2024), UK EMIR (September, 2024), Singapore (October, 2024), Australia (October, 2024) and Canada (July, 2025).</w:t>
      </w:r>
      <w:r>
        <w:t xml:space="preserve"> </w:t>
      </w:r>
      <w:r w:rsidRPr="0016480D">
        <w:t>The ISDA DRR is currently in the process of being further extended to cover rule amendments for Hong Kong (September, 2025).</w:t>
      </w:r>
      <w:r>
        <w:t xml:space="preserve"> Furthermore, it is ISLA’s intention to incorporate SFTR reporting into DRR in 2026. </w:t>
      </w:r>
    </w:p>
    <w:p w14:paraId="4E814C7D" w14:textId="77777777" w:rsidR="00885D15" w:rsidRPr="0016480D" w:rsidRDefault="00885D15" w:rsidP="00885D15"/>
    <w:p w14:paraId="40778599" w14:textId="6309A448" w:rsidR="00885D15" w:rsidRDefault="00885D15" w:rsidP="00926BDA">
      <w:r w:rsidRPr="00A50F5A">
        <w:t>The widespread adoption of DRR across multiple jurisdictions demonstrates a clear trend towards a more efficient and harmoni</w:t>
      </w:r>
      <w:r>
        <w:t>s</w:t>
      </w:r>
      <w:r w:rsidRPr="00A50F5A">
        <w:t xml:space="preserve">ed global regulatory landscape. By leveraging a </w:t>
      </w:r>
      <w:r w:rsidRPr="00A50F5A">
        <w:lastRenderedPageBreak/>
        <w:t>common standard like the CDM, policymakers can move beyond a patchwork of fragmented rules to a cohesive, machine-executable framework, ultimately reducing costs and enhancing data quality for the benefit of both the industry and regulators.</w:t>
      </w:r>
    </w:p>
    <w:permEnd w:id="2123508368"/>
    <w:p w14:paraId="23BCC39D" w14:textId="77777777" w:rsidR="00926BDA" w:rsidRDefault="00926BDA" w:rsidP="00926BDA">
      <w:r>
        <w:t>&lt;ESMA_QUESTION_CASR_11&gt;</w:t>
      </w:r>
    </w:p>
    <w:p w14:paraId="1BA92572" w14:textId="77777777" w:rsidR="00926BDA" w:rsidRDefault="00926BDA" w:rsidP="00926BDA"/>
    <w:p w14:paraId="430E3DDC" w14:textId="77777777" w:rsidR="00926BDA" w:rsidRDefault="00926BDA" w:rsidP="00926BDA">
      <w:pPr>
        <w:pStyle w:val="Questionstyle"/>
        <w:spacing w:before="120" w:after="120"/>
        <w:ind w:left="851" w:hanging="709"/>
      </w:pPr>
      <w:r>
        <w:t>What are the key advantages of option 2b and how do these benefits address the issues in section 3? What regimes should be included in such an option beyond EMIR, MiFIR and SFTR?</w:t>
      </w:r>
    </w:p>
    <w:p w14:paraId="14680AA6" w14:textId="77777777" w:rsidR="00926BDA" w:rsidRDefault="00926BDA" w:rsidP="00926BDA">
      <w:r>
        <w:t>&lt;ESMA_QUESTION_CASR_12&gt;</w:t>
      </w:r>
    </w:p>
    <w:p w14:paraId="7670F9F4" w14:textId="77777777" w:rsidR="00BE2F2F" w:rsidRDefault="00BE2F2F" w:rsidP="00BE2F2F">
      <w:permStart w:id="16780711" w:edGrp="everyone"/>
      <w:r w:rsidRPr="00F61AC5">
        <w:t xml:space="preserve">From a theoretical perspective, Option 2b </w:t>
      </w:r>
      <w:r>
        <w:t xml:space="preserve">again, </w:t>
      </w:r>
      <w:r w:rsidRPr="00F61AC5">
        <w:t>aims for the highest degree of reporting simplification by consolidating all transaction data into a single EU data hub. Its potential advantages include:</w:t>
      </w:r>
    </w:p>
    <w:p w14:paraId="6731F222" w14:textId="77777777" w:rsidR="00BE2F2F" w:rsidRPr="00F61AC5" w:rsidRDefault="00BE2F2F" w:rsidP="00BE2F2F"/>
    <w:p w14:paraId="02230328" w14:textId="77777777" w:rsidR="00BE2F2F" w:rsidRDefault="00BE2F2F" w:rsidP="00F073A5">
      <w:pPr>
        <w:pStyle w:val="ListParagraph"/>
        <w:numPr>
          <w:ilvl w:val="0"/>
          <w:numId w:val="23"/>
        </w:numPr>
        <w:tabs>
          <w:tab w:val="clear" w:pos="0"/>
          <w:tab w:val="clear" w:pos="142"/>
          <w:tab w:val="clear" w:pos="284"/>
          <w:tab w:val="clear" w:pos="567"/>
          <w:tab w:val="clear" w:pos="720"/>
        </w:tabs>
        <w:autoSpaceDE/>
        <w:autoSpaceDN/>
        <w:adjustRightInd/>
        <w:spacing w:line="259" w:lineRule="auto"/>
        <w:ind w:left="0"/>
        <w:contextualSpacing/>
        <w:jc w:val="left"/>
      </w:pPr>
      <w:r w:rsidRPr="003E7136">
        <w:rPr>
          <w:b/>
          <w:bCs/>
        </w:rPr>
        <w:t xml:space="preserve">Maximum Reduction in Reporting Burden, </w:t>
      </w:r>
      <w:r w:rsidRPr="00F61AC5">
        <w:t>By centrali</w:t>
      </w:r>
      <w:r>
        <w:t>s</w:t>
      </w:r>
      <w:r w:rsidRPr="00F61AC5">
        <w:t>ing all transaction reporting to one single point, it theoretically offers the most direct solution to "Duplicative reporting" (Issue 2 from Section 3) and "Duplication of IT systems and processes" (Issue 9 from Section 3), as firms would only submit data once to one entity.</w:t>
      </w:r>
    </w:p>
    <w:p w14:paraId="143CD23A" w14:textId="77777777" w:rsidR="00BE2F2F" w:rsidRPr="00F61AC5" w:rsidRDefault="00BE2F2F" w:rsidP="00BE2F2F">
      <w:pPr>
        <w:pStyle w:val="ListParagraph"/>
        <w:numPr>
          <w:ilvl w:val="0"/>
          <w:numId w:val="0"/>
        </w:numPr>
      </w:pPr>
    </w:p>
    <w:p w14:paraId="7C59B37E" w14:textId="77777777" w:rsidR="00BE2F2F" w:rsidRPr="00F61AC5" w:rsidRDefault="00BE2F2F" w:rsidP="00F073A5">
      <w:pPr>
        <w:numPr>
          <w:ilvl w:val="0"/>
          <w:numId w:val="23"/>
        </w:numPr>
        <w:spacing w:line="259" w:lineRule="auto"/>
        <w:ind w:left="0"/>
      </w:pPr>
      <w:r w:rsidRPr="00F61AC5">
        <w:rPr>
          <w:b/>
          <w:bCs/>
        </w:rPr>
        <w:t>Enhanced Regulatory Data Access and Analysis</w:t>
      </w:r>
      <w:r w:rsidRPr="00F61AC5">
        <w:t>: This aims to address "Lack of data standardisation and consistency" (Issue 10 from Section 3) by having a unified collection point.</w:t>
      </w:r>
    </w:p>
    <w:p w14:paraId="1847D100" w14:textId="77777777" w:rsidR="00BE2F2F" w:rsidRDefault="00BE2F2F" w:rsidP="00BE2F2F"/>
    <w:p w14:paraId="766D4117" w14:textId="34A74DC8" w:rsidR="00926BDA" w:rsidRDefault="00BE2F2F" w:rsidP="00926BDA">
      <w:r>
        <w:t xml:space="preserve">However, ISLA members are </w:t>
      </w:r>
      <w:r w:rsidRPr="00604348">
        <w:t xml:space="preserve">not </w:t>
      </w:r>
      <w:r>
        <w:t xml:space="preserve">generally supportive of Option 2b.  </w:t>
      </w:r>
    </w:p>
    <w:permEnd w:id="16780711"/>
    <w:p w14:paraId="586717CC" w14:textId="77777777" w:rsidR="00926BDA" w:rsidRDefault="00926BDA" w:rsidP="00926BDA">
      <w:r>
        <w:t>&lt;ESMA_QUESTION_CASR_12&gt;</w:t>
      </w:r>
    </w:p>
    <w:p w14:paraId="0608E479" w14:textId="77777777" w:rsidR="00926BDA" w:rsidRDefault="00926BDA" w:rsidP="00926BDA"/>
    <w:p w14:paraId="1E31B6FF" w14:textId="77777777" w:rsidR="00926BDA" w:rsidRDefault="00926BDA" w:rsidP="00926BDA">
      <w:pPr>
        <w:pStyle w:val="Questionstyle"/>
        <w:spacing w:before="120" w:after="120"/>
        <w:ind w:left="851" w:hanging="709"/>
      </w:pPr>
      <w:r>
        <w:t>What are the key limitations and potential risks of option 2b?</w:t>
      </w:r>
    </w:p>
    <w:p w14:paraId="74462196" w14:textId="77777777" w:rsidR="00926BDA" w:rsidRDefault="00926BDA" w:rsidP="00926BDA">
      <w:r>
        <w:t>&lt;ESMA_QUESTION_CASR_13&gt;</w:t>
      </w:r>
    </w:p>
    <w:p w14:paraId="53FE4457" w14:textId="77777777" w:rsidR="00A87E1A" w:rsidRDefault="00A87E1A" w:rsidP="00A87E1A">
      <w:permStart w:id="1489376342" w:edGrp="everyone"/>
      <w:r w:rsidRPr="00F61AC5">
        <w:t xml:space="preserve">From ISLA's perspective, no additional regimes beyond EMIR, MiFIR, and SFTR should be included in such a transaction-focused data repository. While EMIR, MiFIR, and SFTR share a common purpose of market and systemic risk oversight via transactional reporting (albeit with distinct instrument </w:t>
      </w:r>
      <w:r>
        <w:t xml:space="preserve">and product </w:t>
      </w:r>
      <w:r w:rsidRPr="00F61AC5">
        <w:t xml:space="preserve">types), the other regimes </w:t>
      </w:r>
      <w:r>
        <w:t xml:space="preserve">suggested </w:t>
      </w:r>
      <w:r w:rsidRPr="00F61AC5">
        <w:t>in the Call for Evidence (such as REMIT</w:t>
      </w:r>
      <w:r>
        <w:t xml:space="preserve"> and </w:t>
      </w:r>
      <w:r w:rsidRPr="00F61AC5">
        <w:t>Solvency II) have fundamentally different regulatory purposes and data requirements. For instance:</w:t>
      </w:r>
    </w:p>
    <w:p w14:paraId="5C90A9F3" w14:textId="77777777" w:rsidR="00A87E1A" w:rsidRPr="00F61AC5" w:rsidRDefault="00A87E1A" w:rsidP="00A87E1A"/>
    <w:p w14:paraId="34D4C225" w14:textId="77777777" w:rsidR="00A87E1A" w:rsidRPr="00F61AC5" w:rsidRDefault="00A87E1A" w:rsidP="00F073A5">
      <w:pPr>
        <w:numPr>
          <w:ilvl w:val="0"/>
          <w:numId w:val="24"/>
        </w:numPr>
        <w:spacing w:line="259" w:lineRule="auto"/>
        <w:ind w:left="0"/>
      </w:pPr>
      <w:r w:rsidRPr="00F61AC5">
        <w:rPr>
          <w:b/>
          <w:bCs/>
        </w:rPr>
        <w:t>Prudential Regulations</w:t>
      </w:r>
      <w:r w:rsidRPr="00F61AC5">
        <w:t xml:space="preserve"> e.g., Solvency II</w:t>
      </w:r>
      <w:r>
        <w:t xml:space="preserve"> </w:t>
      </w:r>
      <w:r w:rsidRPr="00F61AC5">
        <w:t>focus</w:t>
      </w:r>
      <w:r>
        <w:t>es</w:t>
      </w:r>
      <w:r w:rsidRPr="00F61AC5">
        <w:t xml:space="preserve"> on the capital adequacy and risk management of insurers and involve aggregated, balance-sheet level, or risk-factor data, not granular transaction details for market oversight.</w:t>
      </w:r>
    </w:p>
    <w:p w14:paraId="6128CA60" w14:textId="77777777" w:rsidR="00A87E1A" w:rsidRPr="00F61AC5" w:rsidRDefault="00A87E1A" w:rsidP="00F073A5">
      <w:pPr>
        <w:numPr>
          <w:ilvl w:val="0"/>
          <w:numId w:val="24"/>
        </w:numPr>
        <w:spacing w:line="259" w:lineRule="auto"/>
        <w:ind w:left="0"/>
      </w:pPr>
      <w:r w:rsidRPr="00F61AC5">
        <w:rPr>
          <w:b/>
          <w:bCs/>
        </w:rPr>
        <w:t>Specific Market Integrity</w:t>
      </w:r>
      <w:r w:rsidRPr="00F61AC5">
        <w:t xml:space="preserve"> e.g., REMIT: This focuses on energy market trading, with unique data points entirely irrelevant to securities </w:t>
      </w:r>
      <w:r>
        <w:t>financing</w:t>
      </w:r>
      <w:r w:rsidRPr="00F61AC5">
        <w:t>.</w:t>
      </w:r>
    </w:p>
    <w:p w14:paraId="74E8A2E8" w14:textId="77777777" w:rsidR="00A87E1A" w:rsidRDefault="00A87E1A" w:rsidP="00A87E1A"/>
    <w:p w14:paraId="1BBE9CEA" w14:textId="77777777" w:rsidR="00A87E1A" w:rsidRPr="004A570E" w:rsidRDefault="00A87E1A" w:rsidP="00A87E1A">
      <w:r w:rsidRPr="004A570E">
        <w:t>Attempting to incorporate these into a single "transaction data" hub would create a repository of incompatible data, leading to vast complexity without any material benefit for the core objectives of transaction reporting.</w:t>
      </w:r>
    </w:p>
    <w:p w14:paraId="7A966F95" w14:textId="77777777" w:rsidR="00A87E1A" w:rsidRPr="003135AF" w:rsidRDefault="00A87E1A" w:rsidP="00A87E1A"/>
    <w:p w14:paraId="78439844" w14:textId="77777777" w:rsidR="00A87E1A" w:rsidRPr="003135AF" w:rsidRDefault="00A87E1A" w:rsidP="00A87E1A">
      <w:r w:rsidRPr="003135AF">
        <w:t>Even if technically feasible, a single hub risks creating a "data deluge" for regulators. Each regulatory body (NCAs, ESMA, SRB, ECB, EBA) has highly speciali</w:t>
      </w:r>
      <w:r>
        <w:t>s</w:t>
      </w:r>
      <w:r w:rsidRPr="003135AF">
        <w:t xml:space="preserve">ed mandates and data analysis needs. A generic, undifferentiated data stream, while large, could prove less useful than targeted, specific data, potentially diluting the effectiveness of individual supervisory functions. </w:t>
      </w:r>
      <w:r>
        <w:t>In addition, e</w:t>
      </w:r>
      <w:r w:rsidRPr="003135AF">
        <w:t>stablishing a clear governance framework for such a mega-hub</w:t>
      </w:r>
      <w:r>
        <w:t xml:space="preserve">, </w:t>
      </w:r>
      <w:r w:rsidRPr="003135AF">
        <w:t>defining ownership, liability for data breaches or errors, and mechanisms for dispute resolution among numerous EU authorities and national competent authorities</w:t>
      </w:r>
      <w:r>
        <w:t xml:space="preserve">, </w:t>
      </w:r>
      <w:r w:rsidRPr="003135AF">
        <w:t xml:space="preserve">would be </w:t>
      </w:r>
      <w:r>
        <w:t xml:space="preserve">extremely </w:t>
      </w:r>
      <w:r w:rsidRPr="003135AF">
        <w:t>complex</w:t>
      </w:r>
      <w:r>
        <w:t xml:space="preserve">. </w:t>
      </w:r>
    </w:p>
    <w:permEnd w:id="1489376342"/>
    <w:p w14:paraId="68F5F79E" w14:textId="77777777" w:rsidR="00926BDA" w:rsidRDefault="00926BDA" w:rsidP="00926BDA">
      <w:r>
        <w:t>&lt;ESMA_QUESTION_CASR_13&gt;</w:t>
      </w:r>
    </w:p>
    <w:p w14:paraId="3F2950D9" w14:textId="77777777" w:rsidR="00926BDA" w:rsidRDefault="00926BDA" w:rsidP="00926BDA"/>
    <w:p w14:paraId="2F0F769D" w14:textId="77777777" w:rsidR="00926BDA" w:rsidRDefault="00926BDA" w:rsidP="00926BDA">
      <w:pPr>
        <w:pStyle w:val="Questionstyle"/>
        <w:spacing w:before="120" w:after="120"/>
        <w:ind w:left="851" w:hanging="709"/>
      </w:pPr>
      <w:r>
        <w:t>What components are missing or not adequately addressed in option 2b? Why are these elements important, and how might their inclusion change the evaluation or implementation of option 2b?</w:t>
      </w:r>
    </w:p>
    <w:p w14:paraId="7F464072" w14:textId="77777777" w:rsidR="00926BDA" w:rsidRDefault="00926BDA" w:rsidP="00926BDA">
      <w:r>
        <w:t>&lt;ESMA_QUESTION_CASR_14&gt;</w:t>
      </w:r>
    </w:p>
    <w:p w14:paraId="0F6DEA33" w14:textId="77777777" w:rsidR="001A040B" w:rsidRDefault="001A040B" w:rsidP="001A040B">
      <w:permStart w:id="1849847968" w:edGrp="everyone"/>
      <w:r w:rsidRPr="00F51FF8">
        <w:t>Option 2b, despite its radical ambition, critically fails to define or adequately address the practical components necessary for its justification or viable implementation</w:t>
      </w:r>
      <w:r>
        <w:t xml:space="preserve">, and ISLA would not be supportive of this option at this stage, for the reasons outlined in response to Question 13. </w:t>
      </w:r>
    </w:p>
    <w:permEnd w:id="1849847968"/>
    <w:p w14:paraId="754DFA86" w14:textId="77777777" w:rsidR="00926BDA" w:rsidRDefault="00926BDA" w:rsidP="00926BDA">
      <w:r>
        <w:t>&lt;ESMA_QUESTION_CASR_14&gt;</w:t>
      </w:r>
    </w:p>
    <w:p w14:paraId="4B90EA1B" w14:textId="77777777" w:rsidR="00926BDA" w:rsidRDefault="00926BDA" w:rsidP="00926BDA"/>
    <w:p w14:paraId="1171D85E" w14:textId="77777777" w:rsidR="00926BDA" w:rsidRDefault="00926BDA" w:rsidP="00926BDA">
      <w:pPr>
        <w:pStyle w:val="Questionstyle"/>
        <w:spacing w:before="120" w:after="120"/>
        <w:ind w:left="851" w:hanging="709"/>
      </w:pPr>
      <w:r>
        <w:t>Which of the two main options (1. “removal of duplication in current frameworks” or 2. "report once") and related sub-options identified  do you believe should be prioritised, and why?</w:t>
      </w:r>
    </w:p>
    <w:p w14:paraId="5786375C" w14:textId="77777777" w:rsidR="00926BDA" w:rsidRDefault="00926BDA" w:rsidP="00926BDA">
      <w:r>
        <w:t>&lt;ESMA_QUESTION_CASR_15&gt;</w:t>
      </w:r>
    </w:p>
    <w:p w14:paraId="5F5E5FC7" w14:textId="77777777" w:rsidR="00095DE2" w:rsidRDefault="00095DE2" w:rsidP="00095DE2">
      <w:permStart w:id="695482675" w:edGrp="everyone"/>
      <w:r w:rsidRPr="00CB0159">
        <w:t>Based on our comprehensive analysis of the proposed options and sub-options</w:t>
      </w:r>
      <w:r>
        <w:t>, and from the perspective of those engaged in SFTs</w:t>
      </w:r>
      <w:r w:rsidRPr="00CB0159">
        <w:t xml:space="preserve">, ISLA members </w:t>
      </w:r>
      <w:r>
        <w:t xml:space="preserve">do not support any of the options as they are envisaged in this call for evidence. </w:t>
      </w:r>
    </w:p>
    <w:p w14:paraId="428D4AA1" w14:textId="77777777" w:rsidR="00095DE2" w:rsidRDefault="00095DE2" w:rsidP="00095DE2"/>
    <w:p w14:paraId="4174ED90" w14:textId="77777777" w:rsidR="00095DE2" w:rsidRDefault="00095DE2" w:rsidP="00095DE2">
      <w:r>
        <w:t xml:space="preserve">We believe that in the immediate term, the current priority should be to address the challenges that the industry are facing today, as outlined in ISLA’s updated list of outstanding SFTR challenges, that can be found here </w:t>
      </w:r>
      <w:hyperlink r:id="rId25" w:history="1">
        <w:r w:rsidRPr="00B704EF">
          <w:rPr>
            <w:rStyle w:val="Hyperlink"/>
          </w:rPr>
          <w:t>ISLA SFTR - Known Issues List</w:t>
        </w:r>
      </w:hyperlink>
      <w:r>
        <w:t xml:space="preserve">. However, </w:t>
      </w:r>
      <w:r w:rsidRPr="00CB0159">
        <w:t xml:space="preserve">ISLA supports Option 1a as the most pragmatic and effective path towards meaningful simplification in the </w:t>
      </w:r>
      <w:r>
        <w:t>short</w:t>
      </w:r>
      <w:r w:rsidRPr="00CB0159">
        <w:t xml:space="preserve"> to medium term. Our support for Option 1a stems from its core principle of delineating reporting obligations by instrument type. </w:t>
      </w:r>
      <w:r w:rsidRPr="00CE2E07">
        <w:rPr>
          <w:b/>
          <w:bCs/>
        </w:rPr>
        <w:t>While Option 1a, as currently described,</w:t>
      </w:r>
      <w:r w:rsidRPr="00CB0159">
        <w:t xml:space="preserve"> </w:t>
      </w:r>
      <w:r w:rsidRPr="00CD01AC">
        <w:rPr>
          <w:b/>
          <w:bCs/>
        </w:rPr>
        <w:t>primarily focuses on derivatives</w:t>
      </w:r>
      <w:r w:rsidRPr="00CB0159">
        <w:t xml:space="preserve">, </w:t>
      </w:r>
      <w:r w:rsidRPr="00CD01AC">
        <w:rPr>
          <w:b/>
          <w:bCs/>
        </w:rPr>
        <w:t>ISLA strongly advocates for its extension to include SFTs, ensuring that all SFTs are reported solely under SFTR</w:t>
      </w:r>
      <w:r w:rsidRPr="00CB0159">
        <w:t xml:space="preserve">. This approach aligns with our goal of achieving a single, comprehensive regime for SFTs. This method offers a clear, structured simplification that directly addresses existing overlaps and inconsistencies without necessitating a complete, disruptive overhaul of current, </w:t>
      </w:r>
      <w:r>
        <w:t xml:space="preserve">generally </w:t>
      </w:r>
      <w:r w:rsidRPr="00CB0159">
        <w:t>functional reporting infrastructures. It offers a tangible and implementable reduction in reporting burden through targeted adjustments.</w:t>
      </w:r>
      <w:r>
        <w:t xml:space="preserve"> </w:t>
      </w:r>
    </w:p>
    <w:permEnd w:id="695482675"/>
    <w:p w14:paraId="3F62887A" w14:textId="77777777" w:rsidR="00926BDA" w:rsidRDefault="00926BDA" w:rsidP="00926BDA">
      <w:r>
        <w:t>&lt;ESMA_QUESTION_CASR_15&gt;</w:t>
      </w:r>
    </w:p>
    <w:p w14:paraId="421A97F2" w14:textId="77777777" w:rsidR="00926BDA" w:rsidRDefault="00926BDA" w:rsidP="00926BDA"/>
    <w:p w14:paraId="114400C6" w14:textId="77777777" w:rsidR="00926BDA" w:rsidRDefault="00926BDA" w:rsidP="00926BDA">
      <w:pPr>
        <w:pStyle w:val="Questionstyle"/>
        <w:spacing w:before="120" w:after="120"/>
        <w:ind w:left="851" w:hanging="709"/>
      </w:pPr>
      <w:r>
        <w:lastRenderedPageBreak/>
        <w:t>Are there any additional options that should be considered on top of option 1 and 2? For example, do you identify other potential intermediate solutions, combinations of elements from the identified options, or phased approaches? If so, what are their main characteristics, the reasons for considering them, and the key advantages they would bring?</w:t>
      </w:r>
    </w:p>
    <w:p w14:paraId="78DE67F2" w14:textId="77777777" w:rsidR="00926BDA" w:rsidRDefault="00926BDA" w:rsidP="00926BDA">
      <w:r>
        <w:t>&lt;ESMA_QUESTION_CASR_16&gt;</w:t>
      </w:r>
    </w:p>
    <w:p w14:paraId="66EED9BD" w14:textId="77777777" w:rsidR="00E26F98" w:rsidRPr="005B74E1" w:rsidRDefault="00E26F98" w:rsidP="00E26F98">
      <w:pPr>
        <w:rPr>
          <w:b/>
          <w:bCs/>
        </w:rPr>
      </w:pPr>
      <w:permStart w:id="1784418006" w:edGrp="everyone"/>
      <w:r>
        <w:t xml:space="preserve">Although there is some support for Option 1a, </w:t>
      </w:r>
      <w:r w:rsidRPr="00A71CD5">
        <w:rPr>
          <w:b/>
          <w:bCs/>
        </w:rPr>
        <w:t>if</w:t>
      </w:r>
      <w:r>
        <w:t xml:space="preserve"> SFTR was included in the short term, and </w:t>
      </w:r>
      <w:r w:rsidRPr="00A71CD5">
        <w:rPr>
          <w:b/>
          <w:bCs/>
        </w:rPr>
        <w:t xml:space="preserve">if </w:t>
      </w:r>
      <w:r>
        <w:t xml:space="preserve">ESMA and the Commission were able to alleviate the current challenges as outlined in our extensive issues list, </w:t>
      </w:r>
      <w:r w:rsidRPr="005B74E1">
        <w:rPr>
          <w:b/>
          <w:bCs/>
        </w:rPr>
        <w:t xml:space="preserve">we would propose a different approach to future proof </w:t>
      </w:r>
      <w:r>
        <w:rPr>
          <w:b/>
          <w:bCs/>
        </w:rPr>
        <w:t xml:space="preserve">and simplify </w:t>
      </w:r>
      <w:r w:rsidRPr="005B74E1">
        <w:rPr>
          <w:b/>
          <w:bCs/>
        </w:rPr>
        <w:t xml:space="preserve">regulatory </w:t>
      </w:r>
      <w:r>
        <w:rPr>
          <w:b/>
          <w:bCs/>
        </w:rPr>
        <w:t xml:space="preserve">transaction </w:t>
      </w:r>
      <w:r w:rsidRPr="005B74E1">
        <w:rPr>
          <w:b/>
          <w:bCs/>
        </w:rPr>
        <w:t xml:space="preserve">reporting. </w:t>
      </w:r>
    </w:p>
    <w:p w14:paraId="74241128" w14:textId="77777777" w:rsidR="00E26F98" w:rsidRDefault="00E26F98" w:rsidP="00E26F98"/>
    <w:p w14:paraId="26B32225" w14:textId="77777777" w:rsidR="00E26F98" w:rsidRDefault="00E26F98" w:rsidP="00E26F98">
      <w:r w:rsidRPr="00546621">
        <w:t>I</w:t>
      </w:r>
      <w:r>
        <w:t xml:space="preserve">SLA believes it </w:t>
      </w:r>
      <w:r w:rsidRPr="00546621">
        <w:t xml:space="preserve">would be possible to maintain the legal and functional separation of </w:t>
      </w:r>
      <w:r>
        <w:t xml:space="preserve">the three </w:t>
      </w:r>
      <w:r w:rsidRPr="00546621">
        <w:t>reporting regimes</w:t>
      </w:r>
      <w:r>
        <w:t>,</w:t>
      </w:r>
      <w:r w:rsidRPr="00546621">
        <w:t xml:space="preserve"> </w:t>
      </w:r>
      <w:r>
        <w:t xml:space="preserve">if ESMA could </w:t>
      </w:r>
      <w:r w:rsidRPr="00546621">
        <w:t>ensur</w:t>
      </w:r>
      <w:r>
        <w:t xml:space="preserve">e </w:t>
      </w:r>
      <w:r w:rsidRPr="00546621">
        <w:t xml:space="preserve">all data is submitted and made accessible through the </w:t>
      </w:r>
      <w:r w:rsidRPr="006A7C9B">
        <w:rPr>
          <w:b/>
          <w:bCs/>
        </w:rPr>
        <w:t>same harmonised standard</w:t>
      </w:r>
      <w:r>
        <w:rPr>
          <w:b/>
          <w:bCs/>
        </w:rPr>
        <w:t xml:space="preserve"> </w:t>
      </w:r>
      <w:r w:rsidRPr="001A254D">
        <w:rPr>
          <w:b/>
          <w:bCs/>
        </w:rPr>
        <w:t>data model</w:t>
      </w:r>
      <w:r w:rsidRPr="00546621">
        <w:t>.</w:t>
      </w:r>
    </w:p>
    <w:p w14:paraId="4131AD99" w14:textId="77777777" w:rsidR="00E26F98" w:rsidRDefault="00E26F98" w:rsidP="00E26F98"/>
    <w:p w14:paraId="29DD9D5A" w14:textId="77777777" w:rsidR="00E26F98" w:rsidRPr="00CB0159" w:rsidRDefault="00E26F98" w:rsidP="00E26F98">
      <w:r>
        <w:t>W</w:t>
      </w:r>
      <w:r w:rsidRPr="00CB0159">
        <w:t>hile we acknowledge the theoretical long-term vision of a "Report Once" environment, particularly if underpinned by truly common data standards, its current implementation would require significant, prohibitive costs and a complete re-think of everything that is in place today. The industry is not prepared for such a radical transition without the necessary foundational elements already in place.</w:t>
      </w:r>
    </w:p>
    <w:p w14:paraId="35EA4636" w14:textId="77777777" w:rsidR="00E26F98" w:rsidRDefault="00E26F98" w:rsidP="00E26F98"/>
    <w:p w14:paraId="77944827" w14:textId="77777777" w:rsidR="00E26F98" w:rsidRDefault="00E26F98" w:rsidP="00E26F98">
      <w:r w:rsidRPr="00CB0159">
        <w:t xml:space="preserve">Therefore, </w:t>
      </w:r>
      <w:r>
        <w:t>we do not believe that ESMA’s strategic priority should be the</w:t>
      </w:r>
      <w:r w:rsidRPr="00CB0159">
        <w:t xml:space="preserve"> implementation of a theoretical "Report Once" model</w:t>
      </w:r>
      <w:r>
        <w:t xml:space="preserve">, especially </w:t>
      </w:r>
      <w:r w:rsidRPr="00CB0159">
        <w:t xml:space="preserve">without robust infrastructure. Instead, ISLA believes that to </w:t>
      </w:r>
      <w:r>
        <w:t xml:space="preserve">simplify and </w:t>
      </w:r>
      <w:r w:rsidRPr="00CB0159">
        <w:t xml:space="preserve">future-proof the market and its regulatory reporting regimes, it would make far more sense for regulatory efforts and industry investment to be directed towards digitising the underlying infrastructure. </w:t>
      </w:r>
    </w:p>
    <w:p w14:paraId="0EA0E566" w14:textId="77777777" w:rsidR="00E26F98" w:rsidRDefault="00E26F98" w:rsidP="00E26F98"/>
    <w:p w14:paraId="4D8D3CD1" w14:textId="77777777" w:rsidR="00E26F98" w:rsidRPr="00CB0159" w:rsidRDefault="00E26F98" w:rsidP="00E26F98">
      <w:r w:rsidRPr="00CB0159">
        <w:t>This entails prioritising initiatives such as:</w:t>
      </w:r>
    </w:p>
    <w:p w14:paraId="3E62F1B2" w14:textId="77777777" w:rsidR="00E26F98" w:rsidRPr="00CB0159" w:rsidRDefault="00E26F98" w:rsidP="00F073A5">
      <w:pPr>
        <w:numPr>
          <w:ilvl w:val="0"/>
          <w:numId w:val="25"/>
        </w:numPr>
        <w:spacing w:line="259" w:lineRule="auto"/>
      </w:pPr>
      <w:r w:rsidRPr="00CB0159">
        <w:t xml:space="preserve">The development and adoption of </w:t>
      </w:r>
      <w:r>
        <w:t>a</w:t>
      </w:r>
      <w:r w:rsidRPr="00CB0159">
        <w:t xml:space="preserve"> Common Data Model (CDM).</w:t>
      </w:r>
    </w:p>
    <w:p w14:paraId="74DF1659" w14:textId="77777777" w:rsidR="00E26F98" w:rsidRPr="00CB0159" w:rsidRDefault="00E26F98" w:rsidP="00F073A5">
      <w:pPr>
        <w:numPr>
          <w:ilvl w:val="0"/>
          <w:numId w:val="25"/>
        </w:numPr>
        <w:spacing w:line="259" w:lineRule="auto"/>
      </w:pPr>
      <w:r w:rsidRPr="00CB0159">
        <w:t>The implementation of Digital Regulatory Reporting (DRR), enabling machine-readable and executable reporting (MRER).</w:t>
      </w:r>
    </w:p>
    <w:p w14:paraId="2D69489F" w14:textId="77777777" w:rsidR="00E26F98" w:rsidRPr="00CB0159" w:rsidRDefault="00E26F98" w:rsidP="00E26F98">
      <w:pPr>
        <w:ind w:left="720"/>
      </w:pPr>
    </w:p>
    <w:p w14:paraId="3B13D201" w14:textId="77777777" w:rsidR="00E26F98" w:rsidRPr="00CB0159" w:rsidRDefault="00E26F98" w:rsidP="00E26F98">
      <w:r w:rsidRPr="00BE0968">
        <w:rPr>
          <w:b/>
          <w:bCs/>
        </w:rPr>
        <w:t>This approach represents a phased, evolutionary pathway to true simplification and efficiency.</w:t>
      </w:r>
      <w:r>
        <w:t xml:space="preserve"> It lays the groundwork for a future state where a more seamless reporting regime could be supported, as it builds the essential digital foundations that are currently missing from the immediate proposals of Option 2. Prioritising this foundational digitisation ensures that any future comprehensive simplification is built upon a solid, interoperable, and sustainable technological base, avoiding sunk costs and ensuring long-term benefits for all stakeholders. For ultimate simplification, it is essential that we enhance individual reporting regimes, however it would be most helpful to mandate the use of a common data language, such as the FINOS Common Domain Model as an example, to ensure consistency and future-proof data exchange.</w:t>
      </w:r>
    </w:p>
    <w:p w14:paraId="026C4CD4" w14:textId="77777777" w:rsidR="00E26F98" w:rsidRDefault="00E26F98" w:rsidP="00E26F98"/>
    <w:p w14:paraId="0FCC1A0A" w14:textId="77777777" w:rsidR="00E26F98" w:rsidRDefault="00E26F98" w:rsidP="00E26F98"/>
    <w:p w14:paraId="240FADE1" w14:textId="77777777" w:rsidR="00E26F98" w:rsidRDefault="00E26F98" w:rsidP="00E26F98">
      <w:r>
        <w:lastRenderedPageBreak/>
        <w:t>Consistent and standardised data and a common understanding of data, are key building blocks that make it easier to use digital technologies and simplify the transmission validation and analysis of data. It also enables speedy transition to alternative providers in times of market disruption, as rebuilds are not required and connectivity can be established based on common taxonomy and lifecycle data codes. The FINOS CDM has already established this data standardisation for derivatives and SFTs.</w:t>
      </w:r>
    </w:p>
    <w:p w14:paraId="088E5CB8" w14:textId="77777777" w:rsidR="00E26F98" w:rsidRDefault="00E26F98" w:rsidP="00E26F98"/>
    <w:p w14:paraId="5887B95D" w14:textId="77777777" w:rsidR="00E26F98" w:rsidRDefault="00E26F98" w:rsidP="00E26F98">
      <w:r>
        <w:t xml:space="preserve">In addition to greater improvements in reporting, consistent data and standardisation as developed in the CDM, the other key objective of data should be to improve market efficiency and market integration. Improving market efficiency also results in improved market integrity and market stability, as well as knowledge and data to immediately make informed assessments by policy makers. </w:t>
      </w:r>
    </w:p>
    <w:p w14:paraId="69DEF94D" w14:textId="77777777" w:rsidR="00E26F98" w:rsidRDefault="00E26F98" w:rsidP="00E26F98"/>
    <w:p w14:paraId="2A0EFAFB" w14:textId="77777777" w:rsidR="00E26F98" w:rsidRDefault="00E26F98" w:rsidP="00E26F98">
      <w:pPr>
        <w:rPr>
          <w:b/>
          <w:bCs/>
        </w:rPr>
      </w:pPr>
      <w:r w:rsidRPr="004068CB">
        <w:rPr>
          <w:b/>
          <w:bCs/>
        </w:rPr>
        <w:t>Consideration of improvements to data reporting should not be considered without commensurate consideration of market efficiency.</w:t>
      </w:r>
    </w:p>
    <w:permEnd w:id="1784418006"/>
    <w:p w14:paraId="3AD06511" w14:textId="77777777" w:rsidR="00926BDA" w:rsidRDefault="00926BDA" w:rsidP="00926BDA">
      <w:r>
        <w:t>&lt;ESMA_QUESTION_CASR_16&gt;</w:t>
      </w:r>
    </w:p>
    <w:p w14:paraId="67C20FBF" w14:textId="77777777" w:rsidR="00926BDA" w:rsidRDefault="00926BDA" w:rsidP="00926BDA"/>
    <w:p w14:paraId="1AE2F2AC" w14:textId="77777777" w:rsidR="00926BDA" w:rsidRDefault="00926BDA" w:rsidP="00926BDA">
      <w:pPr>
        <w:pStyle w:val="Questionstyle"/>
        <w:spacing w:before="120" w:after="120"/>
        <w:ind w:left="851" w:hanging="709"/>
      </w:pPr>
      <w:r>
        <w:t>Should the reporting channels, and flows be modified to ensure consistent reporting, and if so, how? Under which option/s do you consider these changes should be implemented?</w:t>
      </w:r>
    </w:p>
    <w:p w14:paraId="0F8473A0" w14:textId="77777777" w:rsidR="00926BDA" w:rsidRDefault="00926BDA" w:rsidP="00926BDA">
      <w:r>
        <w:t>&lt;ESMA_QUESTION_CASR_17&gt;</w:t>
      </w:r>
    </w:p>
    <w:p w14:paraId="05F3DFCE" w14:textId="77777777" w:rsidR="0009561A" w:rsidRDefault="0009561A" w:rsidP="0009561A">
      <w:pPr>
        <w:rPr>
          <w:bCs/>
        </w:rPr>
      </w:pPr>
      <w:permStart w:id="1438851636" w:edGrp="everyone"/>
      <w:r w:rsidRPr="00543354">
        <w:rPr>
          <w:bCs/>
        </w:rPr>
        <w:t>The current fragmented system, as highlighted in points 24 and 25 of the CFE, creates significant inefficiencies and cost burdens for market participants, particularly cross-border firms.</w:t>
      </w:r>
      <w:r>
        <w:rPr>
          <w:bCs/>
        </w:rPr>
        <w:t xml:space="preserve"> </w:t>
      </w:r>
      <w:r w:rsidRPr="00543354">
        <w:rPr>
          <w:bCs/>
        </w:rPr>
        <w:t xml:space="preserve">The ideal solution </w:t>
      </w:r>
      <w:r>
        <w:rPr>
          <w:bCs/>
        </w:rPr>
        <w:t>would be</w:t>
      </w:r>
      <w:r w:rsidRPr="00543354">
        <w:rPr>
          <w:bCs/>
        </w:rPr>
        <w:t xml:space="preserve"> to transition towards a comprehensive Digital Regulatory Reporting framework based on a Common Domain Model. </w:t>
      </w:r>
      <w:r>
        <w:rPr>
          <w:bCs/>
        </w:rPr>
        <w:t>T</w:t>
      </w:r>
      <w:r w:rsidRPr="00543354">
        <w:rPr>
          <w:bCs/>
        </w:rPr>
        <w:t>his approach would enable a more structural and fundamental change to reporting channels.</w:t>
      </w:r>
      <w:r>
        <w:rPr>
          <w:bCs/>
        </w:rPr>
        <w:t xml:space="preserve"> </w:t>
      </w:r>
      <w:r w:rsidRPr="00543354">
        <w:rPr>
          <w:bCs/>
        </w:rPr>
        <w:t xml:space="preserve">By creating a "digital" reporting regime, it would be possible to remove the need for a range of intermediaries and inconsistent systems. </w:t>
      </w:r>
    </w:p>
    <w:permEnd w:id="1438851636"/>
    <w:p w14:paraId="2C9A1A2C" w14:textId="77777777" w:rsidR="00926BDA" w:rsidRDefault="00926BDA" w:rsidP="00926BDA">
      <w:r>
        <w:t>&lt;ESMA_QUESTION_CASR_17&gt;</w:t>
      </w:r>
    </w:p>
    <w:p w14:paraId="2EEAD9C9" w14:textId="77777777" w:rsidR="00926BDA" w:rsidRDefault="00926BDA" w:rsidP="00926BDA"/>
    <w:p w14:paraId="02B1B8A8" w14:textId="77777777" w:rsidR="00926BDA" w:rsidRDefault="00926BDA" w:rsidP="00926BDA">
      <w:pPr>
        <w:pStyle w:val="Questionstyle"/>
        <w:spacing w:before="120" w:after="120"/>
        <w:ind w:left="851" w:hanging="709"/>
      </w:pPr>
      <w:r>
        <w:t>In this regard, and based on the current order book requirements for trading venues and the availability of information, what are the advantages and disadvantages of transferring the reporting of on-venue transactions under MiFIR and EMIR to trading venues?</w:t>
      </w:r>
    </w:p>
    <w:p w14:paraId="7705C731" w14:textId="77777777" w:rsidR="00926BDA" w:rsidRDefault="00926BDA" w:rsidP="00926BDA">
      <w:r>
        <w:t>&lt;ESMA_QUESTION_CASR_18&gt;</w:t>
      </w:r>
    </w:p>
    <w:p w14:paraId="33B78B8E" w14:textId="77777777" w:rsidR="00926BDA" w:rsidRDefault="00926BDA" w:rsidP="00926BDA">
      <w:permStart w:id="1962436404" w:edGrp="everyone"/>
      <w:r>
        <w:t>TYPE YOUR TEXT HERE</w:t>
      </w:r>
    </w:p>
    <w:permEnd w:id="1962436404"/>
    <w:p w14:paraId="23718E98" w14:textId="77777777" w:rsidR="00926BDA" w:rsidRDefault="00926BDA" w:rsidP="00926BDA">
      <w:r>
        <w:t>&lt;ESMA_QUESTION_CASR_18&gt;</w:t>
      </w:r>
    </w:p>
    <w:p w14:paraId="5678260C" w14:textId="77777777" w:rsidR="00926BDA" w:rsidRDefault="00926BDA" w:rsidP="00926BDA"/>
    <w:p w14:paraId="5A58897A" w14:textId="77777777" w:rsidR="00926BDA" w:rsidRDefault="00926BDA" w:rsidP="00926BDA">
      <w:pPr>
        <w:pStyle w:val="Questionstyle"/>
        <w:spacing w:before="120" w:after="120"/>
        <w:ind w:left="851" w:hanging="709"/>
      </w:pPr>
      <w:r>
        <w:t xml:space="preserve">Additionally, what are your views on enhancing ESMA role as data hub by developing a framework where entities would report consistent and harmonised data directly to ESMA? Should this option consider direct reporting to ESMA coupled with EU and national authorities’ access to the centrally held data, eliminating multiple submissions? </w:t>
      </w:r>
    </w:p>
    <w:p w14:paraId="119EF579" w14:textId="77777777" w:rsidR="00926BDA" w:rsidRDefault="00926BDA" w:rsidP="00926BDA">
      <w:r>
        <w:lastRenderedPageBreak/>
        <w:t>&lt;ESMA_QUESTION_CASR_19&gt;</w:t>
      </w:r>
    </w:p>
    <w:p w14:paraId="430B7D1D" w14:textId="77777777" w:rsidR="00E31290" w:rsidRDefault="00E31290" w:rsidP="00E31290">
      <w:permStart w:id="105197077" w:edGrp="everyone"/>
      <w:r>
        <w:t xml:space="preserve">ISLA has no formal position on whether ESMA’s role should be enhanced as a data hub, however, we see merit in streamlining reporting channels across the regimes, as this would likely result in a cost reduction for firms. As noted in response to previous questions, the inefficiencies of varying reporting channels could be alleviated by Digital Regulatory Reporting. </w:t>
      </w:r>
    </w:p>
    <w:p w14:paraId="2ACB923D" w14:textId="77777777" w:rsidR="00E31290" w:rsidRDefault="00E31290" w:rsidP="00E31290"/>
    <w:p w14:paraId="5EB5EA53" w14:textId="77777777" w:rsidR="00E31290" w:rsidRDefault="00E31290" w:rsidP="00E31290">
      <w:r w:rsidRPr="00624706">
        <w:t>By adopting a DRR framework based on the CDM, the industry would be using a single, machine-readable data standard for all transactions. This would make it possible to:</w:t>
      </w:r>
    </w:p>
    <w:p w14:paraId="03EB6CE4" w14:textId="77777777" w:rsidR="00E31290" w:rsidRPr="00624706" w:rsidRDefault="00E31290" w:rsidP="00E31290"/>
    <w:p w14:paraId="79BD082B" w14:textId="77777777" w:rsidR="00E31290" w:rsidRPr="00624706" w:rsidRDefault="00E31290" w:rsidP="00F073A5">
      <w:pPr>
        <w:numPr>
          <w:ilvl w:val="0"/>
          <w:numId w:val="26"/>
        </w:numPr>
        <w:spacing w:line="259" w:lineRule="auto"/>
      </w:pPr>
      <w:r w:rsidRPr="00624706">
        <w:rPr>
          <w:b/>
          <w:bCs/>
        </w:rPr>
        <w:t>Standardi</w:t>
      </w:r>
      <w:r>
        <w:rPr>
          <w:b/>
          <w:bCs/>
        </w:rPr>
        <w:t>s</w:t>
      </w:r>
      <w:r w:rsidRPr="00624706">
        <w:rPr>
          <w:b/>
          <w:bCs/>
        </w:rPr>
        <w:t>e data at the source:</w:t>
      </w:r>
      <w:r w:rsidRPr="00624706">
        <w:t xml:space="preserve"> The same data points could be used for all reports, regardless of the regime.</w:t>
      </w:r>
    </w:p>
    <w:p w14:paraId="63EF534E" w14:textId="77777777" w:rsidR="00E31290" w:rsidRPr="00624706" w:rsidRDefault="00E31290" w:rsidP="00F073A5">
      <w:pPr>
        <w:numPr>
          <w:ilvl w:val="0"/>
          <w:numId w:val="26"/>
        </w:numPr>
        <w:spacing w:line="259" w:lineRule="auto"/>
      </w:pPr>
      <w:r w:rsidRPr="00624706">
        <w:rPr>
          <w:b/>
          <w:bCs/>
        </w:rPr>
        <w:t>Create a single reporting utility:</w:t>
      </w:r>
      <w:r w:rsidRPr="00624706">
        <w:t xml:space="preserve"> Instead of reporting to separate NCAs, Trade Repositories, and ACER, a single, centrali</w:t>
      </w:r>
      <w:r>
        <w:t>s</w:t>
      </w:r>
      <w:r w:rsidRPr="00624706">
        <w:t>ed "digital" channel could be established to receive the standardi</w:t>
      </w:r>
      <w:r>
        <w:t>s</w:t>
      </w:r>
      <w:r w:rsidRPr="00624706">
        <w:t>ed data.</w:t>
      </w:r>
    </w:p>
    <w:p w14:paraId="6F5BB093" w14:textId="77777777" w:rsidR="00E31290" w:rsidRDefault="00E31290" w:rsidP="00F073A5">
      <w:pPr>
        <w:numPr>
          <w:ilvl w:val="0"/>
          <w:numId w:val="26"/>
        </w:numPr>
        <w:spacing w:line="259" w:lineRule="auto"/>
      </w:pPr>
      <w:r w:rsidRPr="00624706">
        <w:rPr>
          <w:b/>
          <w:bCs/>
        </w:rPr>
        <w:t xml:space="preserve">Eliminate </w:t>
      </w:r>
      <w:r>
        <w:rPr>
          <w:b/>
          <w:bCs/>
        </w:rPr>
        <w:t xml:space="preserve">multiple </w:t>
      </w:r>
      <w:r w:rsidRPr="00624706">
        <w:rPr>
          <w:b/>
          <w:bCs/>
        </w:rPr>
        <w:t>intermediaries:</w:t>
      </w:r>
      <w:r w:rsidRPr="00624706">
        <w:t xml:space="preserve"> The standardi</w:t>
      </w:r>
      <w:r>
        <w:t>s</w:t>
      </w:r>
      <w:r w:rsidRPr="00624706">
        <w:t>ed, machine-executable data would reduce the need for multiple intermediaries to translate, reformat, and submit reports for different regimes.</w:t>
      </w:r>
    </w:p>
    <w:p w14:paraId="2B91DE0E" w14:textId="77777777" w:rsidR="00E31290" w:rsidRPr="00624706" w:rsidRDefault="00E31290" w:rsidP="00E31290">
      <w:pPr>
        <w:ind w:left="720"/>
      </w:pPr>
    </w:p>
    <w:p w14:paraId="1600933C" w14:textId="77777777" w:rsidR="00E31290" w:rsidRPr="00E1640F" w:rsidRDefault="00E31290" w:rsidP="00E31290">
      <w:r w:rsidRPr="00624706">
        <w:t>Ultimately, this would not only streamline reporting channels but also significantly reduce costs and enhance data consistency for all stakeholders.</w:t>
      </w:r>
    </w:p>
    <w:permEnd w:id="105197077"/>
    <w:p w14:paraId="07615230" w14:textId="77777777" w:rsidR="00926BDA" w:rsidRDefault="00926BDA" w:rsidP="00926BDA">
      <w:r>
        <w:t>&lt;ESMA_QUESTION_CASR_19&gt;</w:t>
      </w:r>
    </w:p>
    <w:p w14:paraId="3B9A9E21" w14:textId="77777777" w:rsidR="00926BDA" w:rsidRDefault="00926BDA" w:rsidP="00926BDA"/>
    <w:p w14:paraId="35B135A6" w14:textId="77777777" w:rsidR="00926BDA" w:rsidRDefault="00926BDA" w:rsidP="00926BDA">
      <w:pPr>
        <w:pStyle w:val="Questionstyle"/>
        <w:spacing w:before="120" w:after="120"/>
        <w:ind w:left="851" w:hanging="709"/>
      </w:pPr>
      <w:r>
        <w:t>In the case of centralisation of reporting, please expand on the advantages and disadvantages as well as the implementation challenges and opportunities? Under this scenario, what additional elements should be considered (i.e. Operational aspects, technical implementation, etc.)</w:t>
      </w:r>
    </w:p>
    <w:p w14:paraId="6A63FD17" w14:textId="77777777" w:rsidR="00926BDA" w:rsidRDefault="00926BDA" w:rsidP="00926BDA">
      <w:r>
        <w:t>&lt;ESMA_QUESTION_CASR_20&gt;</w:t>
      </w:r>
    </w:p>
    <w:p w14:paraId="54ECE2A0" w14:textId="77777777" w:rsidR="008102E7" w:rsidRPr="00BA78F7" w:rsidRDefault="008102E7" w:rsidP="008102E7">
      <w:pPr>
        <w:rPr>
          <w:b/>
          <w:bCs/>
        </w:rPr>
      </w:pPr>
      <w:permStart w:id="817709938" w:edGrp="everyone"/>
      <w:r w:rsidRPr="00BA78F7">
        <w:rPr>
          <w:b/>
          <w:bCs/>
        </w:rPr>
        <w:t>Advantages</w:t>
      </w:r>
      <w:r>
        <w:rPr>
          <w:b/>
          <w:bCs/>
        </w:rPr>
        <w:t>:</w:t>
      </w:r>
    </w:p>
    <w:p w14:paraId="1EBEFB01" w14:textId="77777777" w:rsidR="008102E7" w:rsidRDefault="008102E7" w:rsidP="008102E7"/>
    <w:p w14:paraId="1FB017E7" w14:textId="77777777" w:rsidR="008102E7" w:rsidRPr="00300F32" w:rsidRDefault="008102E7" w:rsidP="008102E7">
      <w:r w:rsidRPr="00300F32">
        <w:rPr>
          <w:b/>
          <w:bCs/>
        </w:rPr>
        <w:t>Improved Regulatory Efficiency:</w:t>
      </w:r>
      <w:r w:rsidRPr="00300F32">
        <w:t xml:space="preserve"> A centrali</w:t>
      </w:r>
      <w:r>
        <w:t>s</w:t>
      </w:r>
      <w:r w:rsidRPr="00300F32">
        <w:t>ed reporting utility would provide regulators with a single point of access to high-quality, consistent data. This would eliminate the need for them to reconcile and aggregate data from multiple, disparate sources (e.g., NCAs, Trade Repositories, ACER), streamlining supervisory processes and enhancing their ability to monitor for systemic risk.</w:t>
      </w:r>
    </w:p>
    <w:p w14:paraId="4191B7C8" w14:textId="77777777" w:rsidR="008102E7" w:rsidRDefault="008102E7" w:rsidP="008102E7"/>
    <w:p w14:paraId="0E445CB6" w14:textId="77777777" w:rsidR="008102E7" w:rsidRDefault="008102E7" w:rsidP="008102E7">
      <w:r w:rsidRPr="00300F32">
        <w:rPr>
          <w:b/>
          <w:bCs/>
        </w:rPr>
        <w:t>Reduced Regulatory Burden for Firms:</w:t>
      </w:r>
      <w:r w:rsidRPr="00300F32">
        <w:t xml:space="preserve"> A single, centrali</w:t>
      </w:r>
      <w:r>
        <w:t>s</w:t>
      </w:r>
      <w:r w:rsidRPr="00300F32">
        <w:t>ed channel would simplify the reporting process for firms by removing the need to interact with multiple authorities and intermediaries with different reporting logics and formats, as highlighted in the CFE. This would especially benefit cross-border firms.</w:t>
      </w:r>
    </w:p>
    <w:p w14:paraId="6FA5588E" w14:textId="77777777" w:rsidR="008102E7" w:rsidRDefault="008102E7" w:rsidP="008102E7"/>
    <w:p w14:paraId="35432065" w14:textId="77777777" w:rsidR="008102E7" w:rsidRPr="00300F32" w:rsidRDefault="008102E7" w:rsidP="008102E7">
      <w:pPr>
        <w:rPr>
          <w:b/>
          <w:bCs/>
        </w:rPr>
      </w:pPr>
      <w:r w:rsidRPr="00487FBE">
        <w:rPr>
          <w:b/>
          <w:bCs/>
        </w:rPr>
        <w:t>Disadvantages &amp; Implementation Challenges</w:t>
      </w:r>
      <w:r>
        <w:rPr>
          <w:b/>
          <w:bCs/>
        </w:rPr>
        <w:t>:</w:t>
      </w:r>
    </w:p>
    <w:p w14:paraId="6B3E903D" w14:textId="77777777" w:rsidR="008102E7" w:rsidRPr="00BA78F7" w:rsidRDefault="008102E7" w:rsidP="008102E7"/>
    <w:p w14:paraId="5A307449" w14:textId="77777777" w:rsidR="008102E7" w:rsidRDefault="008102E7" w:rsidP="008102E7">
      <w:r w:rsidRPr="00487FBE">
        <w:rPr>
          <w:b/>
          <w:bCs/>
        </w:rPr>
        <w:lastRenderedPageBreak/>
        <w:t>Significant Transition Costs:</w:t>
      </w:r>
      <w:r w:rsidRPr="00487FBE">
        <w:t xml:space="preserve"> Implementing a centrali</w:t>
      </w:r>
      <w:r>
        <w:t>s</w:t>
      </w:r>
      <w:r w:rsidRPr="00487FBE">
        <w:t>ed system would require substantial investment from both regulators and the industry to build the new infrastructure</w:t>
      </w:r>
      <w:r>
        <w:t xml:space="preserve"> and </w:t>
      </w:r>
      <w:r w:rsidRPr="00487FBE">
        <w:t>decommission legacy systems</w:t>
      </w:r>
      <w:r>
        <w:t xml:space="preserve">. </w:t>
      </w:r>
    </w:p>
    <w:p w14:paraId="0FEA05BD" w14:textId="77777777" w:rsidR="008102E7" w:rsidRDefault="008102E7" w:rsidP="008102E7"/>
    <w:p w14:paraId="1FEAE8BF" w14:textId="77777777" w:rsidR="008102E7" w:rsidRDefault="008102E7" w:rsidP="008102E7">
      <w:pPr>
        <w:rPr>
          <w:b/>
          <w:bCs/>
        </w:rPr>
      </w:pPr>
      <w:r w:rsidRPr="00F8336E">
        <w:rPr>
          <w:b/>
          <w:bCs/>
        </w:rPr>
        <w:t>Additional Elements to Consider</w:t>
      </w:r>
      <w:r>
        <w:rPr>
          <w:b/>
          <w:bCs/>
        </w:rPr>
        <w:t>:</w:t>
      </w:r>
    </w:p>
    <w:p w14:paraId="11EFAD00" w14:textId="77777777" w:rsidR="008102E7" w:rsidRPr="00F8336E" w:rsidRDefault="008102E7" w:rsidP="008102E7">
      <w:pPr>
        <w:rPr>
          <w:b/>
          <w:bCs/>
        </w:rPr>
      </w:pPr>
    </w:p>
    <w:p w14:paraId="32CC82A9" w14:textId="77777777" w:rsidR="008102E7" w:rsidRPr="00F8336E" w:rsidRDefault="008102E7" w:rsidP="00F073A5">
      <w:pPr>
        <w:numPr>
          <w:ilvl w:val="0"/>
          <w:numId w:val="27"/>
        </w:numPr>
        <w:spacing w:line="259" w:lineRule="auto"/>
      </w:pPr>
      <w:r w:rsidRPr="00F8336E">
        <w:rPr>
          <w:b/>
          <w:bCs/>
        </w:rPr>
        <w:t>Governance and Ownership:</w:t>
      </w:r>
      <w:r w:rsidRPr="00F8336E">
        <w:t xml:space="preserve"> A clear governance structure would be essential to manage the centrali</w:t>
      </w:r>
      <w:r>
        <w:t>s</w:t>
      </w:r>
      <w:r w:rsidRPr="00F8336E">
        <w:t>ed utility, defining roles, responsibilities, and funding models.</w:t>
      </w:r>
    </w:p>
    <w:p w14:paraId="6ABD66EE" w14:textId="77777777" w:rsidR="008102E7" w:rsidRPr="00F8336E" w:rsidRDefault="008102E7" w:rsidP="00F073A5">
      <w:pPr>
        <w:numPr>
          <w:ilvl w:val="0"/>
          <w:numId w:val="27"/>
        </w:numPr>
        <w:spacing w:line="259" w:lineRule="auto"/>
      </w:pPr>
      <w:r w:rsidRPr="00F8336E">
        <w:rPr>
          <w:b/>
          <w:bCs/>
        </w:rPr>
        <w:t>Leveraging Existing Standards:</w:t>
      </w:r>
      <w:r w:rsidRPr="00F8336E">
        <w:t xml:space="preserve"> To mitigate implementation challenges, the centrali</w:t>
      </w:r>
      <w:r>
        <w:t>s</w:t>
      </w:r>
      <w:r w:rsidRPr="00F8336E">
        <w:t>ed model should be built upon established industry standards. The ISLA, ICMA, and ISDA Common Domain Model (CDM) is a prime example of a standardi</w:t>
      </w:r>
      <w:r>
        <w:t>s</w:t>
      </w:r>
      <w:r w:rsidRPr="00F8336E">
        <w:t>ed, machine-readable format that could be the foundational "language" for a centrali</w:t>
      </w:r>
      <w:r>
        <w:t>s</w:t>
      </w:r>
      <w:r w:rsidRPr="00F8336E">
        <w:t>ed reporting system, significantly easing the technical burden on both the industry and regulators.</w:t>
      </w:r>
    </w:p>
    <w:p w14:paraId="7F22BAFC" w14:textId="77777777" w:rsidR="008102E7" w:rsidRPr="00F8336E" w:rsidRDefault="008102E7" w:rsidP="00F073A5">
      <w:pPr>
        <w:numPr>
          <w:ilvl w:val="0"/>
          <w:numId w:val="27"/>
        </w:numPr>
        <w:spacing w:line="259" w:lineRule="auto"/>
      </w:pPr>
      <w:r w:rsidRPr="00F8336E">
        <w:rPr>
          <w:b/>
          <w:bCs/>
        </w:rPr>
        <w:t>Legal and Operational Harmoni</w:t>
      </w:r>
      <w:r>
        <w:rPr>
          <w:b/>
          <w:bCs/>
        </w:rPr>
        <w:t>s</w:t>
      </w:r>
      <w:r w:rsidRPr="00F8336E">
        <w:rPr>
          <w:b/>
          <w:bCs/>
        </w:rPr>
        <w:t>ation:</w:t>
      </w:r>
      <w:r w:rsidRPr="00F8336E">
        <w:t xml:space="preserve"> A centrali</w:t>
      </w:r>
      <w:r>
        <w:t>s</w:t>
      </w:r>
      <w:r w:rsidRPr="00F8336E">
        <w:t>ed system would require not just technical standardi</w:t>
      </w:r>
      <w:r>
        <w:t>s</w:t>
      </w:r>
      <w:r w:rsidRPr="00F8336E">
        <w:t>ation, but also a review and potential harmoni</w:t>
      </w:r>
      <w:r>
        <w:t>s</w:t>
      </w:r>
      <w:r w:rsidRPr="00F8336E">
        <w:t>ation of the legal and operational rules governing data submission and access to ensure a seamless process.</w:t>
      </w:r>
    </w:p>
    <w:permEnd w:id="817709938"/>
    <w:p w14:paraId="7B80CF14" w14:textId="77777777" w:rsidR="00926BDA" w:rsidRDefault="00926BDA" w:rsidP="00926BDA">
      <w:r>
        <w:t>&lt;ESMA_QUESTION_CASR_20&gt;</w:t>
      </w:r>
    </w:p>
    <w:p w14:paraId="17953099" w14:textId="77777777" w:rsidR="00926BDA" w:rsidRDefault="00926BDA" w:rsidP="00926BDA"/>
    <w:p w14:paraId="51761AA6" w14:textId="77777777" w:rsidR="00926BDA" w:rsidRDefault="00926BDA" w:rsidP="00926BDA">
      <w:pPr>
        <w:pStyle w:val="Questionstyle"/>
        <w:spacing w:before="120" w:after="120"/>
        <w:ind w:left="851" w:hanging="709"/>
      </w:pPr>
      <w:r>
        <w:t>Do you consider that other technologies (e.g. DLT and Smart Contracts) should be considered as a way to simplify the reporting process?</w:t>
      </w:r>
    </w:p>
    <w:p w14:paraId="3AE92D91" w14:textId="77777777" w:rsidR="00926BDA" w:rsidRDefault="00926BDA" w:rsidP="00926BDA">
      <w:r>
        <w:t>&lt;ESMA_QUESTION_CASR_21&gt;</w:t>
      </w:r>
    </w:p>
    <w:p w14:paraId="4707532F" w14:textId="77777777" w:rsidR="005B226F" w:rsidRDefault="005B226F" w:rsidP="005B226F">
      <w:permStart w:id="993723206" w:edGrp="everyone"/>
      <w:r w:rsidRPr="000075C2">
        <w:t>ISLA acknowledge</w:t>
      </w:r>
      <w:r>
        <w:t>s</w:t>
      </w:r>
      <w:r w:rsidRPr="000075C2">
        <w:t xml:space="preserve"> that other technologies like DLT and smart contracts are indeed relevant and should be considered as part of the long-term vision for simplifying the reporting process. However, their use is still in the nascent stage for regulatory reporting and should be viewed as a complementary</w:t>
      </w:r>
      <w:r>
        <w:t xml:space="preserve">. Regardless, there use has the potential </w:t>
      </w:r>
      <w:r w:rsidRPr="00B3040C">
        <w:t>to further simplify the reporting process in the future</w:t>
      </w:r>
      <w:r>
        <w:t>.</w:t>
      </w:r>
    </w:p>
    <w:p w14:paraId="7F0EFFB2" w14:textId="77777777" w:rsidR="005B226F" w:rsidRDefault="005B226F" w:rsidP="005B226F"/>
    <w:p w14:paraId="7D7456C2" w14:textId="77777777" w:rsidR="005B226F" w:rsidRDefault="005B226F" w:rsidP="005B226F">
      <w:pPr>
        <w:rPr>
          <w:b/>
          <w:bCs/>
        </w:rPr>
      </w:pPr>
      <w:r w:rsidRPr="00DE368A">
        <w:rPr>
          <w:b/>
          <w:bCs/>
        </w:rPr>
        <w:t>Advantages</w:t>
      </w:r>
      <w:r>
        <w:rPr>
          <w:b/>
          <w:bCs/>
        </w:rPr>
        <w:t>:</w:t>
      </w:r>
    </w:p>
    <w:p w14:paraId="73313D7F" w14:textId="77777777" w:rsidR="005B226F" w:rsidRPr="00DE368A" w:rsidRDefault="005B226F" w:rsidP="005B226F">
      <w:pPr>
        <w:rPr>
          <w:b/>
          <w:bCs/>
        </w:rPr>
      </w:pPr>
    </w:p>
    <w:p w14:paraId="43111611" w14:textId="77777777" w:rsidR="005B226F" w:rsidRPr="00DE368A" w:rsidRDefault="005B226F" w:rsidP="005B226F">
      <w:r w:rsidRPr="00DE368A">
        <w:rPr>
          <w:b/>
          <w:bCs/>
        </w:rPr>
        <w:t>Real-time Reporting:</w:t>
      </w:r>
      <w:r w:rsidRPr="00DE368A">
        <w:t xml:space="preserve"> Smart contracts could be used to automatically generate and submit regulatory data at the moment a transaction is executed. This would enable true real-time reporting, eliminating delays and a significant portion of the current reporting workflow.</w:t>
      </w:r>
    </w:p>
    <w:p w14:paraId="0188576E" w14:textId="77777777" w:rsidR="005B226F" w:rsidRPr="00DE368A" w:rsidRDefault="005B226F" w:rsidP="005B226F">
      <w:r w:rsidRPr="00DE368A">
        <w:rPr>
          <w:b/>
          <w:bCs/>
        </w:rPr>
        <w:t>Immutable Data Records:</w:t>
      </w:r>
      <w:r w:rsidRPr="00DE368A">
        <w:t xml:space="preserve"> DLT would create a single, immutable, and cryptographically secure record of a transaction. This would provide regulators with an unalterable "golden source" of data, which could be accessed directly without the need for a separate reporting process, thereby minimi</w:t>
      </w:r>
      <w:r>
        <w:t>s</w:t>
      </w:r>
      <w:r w:rsidRPr="00DE368A">
        <w:t>ing data errors and enhancing transparency.</w:t>
      </w:r>
    </w:p>
    <w:p w14:paraId="668ED4DA" w14:textId="77777777" w:rsidR="005B226F" w:rsidRPr="00DE368A" w:rsidRDefault="005B226F" w:rsidP="005B226F">
      <w:r w:rsidRPr="00DE368A">
        <w:rPr>
          <w:b/>
          <w:bCs/>
        </w:rPr>
        <w:t>Automation of Lifecycle Events:</w:t>
      </w:r>
      <w:r w:rsidRPr="00DE368A">
        <w:t xml:space="preserve"> Smart contracts could be programmed to automatically report all lifecycle events of a transaction, such as collateral movements, novation’s, or terminations, to all relevant parties simultaneously, including the regulator.</w:t>
      </w:r>
    </w:p>
    <w:p w14:paraId="10888A63" w14:textId="77777777" w:rsidR="005B226F" w:rsidRDefault="005B226F" w:rsidP="005B226F"/>
    <w:p w14:paraId="6131B913" w14:textId="77777777" w:rsidR="005B226F" w:rsidRDefault="005B226F" w:rsidP="005B226F">
      <w:pPr>
        <w:rPr>
          <w:b/>
          <w:bCs/>
        </w:rPr>
      </w:pPr>
      <w:r w:rsidRPr="00E001BD">
        <w:rPr>
          <w:b/>
          <w:bCs/>
        </w:rPr>
        <w:t>Challenges and Next Steps</w:t>
      </w:r>
      <w:r>
        <w:rPr>
          <w:b/>
          <w:bCs/>
        </w:rPr>
        <w:t>:</w:t>
      </w:r>
    </w:p>
    <w:p w14:paraId="4B96082F" w14:textId="77777777" w:rsidR="005B226F" w:rsidRPr="00E001BD" w:rsidRDefault="005B226F" w:rsidP="005B226F">
      <w:pPr>
        <w:rPr>
          <w:b/>
          <w:bCs/>
        </w:rPr>
      </w:pPr>
    </w:p>
    <w:p w14:paraId="55C4DDB2" w14:textId="77777777" w:rsidR="005B226F" w:rsidRDefault="005B226F" w:rsidP="005B226F">
      <w:r w:rsidRPr="00E001BD">
        <w:lastRenderedPageBreak/>
        <w:t>While these technologies offer significant long-term potential, their widespread adoption for regulatory reporting faces challenges:</w:t>
      </w:r>
    </w:p>
    <w:p w14:paraId="7C79E1B5" w14:textId="77777777" w:rsidR="005B226F" w:rsidRPr="00E001BD" w:rsidRDefault="005B226F" w:rsidP="005B226F"/>
    <w:p w14:paraId="6AD4DA1B" w14:textId="77777777" w:rsidR="005B226F" w:rsidRPr="00E001BD" w:rsidRDefault="005B226F" w:rsidP="005B226F">
      <w:r w:rsidRPr="00E001BD">
        <w:rPr>
          <w:b/>
          <w:bCs/>
        </w:rPr>
        <w:t>Standardi</w:t>
      </w:r>
      <w:r>
        <w:rPr>
          <w:b/>
          <w:bCs/>
        </w:rPr>
        <w:t>s</w:t>
      </w:r>
      <w:r w:rsidRPr="00E001BD">
        <w:rPr>
          <w:b/>
          <w:bCs/>
        </w:rPr>
        <w:t>ation and Interoperability:</w:t>
      </w:r>
      <w:r w:rsidRPr="00E001BD">
        <w:t xml:space="preserve"> A common, industry-wide standard would be needed to ensure that DLT and smart contracts from different firms can seamlessly interact and report in a consistent manner.</w:t>
      </w:r>
    </w:p>
    <w:p w14:paraId="02C039AB" w14:textId="77777777" w:rsidR="005B226F" w:rsidRPr="00E001BD" w:rsidRDefault="005B226F" w:rsidP="005B226F">
      <w:r w:rsidRPr="00E001BD">
        <w:rPr>
          <w:b/>
          <w:bCs/>
        </w:rPr>
        <w:t>Legal and Regulatory Clarity:</w:t>
      </w:r>
      <w:r w:rsidRPr="00E001BD">
        <w:t xml:space="preserve"> The legal status of smart contracts in a regulatory context is still being defined. Policymakers would need to provide clear guidance on how these technologies can be used for compliance and enforcement.</w:t>
      </w:r>
    </w:p>
    <w:p w14:paraId="23711257" w14:textId="77777777" w:rsidR="005B226F" w:rsidRPr="00E001BD" w:rsidRDefault="005B226F" w:rsidP="005B226F">
      <w:r w:rsidRPr="00E001BD">
        <w:rPr>
          <w:b/>
          <w:bCs/>
        </w:rPr>
        <w:t>Technological Maturity and Scalability:</w:t>
      </w:r>
      <w:r w:rsidRPr="00E001BD">
        <w:t xml:space="preserve"> While DLT and smart contract technology have advanced, they are not yet fully mature or scalable for the massive volume and complexity of all financial transactions.</w:t>
      </w:r>
    </w:p>
    <w:p w14:paraId="43D95672" w14:textId="77777777" w:rsidR="005B226F" w:rsidRDefault="005B226F" w:rsidP="005B226F"/>
    <w:p w14:paraId="03D61ECC" w14:textId="77777777" w:rsidR="005B226F" w:rsidRDefault="005B226F" w:rsidP="005B226F">
      <w:r w:rsidRPr="00E001BD">
        <w:t>For these reasons, ISLA believes that the immediate focus should be on the adoption of Digital Regulatory Reporting and the Common Domain Model. The CDM provides an immediate, proven, and practical standard that the industry can use to reali</w:t>
      </w:r>
      <w:r>
        <w:t>s</w:t>
      </w:r>
      <w:r w:rsidRPr="00E001BD">
        <w:t>e significant cost reductions and data quality improvements now, while providing a bridge to a future where technologies like DLT and smart contracts can be integrated into a unified digital framework.</w:t>
      </w:r>
    </w:p>
    <w:permEnd w:id="993723206"/>
    <w:p w14:paraId="145462DA" w14:textId="77777777" w:rsidR="00926BDA" w:rsidRDefault="00926BDA" w:rsidP="00926BDA">
      <w:r>
        <w:t>&lt;ESMA_QUESTION_CASR_21&gt;</w:t>
      </w:r>
    </w:p>
    <w:p w14:paraId="0460F42E" w14:textId="77777777" w:rsidR="00926BDA" w:rsidRDefault="00926BDA" w:rsidP="00926BDA"/>
    <w:p w14:paraId="168437EB" w14:textId="77777777" w:rsidR="00926BDA" w:rsidRDefault="00926BDA" w:rsidP="00926BDA">
      <w:pPr>
        <w:pStyle w:val="Questionstyle"/>
        <w:spacing w:before="120" w:after="120"/>
        <w:ind w:left="851" w:hanging="709"/>
      </w:pPr>
      <w:r>
        <w:t>Where do you think the cost associated with dual sided reporting is generated? What would be the cost impact of removing dual-sided reporting (e.g. Substituting reconciliation requirements with other measures such as audits against internal record systems as required in the U.S. or increase interaction among counterparties and NCAs)? Do you consider that dual sided reporting may reduce the ability of reporting entities to fully control the data submitted to authorities? Do you consider that the reporting should be strictly from one side?</w:t>
      </w:r>
    </w:p>
    <w:p w14:paraId="6961F67B" w14:textId="77777777" w:rsidR="00926BDA" w:rsidRDefault="00926BDA" w:rsidP="00926BDA">
      <w:r>
        <w:t>&lt;ESMA_QUESTION_CASR_22&gt;</w:t>
      </w:r>
    </w:p>
    <w:p w14:paraId="703C41EE" w14:textId="77777777" w:rsidR="00162DCB" w:rsidRDefault="00162DCB" w:rsidP="00162DCB">
      <w:permStart w:id="1652326327" w:edGrp="everyone"/>
      <w:r>
        <w:t xml:space="preserve">ISLA notes that the revision of dual sided reporting in the CfE is predominantly aimed at EMIR however, ISLA would suggest that this concept should also be considered for SFTR. </w:t>
      </w:r>
    </w:p>
    <w:p w14:paraId="52BA3BC0" w14:textId="77777777" w:rsidR="00162DCB" w:rsidRDefault="00162DCB" w:rsidP="00162DCB"/>
    <w:p w14:paraId="4D930AFE" w14:textId="77777777" w:rsidR="00162DCB" w:rsidRDefault="00162DCB" w:rsidP="00162DCB">
      <w:r w:rsidRPr="00DC7A33">
        <w:t xml:space="preserve">ISLA believes that the costs associated with dual-sided reporting are primarily generated by the extensive post-trade reconciliation efforts required to resolve data mismatches. These costs are exacerbated by ambiguities in data field definitions and a lack of clear reporting guidance, which often leads to inconsistent interpretations between counterparties. </w:t>
      </w:r>
      <w:r>
        <w:t xml:space="preserve">SFTR has 96 reconcilable fields and 83 of those have zero tolerance. Many breaks stem from these restrictive tolerances, timing mismatches and booking discrepancies. </w:t>
      </w:r>
      <w:r w:rsidRPr="00DC7A33">
        <w:t>The value of reconciliation is also diminished by obstacles to back-dated reporting of Trade State Reports, as is the case under SFTR.</w:t>
      </w:r>
      <w:r>
        <w:t xml:space="preserve"> Thus, if the dual sided element is removed, a major challenge, such as pairing and matching and reconciliation, would be alleviated. </w:t>
      </w:r>
    </w:p>
    <w:p w14:paraId="1D198EBD" w14:textId="77777777" w:rsidR="00162DCB" w:rsidRDefault="00162DCB" w:rsidP="00162DCB"/>
    <w:p w14:paraId="7885A1AD" w14:textId="77777777" w:rsidR="00162DCB" w:rsidRDefault="00162DCB" w:rsidP="00162DCB">
      <w:r>
        <w:t xml:space="preserve">Although the dual sided element of reporting is considered a key data quality point, post BREXIT, ESMA’s ability to rely on this has reduced, as it is limited to EU versus EU </w:t>
      </w:r>
      <w:r>
        <w:lastRenderedPageBreak/>
        <w:t xml:space="preserve">transactions only (circa 20% of all EU reporting is dual sided). ESMA can only rely on the data quality indicator when parties report within the jurisdiction of SFTR. </w:t>
      </w:r>
    </w:p>
    <w:p w14:paraId="399872D1" w14:textId="77777777" w:rsidR="00162DCB" w:rsidRDefault="00162DCB" w:rsidP="00162DCB"/>
    <w:p w14:paraId="28799744" w14:textId="77777777" w:rsidR="00162DCB" w:rsidRDefault="00162DCB" w:rsidP="00162DCB">
      <w:r w:rsidRPr="001B7B88">
        <w:t>ISLA is of the view</w:t>
      </w:r>
      <w:r>
        <w:t>,</w:t>
      </w:r>
      <w:r w:rsidRPr="001B7B88">
        <w:t xml:space="preserve"> that the removal of dual-sided reporting would yield significant cost savings by eliminating the need for complex and time-consuming reconciliation processes. However, a transition to a one-sided reporting regime would shift the entire reporting obligation and associated costs to a single party. As seen in other markets, such as the US with the SEC's 10c-1 rule, this c</w:t>
      </w:r>
      <w:r>
        <w:t>ould</w:t>
      </w:r>
      <w:r w:rsidRPr="001B7B88">
        <w:t xml:space="preserve"> be met with resistance from firms that are required to bear the full financial burden of reporting.</w:t>
      </w:r>
    </w:p>
    <w:p w14:paraId="5BACCF49" w14:textId="77777777" w:rsidR="00162DCB" w:rsidRPr="001B7B88" w:rsidRDefault="00162DCB" w:rsidP="00162DCB"/>
    <w:p w14:paraId="0F991D95" w14:textId="77777777" w:rsidR="00162DCB" w:rsidRDefault="00162DCB" w:rsidP="00162DCB">
      <w:r w:rsidRPr="004B4F11">
        <w:t xml:space="preserve">To maintain data quality and control in such a framework, we propose </w:t>
      </w:r>
      <w:r>
        <w:t>the following</w:t>
      </w:r>
      <w:r w:rsidRPr="004B4F11">
        <w:t xml:space="preserve"> alternative measures:</w:t>
      </w:r>
    </w:p>
    <w:p w14:paraId="00108C7D" w14:textId="77777777" w:rsidR="00162DCB" w:rsidRPr="004B4F11" w:rsidRDefault="00162DCB" w:rsidP="00162DCB"/>
    <w:p w14:paraId="15EA4319" w14:textId="77777777" w:rsidR="00162DCB" w:rsidRPr="004B4F11" w:rsidRDefault="00162DCB" w:rsidP="00F073A5">
      <w:pPr>
        <w:numPr>
          <w:ilvl w:val="0"/>
          <w:numId w:val="28"/>
        </w:numPr>
        <w:spacing w:line="259" w:lineRule="auto"/>
      </w:pPr>
      <w:r w:rsidRPr="004B4F11">
        <w:rPr>
          <w:b/>
          <w:bCs/>
        </w:rPr>
        <w:t>Targeted Audits:</w:t>
      </w:r>
      <w:r w:rsidRPr="004B4F11">
        <w:t xml:space="preserve"> Regulatory oversight could be enhanced through intelligently-targeted audits, focusing on firms with the most active trading volumes</w:t>
      </w:r>
      <w:r>
        <w:t>.</w:t>
      </w:r>
      <w:r w:rsidRPr="004B4F11">
        <w:t xml:space="preserve"> </w:t>
      </w:r>
    </w:p>
    <w:p w14:paraId="571CC596" w14:textId="77777777" w:rsidR="00162DCB" w:rsidRDefault="00162DCB" w:rsidP="00F073A5">
      <w:pPr>
        <w:numPr>
          <w:ilvl w:val="0"/>
          <w:numId w:val="28"/>
        </w:numPr>
        <w:spacing w:line="259" w:lineRule="auto"/>
      </w:pPr>
      <w:r w:rsidRPr="004B4F11">
        <w:rPr>
          <w:b/>
          <w:bCs/>
        </w:rPr>
        <w:t>Refined Data Standards:</w:t>
      </w:r>
      <w:r w:rsidRPr="004B4F11">
        <w:t xml:space="preserve"> A substantial improvement in reporting quality could be achieved by revising data definitions and providing more precise and granular guidance.</w:t>
      </w:r>
    </w:p>
    <w:p w14:paraId="05D4F923" w14:textId="77777777" w:rsidR="00162DCB" w:rsidRPr="004B4F11" w:rsidRDefault="00162DCB" w:rsidP="00162DCB"/>
    <w:p w14:paraId="5666555B" w14:textId="77777777" w:rsidR="00162DCB" w:rsidRPr="004B4F11" w:rsidRDefault="00162DCB" w:rsidP="00162DCB">
      <w:r w:rsidRPr="00C4200F">
        <w:t>It is important to note that a</w:t>
      </w:r>
      <w:r w:rsidRPr="004B4F11">
        <w:t>ny revision to the EU’s dual-sided reporting requirement would necessitate a coordinated approach with the UK</w:t>
      </w:r>
      <w:r>
        <w:t>,</w:t>
      </w:r>
      <w:r w:rsidRPr="004B4F11">
        <w:t xml:space="preserve"> to ensure the continued operability of the interconnected markets and prevent new cross-border inconsistencies from emerging.</w:t>
      </w:r>
    </w:p>
    <w:permEnd w:id="1652326327"/>
    <w:p w14:paraId="355A0CFB" w14:textId="77777777" w:rsidR="00926BDA" w:rsidRDefault="00926BDA" w:rsidP="00926BDA">
      <w:r>
        <w:t>&lt;ESMA_QUESTION_CASR_22&gt;</w:t>
      </w:r>
    </w:p>
    <w:p w14:paraId="5AB0CDED" w14:textId="77777777" w:rsidR="00926BDA" w:rsidRDefault="00926BDA" w:rsidP="00926BDA"/>
    <w:p w14:paraId="4BD8E7A5" w14:textId="77777777" w:rsidR="00926BDA" w:rsidRDefault="00926BDA" w:rsidP="00926BDA">
      <w:pPr>
        <w:pStyle w:val="Questionstyle"/>
        <w:spacing w:before="120" w:after="120"/>
        <w:ind w:left="851" w:hanging="709"/>
      </w:pPr>
      <w:r>
        <w:t>Would you consider the modification of reporting frequency useful under the general objective of reducing the reporting burden, and why? What would be the specific proposals in this regard?</w:t>
      </w:r>
    </w:p>
    <w:p w14:paraId="5B3B8A05" w14:textId="77777777" w:rsidR="00926BDA" w:rsidRDefault="00926BDA" w:rsidP="00926BDA">
      <w:r>
        <w:t>&lt;ESMA_QUESTION_CASR_23&gt;</w:t>
      </w:r>
    </w:p>
    <w:p w14:paraId="5599ABCC" w14:textId="77777777" w:rsidR="00597191" w:rsidRDefault="00597191" w:rsidP="00597191">
      <w:permStart w:id="806124853" w:edGrp="everyone"/>
      <w:r w:rsidRPr="00D00D6A">
        <w:t xml:space="preserve">ISLA </w:t>
      </w:r>
      <w:r>
        <w:t xml:space="preserve">notes that </w:t>
      </w:r>
      <w:r w:rsidRPr="0076049E">
        <w:t>a reduction in reporting frequency could be achieved through a transition to aggregate-position-reporting, and that this approach would be suitable for monitoring systemic risk.</w:t>
      </w:r>
      <w:r w:rsidRPr="004A6AE0">
        <w:t xml:space="preserve"> While daily, granular trade-state reporting </w:t>
      </w:r>
      <w:r>
        <w:t>can be useful for</w:t>
      </w:r>
      <w:r w:rsidRPr="004A6AE0">
        <w:t xml:space="preserve"> supervision and market surveillance, the burden of this level of detail for all fields may not be necessary for the broader, macro-prudential objective of monitoring systemic risk. </w:t>
      </w:r>
      <w:r>
        <w:t xml:space="preserve">A </w:t>
      </w:r>
      <w:r w:rsidRPr="004A6AE0">
        <w:t>move to an aggregate-position-based report for certain fields would be more appropriate for this purpose</w:t>
      </w:r>
      <w:r>
        <w:t xml:space="preserve">, </w:t>
      </w:r>
      <w:r w:rsidRPr="004A6AE0">
        <w:t>and is a more efficient way to capture the overall state of the market without requiring the daily reconciliation and submission of every individual transaction detail.</w:t>
      </w:r>
    </w:p>
    <w:p w14:paraId="62B06583" w14:textId="77777777" w:rsidR="00597191" w:rsidRPr="004A6AE0" w:rsidRDefault="00597191" w:rsidP="00597191"/>
    <w:p w14:paraId="036099CA" w14:textId="77777777" w:rsidR="00597191" w:rsidRPr="004A6AE0" w:rsidRDefault="00597191" w:rsidP="00597191">
      <w:r w:rsidRPr="004A6AE0">
        <w:t>This shift would be in line with the overarching goal of reducing the reporting burden on the industry, as it would allow firms to report less critical data on a less frequent basis while still providing regulators with the necessary information to monitor the market for potential risks.</w:t>
      </w:r>
    </w:p>
    <w:permEnd w:id="806124853"/>
    <w:p w14:paraId="009ECB82" w14:textId="77777777" w:rsidR="00926BDA" w:rsidRDefault="00926BDA" w:rsidP="00926BDA">
      <w:r>
        <w:t>&lt;ESMA_QUESTION_CASR_23&gt;</w:t>
      </w:r>
    </w:p>
    <w:p w14:paraId="66F1F3EB" w14:textId="77777777" w:rsidR="00926BDA" w:rsidRDefault="00926BDA" w:rsidP="00926BDA"/>
    <w:p w14:paraId="6B277954" w14:textId="77777777" w:rsidR="00926BDA" w:rsidRDefault="00926BDA" w:rsidP="00926BDA">
      <w:pPr>
        <w:pStyle w:val="Questionstyle"/>
        <w:spacing w:before="120" w:after="120"/>
        <w:ind w:left="851" w:hanging="709"/>
      </w:pPr>
      <w:r>
        <w:t xml:space="preserve">Proportionality measures: how do you consider proportionality can be taken into account in the context of burden reduction in regulatory reporting? What </w:t>
      </w:r>
      <w:r>
        <w:lastRenderedPageBreak/>
        <w:t>specific measures would you propose and how would you quantify their impact?</w:t>
      </w:r>
    </w:p>
    <w:p w14:paraId="64667397" w14:textId="77777777" w:rsidR="00926BDA" w:rsidRDefault="00926BDA" w:rsidP="00926BDA">
      <w:r>
        <w:t>&lt;ESMA_QUESTION_CASR_24&gt;</w:t>
      </w:r>
    </w:p>
    <w:p w14:paraId="36D9FA75" w14:textId="77777777" w:rsidR="007E13E4" w:rsidRPr="0085176D" w:rsidRDefault="007E13E4" w:rsidP="007E13E4">
      <w:permStart w:id="1360161894" w:edGrp="everyone"/>
      <w:r w:rsidRPr="0085176D">
        <w:t>SFTR’s primary objective is to provide regulators with the data needed to monitor for and mitigate systemic risk</w:t>
      </w:r>
      <w:r>
        <w:t xml:space="preserve">, so although the CfE is focussed on burden reduction and simplification, SFTR must still </w:t>
      </w:r>
      <w:r w:rsidRPr="00FF63E8">
        <w:t>maintain the integrity of this core purpose</w:t>
      </w:r>
      <w:r>
        <w:t xml:space="preserve">. </w:t>
      </w:r>
    </w:p>
    <w:p w14:paraId="636A3B29" w14:textId="77777777" w:rsidR="007E13E4" w:rsidRDefault="007E13E4" w:rsidP="007E13E4"/>
    <w:p w14:paraId="7D6C79DE" w14:textId="77777777" w:rsidR="007E13E4" w:rsidRDefault="007E13E4" w:rsidP="007E13E4">
      <w:r w:rsidRPr="00E9566B">
        <w:t>The granularity of reporting under SFTR is often not justified by its stated purpose of monitoring systemic risk. We believe that systemic risk is primarily a function of the overall scale of market activity, rather than the intricate details of individual transactions. Consequently, many of the required data fields impose a significant burden on firms while providing minimal value for regulatory oversight.</w:t>
      </w:r>
    </w:p>
    <w:p w14:paraId="458C4205" w14:textId="77777777" w:rsidR="007E13E4" w:rsidRDefault="007E13E4" w:rsidP="007E13E4"/>
    <w:p w14:paraId="30CD83C6" w14:textId="77777777" w:rsidR="007E13E4" w:rsidRDefault="007E13E4" w:rsidP="007E13E4">
      <w:r w:rsidRPr="00B37445">
        <w:t xml:space="preserve">ISLA recommends a critical review of the entire reporting framework. We propose that a number of specific data fields should be eliminated, including those that can be derived from other reported information or sourced from official databases. For instance, the necessity of reporting elements such as </w:t>
      </w:r>
      <w:r>
        <w:t xml:space="preserve">CFI codes (when ISIN is already reported).  Other fields that cause confusion and add little to no value include; </w:t>
      </w:r>
      <w:r w:rsidRPr="008815B3">
        <w:rPr>
          <w:i/>
          <w:iCs/>
        </w:rPr>
        <w:t xml:space="preserve">CSD Participant, Security and Collateral Types and Security and Collateral Quality including General Collateral Indicator, Floating Rate Reference Period Time Period, Floating Rate Reference Period Multiplier, Floating Rate Payment Frequency time period, </w:t>
      </w:r>
      <w:r w:rsidRPr="008815B3" w:rsidDel="003A6C36">
        <w:rPr>
          <w:i/>
          <w:iCs/>
        </w:rPr>
        <w:t xml:space="preserve"> </w:t>
      </w:r>
      <w:r w:rsidRPr="008815B3">
        <w:rPr>
          <w:i/>
          <w:iCs/>
        </w:rPr>
        <w:t>Floating Rate Payment Frequency Multiplier, Floating Rate Reset Frequency Time Period, Floating Rate Reset Frequency Multiplier, Floating Rebate Rate Reference Period Time Period, Floating Rebate Rate Reference Period Multiplier, Floating Rebate Rate Payment Frequency Time Period, Floating Rebate Rate Payment Frequency Multiplier, Floating Rebate Rate Reset Frequency Time Period, Floating Rebate Rate Reset Frequency Multiplier, Master Agreement Types and Versions, and Value Date of the Collateral</w:t>
      </w:r>
      <w:r>
        <w:t xml:space="preserve"> </w:t>
      </w:r>
      <w:r w:rsidRPr="00B37445">
        <w:t xml:space="preserve">should </w:t>
      </w:r>
      <w:r>
        <w:t xml:space="preserve">also </w:t>
      </w:r>
      <w:r w:rsidRPr="00B37445">
        <w:t>be re-evaluate</w:t>
      </w:r>
      <w:r>
        <w:t xml:space="preserve">d. </w:t>
      </w:r>
    </w:p>
    <w:p w14:paraId="5745011E" w14:textId="77777777" w:rsidR="007E13E4" w:rsidRDefault="007E13E4" w:rsidP="007E13E4"/>
    <w:p w14:paraId="0D48D2F7" w14:textId="77777777" w:rsidR="007E13E4" w:rsidRDefault="007E13E4" w:rsidP="007E13E4">
      <w:r w:rsidRPr="007E1D3A">
        <w:t>A thorough quantification of the regulatory use of SFTR data, both generally and for individual fields, is essential. Fields that are unused or under-used should be removed.</w:t>
      </w:r>
    </w:p>
    <w:p w14:paraId="3DD1F2E5" w14:textId="77777777" w:rsidR="007E13E4" w:rsidRDefault="007E13E4" w:rsidP="007E13E4"/>
    <w:p w14:paraId="3A6018A1" w14:textId="77777777" w:rsidR="007E13E4" w:rsidRDefault="007E13E4" w:rsidP="007E13E4">
      <w:r w:rsidRPr="0005475F">
        <w:t>ISLA would support a process to evaluate the following:</w:t>
      </w:r>
    </w:p>
    <w:p w14:paraId="139D9F60" w14:textId="77777777" w:rsidR="007E13E4" w:rsidRPr="0005475F" w:rsidRDefault="007E13E4" w:rsidP="007E13E4"/>
    <w:p w14:paraId="20F7D2E9" w14:textId="77777777" w:rsidR="007E13E4" w:rsidRPr="0005475F" w:rsidRDefault="007E13E4" w:rsidP="007E13E4">
      <w:r w:rsidRPr="0005475F">
        <w:rPr>
          <w:b/>
          <w:bCs/>
        </w:rPr>
        <w:t>Reduced IT and Operational Costs:</w:t>
      </w:r>
      <w:r w:rsidRPr="0005475F">
        <w:t xml:space="preserve"> The direct savings from eliminating unnecessary data fields and the associated validation and reporting processes.</w:t>
      </w:r>
    </w:p>
    <w:p w14:paraId="5E62EE7D" w14:textId="77777777" w:rsidR="007E13E4" w:rsidRPr="0005475F" w:rsidRDefault="007E13E4" w:rsidP="007E13E4">
      <w:r w:rsidRPr="0005475F">
        <w:rPr>
          <w:b/>
          <w:bCs/>
        </w:rPr>
        <w:t>Lower Staffing and Man-Hours</w:t>
      </w:r>
      <w:r w:rsidRPr="0005475F">
        <w:t>: A decrease in the time compliance and operations staff spend on preparing and reconciling data that is not critical for regulatory oversight.</w:t>
      </w:r>
    </w:p>
    <w:p w14:paraId="146413F2" w14:textId="77777777" w:rsidR="007E13E4" w:rsidRDefault="007E13E4" w:rsidP="007E13E4">
      <w:r w:rsidRPr="0005475F">
        <w:rPr>
          <w:b/>
          <w:bCs/>
        </w:rPr>
        <w:t>Improved Efficiency:</w:t>
      </w:r>
      <w:r w:rsidRPr="0005475F">
        <w:t xml:space="preserve"> A more focused reporting framework would improve the efficiency for both firms and regulators by concentrating on critical information, thereby enhancing the quality and utility of the data for its intended purpose of systemic risk monitoring.</w:t>
      </w:r>
    </w:p>
    <w:p w14:paraId="5E5DD8EB" w14:textId="77777777" w:rsidR="007E13E4" w:rsidRPr="0005475F" w:rsidRDefault="007E13E4" w:rsidP="007E13E4">
      <w:pPr>
        <w:ind w:left="720"/>
      </w:pPr>
    </w:p>
    <w:p w14:paraId="51579D71" w14:textId="77777777" w:rsidR="007E13E4" w:rsidRPr="0005475F" w:rsidRDefault="007E13E4" w:rsidP="007E13E4">
      <w:r w:rsidRPr="0005475F">
        <w:t>By implementing these measures, the regulatory framework can become more proportional, achieving its core objectives with a lower burden on the industry.</w:t>
      </w:r>
    </w:p>
    <w:permEnd w:id="1360161894"/>
    <w:p w14:paraId="0138C76D" w14:textId="77777777" w:rsidR="00926BDA" w:rsidRDefault="00926BDA" w:rsidP="00926BDA">
      <w:r>
        <w:t>&lt;ESMA_QUESTION_CASR_24&gt;</w:t>
      </w:r>
    </w:p>
    <w:p w14:paraId="7A473ECA" w14:textId="77777777" w:rsidR="00926BDA" w:rsidRDefault="00926BDA" w:rsidP="00926BDA"/>
    <w:p w14:paraId="1A40D34E" w14:textId="77777777" w:rsidR="00926BDA" w:rsidRDefault="00926BDA" w:rsidP="00926BDA">
      <w:pPr>
        <w:pStyle w:val="Questionstyle"/>
        <w:spacing w:before="120" w:after="120"/>
        <w:ind w:left="851" w:hanging="709"/>
      </w:pPr>
      <w:r>
        <w:lastRenderedPageBreak/>
        <w:t>Question for reporting entities under EMIR: what is the one-off cost of implementing EMIR requirements to date? This cost should include all cost lines, such as familiarisation with obligations, staff recruitment, training, legal advice, consultancy fees, project management and investment/updating in it. Do you identify any other relevant one-off cost line?</w:t>
      </w:r>
    </w:p>
    <w:p w14:paraId="43F72962" w14:textId="77777777" w:rsidR="00926BDA" w:rsidRDefault="00926BDA" w:rsidP="00926BDA">
      <w:r>
        <w:t>&lt;ESMA_QUESTION_CASR_25&gt;</w:t>
      </w:r>
    </w:p>
    <w:p w14:paraId="7BFB6A77" w14:textId="77777777" w:rsidR="00926BDA" w:rsidRDefault="00926BDA" w:rsidP="00926BDA">
      <w:permStart w:id="1181963014" w:edGrp="everyone"/>
      <w:r>
        <w:t>TYPE YOUR TEXT HERE</w:t>
      </w:r>
    </w:p>
    <w:permEnd w:id="1181963014"/>
    <w:p w14:paraId="77305D93" w14:textId="77777777" w:rsidR="00926BDA" w:rsidRDefault="00926BDA" w:rsidP="00926BDA">
      <w:r>
        <w:t>&lt;ESMA_QUESTION_CASR_25&gt;</w:t>
      </w:r>
    </w:p>
    <w:p w14:paraId="1582C478" w14:textId="77777777" w:rsidR="00926BDA" w:rsidRDefault="00926BDA" w:rsidP="00926BDA"/>
    <w:p w14:paraId="54B7F101" w14:textId="77777777" w:rsidR="00926BDA" w:rsidRDefault="00926BDA" w:rsidP="00926BDA">
      <w:pPr>
        <w:pStyle w:val="Questionstyle"/>
        <w:spacing w:before="120" w:after="120"/>
        <w:ind w:left="851" w:hanging="709"/>
      </w:pPr>
      <w:r>
        <w:t>Question for reporting entities under EMIR: what is your estimated average cost per transaction (on-going cost) to comply with the reporting requirements under EMIR? This cost should include not only the fees associated with reporting through trade repositories (which usually includes data collection and information storage) but also the total cost, including any other cost lines, such as, IT maintenance and support, training, data processing and audit fees. Do you identify any other relevant ongoing cost line?</w:t>
      </w:r>
    </w:p>
    <w:p w14:paraId="2FA5A328" w14:textId="77777777" w:rsidR="00926BDA" w:rsidRDefault="00926BDA" w:rsidP="00926BDA">
      <w:r>
        <w:t>&lt;ESMA_QUESTION_CASR_26&gt;</w:t>
      </w:r>
    </w:p>
    <w:p w14:paraId="00710FAD" w14:textId="77777777" w:rsidR="00926BDA" w:rsidRDefault="00926BDA" w:rsidP="00926BDA">
      <w:permStart w:id="1743740379" w:edGrp="everyone"/>
      <w:r>
        <w:t>TYPE YOUR TEXT HERE</w:t>
      </w:r>
    </w:p>
    <w:permEnd w:id="1743740379"/>
    <w:p w14:paraId="0C7300AB" w14:textId="77777777" w:rsidR="00926BDA" w:rsidRDefault="00926BDA" w:rsidP="00926BDA">
      <w:r>
        <w:t>&lt;ESMA_QUESTION_CASR_26&gt;</w:t>
      </w:r>
    </w:p>
    <w:p w14:paraId="32ED6907" w14:textId="77777777" w:rsidR="00926BDA" w:rsidRDefault="00926BDA" w:rsidP="00926BDA"/>
    <w:p w14:paraId="58E30CC4" w14:textId="77777777" w:rsidR="00926BDA" w:rsidRDefault="00926BDA" w:rsidP="00926BDA">
      <w:pPr>
        <w:pStyle w:val="Questionstyle"/>
        <w:spacing w:before="120" w:after="120"/>
        <w:ind w:left="851" w:hanging="709"/>
      </w:pPr>
      <w:r>
        <w:t>Question for reporting entities under MiFIR: what is the one-off cost of implementing mifir requirements to date? This cost should include all cost lines, such as familiarisation with obligations, staff recruitment, training, legal advice, consultancy fees, project management and investment/updating in it. Do you identify any other relevant one-off cost line?</w:t>
      </w:r>
    </w:p>
    <w:p w14:paraId="196DADE2" w14:textId="77777777" w:rsidR="00926BDA" w:rsidRDefault="00926BDA" w:rsidP="00926BDA">
      <w:r>
        <w:t>&lt;ESMA_QUESTION_CASR_27&gt;</w:t>
      </w:r>
    </w:p>
    <w:p w14:paraId="1FB47DD6" w14:textId="77777777" w:rsidR="00926BDA" w:rsidRDefault="00926BDA" w:rsidP="00926BDA">
      <w:permStart w:id="1620378332" w:edGrp="everyone"/>
      <w:r>
        <w:t>TYPE YOUR TEXT HERE</w:t>
      </w:r>
    </w:p>
    <w:permEnd w:id="1620378332"/>
    <w:p w14:paraId="6A4C4033" w14:textId="77777777" w:rsidR="00926BDA" w:rsidRDefault="00926BDA" w:rsidP="00926BDA">
      <w:r>
        <w:t>&lt;ESMA_QUESTION_CASR_27&gt;</w:t>
      </w:r>
    </w:p>
    <w:p w14:paraId="0A47CCFB" w14:textId="77777777" w:rsidR="00926BDA" w:rsidRDefault="00926BDA" w:rsidP="00926BDA"/>
    <w:p w14:paraId="7F8F7499" w14:textId="77777777" w:rsidR="00926BDA" w:rsidRDefault="00926BDA" w:rsidP="00926BDA">
      <w:pPr>
        <w:pStyle w:val="Questionstyle"/>
        <w:spacing w:before="120" w:after="120"/>
        <w:ind w:left="851" w:hanging="709"/>
      </w:pPr>
      <w:r>
        <w:t>Question for reporting entities under MiFIR: what is your estimated average cost per transaction (on-going cost) to comply with the reporting requirements under MiFIR? This cost should include not only the fees associated with reporting through Approved Reported Mechanisms but also the total cost, including any other cost lines, such as, IT maintenance and support, training, data processing and audit fees. Do you identify any other relevant ongoing cost line?</w:t>
      </w:r>
    </w:p>
    <w:p w14:paraId="3D79135C" w14:textId="77777777" w:rsidR="00926BDA" w:rsidRDefault="00926BDA" w:rsidP="00926BDA">
      <w:r>
        <w:t>&lt;ESMA_QUESTION_CASR_28&gt;</w:t>
      </w:r>
    </w:p>
    <w:p w14:paraId="68E87AF9" w14:textId="77777777" w:rsidR="00926BDA" w:rsidRDefault="00926BDA" w:rsidP="00926BDA">
      <w:permStart w:id="443381358" w:edGrp="everyone"/>
      <w:r>
        <w:t>TYPE YOUR TEXT HERE</w:t>
      </w:r>
    </w:p>
    <w:permEnd w:id="443381358"/>
    <w:p w14:paraId="39C29865" w14:textId="77777777" w:rsidR="00926BDA" w:rsidRDefault="00926BDA" w:rsidP="00926BDA">
      <w:r>
        <w:t>&lt;ESMA_QUESTION_CASR_28&gt;</w:t>
      </w:r>
    </w:p>
    <w:p w14:paraId="795D30C8" w14:textId="77777777" w:rsidR="00926BDA" w:rsidRDefault="00926BDA" w:rsidP="00926BDA"/>
    <w:p w14:paraId="07255D8C" w14:textId="77777777" w:rsidR="00926BDA" w:rsidRDefault="00926BDA" w:rsidP="00926BDA">
      <w:pPr>
        <w:pStyle w:val="Questionstyle"/>
        <w:spacing w:before="120" w:after="120"/>
        <w:ind w:left="851" w:hanging="709"/>
      </w:pPr>
      <w:r>
        <w:lastRenderedPageBreak/>
        <w:t>Question for reporting entities under EMIR or MiFIR: Are there other cost-factors that we should consider when estimating the cost saving over a long term horizon?</w:t>
      </w:r>
    </w:p>
    <w:p w14:paraId="3F82851F" w14:textId="77777777" w:rsidR="00926BDA" w:rsidRDefault="00926BDA" w:rsidP="00926BDA">
      <w:r>
        <w:t>&lt;ESMA_QUESTION_CASR_29&gt;</w:t>
      </w:r>
    </w:p>
    <w:p w14:paraId="0D39D81F" w14:textId="77777777" w:rsidR="00926BDA" w:rsidRDefault="00926BDA" w:rsidP="00926BDA">
      <w:permStart w:id="1172965324" w:edGrp="everyone"/>
      <w:r>
        <w:t>TYPE YOUR TEXT HERE</w:t>
      </w:r>
    </w:p>
    <w:permEnd w:id="1172965324"/>
    <w:p w14:paraId="7F24D947" w14:textId="77777777" w:rsidR="00926BDA" w:rsidRDefault="00926BDA" w:rsidP="00926BDA">
      <w:r>
        <w:t>&lt;ESMA_QUESTION_CASR_29&gt;</w:t>
      </w:r>
    </w:p>
    <w:p w14:paraId="43B06597" w14:textId="77777777" w:rsidR="00926BDA" w:rsidRDefault="00926BDA" w:rsidP="00926BDA"/>
    <w:p w14:paraId="613621CD" w14:textId="77777777" w:rsidR="00926BDA" w:rsidRDefault="00926BDA" w:rsidP="00926BDA">
      <w:pPr>
        <w:pStyle w:val="Questionstyle"/>
        <w:spacing w:before="120" w:after="120"/>
        <w:ind w:left="851" w:hanging="709"/>
      </w:pPr>
      <w:r>
        <w:t>What are the anticipated investments and transition costs associated with implementing option 1a, 1b, 2a and 2b (e.g. Decommissioning of legacy systems, adapting systems to new changes and future evolving requirements, etc.)? Please provide a detailed breakdown of these costs, including any one-off and ongoing expenses. What is the estimated average cost saving per transaction?</w:t>
      </w:r>
    </w:p>
    <w:p w14:paraId="74BBAE67" w14:textId="77777777" w:rsidR="00926BDA" w:rsidRDefault="00926BDA" w:rsidP="00926BDA">
      <w:r>
        <w:t>&lt;ESMA_QUESTION_CASR_30&gt;</w:t>
      </w:r>
    </w:p>
    <w:p w14:paraId="5F1EAC10" w14:textId="77777777" w:rsidR="00926BDA" w:rsidRDefault="00926BDA" w:rsidP="00926BDA">
      <w:permStart w:id="34827801" w:edGrp="everyone"/>
      <w:r>
        <w:t>TYPE YOUR TEXT HERE</w:t>
      </w:r>
    </w:p>
    <w:permEnd w:id="34827801"/>
    <w:p w14:paraId="36BBCB63" w14:textId="77777777" w:rsidR="00926BDA" w:rsidRDefault="00926BDA" w:rsidP="00926BDA">
      <w:r>
        <w:t>&lt;ESMA_QUESTION_CASR_30&gt;</w:t>
      </w:r>
    </w:p>
    <w:p w14:paraId="5D766C2E" w14:textId="77777777" w:rsidR="00926BDA" w:rsidRDefault="00926BDA" w:rsidP="00926BDA"/>
    <w:p w14:paraId="6B9AF4F4" w14:textId="77777777" w:rsidR="00926BDA" w:rsidRDefault="00926BDA" w:rsidP="00926BDA"/>
    <w:p w14:paraId="4182AD67" w14:textId="77777777" w:rsidR="00DB377C" w:rsidRDefault="00DB377C" w:rsidP="00DB377C"/>
    <w:sectPr w:rsidR="00DB377C" w:rsidSect="00C85C8B">
      <w:headerReference w:type="default" r:id="rId26"/>
      <w:footerReference w:type="default" r:id="rId27"/>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6C2B66" w14:textId="77777777" w:rsidR="008A3467" w:rsidRDefault="008A3467" w:rsidP="007E7997">
      <w:r>
        <w:separator/>
      </w:r>
    </w:p>
  </w:endnote>
  <w:endnote w:type="continuationSeparator" w:id="0">
    <w:p w14:paraId="29908655" w14:textId="77777777" w:rsidR="008A3467" w:rsidRDefault="008A3467" w:rsidP="007E7997">
      <w:r>
        <w:continuationSeparator/>
      </w:r>
    </w:p>
  </w:endnote>
  <w:endnote w:type="continuationNotice" w:id="1">
    <w:p w14:paraId="0B7042F0" w14:textId="77777777" w:rsidR="008A3467" w:rsidRDefault="008A346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4752671"/>
      <w:docPartObj>
        <w:docPartGallery w:val="Page Numbers (Bottom of Page)"/>
        <w:docPartUnique/>
      </w:docPartObj>
    </w:sdtPr>
    <w:sdtEndPr>
      <w:rPr>
        <w:noProof/>
      </w:rPr>
    </w:sdtEndPr>
    <w:sdtContent>
      <w:p w14:paraId="0CF5505D" w14:textId="212D7D4F" w:rsidR="00E36813" w:rsidRDefault="00E36813">
        <w:pPr>
          <w:pStyle w:val="Footer"/>
          <w:jc w:val="center"/>
        </w:pPr>
        <w:r>
          <w:fldChar w:fldCharType="begin"/>
        </w:r>
        <w:r>
          <w:instrText xml:space="preserve"> PAGE   \* MERGEFORMAT </w:instrText>
        </w:r>
        <w:r>
          <w:fldChar w:fldCharType="separate"/>
        </w:r>
        <w:r w:rsidR="00C85C8B">
          <w:rPr>
            <w:noProof/>
          </w:rPr>
          <w:t>3</w:t>
        </w:r>
        <w:r>
          <w:rPr>
            <w:noProof/>
          </w:rPr>
          <w:fldChar w:fldCharType="end"/>
        </w:r>
      </w:p>
    </w:sdtContent>
  </w:sdt>
  <w:p w14:paraId="3A18C8B1" w14:textId="77777777" w:rsidR="00E36813" w:rsidRDefault="00E3681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2F3915" w14:textId="58619407" w:rsidR="00E36813" w:rsidRDefault="00E36813" w:rsidP="007A160F">
    <w:pPr>
      <w:pStyle w:val="Footer"/>
    </w:pPr>
    <w:r>
      <w:rPr>
        <w:rFonts w:asciiTheme="majorHAnsi" w:hAnsiTheme="majorHAnsi"/>
        <w:color w:val="FFFFFF" w:themeColor="background1"/>
      </w:rPr>
      <w:tab/>
    </w:r>
    <w:r>
      <w:rPr>
        <w:rFonts w:asciiTheme="majorHAnsi" w:hAnsiTheme="majorHAnsi"/>
        <w:color w:val="FFFFFF" w:themeColor="background1"/>
      </w:rPr>
      <w:tab/>
    </w:r>
    <w:r w:rsidR="006D3F14">
      <w:rPr>
        <w:rFonts w:asciiTheme="majorHAnsi" w:hAnsiTheme="majorHAnsi"/>
        <w:color w:val="FFFFFF" w:themeColor="background1"/>
      </w:rPr>
      <w:t>29</w:t>
    </w:r>
    <w:r w:rsidR="00871163">
      <w:rPr>
        <w:rFonts w:asciiTheme="majorHAnsi" w:hAnsiTheme="majorHAnsi"/>
        <w:color w:val="FFFFFF" w:themeColor="background1"/>
      </w:rPr>
      <w:t xml:space="preserve"> July </w:t>
    </w:r>
    <w:r w:rsidR="00AB6157" w:rsidRPr="008279D3">
      <w:rPr>
        <w:rFonts w:asciiTheme="majorHAnsi" w:hAnsiTheme="majorHAnsi"/>
        <w:color w:val="FFFFFF" w:themeColor="background1"/>
      </w:rPr>
      <w:t>20</w:t>
    </w:r>
    <w:r w:rsidR="006B391B" w:rsidRPr="008279D3">
      <w:rPr>
        <w:rFonts w:asciiTheme="majorHAnsi" w:hAnsiTheme="majorHAnsi"/>
        <w:color w:val="FFFFFF" w:themeColor="background1"/>
      </w:rPr>
      <w:t>2</w:t>
    </w:r>
    <w:r w:rsidR="00871163">
      <w:rPr>
        <w:rFonts w:asciiTheme="majorHAnsi" w:hAnsiTheme="majorHAnsi"/>
        <w:color w:val="FFFFFF" w:themeColor="background1"/>
      </w:rPr>
      <w:t>2</w:t>
    </w:r>
    <w:r w:rsidR="00FF6930" w:rsidRPr="008279D3">
      <w:rPr>
        <w:rFonts w:asciiTheme="majorHAnsi" w:hAnsiTheme="majorHAnsi"/>
        <w:color w:val="FFFFFF" w:themeColor="background1"/>
      </w:rPr>
      <w:t xml:space="preserve"> ESMA</w:t>
    </w:r>
    <w:r w:rsidR="006B391B" w:rsidRPr="008279D3">
      <w:rPr>
        <w:rFonts w:asciiTheme="majorHAnsi" w:hAnsiTheme="majorHAnsi"/>
        <w:color w:val="FFFFFF" w:themeColor="background1"/>
      </w:rPr>
      <w:t xml:space="preserve"> | </w:t>
    </w:r>
    <w:hyperlink r:id="rId1" w:tgtFrame="_blank" w:history="1">
      <w:r w:rsidR="006B391B" w:rsidRPr="008279D3">
        <w:rPr>
          <w:rFonts w:asciiTheme="majorHAnsi" w:hAnsiTheme="majorHAnsi"/>
          <w:color w:val="FFFFFF" w:themeColor="background1"/>
        </w:rPr>
        <w:t>ESMA</w:t>
      </w:r>
    </w:hyperlink>
    <w:r w:rsidR="008279D3">
      <w:rPr>
        <w:rFonts w:asciiTheme="majorHAnsi" w:hAnsiTheme="majorHAnsi"/>
        <w:color w:val="FFFFFF" w:themeColor="background1"/>
      </w:rPr>
      <w:t xml:space="preserve"> 70-</w:t>
    </w:r>
    <w:r w:rsidR="00B63379">
      <w:rPr>
        <w:rFonts w:asciiTheme="majorHAnsi" w:hAnsiTheme="majorHAnsi"/>
        <w:color w:val="FFFFFF" w:themeColor="background1"/>
      </w:rPr>
      <w:t>44</w:t>
    </w:r>
    <w:r w:rsidR="006D3F14">
      <w:rPr>
        <w:rFonts w:asciiTheme="majorHAnsi" w:hAnsiTheme="majorHAnsi"/>
        <w:color w:val="FFFFFF" w:themeColor="background1"/>
      </w:rPr>
      <w:t>9</w:t>
    </w:r>
    <w:r w:rsidR="00B63379">
      <w:rPr>
        <w:rFonts w:asciiTheme="majorHAnsi" w:hAnsiTheme="majorHAnsi"/>
        <w:color w:val="FFFFFF" w:themeColor="background1"/>
      </w:rPr>
      <w:t>-67</w:t>
    </w:r>
    <w:r w:rsidR="006D3F14">
      <w:rPr>
        <w:rFonts w:asciiTheme="majorHAnsi" w:hAnsiTheme="majorHAnsi"/>
        <w:color w:val="FFFFFF" w:themeColor="background1"/>
      </w:rPr>
      <w:t>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3752247"/>
      <w:docPartObj>
        <w:docPartGallery w:val="Page Numbers (Bottom of Page)"/>
        <w:docPartUnique/>
      </w:docPartObj>
    </w:sdtPr>
    <w:sdtEndPr>
      <w:rPr>
        <w:noProof/>
      </w:rPr>
    </w:sdtEndPr>
    <w:sdtContent>
      <w:p w14:paraId="4C9B3DBF" w14:textId="6ECC1B82" w:rsidR="00E36813" w:rsidRDefault="00E36813">
        <w:pPr>
          <w:pStyle w:val="Footer"/>
          <w:jc w:val="center"/>
        </w:pPr>
        <w:r>
          <w:fldChar w:fldCharType="begin"/>
        </w:r>
        <w:r>
          <w:instrText xml:space="preserve"> PAGE   \* MERGEFORMAT </w:instrText>
        </w:r>
        <w:r>
          <w:fldChar w:fldCharType="separate"/>
        </w:r>
        <w:r w:rsidR="00534912">
          <w:rPr>
            <w:noProof/>
          </w:rPr>
          <w:t>1</w:t>
        </w:r>
        <w:r>
          <w:rPr>
            <w:noProof/>
          </w:rPr>
          <w:fldChar w:fldCharType="end"/>
        </w:r>
      </w:p>
    </w:sdtContent>
  </w:sdt>
  <w:p w14:paraId="5EAB6EC7" w14:textId="1F85019A" w:rsidR="00E36813" w:rsidRDefault="00E36813" w:rsidP="00FB24ED">
    <w:pPr>
      <w:pStyle w:val="Footer"/>
      <w:jc w:val="right"/>
    </w:pPr>
  </w:p>
  <w:p w14:paraId="12C756E7" w14:textId="77777777" w:rsidR="00C97F9B" w:rsidRDefault="00C97F9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D9A0F3" w14:textId="77777777" w:rsidR="008A3467" w:rsidRDefault="008A3467" w:rsidP="007E7997">
      <w:r>
        <w:separator/>
      </w:r>
    </w:p>
  </w:footnote>
  <w:footnote w:type="continuationSeparator" w:id="0">
    <w:p w14:paraId="7A6EDDA4" w14:textId="77777777" w:rsidR="008A3467" w:rsidRDefault="008A3467" w:rsidP="007E7997">
      <w:r>
        <w:continuationSeparator/>
      </w:r>
    </w:p>
  </w:footnote>
  <w:footnote w:type="continuationNotice" w:id="1">
    <w:p w14:paraId="66DAED5E" w14:textId="77777777" w:rsidR="008A3467" w:rsidRDefault="008A346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956F7" w14:textId="77777777" w:rsidR="00E36813" w:rsidRDefault="00E36813">
    <w:pPr>
      <w:pStyle w:val="Header"/>
    </w:pPr>
  </w:p>
  <w:p w14:paraId="59FA3C9D" w14:textId="77777777" w:rsidR="00E36813" w:rsidRDefault="00E368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923F5" w14:textId="77C7624B" w:rsidR="00FA64BE" w:rsidRDefault="00FA64BE" w:rsidP="00FA64BE">
    <w:pPr>
      <w:pStyle w:val="Header"/>
      <w:jc w:val="right"/>
      <w:rPr>
        <w:rFonts w:asciiTheme="minorHAnsi" w:eastAsiaTheme="minorEastAsia" w:hAnsiTheme="minorHAnsi" w:cstheme="minorBidi"/>
        <w:color w:val="000000" w:themeColor="text1" w:themeShade="80"/>
        <w:sz w:val="16"/>
        <w:szCs w:val="20"/>
        <w:lang w:eastAsia="en-US"/>
      </w:rPr>
    </w:pPr>
    <w:r w:rsidRPr="001522DD">
      <w:rPr>
        <w:rFonts w:asciiTheme="minorHAnsi" w:eastAsiaTheme="minorEastAsia" w:hAnsiTheme="minorHAnsi" w:cstheme="minorBidi"/>
        <w:bCs/>
        <w:caps/>
        <w:noProof/>
        <w:color w:val="000000" w:themeColor="text1" w:themeShade="80"/>
        <w:sz w:val="16"/>
        <w:szCs w:val="20"/>
        <w:highlight w:val="yellow"/>
        <w:lang w:eastAsia="en-US"/>
      </w:rPr>
      <w:drawing>
        <wp:anchor distT="0" distB="0" distL="114300" distR="114300" simplePos="0" relativeHeight="251658240" behindDoc="0" locked="0" layoutInCell="1" allowOverlap="1" wp14:anchorId="7D655387" wp14:editId="3342670B">
          <wp:simplePos x="0" y="0"/>
          <wp:positionH relativeFrom="page">
            <wp:posOffset>892914</wp:posOffset>
          </wp:positionH>
          <wp:positionV relativeFrom="page">
            <wp:posOffset>547370</wp:posOffset>
          </wp:positionV>
          <wp:extent cx="2296800" cy="601200"/>
          <wp:effectExtent l="0" t="0" r="1905"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r w:rsidR="000310AB">
      <w:rPr>
        <w:rFonts w:asciiTheme="minorHAnsi" w:eastAsiaTheme="minorEastAsia" w:hAnsiTheme="minorHAnsi" w:cstheme="minorBidi"/>
        <w:color w:val="000000" w:themeColor="text1" w:themeShade="80"/>
        <w:sz w:val="16"/>
        <w:szCs w:val="20"/>
        <w:lang w:eastAsia="en-US"/>
      </w:rPr>
      <w:t>2</w:t>
    </w:r>
    <w:r w:rsidR="004D19BD">
      <w:rPr>
        <w:rFonts w:asciiTheme="minorHAnsi" w:eastAsiaTheme="minorEastAsia" w:hAnsiTheme="minorHAnsi" w:cstheme="minorBidi"/>
        <w:color w:val="000000" w:themeColor="text1" w:themeShade="80"/>
        <w:sz w:val="16"/>
        <w:szCs w:val="20"/>
        <w:lang w:eastAsia="en-US"/>
      </w:rPr>
      <w:t>3</w:t>
    </w:r>
    <w:r w:rsidR="000310AB">
      <w:rPr>
        <w:rFonts w:asciiTheme="minorHAnsi" w:eastAsiaTheme="minorEastAsia" w:hAnsiTheme="minorHAnsi" w:cstheme="minorBidi"/>
        <w:color w:val="000000" w:themeColor="text1" w:themeShade="80"/>
        <w:sz w:val="16"/>
        <w:szCs w:val="20"/>
        <w:lang w:eastAsia="en-US"/>
      </w:rPr>
      <w:t xml:space="preserve"> </w:t>
    </w:r>
    <w:r w:rsidR="004D19BD">
      <w:rPr>
        <w:rFonts w:asciiTheme="minorHAnsi" w:eastAsiaTheme="minorEastAsia" w:hAnsiTheme="minorHAnsi" w:cstheme="minorBidi"/>
        <w:color w:val="000000" w:themeColor="text1" w:themeShade="80"/>
        <w:sz w:val="16"/>
        <w:szCs w:val="20"/>
        <w:lang w:eastAsia="en-US"/>
      </w:rPr>
      <w:t>June</w:t>
    </w:r>
    <w:r w:rsidR="000310AB">
      <w:rPr>
        <w:rFonts w:asciiTheme="minorHAnsi" w:eastAsiaTheme="minorEastAsia" w:hAnsiTheme="minorHAnsi" w:cstheme="minorBidi"/>
        <w:color w:val="000000" w:themeColor="text1" w:themeShade="80"/>
        <w:sz w:val="16"/>
        <w:szCs w:val="20"/>
        <w:lang w:eastAsia="en-US"/>
      </w:rPr>
      <w:t xml:space="preserve"> 2025</w:t>
    </w:r>
    <w:r w:rsidR="00C00D4F">
      <w:rPr>
        <w:rFonts w:asciiTheme="minorHAnsi" w:eastAsiaTheme="minorEastAsia" w:hAnsiTheme="minorHAnsi" w:cstheme="minorBidi"/>
        <w:color w:val="000000" w:themeColor="text1" w:themeShade="80"/>
        <w:sz w:val="16"/>
        <w:szCs w:val="20"/>
        <w:lang w:eastAsia="en-US"/>
      </w:rPr>
      <w:br/>
    </w:r>
    <w:r w:rsidR="006D2EE6" w:rsidRPr="006D2EE6">
      <w:rPr>
        <w:rFonts w:asciiTheme="minorHAnsi" w:eastAsiaTheme="minorEastAsia" w:hAnsiTheme="minorHAnsi" w:cstheme="minorBidi"/>
        <w:color w:val="000000" w:themeColor="text1" w:themeShade="80"/>
        <w:sz w:val="16"/>
        <w:szCs w:val="20"/>
        <w:lang w:eastAsia="en-US"/>
      </w:rPr>
      <w:t>ESMA12-437499640-3046</w:t>
    </w:r>
  </w:p>
  <w:p w14:paraId="70391035" w14:textId="0FE57758" w:rsidR="00E36813" w:rsidRDefault="00FA64BE" w:rsidP="00FA64BE">
    <w:pPr>
      <w:pStyle w:val="Header"/>
      <w:ind w:left="1836" w:firstLine="4536"/>
    </w:pPr>
    <w:r>
      <w:t xml:space="preserve">   </w:t>
    </w:r>
    <w:r w:rsidRPr="00374D79">
      <w:t>ESMA74-449133380-434</w:t>
    </w:r>
    <w:r>
      <w:rPr>
        <w:noProof/>
      </w:rPr>
      <mc:AlternateContent>
        <mc:Choice Requires="wps">
          <w:drawing>
            <wp:anchor distT="0" distB="0" distL="114300" distR="114300" simplePos="1" relativeHeight="251658241" behindDoc="1" locked="1" layoutInCell="1" allowOverlap="0" wp14:anchorId="71203346" wp14:editId="7B5BE921">
              <wp:simplePos x="899795" y="624205"/>
              <wp:positionH relativeFrom="page">
                <wp:posOffset>899795</wp:posOffset>
              </wp:positionH>
              <wp:positionV relativeFrom="paragraph">
                <wp:posOffset>624205</wp:posOffset>
              </wp:positionV>
              <wp:extent cx="7570470" cy="9777095"/>
              <wp:effectExtent l="0" t="0" r="0" b="0"/>
              <wp:wrapNone/>
              <wp:docPr id="7" name="Freeform: Shape 7"/>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2"/>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8A3259" id="Freeform: Shape 7" o:spid="_x0000_s1026" style="position:absolute;margin-left:70.85pt;margin-top:49.15pt;width:596.1pt;height:769.8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" o:allowoverlap="f" path="m2939613,926867c5038819,-714379,6826523,267027,7569200,545025r,2628099l7569200,9779055r,l,9779055r,l,3173124,2939613,926867xe" stroked="f" strokeweight="1pt">
              <v:fill r:id="rId3" o:title="" recolor="t" rotate="t" type="frame"/>
              <v:stroke joinstyle="miter"/>
              <v:path arrowok="t" o:connecttype="custom" o:connectlocs="2940106,926681;7570470,544916;7570470,3172488;7570470,9777095;7570470,9777095;0,9777095;0,9777095;0,3172488;2940106,926681" o:connectangles="0,0,0,0,0,0,0,0,0"/>
              <w10:wrap anchorx="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B6EC4" w14:textId="2AEFCC83" w:rsidR="00E36813" w:rsidRDefault="00FA64BE" w:rsidP="00B50534">
    <w:pPr>
      <w:pStyle w:val="Header"/>
      <w:jc w:val="right"/>
      <w:rPr>
        <w:b/>
        <w:color w:val="FF0000"/>
      </w:rPr>
    </w:pPr>
    <w:r w:rsidRPr="008858FE">
      <w:rPr>
        <w:rStyle w:val="ESMAConfidentialRestricted"/>
        <w:noProof/>
      </w:rPr>
      <w:drawing>
        <wp:anchor distT="0" distB="0" distL="114300" distR="114300" simplePos="0" relativeHeight="251658242" behindDoc="0" locked="0" layoutInCell="1" allowOverlap="1" wp14:anchorId="4C8586CB" wp14:editId="39910558">
          <wp:simplePos x="0" y="0"/>
          <wp:positionH relativeFrom="page">
            <wp:posOffset>900430</wp:posOffset>
          </wp:positionH>
          <wp:positionV relativeFrom="page">
            <wp:posOffset>449580</wp:posOffset>
          </wp:positionV>
          <wp:extent cx="2296800" cy="601200"/>
          <wp:effectExtent l="0" t="0" r="190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p>
  <w:p w14:paraId="66716E7C" w14:textId="7FD8E363" w:rsidR="00FA64BE" w:rsidRDefault="00FA64BE" w:rsidP="00FA64BE">
    <w:pPr>
      <w:pStyle w:val="Header"/>
      <w:jc w:val="right"/>
      <w:rPr>
        <w:rFonts w:asciiTheme="minorHAnsi" w:hAnsiTheme="minorHAnsi" w:cstheme="minorHAnsi"/>
        <w:color w:val="2F5496" w:themeColor="accent5" w:themeShade="BF"/>
        <w:sz w:val="20"/>
      </w:rPr>
    </w:pPr>
  </w:p>
  <w:p w14:paraId="3E983FE8" w14:textId="71D87355" w:rsidR="00FA64BE" w:rsidRDefault="00FA64BE" w:rsidP="00FA64BE">
    <w:pPr>
      <w:pStyle w:val="Header"/>
      <w:jc w:val="right"/>
      <w:rPr>
        <w:rFonts w:asciiTheme="minorHAnsi" w:hAnsiTheme="minorHAnsi" w:cstheme="minorHAnsi"/>
        <w:color w:val="2F5496" w:themeColor="accent5" w:themeShade="BF"/>
        <w:sz w:val="20"/>
      </w:rPr>
    </w:pPr>
  </w:p>
  <w:p w14:paraId="17CD6BBB" w14:textId="77777777" w:rsidR="00FA64BE" w:rsidRPr="00D13661" w:rsidRDefault="00FA64BE" w:rsidP="00FA64BE">
    <w:pPr>
      <w:pStyle w:val="Header"/>
      <w:jc w:val="right"/>
      <w:rPr>
        <w:rFonts w:asciiTheme="minorHAnsi" w:hAnsiTheme="minorHAnsi" w:cstheme="minorHAnsi"/>
        <w:color w:val="2F5496" w:themeColor="accent5" w:themeShade="BF"/>
        <w:sz w:val="20"/>
      </w:rPr>
    </w:pPr>
  </w:p>
  <w:p w14:paraId="276D8625" w14:textId="77777777" w:rsidR="00E36813" w:rsidRPr="00C3170E" w:rsidRDefault="00E36813" w:rsidP="00B50534">
    <w:pPr>
      <w:pStyle w:val="Header"/>
      <w:jc w:val="right"/>
      <w:rPr>
        <w:color w:val="2F5496" w:themeColor="accent5" w:themeShade="BF"/>
        <w:sz w:val="20"/>
      </w:rPr>
    </w:pPr>
  </w:p>
  <w:p w14:paraId="5EAB6EC6" w14:textId="77777777" w:rsidR="00E36813" w:rsidRPr="00B50534" w:rsidRDefault="00E36813" w:rsidP="00B50534">
    <w:pPr>
      <w:pStyle w:val="Header"/>
      <w:jc w:val="right"/>
      <w:rPr>
        <w:b/>
        <w:color w:val="FF0000"/>
      </w:rPr>
    </w:pPr>
  </w:p>
  <w:p w14:paraId="237512AD" w14:textId="77777777" w:rsidR="00C97F9B" w:rsidRDefault="00C97F9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E37DE"/>
    <w:multiLevelType w:val="multilevel"/>
    <w:tmpl w:val="EBDAC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9011A1"/>
    <w:multiLevelType w:val="multilevel"/>
    <w:tmpl w:val="F6966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6F7338"/>
    <w:multiLevelType w:val="multilevel"/>
    <w:tmpl w:val="04A47F22"/>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EF1DFD"/>
    <w:multiLevelType w:val="multilevel"/>
    <w:tmpl w:val="69BCCC00"/>
    <w:lvl w:ilvl="0">
      <w:start w:val="1"/>
      <w:numFmt w:val="decimal"/>
      <w:lvlText w:val="%1."/>
      <w:lvlJc w:val="left"/>
      <w:pPr>
        <w:tabs>
          <w:tab w:val="num" w:pos="1440"/>
        </w:tabs>
        <w:ind w:left="1440" w:hanging="360"/>
      </w:pPr>
    </w:lvl>
    <w:lvl w:ilvl="1">
      <w:start w:val="1"/>
      <w:numFmt w:val="decimal"/>
      <w:lvlText w:val="%2."/>
      <w:lvlJc w:val="left"/>
      <w:pPr>
        <w:tabs>
          <w:tab w:val="num" w:pos="2160"/>
        </w:tabs>
        <w:ind w:left="2160" w:hanging="360"/>
      </w:p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4" w15:restartNumberingAfterBreak="0">
    <w:nsid w:val="1C6F0B5E"/>
    <w:multiLevelType w:val="multilevel"/>
    <w:tmpl w:val="6D168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18F29BA"/>
    <w:multiLevelType w:val="multilevel"/>
    <w:tmpl w:val="F4D06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8806DE5"/>
    <w:multiLevelType w:val="multilevel"/>
    <w:tmpl w:val="7F2AD2EE"/>
    <w:lvl w:ilvl="0">
      <w:start w:val="1"/>
      <w:numFmt w:val="decimal"/>
      <w:pStyle w:val="Title1"/>
      <w:lvlText w:val="%1."/>
      <w:lvlJc w:val="left"/>
      <w:pPr>
        <w:ind w:left="360" w:hanging="360"/>
      </w:pPr>
    </w:lvl>
    <w:lvl w:ilvl="1">
      <w:start w:val="1"/>
      <w:numFmt w:val="decimal"/>
      <w:pStyle w:val="Title2"/>
      <w:lvlText w:val="%1.%2."/>
      <w:lvlJc w:val="left"/>
      <w:pPr>
        <w:ind w:left="792" w:hanging="432"/>
      </w:pPr>
    </w:lvl>
    <w:lvl w:ilvl="2">
      <w:start w:val="1"/>
      <w:numFmt w:val="decimal"/>
      <w:lvlText w:val="%1.%2.%3."/>
      <w:lvlJc w:val="left"/>
      <w:pPr>
        <w:ind w:left="1224" w:hanging="504"/>
      </w:pPr>
    </w:lvl>
    <w:lvl w:ilvl="3">
      <w:start w:val="1"/>
      <w:numFmt w:val="decimal"/>
      <w:pStyle w:val="Title3"/>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B9E089E"/>
    <w:multiLevelType w:val="hybridMultilevel"/>
    <w:tmpl w:val="87960D64"/>
    <w:lvl w:ilvl="0" w:tplc="4F30587E">
      <w:start w:val="1"/>
      <w:numFmt w:val="lowerLetter"/>
      <w:pStyle w:val="Heading5"/>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8" w15:restartNumberingAfterBreak="0">
    <w:nsid w:val="2D181D69"/>
    <w:multiLevelType w:val="hybridMultilevel"/>
    <w:tmpl w:val="0A189E10"/>
    <w:lvl w:ilvl="0" w:tplc="52DE78C0">
      <w:start w:val="1"/>
      <w:numFmt w:val="upperLetter"/>
      <w:pStyle w:val="ListParagraph"/>
      <w:lvlText w:val="%1)"/>
      <w:lvlJc w:val="left"/>
      <w:pPr>
        <w:ind w:left="1068" w:hanging="36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9" w15:restartNumberingAfterBreak="0">
    <w:nsid w:val="322D3892"/>
    <w:multiLevelType w:val="multilevel"/>
    <w:tmpl w:val="E9A61C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A52232B"/>
    <w:multiLevelType w:val="hybridMultilevel"/>
    <w:tmpl w:val="4EF43C1E"/>
    <w:lvl w:ilvl="0" w:tplc="A97A1B6E">
      <w:start w:val="1"/>
      <w:numFmt w:val="decimal"/>
      <w:pStyle w:val="Questionstyle"/>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E5F7CCA"/>
    <w:multiLevelType w:val="multilevel"/>
    <w:tmpl w:val="8B04C2B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lowerLetter"/>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33916DB"/>
    <w:multiLevelType w:val="hybridMultilevel"/>
    <w:tmpl w:val="B12A1BCA"/>
    <w:lvl w:ilvl="0" w:tplc="62468FBE">
      <w:start w:val="1"/>
      <w:numFmt w:val="decimal"/>
      <w:pStyle w:val="Paragraph"/>
      <w:lvlText w:val="%1."/>
      <w:lvlJc w:val="left"/>
      <w:pPr>
        <w:ind w:left="709" w:hanging="709"/>
      </w:pPr>
      <w:rPr>
        <w:b w:val="0"/>
        <w:bCs w:val="0"/>
        <w:i w:val="0"/>
        <w:iCs w:val="0"/>
      </w:rPr>
    </w:lvl>
    <w:lvl w:ilvl="1" w:tplc="AD0E719C">
      <w:start w:val="1"/>
      <w:numFmt w:val="lowerRoman"/>
      <w:lvlText w:val="(%2)"/>
      <w:lvlJc w:val="left"/>
      <w:pPr>
        <w:ind w:left="72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4261A85"/>
    <w:multiLevelType w:val="hybridMultilevel"/>
    <w:tmpl w:val="5A5CEE6E"/>
    <w:lvl w:ilvl="0" w:tplc="0F768706">
      <w:start w:val="1"/>
      <w:numFmt w:val="decimal"/>
      <w:pStyle w:val="04aNumbering"/>
      <w:lvlText w:val="%1."/>
      <w:lvlJc w:val="left"/>
      <w:pPr>
        <w:tabs>
          <w:tab w:val="num" w:pos="284"/>
        </w:tabs>
        <w:ind w:left="284" w:hanging="284"/>
      </w:pPr>
      <w:rPr>
        <w:rFonts w:ascii="Georgia" w:hAnsi="Georgia" w:hint="default"/>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4" w15:restartNumberingAfterBreak="0">
    <w:nsid w:val="44721BEF"/>
    <w:multiLevelType w:val="multilevel"/>
    <w:tmpl w:val="ACD86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6381694"/>
    <w:multiLevelType w:val="multilevel"/>
    <w:tmpl w:val="55368E90"/>
    <w:lvl w:ilvl="0">
      <w:start w:val="1"/>
      <w:numFmt w:val="decimal"/>
      <w:lvlText w:val="%1."/>
      <w:lvlJc w:val="left"/>
      <w:pPr>
        <w:tabs>
          <w:tab w:val="num" w:pos="720"/>
        </w:tabs>
        <w:ind w:left="720" w:hanging="360"/>
      </w:pPr>
      <w:rPr>
        <w:b/>
        <w:bCs/>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CBF13A5"/>
    <w:multiLevelType w:val="multilevel"/>
    <w:tmpl w:val="B2449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E600AB8"/>
    <w:multiLevelType w:val="multilevel"/>
    <w:tmpl w:val="AECC4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61A7970"/>
    <w:multiLevelType w:val="multilevel"/>
    <w:tmpl w:val="140A2B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58ED4AE3"/>
    <w:multiLevelType w:val="multilevel"/>
    <w:tmpl w:val="307201CE"/>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B64535B"/>
    <w:multiLevelType w:val="multilevel"/>
    <w:tmpl w:val="516CFE7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0F4367C"/>
    <w:multiLevelType w:val="hybridMultilevel"/>
    <w:tmpl w:val="E8BC2FAE"/>
    <w:lvl w:ilvl="0" w:tplc="08090001">
      <w:start w:val="1"/>
      <w:numFmt w:val="bullet"/>
      <w:lvlText w:val=""/>
      <w:lvlJc w:val="left"/>
      <w:pPr>
        <w:ind w:left="928" w:hanging="360"/>
      </w:pPr>
      <w:rPr>
        <w:rFonts w:ascii="Symbol" w:hAnsi="Symbol" w:hint="default"/>
      </w:rPr>
    </w:lvl>
    <w:lvl w:ilvl="1" w:tplc="8D4AE690">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6BAD1101"/>
    <w:multiLevelType w:val="multilevel"/>
    <w:tmpl w:val="766C753E"/>
    <w:lvl w:ilvl="0">
      <w:start w:val="1"/>
      <w:numFmt w:val="upperRoman"/>
      <w:pStyle w:val="Heading1"/>
      <w:lvlText w:val="%1."/>
      <w:lvlJc w:val="righ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3" w15:restartNumberingAfterBreak="0">
    <w:nsid w:val="6FC222B2"/>
    <w:multiLevelType w:val="hybridMultilevel"/>
    <w:tmpl w:val="9C26CE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9D36EAA"/>
    <w:multiLevelType w:val="multilevel"/>
    <w:tmpl w:val="67EA1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CC3159B"/>
    <w:multiLevelType w:val="multilevel"/>
    <w:tmpl w:val="2F3C9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F5E05EC"/>
    <w:multiLevelType w:val="multilevel"/>
    <w:tmpl w:val="49A805CE"/>
    <w:lvl w:ilvl="0">
      <w:start w:val="1"/>
      <w:numFmt w:val="lowerLetter"/>
      <w:lvlText w:val="%1)"/>
      <w:lvlJc w:val="left"/>
      <w:pPr>
        <w:tabs>
          <w:tab w:val="num" w:pos="720"/>
        </w:tabs>
        <w:ind w:left="720" w:hanging="360"/>
      </w:pPr>
      <w:rPr>
        <w:rFonts w:asciiTheme="minorHAnsi" w:eastAsiaTheme="minorHAnsi" w:hAnsiTheme="minorHAnsi" w:cstheme="minorBidi"/>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38975619">
    <w:abstractNumId w:val="6"/>
  </w:num>
  <w:num w:numId="2" w16cid:durableId="1495532731">
    <w:abstractNumId w:val="6"/>
  </w:num>
  <w:num w:numId="3" w16cid:durableId="994409496">
    <w:abstractNumId w:val="22"/>
  </w:num>
  <w:num w:numId="4" w16cid:durableId="1880320868">
    <w:abstractNumId w:val="7"/>
  </w:num>
  <w:num w:numId="5" w16cid:durableId="290864581">
    <w:abstractNumId w:val="13"/>
  </w:num>
  <w:num w:numId="6" w16cid:durableId="765269892">
    <w:abstractNumId w:val="8"/>
  </w:num>
  <w:num w:numId="7" w16cid:durableId="1301960395">
    <w:abstractNumId w:val="10"/>
  </w:num>
  <w:num w:numId="8" w16cid:durableId="986476960">
    <w:abstractNumId w:val="21"/>
  </w:num>
  <w:num w:numId="9" w16cid:durableId="837424337">
    <w:abstractNumId w:val="18"/>
  </w:num>
  <w:num w:numId="10" w16cid:durableId="730466929">
    <w:abstractNumId w:val="12"/>
    <w:lvlOverride w:ilvl="0">
      <w:startOverride w:val="1"/>
    </w:lvlOverride>
  </w:num>
  <w:num w:numId="11" w16cid:durableId="401870513">
    <w:abstractNumId w:val="9"/>
  </w:num>
  <w:num w:numId="12" w16cid:durableId="1432778269">
    <w:abstractNumId w:val="3"/>
  </w:num>
  <w:num w:numId="13" w16cid:durableId="1442872971">
    <w:abstractNumId w:val="23"/>
  </w:num>
  <w:num w:numId="14" w16cid:durableId="1464689506">
    <w:abstractNumId w:val="16"/>
  </w:num>
  <w:num w:numId="15" w16cid:durableId="1320694338">
    <w:abstractNumId w:val="20"/>
  </w:num>
  <w:num w:numId="16" w16cid:durableId="1404599675">
    <w:abstractNumId w:val="11"/>
  </w:num>
  <w:num w:numId="17" w16cid:durableId="539897141">
    <w:abstractNumId w:val="25"/>
  </w:num>
  <w:num w:numId="18" w16cid:durableId="223414733">
    <w:abstractNumId w:val="0"/>
  </w:num>
  <w:num w:numId="19" w16cid:durableId="566496848">
    <w:abstractNumId w:val="17"/>
  </w:num>
  <w:num w:numId="20" w16cid:durableId="1366364923">
    <w:abstractNumId w:val="19"/>
  </w:num>
  <w:num w:numId="21" w16cid:durableId="601495341">
    <w:abstractNumId w:val="2"/>
  </w:num>
  <w:num w:numId="22" w16cid:durableId="65610437">
    <w:abstractNumId w:val="15"/>
  </w:num>
  <w:num w:numId="23" w16cid:durableId="27537257">
    <w:abstractNumId w:val="26"/>
  </w:num>
  <w:num w:numId="24" w16cid:durableId="999306445">
    <w:abstractNumId w:val="24"/>
  </w:num>
  <w:num w:numId="25" w16cid:durableId="1821075442">
    <w:abstractNumId w:val="4"/>
  </w:num>
  <w:num w:numId="26" w16cid:durableId="1584417821">
    <w:abstractNumId w:val="5"/>
  </w:num>
  <w:num w:numId="27" w16cid:durableId="2013019855">
    <w:abstractNumId w:val="1"/>
  </w:num>
  <w:num w:numId="28" w16cid:durableId="694890212">
    <w:abstractNumId w:val="14"/>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0" w:nlCheck="1" w:checkStyle="0"/>
  <w:activeWritingStyle w:appName="MSWord" w:lang="en-GB" w:vendorID="64" w:dllVersion="0" w:nlCheck="1" w:checkStyle="0"/>
  <w:proofState w:spelling="clean"/>
  <w:attachedTemplate r:id="rId1"/>
  <w:documentProtection w:edit="readOnly" w:enforcement="1" w:cryptProviderType="rsaAES" w:cryptAlgorithmClass="hash" w:cryptAlgorithmType="typeAny" w:cryptAlgorithmSid="14" w:cryptSpinCount="100000" w:hash="nAphKpkaeZEPo4cL34GqxI1GhByEj+ZfUlxttBRS1W1NpR3oZRkLRVwmpgy47+A1FK/eSpf35TYVrWfFOYTE7w==" w:salt="q1RVhAxdIzK7AQZzP5PtyA=="/>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1842"/>
    <w:rsid w:val="00000205"/>
    <w:rsid w:val="0000380B"/>
    <w:rsid w:val="00005505"/>
    <w:rsid w:val="00006275"/>
    <w:rsid w:val="00006971"/>
    <w:rsid w:val="00011CC1"/>
    <w:rsid w:val="00011F6C"/>
    <w:rsid w:val="0001249B"/>
    <w:rsid w:val="00012D68"/>
    <w:rsid w:val="000142BB"/>
    <w:rsid w:val="0001633D"/>
    <w:rsid w:val="0001726F"/>
    <w:rsid w:val="00020098"/>
    <w:rsid w:val="00020300"/>
    <w:rsid w:val="00021A9A"/>
    <w:rsid w:val="00022ADA"/>
    <w:rsid w:val="00026327"/>
    <w:rsid w:val="00027EC9"/>
    <w:rsid w:val="000310AB"/>
    <w:rsid w:val="00033934"/>
    <w:rsid w:val="00036C09"/>
    <w:rsid w:val="000372BF"/>
    <w:rsid w:val="000405C8"/>
    <w:rsid w:val="00040A52"/>
    <w:rsid w:val="00044630"/>
    <w:rsid w:val="00044C5A"/>
    <w:rsid w:val="00044E0A"/>
    <w:rsid w:val="00047C57"/>
    <w:rsid w:val="00054E00"/>
    <w:rsid w:val="00061B2B"/>
    <w:rsid w:val="000627C5"/>
    <w:rsid w:val="0006448C"/>
    <w:rsid w:val="0006449B"/>
    <w:rsid w:val="000655AD"/>
    <w:rsid w:val="00066FD1"/>
    <w:rsid w:val="00072BF9"/>
    <w:rsid w:val="00072C32"/>
    <w:rsid w:val="00073DF9"/>
    <w:rsid w:val="0007767E"/>
    <w:rsid w:val="0007796D"/>
    <w:rsid w:val="000830DA"/>
    <w:rsid w:val="00083FBB"/>
    <w:rsid w:val="00086F71"/>
    <w:rsid w:val="000921E6"/>
    <w:rsid w:val="00092D6C"/>
    <w:rsid w:val="00093239"/>
    <w:rsid w:val="0009561A"/>
    <w:rsid w:val="00095DE2"/>
    <w:rsid w:val="000A03C9"/>
    <w:rsid w:val="000A12CC"/>
    <w:rsid w:val="000A2738"/>
    <w:rsid w:val="000A2DF1"/>
    <w:rsid w:val="000A3D10"/>
    <w:rsid w:val="000A409B"/>
    <w:rsid w:val="000A66FC"/>
    <w:rsid w:val="000A741E"/>
    <w:rsid w:val="000B1615"/>
    <w:rsid w:val="000B2AAF"/>
    <w:rsid w:val="000B2E26"/>
    <w:rsid w:val="000B5D3D"/>
    <w:rsid w:val="000C0CE0"/>
    <w:rsid w:val="000C2400"/>
    <w:rsid w:val="000C299C"/>
    <w:rsid w:val="000C406A"/>
    <w:rsid w:val="000C5032"/>
    <w:rsid w:val="000C5ACC"/>
    <w:rsid w:val="000D0293"/>
    <w:rsid w:val="000D0850"/>
    <w:rsid w:val="000D1038"/>
    <w:rsid w:val="000D11A9"/>
    <w:rsid w:val="000D2D7B"/>
    <w:rsid w:val="000E2232"/>
    <w:rsid w:val="000E3DB1"/>
    <w:rsid w:val="000E6946"/>
    <w:rsid w:val="000F0169"/>
    <w:rsid w:val="000F0951"/>
    <w:rsid w:val="000F2598"/>
    <w:rsid w:val="000F29C0"/>
    <w:rsid w:val="000F2A23"/>
    <w:rsid w:val="000F2BE6"/>
    <w:rsid w:val="000F474D"/>
    <w:rsid w:val="000F5C90"/>
    <w:rsid w:val="000F5CE8"/>
    <w:rsid w:val="000F5EA6"/>
    <w:rsid w:val="000F7998"/>
    <w:rsid w:val="001000D7"/>
    <w:rsid w:val="00100ADC"/>
    <w:rsid w:val="0010429A"/>
    <w:rsid w:val="00105424"/>
    <w:rsid w:val="001075EC"/>
    <w:rsid w:val="00113D82"/>
    <w:rsid w:val="00120F0D"/>
    <w:rsid w:val="001214DA"/>
    <w:rsid w:val="0012722A"/>
    <w:rsid w:val="0013090E"/>
    <w:rsid w:val="00130EF9"/>
    <w:rsid w:val="001319C7"/>
    <w:rsid w:val="001355E6"/>
    <w:rsid w:val="0013644A"/>
    <w:rsid w:val="00140762"/>
    <w:rsid w:val="00140BA6"/>
    <w:rsid w:val="00141946"/>
    <w:rsid w:val="00143DCA"/>
    <w:rsid w:val="00144AAD"/>
    <w:rsid w:val="001455E7"/>
    <w:rsid w:val="0014624E"/>
    <w:rsid w:val="001522DD"/>
    <w:rsid w:val="00155BAB"/>
    <w:rsid w:val="001601C1"/>
    <w:rsid w:val="001608B2"/>
    <w:rsid w:val="00160FE0"/>
    <w:rsid w:val="00162574"/>
    <w:rsid w:val="00162DCB"/>
    <w:rsid w:val="00163AB3"/>
    <w:rsid w:val="00165047"/>
    <w:rsid w:val="00165FF8"/>
    <w:rsid w:val="0016669F"/>
    <w:rsid w:val="00170AD6"/>
    <w:rsid w:val="001735B8"/>
    <w:rsid w:val="00177AA7"/>
    <w:rsid w:val="00180917"/>
    <w:rsid w:val="00180E53"/>
    <w:rsid w:val="00181CB7"/>
    <w:rsid w:val="0018606F"/>
    <w:rsid w:val="001862A5"/>
    <w:rsid w:val="00186A70"/>
    <w:rsid w:val="00191035"/>
    <w:rsid w:val="001918E5"/>
    <w:rsid w:val="00192A7A"/>
    <w:rsid w:val="00195519"/>
    <w:rsid w:val="00197AAF"/>
    <w:rsid w:val="001A040B"/>
    <w:rsid w:val="001A1EF4"/>
    <w:rsid w:val="001A3850"/>
    <w:rsid w:val="001A68A0"/>
    <w:rsid w:val="001A7046"/>
    <w:rsid w:val="001A710D"/>
    <w:rsid w:val="001A7E6F"/>
    <w:rsid w:val="001B0A27"/>
    <w:rsid w:val="001B0A77"/>
    <w:rsid w:val="001B1727"/>
    <w:rsid w:val="001B1B48"/>
    <w:rsid w:val="001B2151"/>
    <w:rsid w:val="001B3CFF"/>
    <w:rsid w:val="001B4957"/>
    <w:rsid w:val="001B4996"/>
    <w:rsid w:val="001B4EC9"/>
    <w:rsid w:val="001C0E59"/>
    <w:rsid w:val="001C432D"/>
    <w:rsid w:val="001C469E"/>
    <w:rsid w:val="001C56C3"/>
    <w:rsid w:val="001C5D8C"/>
    <w:rsid w:val="001C7E0A"/>
    <w:rsid w:val="001D0112"/>
    <w:rsid w:val="001D19F5"/>
    <w:rsid w:val="001D385A"/>
    <w:rsid w:val="001D3AC4"/>
    <w:rsid w:val="001D6B39"/>
    <w:rsid w:val="001E1ECD"/>
    <w:rsid w:val="001E3E0D"/>
    <w:rsid w:val="001E4A45"/>
    <w:rsid w:val="001E5AB7"/>
    <w:rsid w:val="001E5E30"/>
    <w:rsid w:val="001F0479"/>
    <w:rsid w:val="001F1F10"/>
    <w:rsid w:val="001F23C9"/>
    <w:rsid w:val="001F3999"/>
    <w:rsid w:val="001F3D9D"/>
    <w:rsid w:val="001F4AC8"/>
    <w:rsid w:val="00200894"/>
    <w:rsid w:val="002022EC"/>
    <w:rsid w:val="00202333"/>
    <w:rsid w:val="00202FA8"/>
    <w:rsid w:val="002034B8"/>
    <w:rsid w:val="00205922"/>
    <w:rsid w:val="00206FB8"/>
    <w:rsid w:val="0020766F"/>
    <w:rsid w:val="00207A07"/>
    <w:rsid w:val="00210181"/>
    <w:rsid w:val="00210498"/>
    <w:rsid w:val="0021147A"/>
    <w:rsid w:val="00213BFB"/>
    <w:rsid w:val="002156A3"/>
    <w:rsid w:val="00217478"/>
    <w:rsid w:val="00220938"/>
    <w:rsid w:val="00224806"/>
    <w:rsid w:val="00232F8E"/>
    <w:rsid w:val="00233071"/>
    <w:rsid w:val="00235E99"/>
    <w:rsid w:val="0024299F"/>
    <w:rsid w:val="002449D8"/>
    <w:rsid w:val="00244B86"/>
    <w:rsid w:val="00244C97"/>
    <w:rsid w:val="0024512F"/>
    <w:rsid w:val="00245406"/>
    <w:rsid w:val="002455D7"/>
    <w:rsid w:val="00245D2E"/>
    <w:rsid w:val="00246E1D"/>
    <w:rsid w:val="002472F6"/>
    <w:rsid w:val="0025020D"/>
    <w:rsid w:val="00254991"/>
    <w:rsid w:val="00254CC2"/>
    <w:rsid w:val="00256CCC"/>
    <w:rsid w:val="002574D1"/>
    <w:rsid w:val="00261CCB"/>
    <w:rsid w:val="00262E56"/>
    <w:rsid w:val="002630C0"/>
    <w:rsid w:val="0026332A"/>
    <w:rsid w:val="002645A8"/>
    <w:rsid w:val="0026493B"/>
    <w:rsid w:val="00265566"/>
    <w:rsid w:val="00265F44"/>
    <w:rsid w:val="002665E3"/>
    <w:rsid w:val="0027199C"/>
    <w:rsid w:val="00272C4E"/>
    <w:rsid w:val="002751FC"/>
    <w:rsid w:val="002753BD"/>
    <w:rsid w:val="00281456"/>
    <w:rsid w:val="00282B3A"/>
    <w:rsid w:val="00282D38"/>
    <w:rsid w:val="00282FBE"/>
    <w:rsid w:val="00284802"/>
    <w:rsid w:val="00284AF2"/>
    <w:rsid w:val="0028536B"/>
    <w:rsid w:val="00285CED"/>
    <w:rsid w:val="00285EB5"/>
    <w:rsid w:val="00287C8F"/>
    <w:rsid w:val="00290893"/>
    <w:rsid w:val="002917B9"/>
    <w:rsid w:val="00291A55"/>
    <w:rsid w:val="0029394C"/>
    <w:rsid w:val="00294AA5"/>
    <w:rsid w:val="002A13B0"/>
    <w:rsid w:val="002A2A39"/>
    <w:rsid w:val="002A2C91"/>
    <w:rsid w:val="002A6C21"/>
    <w:rsid w:val="002A780E"/>
    <w:rsid w:val="002B144C"/>
    <w:rsid w:val="002B53F3"/>
    <w:rsid w:val="002C03FD"/>
    <w:rsid w:val="002C044D"/>
    <w:rsid w:val="002C1AA5"/>
    <w:rsid w:val="002C2A46"/>
    <w:rsid w:val="002C3048"/>
    <w:rsid w:val="002C76AE"/>
    <w:rsid w:val="002D2992"/>
    <w:rsid w:val="002D37A0"/>
    <w:rsid w:val="002D5AB5"/>
    <w:rsid w:val="002D5F5B"/>
    <w:rsid w:val="002D6667"/>
    <w:rsid w:val="002D761A"/>
    <w:rsid w:val="002D79F3"/>
    <w:rsid w:val="002E1C11"/>
    <w:rsid w:val="002E3D0B"/>
    <w:rsid w:val="002E3E7D"/>
    <w:rsid w:val="002E685C"/>
    <w:rsid w:val="002E6A8E"/>
    <w:rsid w:val="002F292E"/>
    <w:rsid w:val="002F6279"/>
    <w:rsid w:val="00300F55"/>
    <w:rsid w:val="003013B7"/>
    <w:rsid w:val="00301993"/>
    <w:rsid w:val="00301E55"/>
    <w:rsid w:val="00307397"/>
    <w:rsid w:val="003101EF"/>
    <w:rsid w:val="00312BDD"/>
    <w:rsid w:val="00314117"/>
    <w:rsid w:val="00317EDF"/>
    <w:rsid w:val="00322B55"/>
    <w:rsid w:val="003257ED"/>
    <w:rsid w:val="003279E7"/>
    <w:rsid w:val="00327B62"/>
    <w:rsid w:val="00331FE9"/>
    <w:rsid w:val="0033324D"/>
    <w:rsid w:val="0033587C"/>
    <w:rsid w:val="0033696D"/>
    <w:rsid w:val="00336BF9"/>
    <w:rsid w:val="003371E8"/>
    <w:rsid w:val="00337471"/>
    <w:rsid w:val="00340647"/>
    <w:rsid w:val="0034151D"/>
    <w:rsid w:val="00342B5B"/>
    <w:rsid w:val="00343532"/>
    <w:rsid w:val="00345469"/>
    <w:rsid w:val="003454ED"/>
    <w:rsid w:val="00345EB9"/>
    <w:rsid w:val="0035030F"/>
    <w:rsid w:val="003519DD"/>
    <w:rsid w:val="00351B68"/>
    <w:rsid w:val="00351F68"/>
    <w:rsid w:val="00353C4B"/>
    <w:rsid w:val="003545A6"/>
    <w:rsid w:val="00356C60"/>
    <w:rsid w:val="003578D1"/>
    <w:rsid w:val="00362DB3"/>
    <w:rsid w:val="00363639"/>
    <w:rsid w:val="00366D42"/>
    <w:rsid w:val="0036748C"/>
    <w:rsid w:val="00371FAA"/>
    <w:rsid w:val="00372615"/>
    <w:rsid w:val="00372EA3"/>
    <w:rsid w:val="0037311D"/>
    <w:rsid w:val="0037358E"/>
    <w:rsid w:val="00373A3C"/>
    <w:rsid w:val="00373AB8"/>
    <w:rsid w:val="00373FCF"/>
    <w:rsid w:val="00374193"/>
    <w:rsid w:val="00376233"/>
    <w:rsid w:val="00380B30"/>
    <w:rsid w:val="00381784"/>
    <w:rsid w:val="00381EB0"/>
    <w:rsid w:val="00382A72"/>
    <w:rsid w:val="00382CA6"/>
    <w:rsid w:val="00382EBA"/>
    <w:rsid w:val="0038331A"/>
    <w:rsid w:val="0039135B"/>
    <w:rsid w:val="003A34E7"/>
    <w:rsid w:val="003A3CB1"/>
    <w:rsid w:val="003A3D55"/>
    <w:rsid w:val="003A5CC4"/>
    <w:rsid w:val="003A73A4"/>
    <w:rsid w:val="003B102E"/>
    <w:rsid w:val="003B26BA"/>
    <w:rsid w:val="003B4E3D"/>
    <w:rsid w:val="003B7E44"/>
    <w:rsid w:val="003C167E"/>
    <w:rsid w:val="003C3209"/>
    <w:rsid w:val="003C481D"/>
    <w:rsid w:val="003C4EB5"/>
    <w:rsid w:val="003D1099"/>
    <w:rsid w:val="003D2CED"/>
    <w:rsid w:val="003D344A"/>
    <w:rsid w:val="003D3BB8"/>
    <w:rsid w:val="003D72F4"/>
    <w:rsid w:val="003D7C07"/>
    <w:rsid w:val="003E13FD"/>
    <w:rsid w:val="003E1C24"/>
    <w:rsid w:val="003E61FC"/>
    <w:rsid w:val="003E77BC"/>
    <w:rsid w:val="003F0087"/>
    <w:rsid w:val="003F0EDF"/>
    <w:rsid w:val="003F20C7"/>
    <w:rsid w:val="003F35B0"/>
    <w:rsid w:val="003F39B1"/>
    <w:rsid w:val="00400D9C"/>
    <w:rsid w:val="00400FBE"/>
    <w:rsid w:val="004022CF"/>
    <w:rsid w:val="004029B1"/>
    <w:rsid w:val="004038F1"/>
    <w:rsid w:val="00404282"/>
    <w:rsid w:val="00404ED5"/>
    <w:rsid w:val="0040743A"/>
    <w:rsid w:val="00407623"/>
    <w:rsid w:val="00407A74"/>
    <w:rsid w:val="004114D5"/>
    <w:rsid w:val="00414210"/>
    <w:rsid w:val="00414DB4"/>
    <w:rsid w:val="004159DB"/>
    <w:rsid w:val="004171F5"/>
    <w:rsid w:val="00420FD4"/>
    <w:rsid w:val="004242B3"/>
    <w:rsid w:val="00424A4F"/>
    <w:rsid w:val="00426D62"/>
    <w:rsid w:val="00427A89"/>
    <w:rsid w:val="00430C5B"/>
    <w:rsid w:val="00431968"/>
    <w:rsid w:val="00433936"/>
    <w:rsid w:val="0043475E"/>
    <w:rsid w:val="00435FE9"/>
    <w:rsid w:val="00436279"/>
    <w:rsid w:val="0044199E"/>
    <w:rsid w:val="0044206D"/>
    <w:rsid w:val="00444803"/>
    <w:rsid w:val="00445696"/>
    <w:rsid w:val="00446E5F"/>
    <w:rsid w:val="00450C4E"/>
    <w:rsid w:val="00455577"/>
    <w:rsid w:val="00456795"/>
    <w:rsid w:val="004578B3"/>
    <w:rsid w:val="00460F17"/>
    <w:rsid w:val="0046150E"/>
    <w:rsid w:val="00461CC8"/>
    <w:rsid w:val="00462B2F"/>
    <w:rsid w:val="00462E09"/>
    <w:rsid w:val="00465EAA"/>
    <w:rsid w:val="004708CA"/>
    <w:rsid w:val="004709E7"/>
    <w:rsid w:val="00470ADE"/>
    <w:rsid w:val="004712C7"/>
    <w:rsid w:val="00474736"/>
    <w:rsid w:val="004759EB"/>
    <w:rsid w:val="00477919"/>
    <w:rsid w:val="00482611"/>
    <w:rsid w:val="00482A27"/>
    <w:rsid w:val="00487DCE"/>
    <w:rsid w:val="00492701"/>
    <w:rsid w:val="004950B7"/>
    <w:rsid w:val="0049534D"/>
    <w:rsid w:val="00497209"/>
    <w:rsid w:val="00497FEA"/>
    <w:rsid w:val="004A22F3"/>
    <w:rsid w:val="004A75F5"/>
    <w:rsid w:val="004B07B2"/>
    <w:rsid w:val="004B0955"/>
    <w:rsid w:val="004B143D"/>
    <w:rsid w:val="004B1842"/>
    <w:rsid w:val="004B1D1B"/>
    <w:rsid w:val="004B25D0"/>
    <w:rsid w:val="004B3553"/>
    <w:rsid w:val="004B5E92"/>
    <w:rsid w:val="004B6859"/>
    <w:rsid w:val="004C0A30"/>
    <w:rsid w:val="004C357C"/>
    <w:rsid w:val="004C3D18"/>
    <w:rsid w:val="004D19BD"/>
    <w:rsid w:val="004D2D3F"/>
    <w:rsid w:val="004D42B1"/>
    <w:rsid w:val="004D526F"/>
    <w:rsid w:val="004E0583"/>
    <w:rsid w:val="004E19C0"/>
    <w:rsid w:val="004E1C54"/>
    <w:rsid w:val="004E21FE"/>
    <w:rsid w:val="004E2C37"/>
    <w:rsid w:val="004E5285"/>
    <w:rsid w:val="004F0CF3"/>
    <w:rsid w:val="004F5740"/>
    <w:rsid w:val="004F58C9"/>
    <w:rsid w:val="005028B9"/>
    <w:rsid w:val="00503A3F"/>
    <w:rsid w:val="00505E17"/>
    <w:rsid w:val="00511A59"/>
    <w:rsid w:val="00511C3B"/>
    <w:rsid w:val="00513DA2"/>
    <w:rsid w:val="00514440"/>
    <w:rsid w:val="005166C3"/>
    <w:rsid w:val="00520F7C"/>
    <w:rsid w:val="00523974"/>
    <w:rsid w:val="00526E5D"/>
    <w:rsid w:val="00527517"/>
    <w:rsid w:val="00531432"/>
    <w:rsid w:val="00532BC8"/>
    <w:rsid w:val="005333E8"/>
    <w:rsid w:val="00534912"/>
    <w:rsid w:val="005370E7"/>
    <w:rsid w:val="005409B7"/>
    <w:rsid w:val="00542F52"/>
    <w:rsid w:val="00545E62"/>
    <w:rsid w:val="00551070"/>
    <w:rsid w:val="00552C8A"/>
    <w:rsid w:val="00555156"/>
    <w:rsid w:val="0055535B"/>
    <w:rsid w:val="00560A96"/>
    <w:rsid w:val="00561000"/>
    <w:rsid w:val="005619CB"/>
    <w:rsid w:val="00561B71"/>
    <w:rsid w:val="00561F98"/>
    <w:rsid w:val="00564607"/>
    <w:rsid w:val="00565193"/>
    <w:rsid w:val="005664AB"/>
    <w:rsid w:val="005725BD"/>
    <w:rsid w:val="005730B0"/>
    <w:rsid w:val="00575DCC"/>
    <w:rsid w:val="00576AAD"/>
    <w:rsid w:val="005821B0"/>
    <w:rsid w:val="00586D9E"/>
    <w:rsid w:val="0059175F"/>
    <w:rsid w:val="00591AAC"/>
    <w:rsid w:val="00595F08"/>
    <w:rsid w:val="00595FBE"/>
    <w:rsid w:val="00597191"/>
    <w:rsid w:val="005A1C55"/>
    <w:rsid w:val="005A4636"/>
    <w:rsid w:val="005A5EF1"/>
    <w:rsid w:val="005B169D"/>
    <w:rsid w:val="005B226F"/>
    <w:rsid w:val="005B467C"/>
    <w:rsid w:val="005B4A69"/>
    <w:rsid w:val="005B4ACA"/>
    <w:rsid w:val="005B6B12"/>
    <w:rsid w:val="005C19E9"/>
    <w:rsid w:val="005C2DBC"/>
    <w:rsid w:val="005C5F13"/>
    <w:rsid w:val="005C65F9"/>
    <w:rsid w:val="005C6B0E"/>
    <w:rsid w:val="005C7E1F"/>
    <w:rsid w:val="005D1B9E"/>
    <w:rsid w:val="005D1F6B"/>
    <w:rsid w:val="005D2621"/>
    <w:rsid w:val="005D2DE7"/>
    <w:rsid w:val="005D331C"/>
    <w:rsid w:val="005D54DC"/>
    <w:rsid w:val="005D6355"/>
    <w:rsid w:val="005D7AAF"/>
    <w:rsid w:val="005E0C59"/>
    <w:rsid w:val="005E18DE"/>
    <w:rsid w:val="005E1DA3"/>
    <w:rsid w:val="005E306B"/>
    <w:rsid w:val="005E3669"/>
    <w:rsid w:val="005E53D0"/>
    <w:rsid w:val="005E5785"/>
    <w:rsid w:val="005E6098"/>
    <w:rsid w:val="005E613A"/>
    <w:rsid w:val="005E7969"/>
    <w:rsid w:val="005F0C93"/>
    <w:rsid w:val="005F3F22"/>
    <w:rsid w:val="005F4FC0"/>
    <w:rsid w:val="005F540F"/>
    <w:rsid w:val="005F5491"/>
    <w:rsid w:val="005F6144"/>
    <w:rsid w:val="005F6573"/>
    <w:rsid w:val="00601541"/>
    <w:rsid w:val="0060361E"/>
    <w:rsid w:val="006040AD"/>
    <w:rsid w:val="00604A25"/>
    <w:rsid w:val="00606683"/>
    <w:rsid w:val="006072C6"/>
    <w:rsid w:val="00613BF6"/>
    <w:rsid w:val="00616D27"/>
    <w:rsid w:val="006234FE"/>
    <w:rsid w:val="00623840"/>
    <w:rsid w:val="006252DB"/>
    <w:rsid w:val="006255EC"/>
    <w:rsid w:val="00625A25"/>
    <w:rsid w:val="0062736A"/>
    <w:rsid w:val="0063565E"/>
    <w:rsid w:val="00636E02"/>
    <w:rsid w:val="006372FE"/>
    <w:rsid w:val="00640691"/>
    <w:rsid w:val="00641DB1"/>
    <w:rsid w:val="00642297"/>
    <w:rsid w:val="00644A34"/>
    <w:rsid w:val="00654824"/>
    <w:rsid w:val="00655791"/>
    <w:rsid w:val="00661766"/>
    <w:rsid w:val="00662882"/>
    <w:rsid w:val="0066298C"/>
    <w:rsid w:val="00663008"/>
    <w:rsid w:val="00663093"/>
    <w:rsid w:val="00665A7C"/>
    <w:rsid w:val="00665B0B"/>
    <w:rsid w:val="006705CD"/>
    <w:rsid w:val="00671363"/>
    <w:rsid w:val="00672780"/>
    <w:rsid w:val="00672842"/>
    <w:rsid w:val="00676CFC"/>
    <w:rsid w:val="00677133"/>
    <w:rsid w:val="00681482"/>
    <w:rsid w:val="00687BF0"/>
    <w:rsid w:val="006904CF"/>
    <w:rsid w:val="006912FB"/>
    <w:rsid w:val="00695AF2"/>
    <w:rsid w:val="00696A2B"/>
    <w:rsid w:val="00696BD5"/>
    <w:rsid w:val="006A04AE"/>
    <w:rsid w:val="006A0AE4"/>
    <w:rsid w:val="006A172D"/>
    <w:rsid w:val="006A23F3"/>
    <w:rsid w:val="006A2CF3"/>
    <w:rsid w:val="006A5047"/>
    <w:rsid w:val="006A5E48"/>
    <w:rsid w:val="006A7A10"/>
    <w:rsid w:val="006A7E17"/>
    <w:rsid w:val="006B0DA4"/>
    <w:rsid w:val="006B1B6B"/>
    <w:rsid w:val="006B2C57"/>
    <w:rsid w:val="006B3710"/>
    <w:rsid w:val="006B391B"/>
    <w:rsid w:val="006B3CF0"/>
    <w:rsid w:val="006B79E0"/>
    <w:rsid w:val="006C0B2D"/>
    <w:rsid w:val="006C1633"/>
    <w:rsid w:val="006C5BF8"/>
    <w:rsid w:val="006C791B"/>
    <w:rsid w:val="006C7CCB"/>
    <w:rsid w:val="006D2EE6"/>
    <w:rsid w:val="006D3F14"/>
    <w:rsid w:val="006D3FDF"/>
    <w:rsid w:val="006D6009"/>
    <w:rsid w:val="006D7D41"/>
    <w:rsid w:val="006E2F4D"/>
    <w:rsid w:val="006E3FDD"/>
    <w:rsid w:val="006E58FB"/>
    <w:rsid w:val="006E5D82"/>
    <w:rsid w:val="006E66B2"/>
    <w:rsid w:val="006E6C50"/>
    <w:rsid w:val="006E7A69"/>
    <w:rsid w:val="006E7DE4"/>
    <w:rsid w:val="006F53E8"/>
    <w:rsid w:val="006F5FB8"/>
    <w:rsid w:val="0070017B"/>
    <w:rsid w:val="0070427E"/>
    <w:rsid w:val="00704D53"/>
    <w:rsid w:val="007056C3"/>
    <w:rsid w:val="00706072"/>
    <w:rsid w:val="00713644"/>
    <w:rsid w:val="007148CC"/>
    <w:rsid w:val="00721256"/>
    <w:rsid w:val="007217AD"/>
    <w:rsid w:val="007219A9"/>
    <w:rsid w:val="00723BA1"/>
    <w:rsid w:val="00724A1B"/>
    <w:rsid w:val="0073173E"/>
    <w:rsid w:val="007319C3"/>
    <w:rsid w:val="0073454F"/>
    <w:rsid w:val="00735C00"/>
    <w:rsid w:val="007364C6"/>
    <w:rsid w:val="00740BF3"/>
    <w:rsid w:val="00741D5C"/>
    <w:rsid w:val="0074352F"/>
    <w:rsid w:val="00747C5E"/>
    <w:rsid w:val="00750210"/>
    <w:rsid w:val="00750618"/>
    <w:rsid w:val="0075162F"/>
    <w:rsid w:val="00754844"/>
    <w:rsid w:val="00754B57"/>
    <w:rsid w:val="007552C7"/>
    <w:rsid w:val="0075671D"/>
    <w:rsid w:val="0076002F"/>
    <w:rsid w:val="0076038B"/>
    <w:rsid w:val="00761744"/>
    <w:rsid w:val="00762B6D"/>
    <w:rsid w:val="00764582"/>
    <w:rsid w:val="00765FA3"/>
    <w:rsid w:val="00766961"/>
    <w:rsid w:val="00766B5A"/>
    <w:rsid w:val="007678D6"/>
    <w:rsid w:val="0077026A"/>
    <w:rsid w:val="00770C33"/>
    <w:rsid w:val="00773465"/>
    <w:rsid w:val="007741C3"/>
    <w:rsid w:val="00777BE0"/>
    <w:rsid w:val="00777CFF"/>
    <w:rsid w:val="00780923"/>
    <w:rsid w:val="00781265"/>
    <w:rsid w:val="0078131F"/>
    <w:rsid w:val="007844C6"/>
    <w:rsid w:val="007876EF"/>
    <w:rsid w:val="00790306"/>
    <w:rsid w:val="00793573"/>
    <w:rsid w:val="0079364C"/>
    <w:rsid w:val="00793C6C"/>
    <w:rsid w:val="007942B9"/>
    <w:rsid w:val="00796C7F"/>
    <w:rsid w:val="00796EF6"/>
    <w:rsid w:val="00797E0C"/>
    <w:rsid w:val="007A160F"/>
    <w:rsid w:val="007A48BC"/>
    <w:rsid w:val="007A51D4"/>
    <w:rsid w:val="007B0BC1"/>
    <w:rsid w:val="007B354B"/>
    <w:rsid w:val="007B4FC3"/>
    <w:rsid w:val="007B73F3"/>
    <w:rsid w:val="007B7EE5"/>
    <w:rsid w:val="007C1C28"/>
    <w:rsid w:val="007C2A2C"/>
    <w:rsid w:val="007C3577"/>
    <w:rsid w:val="007C5E08"/>
    <w:rsid w:val="007C5F2A"/>
    <w:rsid w:val="007C660A"/>
    <w:rsid w:val="007D0002"/>
    <w:rsid w:val="007D7A59"/>
    <w:rsid w:val="007E0E75"/>
    <w:rsid w:val="007E13E4"/>
    <w:rsid w:val="007E53F5"/>
    <w:rsid w:val="007E6E9E"/>
    <w:rsid w:val="007E7637"/>
    <w:rsid w:val="007E7997"/>
    <w:rsid w:val="007F014A"/>
    <w:rsid w:val="007F04EF"/>
    <w:rsid w:val="007F0763"/>
    <w:rsid w:val="007F1DE9"/>
    <w:rsid w:val="007F25C2"/>
    <w:rsid w:val="007F4F88"/>
    <w:rsid w:val="007F5642"/>
    <w:rsid w:val="007F5822"/>
    <w:rsid w:val="007F5B86"/>
    <w:rsid w:val="00800A7F"/>
    <w:rsid w:val="0080285D"/>
    <w:rsid w:val="0081028F"/>
    <w:rsid w:val="008102E7"/>
    <w:rsid w:val="008107D9"/>
    <w:rsid w:val="0081093B"/>
    <w:rsid w:val="008116D9"/>
    <w:rsid w:val="00811936"/>
    <w:rsid w:val="00812BE2"/>
    <w:rsid w:val="00813059"/>
    <w:rsid w:val="008157C8"/>
    <w:rsid w:val="00815C43"/>
    <w:rsid w:val="008173E2"/>
    <w:rsid w:val="008201C3"/>
    <w:rsid w:val="00820422"/>
    <w:rsid w:val="00820655"/>
    <w:rsid w:val="008227D7"/>
    <w:rsid w:val="008249A1"/>
    <w:rsid w:val="00825D43"/>
    <w:rsid w:val="0082632D"/>
    <w:rsid w:val="008279D3"/>
    <w:rsid w:val="00832500"/>
    <w:rsid w:val="00832787"/>
    <w:rsid w:val="00833000"/>
    <w:rsid w:val="00835192"/>
    <w:rsid w:val="00835805"/>
    <w:rsid w:val="0083595F"/>
    <w:rsid w:val="008372B6"/>
    <w:rsid w:val="00843A1A"/>
    <w:rsid w:val="00846433"/>
    <w:rsid w:val="008472C2"/>
    <w:rsid w:val="00847589"/>
    <w:rsid w:val="00850B43"/>
    <w:rsid w:val="008510D9"/>
    <w:rsid w:val="00851EE3"/>
    <w:rsid w:val="00853121"/>
    <w:rsid w:val="008555E4"/>
    <w:rsid w:val="00864124"/>
    <w:rsid w:val="00864E60"/>
    <w:rsid w:val="00866A09"/>
    <w:rsid w:val="00870D6C"/>
    <w:rsid w:val="00871163"/>
    <w:rsid w:val="00871241"/>
    <w:rsid w:val="008712BF"/>
    <w:rsid w:val="00872209"/>
    <w:rsid w:val="008731EB"/>
    <w:rsid w:val="00873656"/>
    <w:rsid w:val="00876C17"/>
    <w:rsid w:val="00880140"/>
    <w:rsid w:val="008842F7"/>
    <w:rsid w:val="00885B94"/>
    <w:rsid w:val="00885D15"/>
    <w:rsid w:val="0089075A"/>
    <w:rsid w:val="00890F80"/>
    <w:rsid w:val="00892BFD"/>
    <w:rsid w:val="0089338A"/>
    <w:rsid w:val="00894199"/>
    <w:rsid w:val="008948BE"/>
    <w:rsid w:val="00896D1F"/>
    <w:rsid w:val="00896D5B"/>
    <w:rsid w:val="008A1E27"/>
    <w:rsid w:val="008A2C86"/>
    <w:rsid w:val="008A3467"/>
    <w:rsid w:val="008A6000"/>
    <w:rsid w:val="008A70A8"/>
    <w:rsid w:val="008A7FAC"/>
    <w:rsid w:val="008B1FD9"/>
    <w:rsid w:val="008B2AF1"/>
    <w:rsid w:val="008B5191"/>
    <w:rsid w:val="008B710D"/>
    <w:rsid w:val="008B73BE"/>
    <w:rsid w:val="008B7CA1"/>
    <w:rsid w:val="008C0177"/>
    <w:rsid w:val="008C0389"/>
    <w:rsid w:val="008C1B25"/>
    <w:rsid w:val="008C27D3"/>
    <w:rsid w:val="008C2C43"/>
    <w:rsid w:val="008C4B2B"/>
    <w:rsid w:val="008C5E91"/>
    <w:rsid w:val="008C686D"/>
    <w:rsid w:val="008C6B18"/>
    <w:rsid w:val="008C75E6"/>
    <w:rsid w:val="008C767A"/>
    <w:rsid w:val="008C7A73"/>
    <w:rsid w:val="008D0569"/>
    <w:rsid w:val="008D28FD"/>
    <w:rsid w:val="008D59F9"/>
    <w:rsid w:val="008D5C28"/>
    <w:rsid w:val="008E00A6"/>
    <w:rsid w:val="008E1710"/>
    <w:rsid w:val="008E2D26"/>
    <w:rsid w:val="008E3C8E"/>
    <w:rsid w:val="008E4076"/>
    <w:rsid w:val="008E5ACB"/>
    <w:rsid w:val="008E7DBA"/>
    <w:rsid w:val="008F1993"/>
    <w:rsid w:val="008F3386"/>
    <w:rsid w:val="008F3AD9"/>
    <w:rsid w:val="008F4642"/>
    <w:rsid w:val="008F4C29"/>
    <w:rsid w:val="008F4E00"/>
    <w:rsid w:val="008F6163"/>
    <w:rsid w:val="008F761D"/>
    <w:rsid w:val="00900D44"/>
    <w:rsid w:val="00902520"/>
    <w:rsid w:val="00906DC4"/>
    <w:rsid w:val="00911A61"/>
    <w:rsid w:val="00914478"/>
    <w:rsid w:val="0091457F"/>
    <w:rsid w:val="0091729E"/>
    <w:rsid w:val="00926BDA"/>
    <w:rsid w:val="00931615"/>
    <w:rsid w:val="0093261E"/>
    <w:rsid w:val="00937B82"/>
    <w:rsid w:val="0094008E"/>
    <w:rsid w:val="00941C0C"/>
    <w:rsid w:val="009437F2"/>
    <w:rsid w:val="0094528B"/>
    <w:rsid w:val="00946049"/>
    <w:rsid w:val="00960A8B"/>
    <w:rsid w:val="00963039"/>
    <w:rsid w:val="00965128"/>
    <w:rsid w:val="00967068"/>
    <w:rsid w:val="00973F43"/>
    <w:rsid w:val="0097785D"/>
    <w:rsid w:val="0098011D"/>
    <w:rsid w:val="00981912"/>
    <w:rsid w:val="009819C0"/>
    <w:rsid w:val="009835AD"/>
    <w:rsid w:val="00987A75"/>
    <w:rsid w:val="00990C72"/>
    <w:rsid w:val="00991A8A"/>
    <w:rsid w:val="00991BED"/>
    <w:rsid w:val="00992611"/>
    <w:rsid w:val="00994303"/>
    <w:rsid w:val="00995019"/>
    <w:rsid w:val="0099526D"/>
    <w:rsid w:val="00996C8B"/>
    <w:rsid w:val="009A0054"/>
    <w:rsid w:val="009A0F6E"/>
    <w:rsid w:val="009A2D9C"/>
    <w:rsid w:val="009A38D9"/>
    <w:rsid w:val="009A5548"/>
    <w:rsid w:val="009A72CC"/>
    <w:rsid w:val="009B25C1"/>
    <w:rsid w:val="009B26DB"/>
    <w:rsid w:val="009B7B79"/>
    <w:rsid w:val="009C0383"/>
    <w:rsid w:val="009C145B"/>
    <w:rsid w:val="009C3E04"/>
    <w:rsid w:val="009C4FB0"/>
    <w:rsid w:val="009C75D1"/>
    <w:rsid w:val="009C7694"/>
    <w:rsid w:val="009C792D"/>
    <w:rsid w:val="009D0570"/>
    <w:rsid w:val="009D3E5C"/>
    <w:rsid w:val="009D495C"/>
    <w:rsid w:val="009D570F"/>
    <w:rsid w:val="009D5E88"/>
    <w:rsid w:val="009D6E1A"/>
    <w:rsid w:val="009D7294"/>
    <w:rsid w:val="009E1690"/>
    <w:rsid w:val="009E18AF"/>
    <w:rsid w:val="009E28C5"/>
    <w:rsid w:val="009E2C9D"/>
    <w:rsid w:val="009E2CDD"/>
    <w:rsid w:val="009E3545"/>
    <w:rsid w:val="009E4FCE"/>
    <w:rsid w:val="009E522E"/>
    <w:rsid w:val="009E53AA"/>
    <w:rsid w:val="009F0ABA"/>
    <w:rsid w:val="009F0AF5"/>
    <w:rsid w:val="009F7BE9"/>
    <w:rsid w:val="00A02199"/>
    <w:rsid w:val="00A026A4"/>
    <w:rsid w:val="00A04044"/>
    <w:rsid w:val="00A055DD"/>
    <w:rsid w:val="00A11A0E"/>
    <w:rsid w:val="00A11D0C"/>
    <w:rsid w:val="00A16579"/>
    <w:rsid w:val="00A24843"/>
    <w:rsid w:val="00A25AB7"/>
    <w:rsid w:val="00A26D48"/>
    <w:rsid w:val="00A31C7C"/>
    <w:rsid w:val="00A367AA"/>
    <w:rsid w:val="00A378DF"/>
    <w:rsid w:val="00A37AC6"/>
    <w:rsid w:val="00A409C2"/>
    <w:rsid w:val="00A410CC"/>
    <w:rsid w:val="00A42B43"/>
    <w:rsid w:val="00A42BD0"/>
    <w:rsid w:val="00A433DC"/>
    <w:rsid w:val="00A460CD"/>
    <w:rsid w:val="00A50761"/>
    <w:rsid w:val="00A51DF2"/>
    <w:rsid w:val="00A53AF0"/>
    <w:rsid w:val="00A54ED7"/>
    <w:rsid w:val="00A61561"/>
    <w:rsid w:val="00A63249"/>
    <w:rsid w:val="00A6691F"/>
    <w:rsid w:val="00A67E6A"/>
    <w:rsid w:val="00A70F49"/>
    <w:rsid w:val="00A72203"/>
    <w:rsid w:val="00A7281F"/>
    <w:rsid w:val="00A73299"/>
    <w:rsid w:val="00A73949"/>
    <w:rsid w:val="00A76707"/>
    <w:rsid w:val="00A7697E"/>
    <w:rsid w:val="00A76C98"/>
    <w:rsid w:val="00A76E20"/>
    <w:rsid w:val="00A770B3"/>
    <w:rsid w:val="00A8284E"/>
    <w:rsid w:val="00A870EE"/>
    <w:rsid w:val="00A87E1A"/>
    <w:rsid w:val="00A91D91"/>
    <w:rsid w:val="00A95D52"/>
    <w:rsid w:val="00A960E3"/>
    <w:rsid w:val="00A96F81"/>
    <w:rsid w:val="00A9709D"/>
    <w:rsid w:val="00A973A8"/>
    <w:rsid w:val="00AA054E"/>
    <w:rsid w:val="00AA0A10"/>
    <w:rsid w:val="00AA2094"/>
    <w:rsid w:val="00AA2947"/>
    <w:rsid w:val="00AA7461"/>
    <w:rsid w:val="00AB1894"/>
    <w:rsid w:val="00AB22DF"/>
    <w:rsid w:val="00AB2C3F"/>
    <w:rsid w:val="00AB30EA"/>
    <w:rsid w:val="00AB458B"/>
    <w:rsid w:val="00AB45E4"/>
    <w:rsid w:val="00AB6157"/>
    <w:rsid w:val="00AB7542"/>
    <w:rsid w:val="00AC022D"/>
    <w:rsid w:val="00AC0629"/>
    <w:rsid w:val="00AC70C7"/>
    <w:rsid w:val="00AC79E0"/>
    <w:rsid w:val="00AD32CE"/>
    <w:rsid w:val="00AD515A"/>
    <w:rsid w:val="00AD5187"/>
    <w:rsid w:val="00AD6B11"/>
    <w:rsid w:val="00AD6B34"/>
    <w:rsid w:val="00AD6F90"/>
    <w:rsid w:val="00AE0286"/>
    <w:rsid w:val="00AE247F"/>
    <w:rsid w:val="00AE4A24"/>
    <w:rsid w:val="00AE4FC7"/>
    <w:rsid w:val="00AE7235"/>
    <w:rsid w:val="00AF01E3"/>
    <w:rsid w:val="00AF23AE"/>
    <w:rsid w:val="00AF2EF7"/>
    <w:rsid w:val="00AF3741"/>
    <w:rsid w:val="00AF3B5C"/>
    <w:rsid w:val="00B0014A"/>
    <w:rsid w:val="00B00B50"/>
    <w:rsid w:val="00B00DB2"/>
    <w:rsid w:val="00B016E3"/>
    <w:rsid w:val="00B02B0B"/>
    <w:rsid w:val="00B03817"/>
    <w:rsid w:val="00B03937"/>
    <w:rsid w:val="00B04283"/>
    <w:rsid w:val="00B05BA8"/>
    <w:rsid w:val="00B0741D"/>
    <w:rsid w:val="00B07AD8"/>
    <w:rsid w:val="00B07B20"/>
    <w:rsid w:val="00B1081B"/>
    <w:rsid w:val="00B14406"/>
    <w:rsid w:val="00B14F01"/>
    <w:rsid w:val="00B15525"/>
    <w:rsid w:val="00B15C0B"/>
    <w:rsid w:val="00B16706"/>
    <w:rsid w:val="00B174BA"/>
    <w:rsid w:val="00B17AF3"/>
    <w:rsid w:val="00B223B5"/>
    <w:rsid w:val="00B229AD"/>
    <w:rsid w:val="00B237BC"/>
    <w:rsid w:val="00B26EBB"/>
    <w:rsid w:val="00B27499"/>
    <w:rsid w:val="00B335C4"/>
    <w:rsid w:val="00B3369E"/>
    <w:rsid w:val="00B33D9A"/>
    <w:rsid w:val="00B40D81"/>
    <w:rsid w:val="00B424F5"/>
    <w:rsid w:val="00B43167"/>
    <w:rsid w:val="00B435BE"/>
    <w:rsid w:val="00B43A9D"/>
    <w:rsid w:val="00B467B0"/>
    <w:rsid w:val="00B47F9B"/>
    <w:rsid w:val="00B50534"/>
    <w:rsid w:val="00B51FCB"/>
    <w:rsid w:val="00B5289B"/>
    <w:rsid w:val="00B52E10"/>
    <w:rsid w:val="00B5331D"/>
    <w:rsid w:val="00B543D6"/>
    <w:rsid w:val="00B556B0"/>
    <w:rsid w:val="00B56736"/>
    <w:rsid w:val="00B57687"/>
    <w:rsid w:val="00B578E3"/>
    <w:rsid w:val="00B57CE5"/>
    <w:rsid w:val="00B621A7"/>
    <w:rsid w:val="00B63379"/>
    <w:rsid w:val="00B648F2"/>
    <w:rsid w:val="00B655D1"/>
    <w:rsid w:val="00B7002C"/>
    <w:rsid w:val="00B728C7"/>
    <w:rsid w:val="00B73FF2"/>
    <w:rsid w:val="00B74CBA"/>
    <w:rsid w:val="00B74ED3"/>
    <w:rsid w:val="00B768CF"/>
    <w:rsid w:val="00B81A44"/>
    <w:rsid w:val="00B86BB5"/>
    <w:rsid w:val="00B91072"/>
    <w:rsid w:val="00B91B6E"/>
    <w:rsid w:val="00B94B2C"/>
    <w:rsid w:val="00B96F7D"/>
    <w:rsid w:val="00B970D0"/>
    <w:rsid w:val="00BA49F4"/>
    <w:rsid w:val="00BA5C41"/>
    <w:rsid w:val="00BA6ACA"/>
    <w:rsid w:val="00BA7232"/>
    <w:rsid w:val="00BA7809"/>
    <w:rsid w:val="00BB29AA"/>
    <w:rsid w:val="00BB449C"/>
    <w:rsid w:val="00BB44D7"/>
    <w:rsid w:val="00BC2561"/>
    <w:rsid w:val="00BC3E3E"/>
    <w:rsid w:val="00BC422A"/>
    <w:rsid w:val="00BC5128"/>
    <w:rsid w:val="00BC5608"/>
    <w:rsid w:val="00BD04C9"/>
    <w:rsid w:val="00BD29C8"/>
    <w:rsid w:val="00BD3536"/>
    <w:rsid w:val="00BD37FD"/>
    <w:rsid w:val="00BE0B46"/>
    <w:rsid w:val="00BE225E"/>
    <w:rsid w:val="00BE237E"/>
    <w:rsid w:val="00BE2F2F"/>
    <w:rsid w:val="00BE3703"/>
    <w:rsid w:val="00BE567F"/>
    <w:rsid w:val="00BF0A29"/>
    <w:rsid w:val="00BF25CD"/>
    <w:rsid w:val="00BF5553"/>
    <w:rsid w:val="00BF75CD"/>
    <w:rsid w:val="00BF7E68"/>
    <w:rsid w:val="00C00D4F"/>
    <w:rsid w:val="00C00F1C"/>
    <w:rsid w:val="00C0346D"/>
    <w:rsid w:val="00C0358F"/>
    <w:rsid w:val="00C03BB0"/>
    <w:rsid w:val="00C041CF"/>
    <w:rsid w:val="00C0696A"/>
    <w:rsid w:val="00C11CFA"/>
    <w:rsid w:val="00C12034"/>
    <w:rsid w:val="00C1396B"/>
    <w:rsid w:val="00C1501F"/>
    <w:rsid w:val="00C16775"/>
    <w:rsid w:val="00C1698A"/>
    <w:rsid w:val="00C17150"/>
    <w:rsid w:val="00C17E6C"/>
    <w:rsid w:val="00C249CC"/>
    <w:rsid w:val="00C24E5F"/>
    <w:rsid w:val="00C255B6"/>
    <w:rsid w:val="00C262E7"/>
    <w:rsid w:val="00C26F3A"/>
    <w:rsid w:val="00C2770B"/>
    <w:rsid w:val="00C30296"/>
    <w:rsid w:val="00C3170E"/>
    <w:rsid w:val="00C31947"/>
    <w:rsid w:val="00C40053"/>
    <w:rsid w:val="00C4294D"/>
    <w:rsid w:val="00C444C8"/>
    <w:rsid w:val="00C452DD"/>
    <w:rsid w:val="00C45856"/>
    <w:rsid w:val="00C46603"/>
    <w:rsid w:val="00C5320B"/>
    <w:rsid w:val="00C54316"/>
    <w:rsid w:val="00C55208"/>
    <w:rsid w:val="00C5527D"/>
    <w:rsid w:val="00C61B1A"/>
    <w:rsid w:val="00C62A53"/>
    <w:rsid w:val="00C709F9"/>
    <w:rsid w:val="00C70FF7"/>
    <w:rsid w:val="00C73A00"/>
    <w:rsid w:val="00C73A70"/>
    <w:rsid w:val="00C76054"/>
    <w:rsid w:val="00C779A2"/>
    <w:rsid w:val="00C80546"/>
    <w:rsid w:val="00C83CAD"/>
    <w:rsid w:val="00C8419E"/>
    <w:rsid w:val="00C851D7"/>
    <w:rsid w:val="00C85C8B"/>
    <w:rsid w:val="00C867AD"/>
    <w:rsid w:val="00C87F9F"/>
    <w:rsid w:val="00C9545D"/>
    <w:rsid w:val="00C9625C"/>
    <w:rsid w:val="00C97337"/>
    <w:rsid w:val="00C978C6"/>
    <w:rsid w:val="00C97F2A"/>
    <w:rsid w:val="00C97F9B"/>
    <w:rsid w:val="00CA112D"/>
    <w:rsid w:val="00CA1F9F"/>
    <w:rsid w:val="00CA2179"/>
    <w:rsid w:val="00CA3D8A"/>
    <w:rsid w:val="00CA4A87"/>
    <w:rsid w:val="00CB0C0C"/>
    <w:rsid w:val="00CB4B3E"/>
    <w:rsid w:val="00CB50EF"/>
    <w:rsid w:val="00CB623F"/>
    <w:rsid w:val="00CB791A"/>
    <w:rsid w:val="00CB7D1B"/>
    <w:rsid w:val="00CC11DF"/>
    <w:rsid w:val="00CC1A6E"/>
    <w:rsid w:val="00CC3F62"/>
    <w:rsid w:val="00CC536E"/>
    <w:rsid w:val="00CC59DD"/>
    <w:rsid w:val="00CC7FC6"/>
    <w:rsid w:val="00CD47B2"/>
    <w:rsid w:val="00CD5AFD"/>
    <w:rsid w:val="00CD6E6D"/>
    <w:rsid w:val="00CD7091"/>
    <w:rsid w:val="00CD74EB"/>
    <w:rsid w:val="00CE49F8"/>
    <w:rsid w:val="00CE4E1E"/>
    <w:rsid w:val="00CE5DDC"/>
    <w:rsid w:val="00CE66B5"/>
    <w:rsid w:val="00CF2D77"/>
    <w:rsid w:val="00CF52DF"/>
    <w:rsid w:val="00CF52E8"/>
    <w:rsid w:val="00CF5832"/>
    <w:rsid w:val="00CF5911"/>
    <w:rsid w:val="00CF7221"/>
    <w:rsid w:val="00CF724E"/>
    <w:rsid w:val="00D002B7"/>
    <w:rsid w:val="00D059F5"/>
    <w:rsid w:val="00D117F5"/>
    <w:rsid w:val="00D11B30"/>
    <w:rsid w:val="00D13661"/>
    <w:rsid w:val="00D142BD"/>
    <w:rsid w:val="00D146DE"/>
    <w:rsid w:val="00D17FEC"/>
    <w:rsid w:val="00D200E7"/>
    <w:rsid w:val="00D21427"/>
    <w:rsid w:val="00D22164"/>
    <w:rsid w:val="00D22B86"/>
    <w:rsid w:val="00D22F2F"/>
    <w:rsid w:val="00D24194"/>
    <w:rsid w:val="00D2460F"/>
    <w:rsid w:val="00D2590F"/>
    <w:rsid w:val="00D26321"/>
    <w:rsid w:val="00D27150"/>
    <w:rsid w:val="00D27EB3"/>
    <w:rsid w:val="00D32D2A"/>
    <w:rsid w:val="00D35E02"/>
    <w:rsid w:val="00D378C9"/>
    <w:rsid w:val="00D37B9F"/>
    <w:rsid w:val="00D40FA1"/>
    <w:rsid w:val="00D41425"/>
    <w:rsid w:val="00D41EFF"/>
    <w:rsid w:val="00D46275"/>
    <w:rsid w:val="00D467CA"/>
    <w:rsid w:val="00D4759B"/>
    <w:rsid w:val="00D500A4"/>
    <w:rsid w:val="00D51205"/>
    <w:rsid w:val="00D516FC"/>
    <w:rsid w:val="00D51F2D"/>
    <w:rsid w:val="00D535EE"/>
    <w:rsid w:val="00D54FC4"/>
    <w:rsid w:val="00D57019"/>
    <w:rsid w:val="00D574C1"/>
    <w:rsid w:val="00D57615"/>
    <w:rsid w:val="00D577C9"/>
    <w:rsid w:val="00D606B7"/>
    <w:rsid w:val="00D60DF0"/>
    <w:rsid w:val="00D61A94"/>
    <w:rsid w:val="00D62282"/>
    <w:rsid w:val="00D6356C"/>
    <w:rsid w:val="00D64A32"/>
    <w:rsid w:val="00D6553A"/>
    <w:rsid w:val="00D657CA"/>
    <w:rsid w:val="00D65CEE"/>
    <w:rsid w:val="00D73338"/>
    <w:rsid w:val="00D775F3"/>
    <w:rsid w:val="00D77868"/>
    <w:rsid w:val="00D77F25"/>
    <w:rsid w:val="00D809B4"/>
    <w:rsid w:val="00D84C2A"/>
    <w:rsid w:val="00D9064B"/>
    <w:rsid w:val="00D95D17"/>
    <w:rsid w:val="00D978C6"/>
    <w:rsid w:val="00DA03F6"/>
    <w:rsid w:val="00DA134A"/>
    <w:rsid w:val="00DA1A2E"/>
    <w:rsid w:val="00DA3413"/>
    <w:rsid w:val="00DA426E"/>
    <w:rsid w:val="00DA4339"/>
    <w:rsid w:val="00DA462C"/>
    <w:rsid w:val="00DA4B1B"/>
    <w:rsid w:val="00DA4EFC"/>
    <w:rsid w:val="00DA648D"/>
    <w:rsid w:val="00DA6A7B"/>
    <w:rsid w:val="00DA726D"/>
    <w:rsid w:val="00DB1B8D"/>
    <w:rsid w:val="00DB2693"/>
    <w:rsid w:val="00DB377C"/>
    <w:rsid w:val="00DB3DEA"/>
    <w:rsid w:val="00DB40BD"/>
    <w:rsid w:val="00DB4B8E"/>
    <w:rsid w:val="00DB4F4B"/>
    <w:rsid w:val="00DC070F"/>
    <w:rsid w:val="00DC3462"/>
    <w:rsid w:val="00DC3858"/>
    <w:rsid w:val="00DC3A57"/>
    <w:rsid w:val="00DC7A95"/>
    <w:rsid w:val="00DD1DAF"/>
    <w:rsid w:val="00DD55C2"/>
    <w:rsid w:val="00DD759E"/>
    <w:rsid w:val="00DE314E"/>
    <w:rsid w:val="00DE4CFB"/>
    <w:rsid w:val="00DF045B"/>
    <w:rsid w:val="00DF0F58"/>
    <w:rsid w:val="00DF1ED8"/>
    <w:rsid w:val="00DF3785"/>
    <w:rsid w:val="00DF3D27"/>
    <w:rsid w:val="00DF6074"/>
    <w:rsid w:val="00E02239"/>
    <w:rsid w:val="00E047EC"/>
    <w:rsid w:val="00E07D42"/>
    <w:rsid w:val="00E163E9"/>
    <w:rsid w:val="00E240F5"/>
    <w:rsid w:val="00E26F98"/>
    <w:rsid w:val="00E30004"/>
    <w:rsid w:val="00E31290"/>
    <w:rsid w:val="00E31A5B"/>
    <w:rsid w:val="00E333AC"/>
    <w:rsid w:val="00E3456B"/>
    <w:rsid w:val="00E35C16"/>
    <w:rsid w:val="00E36085"/>
    <w:rsid w:val="00E36813"/>
    <w:rsid w:val="00E36FCC"/>
    <w:rsid w:val="00E40B17"/>
    <w:rsid w:val="00E42382"/>
    <w:rsid w:val="00E603DF"/>
    <w:rsid w:val="00E63745"/>
    <w:rsid w:val="00E66134"/>
    <w:rsid w:val="00E6699F"/>
    <w:rsid w:val="00E67845"/>
    <w:rsid w:val="00E67B40"/>
    <w:rsid w:val="00E703AE"/>
    <w:rsid w:val="00E72373"/>
    <w:rsid w:val="00E72C92"/>
    <w:rsid w:val="00E74A40"/>
    <w:rsid w:val="00E76AF9"/>
    <w:rsid w:val="00E84EF0"/>
    <w:rsid w:val="00E8649C"/>
    <w:rsid w:val="00E87886"/>
    <w:rsid w:val="00E87CDE"/>
    <w:rsid w:val="00E91330"/>
    <w:rsid w:val="00E91FC1"/>
    <w:rsid w:val="00E92D54"/>
    <w:rsid w:val="00E9323C"/>
    <w:rsid w:val="00E95FD8"/>
    <w:rsid w:val="00EA0283"/>
    <w:rsid w:val="00EA357E"/>
    <w:rsid w:val="00EA5DE1"/>
    <w:rsid w:val="00EB0C86"/>
    <w:rsid w:val="00EB0E16"/>
    <w:rsid w:val="00EB1A57"/>
    <w:rsid w:val="00EB236F"/>
    <w:rsid w:val="00EB237E"/>
    <w:rsid w:val="00EC1546"/>
    <w:rsid w:val="00EC15D5"/>
    <w:rsid w:val="00EC384A"/>
    <w:rsid w:val="00EC4D18"/>
    <w:rsid w:val="00EC5B23"/>
    <w:rsid w:val="00EC5DED"/>
    <w:rsid w:val="00EC6BD8"/>
    <w:rsid w:val="00ED0356"/>
    <w:rsid w:val="00ED0D71"/>
    <w:rsid w:val="00ED3DCD"/>
    <w:rsid w:val="00ED3DD5"/>
    <w:rsid w:val="00ED4FDB"/>
    <w:rsid w:val="00ED56BE"/>
    <w:rsid w:val="00ED74D7"/>
    <w:rsid w:val="00EE095F"/>
    <w:rsid w:val="00EE0DA8"/>
    <w:rsid w:val="00EE40F8"/>
    <w:rsid w:val="00EE6DD6"/>
    <w:rsid w:val="00EF0867"/>
    <w:rsid w:val="00EF1A10"/>
    <w:rsid w:val="00EF1A9F"/>
    <w:rsid w:val="00EF1B27"/>
    <w:rsid w:val="00EF4370"/>
    <w:rsid w:val="00EF5AD7"/>
    <w:rsid w:val="00F03FA7"/>
    <w:rsid w:val="00F048EF"/>
    <w:rsid w:val="00F06AAD"/>
    <w:rsid w:val="00F073A5"/>
    <w:rsid w:val="00F146BE"/>
    <w:rsid w:val="00F22013"/>
    <w:rsid w:val="00F22356"/>
    <w:rsid w:val="00F226E0"/>
    <w:rsid w:val="00F2522F"/>
    <w:rsid w:val="00F25B7F"/>
    <w:rsid w:val="00F30180"/>
    <w:rsid w:val="00F31A29"/>
    <w:rsid w:val="00F3279A"/>
    <w:rsid w:val="00F37236"/>
    <w:rsid w:val="00F44634"/>
    <w:rsid w:val="00F45473"/>
    <w:rsid w:val="00F505EC"/>
    <w:rsid w:val="00F5088F"/>
    <w:rsid w:val="00F51657"/>
    <w:rsid w:val="00F5223C"/>
    <w:rsid w:val="00F55F69"/>
    <w:rsid w:val="00F57787"/>
    <w:rsid w:val="00F61E82"/>
    <w:rsid w:val="00F6243A"/>
    <w:rsid w:val="00F63323"/>
    <w:rsid w:val="00F636FE"/>
    <w:rsid w:val="00F648B2"/>
    <w:rsid w:val="00F67EBD"/>
    <w:rsid w:val="00F70EA4"/>
    <w:rsid w:val="00F77851"/>
    <w:rsid w:val="00F80FAB"/>
    <w:rsid w:val="00F8179A"/>
    <w:rsid w:val="00F81AAC"/>
    <w:rsid w:val="00F81E3B"/>
    <w:rsid w:val="00F827E1"/>
    <w:rsid w:val="00F856DA"/>
    <w:rsid w:val="00F879B3"/>
    <w:rsid w:val="00F927B5"/>
    <w:rsid w:val="00F94BD0"/>
    <w:rsid w:val="00F95403"/>
    <w:rsid w:val="00F954EE"/>
    <w:rsid w:val="00F96705"/>
    <w:rsid w:val="00F96750"/>
    <w:rsid w:val="00F9704D"/>
    <w:rsid w:val="00FA0166"/>
    <w:rsid w:val="00FA2400"/>
    <w:rsid w:val="00FA33E9"/>
    <w:rsid w:val="00FA55C8"/>
    <w:rsid w:val="00FA64BE"/>
    <w:rsid w:val="00FA74C6"/>
    <w:rsid w:val="00FB24ED"/>
    <w:rsid w:val="00FB29AF"/>
    <w:rsid w:val="00FB313D"/>
    <w:rsid w:val="00FB4003"/>
    <w:rsid w:val="00FB4EBA"/>
    <w:rsid w:val="00FB7086"/>
    <w:rsid w:val="00FC1B94"/>
    <w:rsid w:val="00FC3B26"/>
    <w:rsid w:val="00FC6384"/>
    <w:rsid w:val="00FC6733"/>
    <w:rsid w:val="00FD224E"/>
    <w:rsid w:val="00FD2677"/>
    <w:rsid w:val="00FD28B8"/>
    <w:rsid w:val="00FD4D00"/>
    <w:rsid w:val="00FE0BD8"/>
    <w:rsid w:val="00FE1709"/>
    <w:rsid w:val="00FE1FC9"/>
    <w:rsid w:val="00FF32DE"/>
    <w:rsid w:val="00FF4205"/>
    <w:rsid w:val="00FF5858"/>
    <w:rsid w:val="00FF6930"/>
    <w:rsid w:val="36725D5C"/>
    <w:rsid w:val="3CFE2AD9"/>
    <w:rsid w:val="3EC79034"/>
    <w:rsid w:val="4119874D"/>
    <w:rsid w:val="42EC885E"/>
    <w:rsid w:val="440F045F"/>
    <w:rsid w:val="563EF20D"/>
    <w:rsid w:val="6233BE84"/>
    <w:rsid w:val="77E82626"/>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AB6E44"/>
  <w15:docId w15:val="{9C04BF69-CA55-48B5-A60C-B108C2F750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nl-BE"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15D5"/>
    <w:pPr>
      <w:spacing w:after="0" w:line="240" w:lineRule="auto"/>
    </w:pPr>
    <w:rPr>
      <w:rFonts w:ascii="Times New Roman" w:eastAsia="Times New Roman" w:hAnsi="Times New Roman" w:cs="Times New Roman"/>
      <w:sz w:val="24"/>
      <w:szCs w:val="24"/>
      <w:lang w:val="en-GB" w:eastAsia="en-GB"/>
    </w:rPr>
  </w:style>
  <w:style w:type="paragraph" w:styleId="Heading1">
    <w:name w:val="heading 1"/>
    <w:basedOn w:val="Normal"/>
    <w:next w:val="Normal"/>
    <w:link w:val="Heading1Char"/>
    <w:qFormat/>
    <w:rsid w:val="00FE0BD8"/>
    <w:pPr>
      <w:keepNext/>
      <w:keepLines/>
      <w:numPr>
        <w:numId w:val="3"/>
      </w:numPr>
      <w:spacing w:before="320"/>
      <w:outlineLvl w:val="0"/>
    </w:pPr>
    <w:rPr>
      <w:rFonts w:asciiTheme="majorHAnsi" w:eastAsiaTheme="majorEastAsia" w:hAnsiTheme="majorHAnsi" w:cstheme="majorBidi"/>
      <w:b/>
      <w:sz w:val="32"/>
      <w:szCs w:val="32"/>
    </w:rPr>
  </w:style>
  <w:style w:type="paragraph" w:styleId="Heading2">
    <w:name w:val="heading 2"/>
    <w:basedOn w:val="Normal"/>
    <w:next w:val="Normal"/>
    <w:link w:val="Heading2Char"/>
    <w:unhideWhenUsed/>
    <w:qFormat/>
    <w:rsid w:val="003C167E"/>
    <w:pPr>
      <w:keepNext/>
      <w:keepLines/>
      <w:numPr>
        <w:ilvl w:val="1"/>
        <w:numId w:val="3"/>
      </w:numPr>
      <w:spacing w:before="320"/>
      <w:outlineLvl w:val="1"/>
    </w:pPr>
    <w:rPr>
      <w:rFonts w:asciiTheme="majorHAnsi" w:eastAsiaTheme="majorEastAsia" w:hAnsiTheme="majorHAnsi" w:cstheme="majorBidi"/>
      <w:b/>
      <w:sz w:val="28"/>
      <w:szCs w:val="28"/>
    </w:rPr>
  </w:style>
  <w:style w:type="paragraph" w:styleId="Heading3">
    <w:name w:val="heading 3"/>
    <w:basedOn w:val="Normal"/>
    <w:next w:val="Normal"/>
    <w:link w:val="Heading3Char"/>
    <w:unhideWhenUsed/>
    <w:qFormat/>
    <w:rsid w:val="00020300"/>
    <w:pPr>
      <w:keepNext/>
      <w:keepLines/>
      <w:numPr>
        <w:ilvl w:val="2"/>
        <w:numId w:val="3"/>
      </w:numPr>
      <w:spacing w:before="320"/>
      <w:outlineLvl w:val="2"/>
    </w:pPr>
    <w:rPr>
      <w:rFonts w:asciiTheme="majorHAnsi" w:eastAsiaTheme="majorEastAsia" w:hAnsiTheme="majorHAnsi" w:cstheme="majorBidi"/>
    </w:rPr>
  </w:style>
  <w:style w:type="paragraph" w:styleId="Heading4">
    <w:name w:val="heading 4"/>
    <w:basedOn w:val="Normal"/>
    <w:next w:val="Normal"/>
    <w:link w:val="Heading4Char"/>
    <w:unhideWhenUsed/>
    <w:qFormat/>
    <w:rsid w:val="00020300"/>
    <w:pPr>
      <w:keepNext/>
      <w:keepLines/>
      <w:numPr>
        <w:ilvl w:val="3"/>
        <w:numId w:val="3"/>
      </w:numPr>
      <w:spacing w:before="320"/>
      <w:ind w:left="862" w:hanging="862"/>
      <w:outlineLvl w:val="3"/>
    </w:pPr>
    <w:rPr>
      <w:rFonts w:asciiTheme="majorHAnsi" w:eastAsiaTheme="majorEastAsia" w:hAnsiTheme="majorHAnsi" w:cstheme="majorBidi"/>
      <w:szCs w:val="22"/>
    </w:rPr>
  </w:style>
  <w:style w:type="paragraph" w:styleId="Heading5">
    <w:name w:val="heading 5"/>
    <w:basedOn w:val="Normal"/>
    <w:next w:val="Normal"/>
    <w:link w:val="Heading5Char"/>
    <w:uiPriority w:val="9"/>
    <w:unhideWhenUsed/>
    <w:qFormat/>
    <w:rsid w:val="007E7997"/>
    <w:pPr>
      <w:keepNext/>
      <w:keepLines/>
      <w:numPr>
        <w:numId w:val="4"/>
      </w:numPr>
      <w:spacing w:before="40"/>
      <w:outlineLvl w:val="4"/>
    </w:pPr>
    <w:rPr>
      <w:rFonts w:asciiTheme="majorHAnsi" w:eastAsiaTheme="majorEastAsia" w:hAnsiTheme="majorHAnsi" w:cstheme="majorBidi"/>
      <w:szCs w:val="22"/>
    </w:rPr>
  </w:style>
  <w:style w:type="paragraph" w:styleId="Heading6">
    <w:name w:val="heading 6"/>
    <w:basedOn w:val="Normal"/>
    <w:next w:val="Normal"/>
    <w:link w:val="Heading6Char"/>
    <w:unhideWhenUsed/>
    <w:qFormat/>
    <w:rsid w:val="00AA054E"/>
    <w:pPr>
      <w:keepNext/>
      <w:keepLines/>
      <w:numPr>
        <w:ilvl w:val="5"/>
        <w:numId w:val="3"/>
      </w:numPr>
      <w:spacing w:before="40"/>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nhideWhenUsed/>
    <w:qFormat/>
    <w:rsid w:val="00AA054E"/>
    <w:pPr>
      <w:keepNext/>
      <w:keepLines/>
      <w:numPr>
        <w:ilvl w:val="6"/>
        <w:numId w:val="3"/>
      </w:numPr>
      <w:spacing w:before="40"/>
      <w:outlineLvl w:val="6"/>
    </w:pPr>
    <w:rPr>
      <w:rFonts w:asciiTheme="majorHAnsi" w:eastAsiaTheme="majorEastAsia" w:hAnsiTheme="majorHAnsi" w:cstheme="majorBidi"/>
      <w:i/>
      <w:iCs/>
      <w:color w:val="1F4E79" w:themeColor="accent1" w:themeShade="80"/>
      <w:sz w:val="21"/>
      <w:szCs w:val="21"/>
    </w:rPr>
  </w:style>
  <w:style w:type="paragraph" w:styleId="Heading8">
    <w:name w:val="heading 8"/>
    <w:basedOn w:val="Normal"/>
    <w:next w:val="Normal"/>
    <w:link w:val="Heading8Char"/>
    <w:unhideWhenUsed/>
    <w:qFormat/>
    <w:rsid w:val="00AA054E"/>
    <w:pPr>
      <w:keepNext/>
      <w:keepLines/>
      <w:numPr>
        <w:ilvl w:val="7"/>
        <w:numId w:val="3"/>
      </w:numPr>
      <w:spacing w:before="40"/>
      <w:outlineLvl w:val="7"/>
    </w:pPr>
    <w:rPr>
      <w:rFonts w:asciiTheme="majorHAnsi" w:eastAsiaTheme="majorEastAsia" w:hAnsiTheme="majorHAnsi" w:cstheme="majorBidi"/>
      <w:b/>
      <w:bCs/>
      <w:color w:val="44546A" w:themeColor="text2"/>
    </w:rPr>
  </w:style>
  <w:style w:type="paragraph" w:styleId="Heading9">
    <w:name w:val="heading 9"/>
    <w:basedOn w:val="Normal"/>
    <w:next w:val="Normal"/>
    <w:link w:val="Heading9Char"/>
    <w:unhideWhenUsed/>
    <w:qFormat/>
    <w:rsid w:val="00AA054E"/>
    <w:pPr>
      <w:keepNext/>
      <w:keepLines/>
      <w:numPr>
        <w:ilvl w:val="8"/>
        <w:numId w:val="3"/>
      </w:numPr>
      <w:spacing w:before="40"/>
      <w:outlineLvl w:val="8"/>
    </w:pPr>
    <w:rPr>
      <w:rFonts w:asciiTheme="majorHAnsi" w:eastAsiaTheme="majorEastAsia" w:hAnsiTheme="majorHAnsi" w:cstheme="majorBidi"/>
      <w:b/>
      <w:bCs/>
      <w:i/>
      <w:iCs/>
      <w:color w:val="44546A"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B6B12"/>
    <w:pPr>
      <w:spacing w:after="0" w:line="240" w:lineRule="auto"/>
    </w:pPr>
    <w:rPr>
      <w:lang w:val="en-GB"/>
    </w:rPr>
  </w:style>
  <w:style w:type="character" w:customStyle="1" w:styleId="Heading4Char">
    <w:name w:val="Heading 4 Char"/>
    <w:basedOn w:val="DefaultParagraphFont"/>
    <w:link w:val="Heading4"/>
    <w:rsid w:val="00020300"/>
    <w:rPr>
      <w:rFonts w:asciiTheme="majorHAnsi" w:eastAsiaTheme="majorEastAsia" w:hAnsiTheme="majorHAnsi" w:cstheme="majorBidi"/>
      <w:sz w:val="24"/>
      <w:szCs w:val="22"/>
      <w:lang w:val="en-GB" w:eastAsia="en-GB"/>
    </w:rPr>
  </w:style>
  <w:style w:type="character" w:customStyle="1" w:styleId="Heading3Char">
    <w:name w:val="Heading 3 Char"/>
    <w:basedOn w:val="DefaultParagraphFont"/>
    <w:link w:val="Heading3"/>
    <w:rsid w:val="00020300"/>
    <w:rPr>
      <w:rFonts w:asciiTheme="majorHAnsi" w:eastAsiaTheme="majorEastAsia" w:hAnsiTheme="majorHAnsi" w:cstheme="majorBidi"/>
      <w:sz w:val="24"/>
      <w:szCs w:val="24"/>
      <w:lang w:val="en-GB" w:eastAsia="en-GB"/>
    </w:rPr>
  </w:style>
  <w:style w:type="character" w:customStyle="1" w:styleId="Heading1Char">
    <w:name w:val="Heading 1 Char"/>
    <w:basedOn w:val="DefaultParagraphFont"/>
    <w:link w:val="Heading1"/>
    <w:rsid w:val="00FE0BD8"/>
    <w:rPr>
      <w:rFonts w:asciiTheme="majorHAnsi" w:eastAsiaTheme="majorEastAsia" w:hAnsiTheme="majorHAnsi" w:cstheme="majorBidi"/>
      <w:b/>
      <w:sz w:val="32"/>
      <w:szCs w:val="32"/>
      <w:lang w:val="en-GB" w:eastAsia="en-GB"/>
    </w:rPr>
  </w:style>
  <w:style w:type="character" w:customStyle="1" w:styleId="Heading2Char">
    <w:name w:val="Heading 2 Char"/>
    <w:basedOn w:val="DefaultParagraphFont"/>
    <w:link w:val="Heading2"/>
    <w:rsid w:val="003C167E"/>
    <w:rPr>
      <w:rFonts w:asciiTheme="majorHAnsi" w:eastAsiaTheme="majorEastAsia" w:hAnsiTheme="majorHAnsi" w:cstheme="majorBidi"/>
      <w:b/>
      <w:sz w:val="28"/>
      <w:szCs w:val="28"/>
      <w:lang w:val="en-GB" w:eastAsia="en-GB"/>
    </w:rPr>
  </w:style>
  <w:style w:type="paragraph" w:customStyle="1" w:styleId="Subtitle1">
    <w:name w:val="Subtitle1"/>
    <w:basedOn w:val="Normal"/>
    <w:link w:val="Subtitle1Char"/>
    <w:autoRedefine/>
    <w:rsid w:val="003C4EB5"/>
    <w:pPr>
      <w:tabs>
        <w:tab w:val="left" w:pos="414"/>
      </w:tabs>
    </w:pPr>
    <w:rPr>
      <w:b/>
    </w:rPr>
  </w:style>
  <w:style w:type="character" w:customStyle="1" w:styleId="Subtitle1Char">
    <w:name w:val="Subtitle1 Char"/>
    <w:basedOn w:val="DefaultParagraphFont"/>
    <w:link w:val="Subtitle1"/>
    <w:rsid w:val="003C4EB5"/>
    <w:rPr>
      <w:rFonts w:cs="Times New Roman"/>
      <w:b/>
      <w:sz w:val="20"/>
      <w:szCs w:val="24"/>
      <w:lang w:val="en-GB" w:eastAsia="de-DE"/>
    </w:rPr>
  </w:style>
  <w:style w:type="paragraph" w:customStyle="1" w:styleId="Title1">
    <w:name w:val="Title 1"/>
    <w:basedOn w:val="ListParagraph"/>
    <w:link w:val="Title1Char"/>
    <w:autoRedefine/>
    <w:rsid w:val="002574D1"/>
    <w:pPr>
      <w:numPr>
        <w:numId w:val="2"/>
      </w:numPr>
    </w:pPr>
    <w:rPr>
      <w:b/>
      <w:sz w:val="28"/>
    </w:rPr>
  </w:style>
  <w:style w:type="character" w:customStyle="1" w:styleId="Title1Char">
    <w:name w:val="Title 1 Char"/>
    <w:basedOn w:val="DefaultParagraphFont"/>
    <w:link w:val="Title1"/>
    <w:rsid w:val="003C4EB5"/>
    <w:rPr>
      <w:rFonts w:eastAsiaTheme="majorEastAsia" w:cstheme="minorHAnsi"/>
      <w:b/>
      <w:sz w:val="28"/>
      <w:szCs w:val="22"/>
      <w:lang w:val="en-GB" w:eastAsia="en-GB"/>
    </w:rPr>
  </w:style>
  <w:style w:type="paragraph" w:styleId="ListParagraph">
    <w:name w:val="List Paragraph"/>
    <w:aliases w:val="Paragraphe EI,Paragraphe de liste1,EC,Paragraphe de liste,Normal Nivel 1,List Paragraph Main,List first level,List Paragraph_Sections"/>
    <w:basedOn w:val="Normal"/>
    <w:link w:val="ListParagraphChar"/>
    <w:autoRedefine/>
    <w:uiPriority w:val="34"/>
    <w:qFormat/>
    <w:rsid w:val="00695AF2"/>
    <w:pPr>
      <w:numPr>
        <w:numId w:val="6"/>
      </w:numPr>
      <w:tabs>
        <w:tab w:val="left" w:pos="0"/>
        <w:tab w:val="left" w:pos="142"/>
        <w:tab w:val="left" w:pos="284"/>
        <w:tab w:val="left" w:pos="567"/>
      </w:tabs>
      <w:autoSpaceDE w:val="0"/>
      <w:autoSpaceDN w:val="0"/>
      <w:adjustRightInd w:val="0"/>
      <w:spacing w:line="264" w:lineRule="auto"/>
      <w:jc w:val="both"/>
    </w:pPr>
    <w:rPr>
      <w:rFonts w:asciiTheme="minorHAnsi" w:eastAsiaTheme="majorEastAsia" w:hAnsiTheme="minorHAnsi" w:cstheme="minorHAnsi"/>
      <w:sz w:val="22"/>
      <w:szCs w:val="22"/>
    </w:rPr>
  </w:style>
  <w:style w:type="paragraph" w:customStyle="1" w:styleId="Title3">
    <w:name w:val="Title 3"/>
    <w:basedOn w:val="ListParagraph"/>
    <w:link w:val="Title3Char"/>
    <w:autoRedefine/>
    <w:rsid w:val="002574D1"/>
    <w:pPr>
      <w:numPr>
        <w:ilvl w:val="3"/>
        <w:numId w:val="2"/>
      </w:numPr>
    </w:pPr>
  </w:style>
  <w:style w:type="character" w:customStyle="1" w:styleId="Title3Char">
    <w:name w:val="Title 3 Char"/>
    <w:basedOn w:val="DefaultParagraphFont"/>
    <w:link w:val="Title3"/>
    <w:rsid w:val="003C4EB5"/>
    <w:rPr>
      <w:rFonts w:eastAsiaTheme="majorEastAsia" w:cstheme="minorHAnsi"/>
      <w:sz w:val="22"/>
      <w:szCs w:val="22"/>
      <w:lang w:val="en-GB" w:eastAsia="en-GB"/>
    </w:rPr>
  </w:style>
  <w:style w:type="paragraph" w:customStyle="1" w:styleId="Title2">
    <w:name w:val="Title 2"/>
    <w:basedOn w:val="Title1"/>
    <w:link w:val="Title2Char"/>
    <w:autoRedefine/>
    <w:rsid w:val="002574D1"/>
    <w:pPr>
      <w:numPr>
        <w:ilvl w:val="1"/>
        <w:numId w:val="1"/>
      </w:numPr>
      <w:ind w:left="0" w:firstLine="0"/>
    </w:pPr>
  </w:style>
  <w:style w:type="character" w:customStyle="1" w:styleId="Title2Char">
    <w:name w:val="Title 2 Char"/>
    <w:basedOn w:val="Title1Char"/>
    <w:link w:val="Title2"/>
    <w:rsid w:val="002574D1"/>
    <w:rPr>
      <w:rFonts w:eastAsiaTheme="majorEastAsia" w:cstheme="minorHAnsi"/>
      <w:b/>
      <w:sz w:val="28"/>
      <w:szCs w:val="22"/>
      <w:lang w:val="en-GB" w:eastAsia="en-GB"/>
    </w:rPr>
  </w:style>
  <w:style w:type="paragraph" w:customStyle="1" w:styleId="Title4">
    <w:name w:val="Title 4"/>
    <w:basedOn w:val="Title3"/>
    <w:link w:val="Title4Char"/>
    <w:autoRedefine/>
    <w:rsid w:val="003C4EB5"/>
    <w:pPr>
      <w:numPr>
        <w:ilvl w:val="0"/>
        <w:numId w:val="0"/>
      </w:numPr>
      <w:spacing w:before="120"/>
      <w:ind w:left="646" w:hanging="646"/>
    </w:pPr>
    <w:rPr>
      <w:rFonts w:eastAsia="Times New Roman"/>
      <w:lang w:val="fr-BE"/>
    </w:rPr>
  </w:style>
  <w:style w:type="character" w:customStyle="1" w:styleId="Title4Char">
    <w:name w:val="Title 4 Char"/>
    <w:basedOn w:val="Title3Char"/>
    <w:link w:val="Title4"/>
    <w:rsid w:val="003C4EB5"/>
    <w:rPr>
      <w:rFonts w:asciiTheme="majorHAnsi" w:eastAsiaTheme="majorEastAsia" w:hAnsiTheme="majorHAnsi" w:cstheme="majorBidi"/>
      <w:sz w:val="22"/>
      <w:szCs w:val="22"/>
      <w:lang w:val="fr-BE" w:eastAsia="en-GB"/>
    </w:rPr>
  </w:style>
  <w:style w:type="paragraph" w:customStyle="1" w:styleId="DocumentTitle">
    <w:name w:val="Document Title"/>
    <w:basedOn w:val="Normal"/>
    <w:link w:val="DocumentTitleChar"/>
    <w:autoRedefine/>
    <w:rsid w:val="003C4EB5"/>
    <w:pPr>
      <w:framePr w:hSpace="8505" w:wrap="around" w:vAnchor="page" w:hAnchor="page" w:x="1248" w:y="4401"/>
      <w:spacing w:line="400" w:lineRule="exact"/>
    </w:pPr>
    <w:rPr>
      <w:rFonts w:asciiTheme="majorHAnsi" w:hAnsiTheme="majorHAnsi"/>
      <w:b/>
      <w:color w:val="2D4190"/>
      <w:sz w:val="48"/>
    </w:rPr>
  </w:style>
  <w:style w:type="character" w:customStyle="1" w:styleId="DocumentTitleChar">
    <w:name w:val="Document Title Char"/>
    <w:basedOn w:val="DefaultParagraphFont"/>
    <w:link w:val="DocumentTitle"/>
    <w:rsid w:val="003C4EB5"/>
    <w:rPr>
      <w:rFonts w:asciiTheme="majorHAnsi" w:hAnsiTheme="majorHAnsi" w:cs="Times New Roman"/>
      <w:b/>
      <w:color w:val="2D4190"/>
      <w:sz w:val="48"/>
      <w:szCs w:val="24"/>
      <w:lang w:val="en-GB" w:eastAsia="de-DE"/>
    </w:rPr>
  </w:style>
  <w:style w:type="paragraph" w:customStyle="1" w:styleId="DocumentSubtitle">
    <w:name w:val="Document Subtitle"/>
    <w:basedOn w:val="Normal"/>
    <w:link w:val="DocumentSubtitleChar"/>
    <w:autoRedefine/>
    <w:rsid w:val="003C4EB5"/>
    <w:pPr>
      <w:framePr w:hSpace="8505" w:wrap="around" w:vAnchor="page" w:hAnchor="page" w:x="1248" w:y="4401"/>
    </w:pPr>
    <w:rPr>
      <w:rFonts w:asciiTheme="majorHAnsi" w:hAnsiTheme="majorHAnsi"/>
      <w:color w:val="000000"/>
      <w:sz w:val="28"/>
    </w:rPr>
  </w:style>
  <w:style w:type="character" w:customStyle="1" w:styleId="DocumentSubtitleChar">
    <w:name w:val="Document Subtitle Char"/>
    <w:basedOn w:val="DefaultParagraphFont"/>
    <w:link w:val="DocumentSubtitle"/>
    <w:rsid w:val="003C4EB5"/>
    <w:rPr>
      <w:rFonts w:asciiTheme="majorHAnsi" w:hAnsiTheme="majorHAnsi" w:cs="Times New Roman"/>
      <w:color w:val="000000"/>
      <w:sz w:val="28"/>
      <w:szCs w:val="24"/>
      <w:lang w:val="en-GB" w:eastAsia="de-DE"/>
    </w:rPr>
  </w:style>
  <w:style w:type="paragraph" w:customStyle="1" w:styleId="Introductiontitle">
    <w:name w:val="Introduction title"/>
    <w:basedOn w:val="Normal"/>
    <w:link w:val="IntroductiontitleChar"/>
    <w:autoRedefine/>
    <w:rsid w:val="003C4EB5"/>
    <w:rPr>
      <w:rFonts w:asciiTheme="majorHAnsi" w:hAnsiTheme="majorHAnsi"/>
      <w:b/>
      <w:sz w:val="28"/>
      <w:lang w:eastAsia="de-DE"/>
    </w:rPr>
  </w:style>
  <w:style w:type="character" w:customStyle="1" w:styleId="IntroductiontitleChar">
    <w:name w:val="Introduction title Char"/>
    <w:basedOn w:val="DefaultParagraphFont"/>
    <w:link w:val="Introductiontitle"/>
    <w:rsid w:val="003C4EB5"/>
    <w:rPr>
      <w:rFonts w:asciiTheme="majorHAnsi" w:hAnsiTheme="majorHAnsi" w:cs="Times New Roman"/>
      <w:b/>
      <w:sz w:val="28"/>
      <w:szCs w:val="24"/>
      <w:lang w:val="en-GB" w:eastAsia="de-DE"/>
    </w:rPr>
  </w:style>
  <w:style w:type="paragraph" w:customStyle="1" w:styleId="Introductionsubtitle">
    <w:name w:val="Introduction subtitle"/>
    <w:basedOn w:val="Normal"/>
    <w:link w:val="IntroductionsubtitleChar"/>
    <w:autoRedefine/>
    <w:rsid w:val="003C4EB5"/>
    <w:pPr>
      <w:tabs>
        <w:tab w:val="left" w:pos="414"/>
      </w:tabs>
    </w:pPr>
    <w:rPr>
      <w:rFonts w:asciiTheme="majorHAnsi" w:hAnsiTheme="majorHAnsi"/>
      <w:b/>
      <w:lang w:eastAsia="de-DE"/>
    </w:rPr>
  </w:style>
  <w:style w:type="character" w:customStyle="1" w:styleId="IntroductionsubtitleChar">
    <w:name w:val="Introduction subtitle Char"/>
    <w:basedOn w:val="DefaultParagraphFont"/>
    <w:link w:val="Introductionsubtitle"/>
    <w:rsid w:val="003C4EB5"/>
    <w:rPr>
      <w:rFonts w:asciiTheme="majorHAnsi" w:hAnsiTheme="majorHAnsi" w:cs="Times New Roman"/>
      <w:b/>
      <w:szCs w:val="24"/>
      <w:lang w:val="en-GB" w:eastAsia="de-DE"/>
    </w:rPr>
  </w:style>
  <w:style w:type="paragraph" w:customStyle="1" w:styleId="Introductionheading">
    <w:name w:val="Introduction heading"/>
    <w:basedOn w:val="Normal"/>
    <w:link w:val="IntroductionheadingChar"/>
    <w:autoRedefine/>
    <w:rsid w:val="00044C5A"/>
    <w:pPr>
      <w:spacing w:line="300" w:lineRule="exact"/>
    </w:pPr>
    <w:rPr>
      <w:b/>
      <w:sz w:val="28"/>
      <w:lang w:eastAsia="de-DE"/>
    </w:rPr>
  </w:style>
  <w:style w:type="character" w:customStyle="1" w:styleId="IntroductionheadingChar">
    <w:name w:val="Introduction heading Char"/>
    <w:basedOn w:val="DefaultParagraphFont"/>
    <w:link w:val="Introductionheading"/>
    <w:rsid w:val="00044C5A"/>
    <w:rPr>
      <w:rFonts w:ascii="Arial" w:eastAsia="Times New Roman" w:hAnsi="Arial" w:cs="Times New Roman"/>
      <w:b/>
      <w:sz w:val="28"/>
      <w:szCs w:val="24"/>
      <w:lang w:val="en-GB" w:eastAsia="de-DE"/>
    </w:rPr>
  </w:style>
  <w:style w:type="character" w:customStyle="1" w:styleId="Heading5Char">
    <w:name w:val="Heading 5 Char"/>
    <w:basedOn w:val="DefaultParagraphFont"/>
    <w:link w:val="Heading5"/>
    <w:uiPriority w:val="9"/>
    <w:rsid w:val="007E7997"/>
    <w:rPr>
      <w:rFonts w:asciiTheme="majorHAnsi" w:eastAsiaTheme="majorEastAsia" w:hAnsiTheme="majorHAnsi" w:cstheme="majorBidi"/>
      <w:sz w:val="24"/>
      <w:szCs w:val="22"/>
      <w:lang w:val="en-GB" w:eastAsia="en-GB"/>
    </w:rPr>
  </w:style>
  <w:style w:type="paragraph" w:styleId="BodyText">
    <w:name w:val="Body Text"/>
    <w:basedOn w:val="Normal"/>
    <w:link w:val="BodyTextChar"/>
    <w:uiPriority w:val="99"/>
    <w:semiHidden/>
    <w:unhideWhenUsed/>
    <w:rsid w:val="00044C5A"/>
  </w:style>
  <w:style w:type="character" w:customStyle="1" w:styleId="BodyTextChar">
    <w:name w:val="Body Text Char"/>
    <w:basedOn w:val="DefaultParagraphFont"/>
    <w:link w:val="BodyText"/>
    <w:uiPriority w:val="99"/>
    <w:semiHidden/>
    <w:rsid w:val="00044C5A"/>
    <w:rPr>
      <w:rFonts w:ascii="Arial" w:eastAsiaTheme="minorEastAsia" w:hAnsi="Arial"/>
    </w:rPr>
  </w:style>
  <w:style w:type="paragraph" w:styleId="BodyTextFirstIndent">
    <w:name w:val="Body Text First Indent"/>
    <w:basedOn w:val="BodyText"/>
    <w:link w:val="BodyTextFirstIndentChar"/>
    <w:uiPriority w:val="99"/>
    <w:semiHidden/>
    <w:unhideWhenUsed/>
    <w:rsid w:val="00044C5A"/>
    <w:pPr>
      <w:ind w:firstLine="360"/>
    </w:pPr>
  </w:style>
  <w:style w:type="character" w:customStyle="1" w:styleId="BodyTextFirstIndentChar">
    <w:name w:val="Body Text First Indent Char"/>
    <w:basedOn w:val="BodyTextChar"/>
    <w:link w:val="BodyTextFirstIndent"/>
    <w:uiPriority w:val="99"/>
    <w:semiHidden/>
    <w:rsid w:val="00044C5A"/>
    <w:rPr>
      <w:rFonts w:ascii="Arial" w:eastAsiaTheme="minorEastAsia" w:hAnsi="Arial"/>
    </w:rPr>
  </w:style>
  <w:style w:type="character" w:customStyle="1" w:styleId="Heading6Char">
    <w:name w:val="Heading 6 Char"/>
    <w:basedOn w:val="DefaultParagraphFont"/>
    <w:link w:val="Heading6"/>
    <w:rsid w:val="00AA054E"/>
    <w:rPr>
      <w:rFonts w:asciiTheme="majorHAnsi" w:eastAsiaTheme="majorEastAsia" w:hAnsiTheme="majorHAnsi" w:cstheme="majorBidi"/>
      <w:i/>
      <w:iCs/>
      <w:color w:val="44546A" w:themeColor="text2"/>
      <w:sz w:val="21"/>
      <w:szCs w:val="21"/>
      <w:lang w:val="en-GB" w:eastAsia="en-GB"/>
    </w:rPr>
  </w:style>
  <w:style w:type="paragraph" w:styleId="Title">
    <w:name w:val="Title"/>
    <w:basedOn w:val="Normal"/>
    <w:next w:val="Normal"/>
    <w:link w:val="TitleChar"/>
    <w:uiPriority w:val="10"/>
    <w:qFormat/>
    <w:rsid w:val="008F4642"/>
    <w:pPr>
      <w:contextualSpacing/>
    </w:pPr>
    <w:rPr>
      <w:rFonts w:asciiTheme="majorHAnsi" w:eastAsiaTheme="majorEastAsia" w:hAnsiTheme="majorHAnsi" w:cstheme="majorBidi"/>
      <w:b/>
      <w:color w:val="2F5496" w:themeColor="accent5" w:themeShade="BF"/>
      <w:spacing w:val="-10"/>
      <w:sz w:val="56"/>
      <w:szCs w:val="56"/>
    </w:rPr>
  </w:style>
  <w:style w:type="character" w:customStyle="1" w:styleId="TitleChar">
    <w:name w:val="Title Char"/>
    <w:basedOn w:val="DefaultParagraphFont"/>
    <w:link w:val="Title"/>
    <w:uiPriority w:val="10"/>
    <w:rsid w:val="008F4642"/>
    <w:rPr>
      <w:rFonts w:asciiTheme="majorHAnsi" w:eastAsiaTheme="majorEastAsia" w:hAnsiTheme="majorHAnsi" w:cstheme="majorBidi"/>
      <w:b/>
      <w:color w:val="2F5496" w:themeColor="accent5" w:themeShade="BF"/>
      <w:spacing w:val="-10"/>
      <w:sz w:val="56"/>
      <w:szCs w:val="56"/>
      <w:lang w:val="en-GB"/>
    </w:rPr>
  </w:style>
  <w:style w:type="paragraph" w:styleId="Subtitle">
    <w:name w:val="Subtitle"/>
    <w:basedOn w:val="Normal"/>
    <w:next w:val="Normal"/>
    <w:link w:val="SubtitleChar"/>
    <w:uiPriority w:val="11"/>
    <w:qFormat/>
    <w:rsid w:val="00366D42"/>
    <w:pPr>
      <w:numPr>
        <w:ilvl w:val="1"/>
      </w:numPr>
    </w:pPr>
    <w:rPr>
      <w:rFonts w:asciiTheme="majorHAnsi" w:eastAsiaTheme="majorEastAsia" w:hAnsiTheme="majorHAnsi" w:cstheme="majorBidi"/>
      <w:b/>
      <w:sz w:val="28"/>
    </w:rPr>
  </w:style>
  <w:style w:type="character" w:customStyle="1" w:styleId="SubtitleChar">
    <w:name w:val="Subtitle Char"/>
    <w:basedOn w:val="DefaultParagraphFont"/>
    <w:link w:val="Subtitle"/>
    <w:uiPriority w:val="11"/>
    <w:rsid w:val="00366D42"/>
    <w:rPr>
      <w:rFonts w:asciiTheme="majorHAnsi" w:eastAsiaTheme="majorEastAsia" w:hAnsiTheme="majorHAnsi" w:cstheme="majorBidi"/>
      <w:b/>
      <w:sz w:val="28"/>
      <w:szCs w:val="24"/>
      <w:lang w:val="en-GB"/>
    </w:rPr>
  </w:style>
  <w:style w:type="character" w:customStyle="1" w:styleId="Heading7Char">
    <w:name w:val="Heading 7 Char"/>
    <w:basedOn w:val="DefaultParagraphFont"/>
    <w:link w:val="Heading7"/>
    <w:rsid w:val="00AA054E"/>
    <w:rPr>
      <w:rFonts w:asciiTheme="majorHAnsi" w:eastAsiaTheme="majorEastAsia" w:hAnsiTheme="majorHAnsi" w:cstheme="majorBidi"/>
      <w:i/>
      <w:iCs/>
      <w:color w:val="1F4E79" w:themeColor="accent1" w:themeShade="80"/>
      <w:sz w:val="21"/>
      <w:szCs w:val="21"/>
      <w:lang w:val="en-GB" w:eastAsia="en-GB"/>
    </w:rPr>
  </w:style>
  <w:style w:type="character" w:customStyle="1" w:styleId="Heading8Char">
    <w:name w:val="Heading 8 Char"/>
    <w:basedOn w:val="DefaultParagraphFont"/>
    <w:link w:val="Heading8"/>
    <w:rsid w:val="00AA054E"/>
    <w:rPr>
      <w:rFonts w:asciiTheme="majorHAnsi" w:eastAsiaTheme="majorEastAsia" w:hAnsiTheme="majorHAnsi" w:cstheme="majorBidi"/>
      <w:b/>
      <w:bCs/>
      <w:color w:val="44546A" w:themeColor="text2"/>
      <w:sz w:val="24"/>
      <w:szCs w:val="24"/>
      <w:lang w:val="en-GB" w:eastAsia="en-GB"/>
    </w:rPr>
  </w:style>
  <w:style w:type="character" w:customStyle="1" w:styleId="Heading9Char">
    <w:name w:val="Heading 9 Char"/>
    <w:basedOn w:val="DefaultParagraphFont"/>
    <w:link w:val="Heading9"/>
    <w:rsid w:val="00AA054E"/>
    <w:rPr>
      <w:rFonts w:asciiTheme="majorHAnsi" w:eastAsiaTheme="majorEastAsia" w:hAnsiTheme="majorHAnsi" w:cstheme="majorBidi"/>
      <w:b/>
      <w:bCs/>
      <w:i/>
      <w:iCs/>
      <w:color w:val="44546A" w:themeColor="text2"/>
      <w:sz w:val="24"/>
      <w:szCs w:val="24"/>
      <w:lang w:val="en-GB" w:eastAsia="en-GB"/>
    </w:rPr>
  </w:style>
  <w:style w:type="paragraph" w:styleId="Caption">
    <w:name w:val="caption"/>
    <w:basedOn w:val="Normal"/>
    <w:next w:val="Normal"/>
    <w:uiPriority w:val="35"/>
    <w:semiHidden/>
    <w:unhideWhenUsed/>
    <w:qFormat/>
    <w:rsid w:val="00AA054E"/>
    <w:rPr>
      <w:b/>
      <w:bCs/>
      <w:smallCaps/>
      <w:color w:val="595959" w:themeColor="text1" w:themeTint="A6"/>
      <w:spacing w:val="6"/>
    </w:rPr>
  </w:style>
  <w:style w:type="character" w:styleId="Strong">
    <w:name w:val="Strong"/>
    <w:basedOn w:val="DefaultParagraphFont"/>
    <w:uiPriority w:val="22"/>
    <w:qFormat/>
    <w:rsid w:val="00AA054E"/>
    <w:rPr>
      <w:b/>
      <w:bCs/>
    </w:rPr>
  </w:style>
  <w:style w:type="character" w:styleId="Emphasis">
    <w:name w:val="Emphasis"/>
    <w:basedOn w:val="DefaultParagraphFont"/>
    <w:uiPriority w:val="20"/>
    <w:qFormat/>
    <w:rsid w:val="00AA054E"/>
    <w:rPr>
      <w:i/>
      <w:iCs/>
    </w:rPr>
  </w:style>
  <w:style w:type="paragraph" w:styleId="Quote">
    <w:name w:val="Quote"/>
    <w:basedOn w:val="Normal"/>
    <w:next w:val="Normal"/>
    <w:link w:val="QuoteChar"/>
    <w:uiPriority w:val="29"/>
    <w:qFormat/>
    <w:rsid w:val="00AA054E"/>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AA054E"/>
    <w:rPr>
      <w:i/>
      <w:iCs/>
      <w:color w:val="404040" w:themeColor="text1" w:themeTint="BF"/>
    </w:rPr>
  </w:style>
  <w:style w:type="paragraph" w:styleId="IntenseQuote">
    <w:name w:val="Intense Quote"/>
    <w:basedOn w:val="Normal"/>
    <w:next w:val="Normal"/>
    <w:link w:val="IntenseQuoteChar"/>
    <w:uiPriority w:val="30"/>
    <w:qFormat/>
    <w:rsid w:val="00AA054E"/>
    <w:pPr>
      <w:pBdr>
        <w:left w:val="single" w:sz="18" w:space="12" w:color="5B9BD5" w:themeColor="accent1"/>
      </w:pBdr>
      <w:spacing w:before="100" w:beforeAutospacing="1" w:line="300" w:lineRule="auto"/>
      <w:ind w:left="1224" w:right="1224"/>
    </w:pPr>
    <w:rPr>
      <w:rFonts w:asciiTheme="majorHAnsi" w:eastAsiaTheme="majorEastAsia" w:hAnsiTheme="majorHAnsi" w:cstheme="majorBidi"/>
      <w:color w:val="5B9BD5" w:themeColor="accent1"/>
      <w:sz w:val="28"/>
      <w:szCs w:val="28"/>
    </w:rPr>
  </w:style>
  <w:style w:type="character" w:customStyle="1" w:styleId="IntenseQuoteChar">
    <w:name w:val="Intense Quote Char"/>
    <w:basedOn w:val="DefaultParagraphFont"/>
    <w:link w:val="IntenseQuote"/>
    <w:uiPriority w:val="30"/>
    <w:rsid w:val="00AA054E"/>
    <w:rPr>
      <w:rFonts w:asciiTheme="majorHAnsi" w:eastAsiaTheme="majorEastAsia" w:hAnsiTheme="majorHAnsi" w:cstheme="majorBidi"/>
      <w:color w:val="5B9BD5" w:themeColor="accent1"/>
      <w:sz w:val="28"/>
      <w:szCs w:val="28"/>
    </w:rPr>
  </w:style>
  <w:style w:type="character" w:styleId="SubtleEmphasis">
    <w:name w:val="Subtle Emphasis"/>
    <w:aliases w:val="Text,Emphase pâle,Diskret betoning"/>
    <w:basedOn w:val="DefaultParagraphFont"/>
    <w:uiPriority w:val="19"/>
    <w:qFormat/>
    <w:rsid w:val="00287C8F"/>
    <w:rPr>
      <w:rFonts w:asciiTheme="majorHAnsi" w:hAnsiTheme="majorHAnsi"/>
      <w:i/>
      <w:iCs/>
      <w:color w:val="auto"/>
      <w:sz w:val="22"/>
    </w:rPr>
  </w:style>
  <w:style w:type="character" w:styleId="IntenseEmphasis">
    <w:name w:val="Intense Emphasis"/>
    <w:basedOn w:val="DefaultParagraphFont"/>
    <w:uiPriority w:val="21"/>
    <w:qFormat/>
    <w:rsid w:val="00AA054E"/>
    <w:rPr>
      <w:b/>
      <w:bCs/>
      <w:i/>
      <w:iCs/>
    </w:rPr>
  </w:style>
  <w:style w:type="character" w:styleId="SubtleReference">
    <w:name w:val="Subtle Reference"/>
    <w:basedOn w:val="DefaultParagraphFont"/>
    <w:uiPriority w:val="31"/>
    <w:qFormat/>
    <w:rsid w:val="00AA054E"/>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AA054E"/>
    <w:rPr>
      <w:b/>
      <w:bCs/>
      <w:smallCaps/>
      <w:spacing w:val="5"/>
      <w:u w:val="single"/>
    </w:rPr>
  </w:style>
  <w:style w:type="character" w:styleId="BookTitle">
    <w:name w:val="Book Title"/>
    <w:basedOn w:val="DefaultParagraphFont"/>
    <w:uiPriority w:val="33"/>
    <w:qFormat/>
    <w:rsid w:val="00AA054E"/>
    <w:rPr>
      <w:b/>
      <w:bCs/>
      <w:smallCaps/>
    </w:rPr>
  </w:style>
  <w:style w:type="paragraph" w:styleId="TOCHeading">
    <w:name w:val="TOC Heading"/>
    <w:basedOn w:val="Heading1"/>
    <w:next w:val="Normal"/>
    <w:uiPriority w:val="39"/>
    <w:unhideWhenUsed/>
    <w:qFormat/>
    <w:rsid w:val="00AA054E"/>
    <w:pPr>
      <w:outlineLvl w:val="9"/>
    </w:pPr>
  </w:style>
  <w:style w:type="character" w:customStyle="1" w:styleId="NoSpacingChar">
    <w:name w:val="No Spacing Char"/>
    <w:basedOn w:val="DefaultParagraphFont"/>
    <w:link w:val="NoSpacing"/>
    <w:uiPriority w:val="1"/>
    <w:rsid w:val="005B6B12"/>
    <w:rPr>
      <w:lang w:val="en-GB"/>
    </w:rPr>
  </w:style>
  <w:style w:type="paragraph" w:styleId="Header">
    <w:name w:val="header"/>
    <w:basedOn w:val="Normal"/>
    <w:link w:val="HeaderChar"/>
    <w:unhideWhenUsed/>
    <w:qFormat/>
    <w:rsid w:val="007E7997"/>
    <w:pPr>
      <w:tabs>
        <w:tab w:val="center" w:pos="4536"/>
        <w:tab w:val="right" w:pos="9072"/>
      </w:tabs>
    </w:pPr>
  </w:style>
  <w:style w:type="character" w:customStyle="1" w:styleId="HeaderChar">
    <w:name w:val="Header Char"/>
    <w:basedOn w:val="DefaultParagraphFont"/>
    <w:link w:val="Header"/>
    <w:rsid w:val="007E7997"/>
    <w:rPr>
      <w:sz w:val="22"/>
    </w:rPr>
  </w:style>
  <w:style w:type="paragraph" w:styleId="Footer">
    <w:name w:val="footer"/>
    <w:basedOn w:val="Normal"/>
    <w:link w:val="FooterChar"/>
    <w:uiPriority w:val="99"/>
    <w:unhideWhenUsed/>
    <w:rsid w:val="007E7997"/>
    <w:pPr>
      <w:tabs>
        <w:tab w:val="center" w:pos="4536"/>
        <w:tab w:val="right" w:pos="9072"/>
      </w:tabs>
    </w:pPr>
  </w:style>
  <w:style w:type="character" w:customStyle="1" w:styleId="FooterChar">
    <w:name w:val="Footer Char"/>
    <w:basedOn w:val="DefaultParagraphFont"/>
    <w:link w:val="Footer"/>
    <w:uiPriority w:val="99"/>
    <w:rsid w:val="007E7997"/>
    <w:rPr>
      <w:sz w:val="22"/>
    </w:rPr>
  </w:style>
  <w:style w:type="paragraph" w:customStyle="1" w:styleId="00aPagenumber">
    <w:name w:val="00a_Page number"/>
    <w:basedOn w:val="Normal"/>
    <w:rsid w:val="007E7997"/>
    <w:pPr>
      <w:spacing w:line="280" w:lineRule="atLeast"/>
      <w:jc w:val="right"/>
    </w:pPr>
    <w:rPr>
      <w:rFonts w:ascii="Georgia" w:hAnsi="Georgia"/>
      <w:color w:val="000000"/>
      <w:lang w:eastAsia="de-DE"/>
    </w:rPr>
  </w:style>
  <w:style w:type="paragraph" w:customStyle="1" w:styleId="02Date">
    <w:name w:val="02_Date"/>
    <w:basedOn w:val="Normal"/>
    <w:rsid w:val="00636E02"/>
    <w:pPr>
      <w:spacing w:line="220" w:lineRule="exact"/>
    </w:pPr>
    <w:rPr>
      <w:rFonts w:ascii="Georgia" w:hAnsi="Georgia"/>
      <w:sz w:val="17"/>
      <w:lang w:eastAsia="de-DE"/>
    </w:rPr>
  </w:style>
  <w:style w:type="paragraph" w:styleId="TOC1">
    <w:name w:val="toc 1"/>
    <w:basedOn w:val="Normal"/>
    <w:next w:val="Normal"/>
    <w:autoRedefine/>
    <w:uiPriority w:val="39"/>
    <w:unhideWhenUsed/>
    <w:rsid w:val="00B81A44"/>
    <w:pPr>
      <w:tabs>
        <w:tab w:val="left" w:pos="440"/>
        <w:tab w:val="right" w:leader="dot" w:pos="9062"/>
      </w:tabs>
      <w:spacing w:after="100"/>
    </w:pPr>
  </w:style>
  <w:style w:type="paragraph" w:styleId="TOC2">
    <w:name w:val="toc 2"/>
    <w:basedOn w:val="Normal"/>
    <w:next w:val="Normal"/>
    <w:autoRedefine/>
    <w:uiPriority w:val="39"/>
    <w:unhideWhenUsed/>
    <w:rsid w:val="00BC422A"/>
    <w:pPr>
      <w:spacing w:after="100"/>
      <w:ind w:left="220"/>
    </w:pPr>
  </w:style>
  <w:style w:type="paragraph" w:styleId="TOC3">
    <w:name w:val="toc 3"/>
    <w:basedOn w:val="Normal"/>
    <w:next w:val="Normal"/>
    <w:autoRedefine/>
    <w:uiPriority w:val="39"/>
    <w:unhideWhenUsed/>
    <w:rsid w:val="00BC422A"/>
    <w:pPr>
      <w:spacing w:after="100"/>
      <w:ind w:left="440"/>
    </w:pPr>
  </w:style>
  <w:style w:type="character" w:styleId="Hyperlink">
    <w:name w:val="Hyperlink"/>
    <w:basedOn w:val="DefaultParagraphFont"/>
    <w:uiPriority w:val="99"/>
    <w:unhideWhenUsed/>
    <w:rsid w:val="00BC422A"/>
    <w:rPr>
      <w:color w:val="0563C1" w:themeColor="hyperlink"/>
      <w:u w:val="single"/>
    </w:rPr>
  </w:style>
  <w:style w:type="paragraph" w:customStyle="1" w:styleId="Questionstyle">
    <w:name w:val="Question style"/>
    <w:basedOn w:val="Normal"/>
    <w:next w:val="Normal"/>
    <w:link w:val="QuestionstyleChar"/>
    <w:autoRedefine/>
    <w:qFormat/>
    <w:rsid w:val="00871163"/>
    <w:pPr>
      <w:numPr>
        <w:numId w:val="7"/>
      </w:numPr>
      <w:spacing w:after="250" w:line="276" w:lineRule="auto"/>
      <w:contextualSpacing/>
      <w:jc w:val="both"/>
    </w:pPr>
    <w:rPr>
      <w:rFonts w:asciiTheme="minorHAnsi" w:hAnsiTheme="minorHAnsi" w:cstheme="minorHAnsi"/>
      <w:b/>
      <w:bCs/>
      <w:sz w:val="22"/>
      <w:szCs w:val="22"/>
    </w:rPr>
  </w:style>
  <w:style w:type="character" w:customStyle="1" w:styleId="QuestionstyleChar">
    <w:name w:val="Question style Char"/>
    <w:basedOn w:val="DefaultParagraphFont"/>
    <w:link w:val="Questionstyle"/>
    <w:rsid w:val="00871163"/>
    <w:rPr>
      <w:rFonts w:eastAsia="Times New Roman" w:cstheme="minorHAnsi"/>
      <w:b/>
      <w:bCs/>
      <w:sz w:val="22"/>
      <w:szCs w:val="22"/>
      <w:lang w:val="en-GB" w:eastAsia="en-GB"/>
    </w:rPr>
  </w:style>
  <w:style w:type="paragraph" w:customStyle="1" w:styleId="Listing2">
    <w:name w:val="Listing2"/>
    <w:basedOn w:val="Normal"/>
    <w:link w:val="Listing2Char"/>
    <w:autoRedefine/>
    <w:rsid w:val="00DF3785"/>
  </w:style>
  <w:style w:type="character" w:customStyle="1" w:styleId="Listing2Char">
    <w:name w:val="Listing2 Char"/>
    <w:basedOn w:val="DefaultParagraphFont"/>
    <w:link w:val="Listing2"/>
    <w:rsid w:val="00DF3785"/>
    <w:rPr>
      <w:lang w:val="en-GB"/>
    </w:rPr>
  </w:style>
  <w:style w:type="table" w:styleId="TableGrid">
    <w:name w:val="Table Grid"/>
    <w:basedOn w:val="TableNormal"/>
    <w:uiPriority w:val="39"/>
    <w:rsid w:val="00B91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B50534"/>
  </w:style>
  <w:style w:type="character" w:customStyle="1" w:styleId="EndnoteTextChar">
    <w:name w:val="Endnote Text Char"/>
    <w:basedOn w:val="DefaultParagraphFont"/>
    <w:link w:val="EndnoteText"/>
    <w:uiPriority w:val="99"/>
    <w:semiHidden/>
    <w:rsid w:val="00B50534"/>
    <w:rPr>
      <w:lang w:val="en-GB"/>
    </w:rPr>
  </w:style>
  <w:style w:type="character" w:styleId="EndnoteReference">
    <w:name w:val="endnote reference"/>
    <w:basedOn w:val="DefaultParagraphFont"/>
    <w:uiPriority w:val="99"/>
    <w:semiHidden/>
    <w:unhideWhenUsed/>
    <w:rsid w:val="00B50534"/>
    <w:rPr>
      <w:vertAlign w:val="superscript"/>
    </w:rPr>
  </w:style>
  <w:style w:type="paragraph" w:styleId="FootnoteText">
    <w:name w:val="footnote text"/>
    <w:basedOn w:val="Normal"/>
    <w:link w:val="FootnoteTextChar"/>
    <w:autoRedefine/>
    <w:uiPriority w:val="99"/>
    <w:semiHidden/>
    <w:unhideWhenUsed/>
    <w:qFormat/>
    <w:rsid w:val="006F53E8"/>
    <w:rPr>
      <w:sz w:val="16"/>
    </w:rPr>
  </w:style>
  <w:style w:type="character" w:customStyle="1" w:styleId="FootnoteTextChar">
    <w:name w:val="Footnote Text Char"/>
    <w:basedOn w:val="DefaultParagraphFont"/>
    <w:link w:val="FootnoteText"/>
    <w:uiPriority w:val="99"/>
    <w:semiHidden/>
    <w:rsid w:val="006F53E8"/>
    <w:rPr>
      <w:sz w:val="16"/>
      <w:lang w:val="en-GB"/>
    </w:rPr>
  </w:style>
  <w:style w:type="character" w:styleId="FootnoteReference">
    <w:name w:val="footnote reference"/>
    <w:aliases w:val="SUPERS,Footnote reference number,Footnote symbol,note TESI,-E Fußnotenzeichen,number,BVI fnr,Footnote Reference Superscript,(Footnote Reference),EN Footnote Reference,Voetnootverwijzing,Times 10 Point,Exposant 3 Poi,16 Point, BVI fnr"/>
    <w:basedOn w:val="DefaultParagraphFont"/>
    <w:uiPriority w:val="99"/>
    <w:unhideWhenUsed/>
    <w:qFormat/>
    <w:rsid w:val="00A91D91"/>
    <w:rPr>
      <w:rFonts w:asciiTheme="majorHAnsi" w:hAnsiTheme="majorHAnsi"/>
      <w:sz w:val="16"/>
      <w:vertAlign w:val="superscript"/>
    </w:rPr>
  </w:style>
  <w:style w:type="paragraph" w:customStyle="1" w:styleId="Footnote">
    <w:name w:val="Footnote"/>
    <w:basedOn w:val="FootnoteText"/>
    <w:link w:val="FootnoteChar"/>
    <w:rsid w:val="00B50534"/>
    <w:rPr>
      <w:lang w:val="nl-BE"/>
    </w:rPr>
  </w:style>
  <w:style w:type="character" w:customStyle="1" w:styleId="FootnoteChar">
    <w:name w:val="Footnote Char"/>
    <w:basedOn w:val="FootnoteTextChar"/>
    <w:link w:val="Footnote"/>
    <w:rsid w:val="00B50534"/>
    <w:rPr>
      <w:sz w:val="16"/>
      <w:lang w:val="en-GB"/>
    </w:rPr>
  </w:style>
  <w:style w:type="table" w:customStyle="1" w:styleId="GridTable4-Accent11">
    <w:name w:val="Grid Table 4 - Accent 11"/>
    <w:basedOn w:val="TableNormal"/>
    <w:uiPriority w:val="49"/>
    <w:rsid w:val="00B15C0B"/>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04aNumbering">
    <w:name w:val="04a_Numbering"/>
    <w:basedOn w:val="Normal"/>
    <w:rsid w:val="00287C8F"/>
    <w:pPr>
      <w:numPr>
        <w:numId w:val="5"/>
      </w:numPr>
      <w:tabs>
        <w:tab w:val="clear" w:pos="284"/>
        <w:tab w:val="num" w:pos="567"/>
      </w:tabs>
      <w:ind w:left="567" w:hanging="454"/>
    </w:pPr>
    <w:rPr>
      <w:rFonts w:ascii="Georgia" w:hAnsi="Georgia"/>
      <w:sz w:val="20"/>
      <w:lang w:eastAsia="de-DE"/>
    </w:rPr>
  </w:style>
  <w:style w:type="paragraph" w:styleId="BalloonText">
    <w:name w:val="Balloon Text"/>
    <w:basedOn w:val="Normal"/>
    <w:link w:val="BalloonTextChar"/>
    <w:uiPriority w:val="99"/>
    <w:semiHidden/>
    <w:unhideWhenUsed/>
    <w:rsid w:val="003C167E"/>
    <w:rPr>
      <w:rFonts w:ascii="Tahoma" w:hAnsi="Tahoma" w:cs="Tahoma"/>
      <w:sz w:val="16"/>
      <w:szCs w:val="16"/>
    </w:rPr>
  </w:style>
  <w:style w:type="character" w:customStyle="1" w:styleId="BalloonTextChar">
    <w:name w:val="Balloon Text Char"/>
    <w:basedOn w:val="DefaultParagraphFont"/>
    <w:link w:val="BalloonText"/>
    <w:uiPriority w:val="99"/>
    <w:semiHidden/>
    <w:rsid w:val="003C167E"/>
    <w:rPr>
      <w:rFonts w:ascii="Tahoma" w:hAnsi="Tahoma" w:cs="Tahoma"/>
      <w:sz w:val="16"/>
      <w:szCs w:val="16"/>
      <w:lang w:val="en-GB"/>
    </w:rPr>
  </w:style>
  <w:style w:type="character" w:styleId="CommentReference">
    <w:name w:val="annotation reference"/>
    <w:basedOn w:val="DefaultParagraphFont"/>
    <w:uiPriority w:val="99"/>
    <w:semiHidden/>
    <w:unhideWhenUsed/>
    <w:rsid w:val="00FA2400"/>
    <w:rPr>
      <w:sz w:val="16"/>
      <w:szCs w:val="16"/>
    </w:rPr>
  </w:style>
  <w:style w:type="paragraph" w:styleId="CommentText">
    <w:name w:val="annotation text"/>
    <w:basedOn w:val="Normal"/>
    <w:link w:val="CommentTextChar"/>
    <w:uiPriority w:val="99"/>
    <w:unhideWhenUsed/>
    <w:rsid w:val="00FA2400"/>
    <w:rPr>
      <w:sz w:val="20"/>
    </w:rPr>
  </w:style>
  <w:style w:type="character" w:customStyle="1" w:styleId="CommentTextChar">
    <w:name w:val="Comment Text Char"/>
    <w:basedOn w:val="DefaultParagraphFont"/>
    <w:link w:val="CommentText"/>
    <w:uiPriority w:val="99"/>
    <w:rsid w:val="00FA2400"/>
    <w:rPr>
      <w:lang w:val="en-GB"/>
    </w:rPr>
  </w:style>
  <w:style w:type="paragraph" w:styleId="CommentSubject">
    <w:name w:val="annotation subject"/>
    <w:basedOn w:val="CommentText"/>
    <w:next w:val="CommentText"/>
    <w:link w:val="CommentSubjectChar"/>
    <w:uiPriority w:val="99"/>
    <w:semiHidden/>
    <w:unhideWhenUsed/>
    <w:rsid w:val="00FA2400"/>
    <w:rPr>
      <w:b/>
      <w:bCs/>
    </w:rPr>
  </w:style>
  <w:style w:type="character" w:customStyle="1" w:styleId="CommentSubjectChar">
    <w:name w:val="Comment Subject Char"/>
    <w:basedOn w:val="CommentTextChar"/>
    <w:link w:val="CommentSubject"/>
    <w:uiPriority w:val="99"/>
    <w:semiHidden/>
    <w:rsid w:val="00FA2400"/>
    <w:rPr>
      <w:b/>
      <w:bCs/>
      <w:lang w:val="en-GB"/>
    </w:rPr>
  </w:style>
  <w:style w:type="paragraph" w:styleId="Revision">
    <w:name w:val="Revision"/>
    <w:hidden/>
    <w:uiPriority w:val="99"/>
    <w:semiHidden/>
    <w:rsid w:val="00FD2677"/>
    <w:pPr>
      <w:spacing w:after="0" w:line="240" w:lineRule="auto"/>
    </w:pPr>
    <w:rPr>
      <w:sz w:val="22"/>
      <w:lang w:val="en-GB"/>
    </w:rPr>
  </w:style>
  <w:style w:type="paragraph" w:customStyle="1" w:styleId="body">
    <w:name w:val="body"/>
    <w:qFormat/>
    <w:rsid w:val="00750210"/>
    <w:pPr>
      <w:spacing w:before="240" w:line="276" w:lineRule="auto"/>
      <w:jc w:val="both"/>
    </w:pPr>
    <w:rPr>
      <w:sz w:val="22"/>
      <w:szCs w:val="24"/>
      <w:lang w:val="en-US"/>
    </w:rPr>
  </w:style>
  <w:style w:type="character" w:styleId="FollowedHyperlink">
    <w:name w:val="FollowedHyperlink"/>
    <w:basedOn w:val="DefaultParagraphFont"/>
    <w:uiPriority w:val="99"/>
    <w:semiHidden/>
    <w:unhideWhenUsed/>
    <w:rsid w:val="007B354B"/>
    <w:rPr>
      <w:color w:val="954F72" w:themeColor="followedHyperlink"/>
      <w:u w:val="single"/>
    </w:rPr>
  </w:style>
  <w:style w:type="paragraph" w:styleId="NormalWeb">
    <w:name w:val="Normal (Web)"/>
    <w:basedOn w:val="Normal"/>
    <w:uiPriority w:val="99"/>
    <w:unhideWhenUsed/>
    <w:rsid w:val="00B424F5"/>
    <w:pPr>
      <w:spacing w:before="100" w:beforeAutospacing="1" w:after="100" w:afterAutospacing="1"/>
    </w:pPr>
  </w:style>
  <w:style w:type="character" w:customStyle="1" w:styleId="outputecliaff">
    <w:name w:val="outputecliaff"/>
    <w:basedOn w:val="DefaultParagraphFont"/>
    <w:rsid w:val="00595F08"/>
  </w:style>
  <w:style w:type="paragraph" w:customStyle="1" w:styleId="05HeadlinenoIndex">
    <w:name w:val="05_Headline no Index"/>
    <w:basedOn w:val="Normal"/>
    <w:rsid w:val="005C7E1F"/>
    <w:pPr>
      <w:spacing w:after="250" w:line="300" w:lineRule="exact"/>
      <w:jc w:val="both"/>
    </w:pPr>
    <w:rPr>
      <w:rFonts w:ascii="Georgia" w:hAnsi="Georgia"/>
      <w:b/>
      <w:lang w:eastAsia="de-DE"/>
    </w:rPr>
  </w:style>
  <w:style w:type="paragraph" w:customStyle="1" w:styleId="04BodyText">
    <w:name w:val="04_Body Text"/>
    <w:basedOn w:val="Normal"/>
    <w:link w:val="04BodyTextChar"/>
    <w:uiPriority w:val="99"/>
    <w:rsid w:val="00BC5128"/>
    <w:pPr>
      <w:spacing w:after="250" w:line="276" w:lineRule="auto"/>
      <w:jc w:val="both"/>
    </w:pPr>
    <w:rPr>
      <w:rFonts w:ascii="Georgia" w:hAnsi="Georgia"/>
      <w:sz w:val="20"/>
      <w:lang w:eastAsia="de-DE"/>
    </w:rPr>
  </w:style>
  <w:style w:type="character" w:customStyle="1" w:styleId="04BodyTextChar">
    <w:name w:val="04_Body Text Char"/>
    <w:link w:val="04BodyText"/>
    <w:uiPriority w:val="99"/>
    <w:rsid w:val="00BC5128"/>
    <w:rPr>
      <w:rFonts w:ascii="Georgia" w:eastAsia="Times New Roman" w:hAnsi="Georgia" w:cs="Times New Roman"/>
      <w:szCs w:val="24"/>
      <w:lang w:val="en-GB" w:eastAsia="de-DE"/>
    </w:rPr>
  </w:style>
  <w:style w:type="table" w:customStyle="1" w:styleId="TableGrid1">
    <w:name w:val="Table Grid1"/>
    <w:basedOn w:val="TableNormal"/>
    <w:next w:val="TableGrid"/>
    <w:uiPriority w:val="59"/>
    <w:rsid w:val="003E1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3E1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Paragraphe EI Char,Paragraphe de liste1 Char,EC Char,Paragraphe de liste Char,Normal Nivel 1 Char,List Paragraph Main Char,List first level Char,List Paragraph_Sections Char"/>
    <w:basedOn w:val="DefaultParagraphFont"/>
    <w:link w:val="ListParagraph"/>
    <w:uiPriority w:val="34"/>
    <w:rsid w:val="00695AF2"/>
    <w:rPr>
      <w:rFonts w:eastAsiaTheme="majorEastAsia" w:cstheme="minorHAnsi"/>
      <w:sz w:val="22"/>
      <w:szCs w:val="22"/>
      <w:lang w:val="en-GB" w:eastAsia="en-GB"/>
    </w:rPr>
  </w:style>
  <w:style w:type="table" w:customStyle="1" w:styleId="TableGrid3">
    <w:name w:val="Table Grid3"/>
    <w:basedOn w:val="TableNormal"/>
    <w:uiPriority w:val="59"/>
    <w:rsid w:val="00F372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8A2C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SMAConfidentialRestricted">
    <w:name w:val="ESMA Confidential/Restricted"/>
    <w:basedOn w:val="Strong"/>
    <w:uiPriority w:val="1"/>
    <w:qFormat/>
    <w:rsid w:val="00FA64BE"/>
    <w:rPr>
      <w:b w:val="0"/>
      <w:bCs/>
      <w:caps/>
      <w:smallCaps w:val="0"/>
      <w:color w:val="70AD47" w:themeColor="accent6"/>
      <w:sz w:val="22"/>
    </w:rPr>
  </w:style>
  <w:style w:type="paragraph" w:customStyle="1" w:styleId="Paragraph">
    <w:name w:val="Paragraph"/>
    <w:basedOn w:val="ListParagraph"/>
    <w:link w:val="ParagraphChar"/>
    <w:qFormat/>
    <w:rsid w:val="00CB0C0C"/>
    <w:pPr>
      <w:numPr>
        <w:numId w:val="10"/>
      </w:numPr>
      <w:tabs>
        <w:tab w:val="clear" w:pos="0"/>
        <w:tab w:val="clear" w:pos="142"/>
        <w:tab w:val="clear" w:pos="284"/>
        <w:tab w:val="clear" w:pos="567"/>
      </w:tabs>
      <w:autoSpaceDE/>
      <w:autoSpaceDN/>
      <w:adjustRightInd/>
      <w:spacing w:before="120" w:after="120" w:line="276" w:lineRule="auto"/>
      <w:textAlignment w:val="baseline"/>
    </w:pPr>
    <w:rPr>
      <w:rFonts w:ascii="Arial" w:eastAsiaTheme="minorEastAsia" w:hAnsi="Arial" w:cs="Arial"/>
      <w:color w:val="1A1A1A" w:themeColor="background1" w:themeShade="1A"/>
    </w:rPr>
  </w:style>
  <w:style w:type="character" w:customStyle="1" w:styleId="ParagraphChar">
    <w:name w:val="Paragraph Char"/>
    <w:basedOn w:val="DefaultParagraphFont"/>
    <w:link w:val="Paragraph"/>
    <w:rsid w:val="00CB0C0C"/>
    <w:rPr>
      <w:rFonts w:ascii="Arial" w:hAnsi="Arial" w:cs="Arial"/>
      <w:color w:val="1A1A1A" w:themeColor="background1" w:themeShade="1A"/>
      <w:sz w:val="22"/>
      <w:szCs w:val="22"/>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312966">
      <w:bodyDiv w:val="1"/>
      <w:marLeft w:val="0"/>
      <w:marRight w:val="0"/>
      <w:marTop w:val="0"/>
      <w:marBottom w:val="0"/>
      <w:divBdr>
        <w:top w:val="none" w:sz="0" w:space="0" w:color="auto"/>
        <w:left w:val="none" w:sz="0" w:space="0" w:color="auto"/>
        <w:bottom w:val="none" w:sz="0" w:space="0" w:color="auto"/>
        <w:right w:val="none" w:sz="0" w:space="0" w:color="auto"/>
      </w:divBdr>
    </w:div>
    <w:div w:id="79907767">
      <w:bodyDiv w:val="1"/>
      <w:marLeft w:val="0"/>
      <w:marRight w:val="0"/>
      <w:marTop w:val="0"/>
      <w:marBottom w:val="0"/>
      <w:divBdr>
        <w:top w:val="none" w:sz="0" w:space="0" w:color="auto"/>
        <w:left w:val="none" w:sz="0" w:space="0" w:color="auto"/>
        <w:bottom w:val="none" w:sz="0" w:space="0" w:color="auto"/>
        <w:right w:val="none" w:sz="0" w:space="0" w:color="auto"/>
      </w:divBdr>
    </w:div>
    <w:div w:id="133908436">
      <w:bodyDiv w:val="1"/>
      <w:marLeft w:val="0"/>
      <w:marRight w:val="0"/>
      <w:marTop w:val="0"/>
      <w:marBottom w:val="0"/>
      <w:divBdr>
        <w:top w:val="none" w:sz="0" w:space="0" w:color="auto"/>
        <w:left w:val="none" w:sz="0" w:space="0" w:color="auto"/>
        <w:bottom w:val="none" w:sz="0" w:space="0" w:color="auto"/>
        <w:right w:val="none" w:sz="0" w:space="0" w:color="auto"/>
      </w:divBdr>
    </w:div>
    <w:div w:id="195436536">
      <w:bodyDiv w:val="1"/>
      <w:marLeft w:val="0"/>
      <w:marRight w:val="0"/>
      <w:marTop w:val="0"/>
      <w:marBottom w:val="0"/>
      <w:divBdr>
        <w:top w:val="none" w:sz="0" w:space="0" w:color="auto"/>
        <w:left w:val="none" w:sz="0" w:space="0" w:color="auto"/>
        <w:bottom w:val="none" w:sz="0" w:space="0" w:color="auto"/>
        <w:right w:val="none" w:sz="0" w:space="0" w:color="auto"/>
      </w:divBdr>
      <w:divsChild>
        <w:div w:id="2053576486">
          <w:marLeft w:val="547"/>
          <w:marRight w:val="0"/>
          <w:marTop w:val="120"/>
          <w:marBottom w:val="120"/>
          <w:divBdr>
            <w:top w:val="none" w:sz="0" w:space="0" w:color="auto"/>
            <w:left w:val="none" w:sz="0" w:space="0" w:color="auto"/>
            <w:bottom w:val="none" w:sz="0" w:space="0" w:color="auto"/>
            <w:right w:val="none" w:sz="0" w:space="0" w:color="auto"/>
          </w:divBdr>
        </w:div>
      </w:divsChild>
    </w:div>
    <w:div w:id="308559352">
      <w:bodyDiv w:val="1"/>
      <w:marLeft w:val="0"/>
      <w:marRight w:val="0"/>
      <w:marTop w:val="0"/>
      <w:marBottom w:val="0"/>
      <w:divBdr>
        <w:top w:val="none" w:sz="0" w:space="0" w:color="auto"/>
        <w:left w:val="none" w:sz="0" w:space="0" w:color="auto"/>
        <w:bottom w:val="none" w:sz="0" w:space="0" w:color="auto"/>
        <w:right w:val="none" w:sz="0" w:space="0" w:color="auto"/>
      </w:divBdr>
    </w:div>
    <w:div w:id="537201994">
      <w:bodyDiv w:val="1"/>
      <w:marLeft w:val="0"/>
      <w:marRight w:val="0"/>
      <w:marTop w:val="0"/>
      <w:marBottom w:val="0"/>
      <w:divBdr>
        <w:top w:val="none" w:sz="0" w:space="0" w:color="auto"/>
        <w:left w:val="none" w:sz="0" w:space="0" w:color="auto"/>
        <w:bottom w:val="none" w:sz="0" w:space="0" w:color="auto"/>
        <w:right w:val="none" w:sz="0" w:space="0" w:color="auto"/>
      </w:divBdr>
    </w:div>
    <w:div w:id="558631356">
      <w:bodyDiv w:val="1"/>
      <w:marLeft w:val="0"/>
      <w:marRight w:val="0"/>
      <w:marTop w:val="0"/>
      <w:marBottom w:val="0"/>
      <w:divBdr>
        <w:top w:val="none" w:sz="0" w:space="0" w:color="auto"/>
        <w:left w:val="none" w:sz="0" w:space="0" w:color="auto"/>
        <w:bottom w:val="none" w:sz="0" w:space="0" w:color="auto"/>
        <w:right w:val="none" w:sz="0" w:space="0" w:color="auto"/>
      </w:divBdr>
    </w:div>
    <w:div w:id="607393598">
      <w:bodyDiv w:val="1"/>
      <w:marLeft w:val="0"/>
      <w:marRight w:val="0"/>
      <w:marTop w:val="0"/>
      <w:marBottom w:val="0"/>
      <w:divBdr>
        <w:top w:val="none" w:sz="0" w:space="0" w:color="auto"/>
        <w:left w:val="none" w:sz="0" w:space="0" w:color="auto"/>
        <w:bottom w:val="none" w:sz="0" w:space="0" w:color="auto"/>
        <w:right w:val="none" w:sz="0" w:space="0" w:color="auto"/>
      </w:divBdr>
      <w:divsChild>
        <w:div w:id="719549589">
          <w:marLeft w:val="0"/>
          <w:marRight w:val="0"/>
          <w:marTop w:val="0"/>
          <w:marBottom w:val="0"/>
          <w:divBdr>
            <w:top w:val="none" w:sz="0" w:space="0" w:color="auto"/>
            <w:left w:val="none" w:sz="0" w:space="0" w:color="auto"/>
            <w:bottom w:val="none" w:sz="0" w:space="0" w:color="auto"/>
            <w:right w:val="none" w:sz="0" w:space="0" w:color="auto"/>
          </w:divBdr>
          <w:divsChild>
            <w:div w:id="715467520">
              <w:marLeft w:val="0"/>
              <w:marRight w:val="0"/>
              <w:marTop w:val="0"/>
              <w:marBottom w:val="0"/>
              <w:divBdr>
                <w:top w:val="none" w:sz="0" w:space="0" w:color="auto"/>
                <w:left w:val="none" w:sz="0" w:space="0" w:color="auto"/>
                <w:bottom w:val="none" w:sz="0" w:space="0" w:color="auto"/>
                <w:right w:val="none" w:sz="0" w:space="0" w:color="auto"/>
              </w:divBdr>
              <w:divsChild>
                <w:div w:id="1683974626">
                  <w:marLeft w:val="0"/>
                  <w:marRight w:val="0"/>
                  <w:marTop w:val="0"/>
                  <w:marBottom w:val="0"/>
                  <w:divBdr>
                    <w:top w:val="none" w:sz="0" w:space="0" w:color="auto"/>
                    <w:left w:val="none" w:sz="0" w:space="0" w:color="auto"/>
                    <w:bottom w:val="none" w:sz="0" w:space="0" w:color="auto"/>
                    <w:right w:val="none" w:sz="0" w:space="0" w:color="auto"/>
                  </w:divBdr>
                  <w:divsChild>
                    <w:div w:id="1551724287">
                      <w:marLeft w:val="1"/>
                      <w:marRight w:val="1"/>
                      <w:marTop w:val="0"/>
                      <w:marBottom w:val="0"/>
                      <w:divBdr>
                        <w:top w:val="none" w:sz="0" w:space="0" w:color="auto"/>
                        <w:left w:val="none" w:sz="0" w:space="0" w:color="auto"/>
                        <w:bottom w:val="none" w:sz="0" w:space="0" w:color="auto"/>
                        <w:right w:val="none" w:sz="0" w:space="0" w:color="auto"/>
                      </w:divBdr>
                      <w:divsChild>
                        <w:div w:id="1105809413">
                          <w:marLeft w:val="0"/>
                          <w:marRight w:val="0"/>
                          <w:marTop w:val="0"/>
                          <w:marBottom w:val="0"/>
                          <w:divBdr>
                            <w:top w:val="none" w:sz="0" w:space="0" w:color="auto"/>
                            <w:left w:val="none" w:sz="0" w:space="0" w:color="auto"/>
                            <w:bottom w:val="none" w:sz="0" w:space="0" w:color="auto"/>
                            <w:right w:val="none" w:sz="0" w:space="0" w:color="auto"/>
                          </w:divBdr>
                          <w:divsChild>
                            <w:div w:id="527523748">
                              <w:marLeft w:val="0"/>
                              <w:marRight w:val="0"/>
                              <w:marTop w:val="0"/>
                              <w:marBottom w:val="360"/>
                              <w:divBdr>
                                <w:top w:val="none" w:sz="0" w:space="0" w:color="auto"/>
                                <w:left w:val="none" w:sz="0" w:space="0" w:color="auto"/>
                                <w:bottom w:val="none" w:sz="0" w:space="0" w:color="auto"/>
                                <w:right w:val="none" w:sz="0" w:space="0" w:color="auto"/>
                              </w:divBdr>
                              <w:divsChild>
                                <w:div w:id="1643266757">
                                  <w:marLeft w:val="0"/>
                                  <w:marRight w:val="0"/>
                                  <w:marTop w:val="0"/>
                                  <w:marBottom w:val="0"/>
                                  <w:divBdr>
                                    <w:top w:val="none" w:sz="0" w:space="0" w:color="auto"/>
                                    <w:left w:val="none" w:sz="0" w:space="0" w:color="auto"/>
                                    <w:bottom w:val="none" w:sz="0" w:space="0" w:color="auto"/>
                                    <w:right w:val="none" w:sz="0" w:space="0" w:color="auto"/>
                                  </w:divBdr>
                                  <w:divsChild>
                                    <w:div w:id="79509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25310116">
      <w:bodyDiv w:val="1"/>
      <w:marLeft w:val="0"/>
      <w:marRight w:val="0"/>
      <w:marTop w:val="0"/>
      <w:marBottom w:val="0"/>
      <w:divBdr>
        <w:top w:val="none" w:sz="0" w:space="0" w:color="auto"/>
        <w:left w:val="none" w:sz="0" w:space="0" w:color="auto"/>
        <w:bottom w:val="none" w:sz="0" w:space="0" w:color="auto"/>
        <w:right w:val="none" w:sz="0" w:space="0" w:color="auto"/>
      </w:divBdr>
      <w:divsChild>
        <w:div w:id="2113477775">
          <w:marLeft w:val="0"/>
          <w:marRight w:val="0"/>
          <w:marTop w:val="0"/>
          <w:marBottom w:val="0"/>
          <w:divBdr>
            <w:top w:val="none" w:sz="0" w:space="0" w:color="auto"/>
            <w:left w:val="none" w:sz="0" w:space="0" w:color="auto"/>
            <w:bottom w:val="none" w:sz="0" w:space="0" w:color="auto"/>
            <w:right w:val="none" w:sz="0" w:space="0" w:color="auto"/>
          </w:divBdr>
          <w:divsChild>
            <w:div w:id="1261253972">
              <w:marLeft w:val="0"/>
              <w:marRight w:val="0"/>
              <w:marTop w:val="0"/>
              <w:marBottom w:val="0"/>
              <w:divBdr>
                <w:top w:val="none" w:sz="0" w:space="0" w:color="auto"/>
                <w:left w:val="none" w:sz="0" w:space="0" w:color="auto"/>
                <w:bottom w:val="none" w:sz="0" w:space="0" w:color="auto"/>
                <w:right w:val="none" w:sz="0" w:space="0" w:color="auto"/>
              </w:divBdr>
              <w:divsChild>
                <w:div w:id="517893123">
                  <w:marLeft w:val="0"/>
                  <w:marRight w:val="0"/>
                  <w:marTop w:val="0"/>
                  <w:marBottom w:val="0"/>
                  <w:divBdr>
                    <w:top w:val="none" w:sz="0" w:space="0" w:color="auto"/>
                    <w:left w:val="none" w:sz="0" w:space="0" w:color="auto"/>
                    <w:bottom w:val="none" w:sz="0" w:space="0" w:color="auto"/>
                    <w:right w:val="none" w:sz="0" w:space="0" w:color="auto"/>
                  </w:divBdr>
                  <w:divsChild>
                    <w:div w:id="1599218891">
                      <w:marLeft w:val="1"/>
                      <w:marRight w:val="1"/>
                      <w:marTop w:val="0"/>
                      <w:marBottom w:val="0"/>
                      <w:divBdr>
                        <w:top w:val="none" w:sz="0" w:space="0" w:color="auto"/>
                        <w:left w:val="none" w:sz="0" w:space="0" w:color="auto"/>
                        <w:bottom w:val="none" w:sz="0" w:space="0" w:color="auto"/>
                        <w:right w:val="none" w:sz="0" w:space="0" w:color="auto"/>
                      </w:divBdr>
                      <w:divsChild>
                        <w:div w:id="1515613444">
                          <w:marLeft w:val="0"/>
                          <w:marRight w:val="0"/>
                          <w:marTop w:val="0"/>
                          <w:marBottom w:val="0"/>
                          <w:divBdr>
                            <w:top w:val="none" w:sz="0" w:space="0" w:color="auto"/>
                            <w:left w:val="none" w:sz="0" w:space="0" w:color="auto"/>
                            <w:bottom w:val="none" w:sz="0" w:space="0" w:color="auto"/>
                            <w:right w:val="none" w:sz="0" w:space="0" w:color="auto"/>
                          </w:divBdr>
                          <w:divsChild>
                            <w:div w:id="639384916">
                              <w:marLeft w:val="0"/>
                              <w:marRight w:val="0"/>
                              <w:marTop w:val="0"/>
                              <w:marBottom w:val="360"/>
                              <w:divBdr>
                                <w:top w:val="none" w:sz="0" w:space="0" w:color="auto"/>
                                <w:left w:val="none" w:sz="0" w:space="0" w:color="auto"/>
                                <w:bottom w:val="none" w:sz="0" w:space="0" w:color="auto"/>
                                <w:right w:val="none" w:sz="0" w:space="0" w:color="auto"/>
                              </w:divBdr>
                              <w:divsChild>
                                <w:div w:id="1081947748">
                                  <w:marLeft w:val="0"/>
                                  <w:marRight w:val="0"/>
                                  <w:marTop w:val="0"/>
                                  <w:marBottom w:val="0"/>
                                  <w:divBdr>
                                    <w:top w:val="none" w:sz="0" w:space="0" w:color="auto"/>
                                    <w:left w:val="none" w:sz="0" w:space="0" w:color="auto"/>
                                    <w:bottom w:val="none" w:sz="0" w:space="0" w:color="auto"/>
                                    <w:right w:val="none" w:sz="0" w:space="0" w:color="auto"/>
                                  </w:divBdr>
                                  <w:divsChild>
                                    <w:div w:id="400567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31907172">
      <w:bodyDiv w:val="1"/>
      <w:marLeft w:val="0"/>
      <w:marRight w:val="0"/>
      <w:marTop w:val="0"/>
      <w:marBottom w:val="0"/>
      <w:divBdr>
        <w:top w:val="none" w:sz="0" w:space="0" w:color="auto"/>
        <w:left w:val="none" w:sz="0" w:space="0" w:color="auto"/>
        <w:bottom w:val="none" w:sz="0" w:space="0" w:color="auto"/>
        <w:right w:val="none" w:sz="0" w:space="0" w:color="auto"/>
      </w:divBdr>
    </w:div>
    <w:div w:id="654142365">
      <w:bodyDiv w:val="1"/>
      <w:marLeft w:val="0"/>
      <w:marRight w:val="0"/>
      <w:marTop w:val="0"/>
      <w:marBottom w:val="0"/>
      <w:divBdr>
        <w:top w:val="none" w:sz="0" w:space="0" w:color="auto"/>
        <w:left w:val="none" w:sz="0" w:space="0" w:color="auto"/>
        <w:bottom w:val="none" w:sz="0" w:space="0" w:color="auto"/>
        <w:right w:val="none" w:sz="0" w:space="0" w:color="auto"/>
      </w:divBdr>
      <w:divsChild>
        <w:div w:id="829757675">
          <w:marLeft w:val="547"/>
          <w:marRight w:val="0"/>
          <w:marTop w:val="120"/>
          <w:marBottom w:val="120"/>
          <w:divBdr>
            <w:top w:val="none" w:sz="0" w:space="0" w:color="auto"/>
            <w:left w:val="none" w:sz="0" w:space="0" w:color="auto"/>
            <w:bottom w:val="none" w:sz="0" w:space="0" w:color="auto"/>
            <w:right w:val="none" w:sz="0" w:space="0" w:color="auto"/>
          </w:divBdr>
        </w:div>
        <w:div w:id="1430617638">
          <w:marLeft w:val="547"/>
          <w:marRight w:val="0"/>
          <w:marTop w:val="120"/>
          <w:marBottom w:val="120"/>
          <w:divBdr>
            <w:top w:val="none" w:sz="0" w:space="0" w:color="auto"/>
            <w:left w:val="none" w:sz="0" w:space="0" w:color="auto"/>
            <w:bottom w:val="none" w:sz="0" w:space="0" w:color="auto"/>
            <w:right w:val="none" w:sz="0" w:space="0" w:color="auto"/>
          </w:divBdr>
        </w:div>
      </w:divsChild>
    </w:div>
    <w:div w:id="667555890">
      <w:bodyDiv w:val="1"/>
      <w:marLeft w:val="0"/>
      <w:marRight w:val="0"/>
      <w:marTop w:val="0"/>
      <w:marBottom w:val="0"/>
      <w:divBdr>
        <w:top w:val="none" w:sz="0" w:space="0" w:color="auto"/>
        <w:left w:val="none" w:sz="0" w:space="0" w:color="auto"/>
        <w:bottom w:val="none" w:sz="0" w:space="0" w:color="auto"/>
        <w:right w:val="none" w:sz="0" w:space="0" w:color="auto"/>
      </w:divBdr>
      <w:divsChild>
        <w:div w:id="437221792">
          <w:marLeft w:val="547"/>
          <w:marRight w:val="0"/>
          <w:marTop w:val="120"/>
          <w:marBottom w:val="120"/>
          <w:divBdr>
            <w:top w:val="none" w:sz="0" w:space="0" w:color="auto"/>
            <w:left w:val="none" w:sz="0" w:space="0" w:color="auto"/>
            <w:bottom w:val="none" w:sz="0" w:space="0" w:color="auto"/>
            <w:right w:val="none" w:sz="0" w:space="0" w:color="auto"/>
          </w:divBdr>
        </w:div>
        <w:div w:id="627320154">
          <w:marLeft w:val="547"/>
          <w:marRight w:val="0"/>
          <w:marTop w:val="120"/>
          <w:marBottom w:val="120"/>
          <w:divBdr>
            <w:top w:val="none" w:sz="0" w:space="0" w:color="auto"/>
            <w:left w:val="none" w:sz="0" w:space="0" w:color="auto"/>
            <w:bottom w:val="none" w:sz="0" w:space="0" w:color="auto"/>
            <w:right w:val="none" w:sz="0" w:space="0" w:color="auto"/>
          </w:divBdr>
        </w:div>
      </w:divsChild>
    </w:div>
    <w:div w:id="743265188">
      <w:bodyDiv w:val="1"/>
      <w:marLeft w:val="0"/>
      <w:marRight w:val="0"/>
      <w:marTop w:val="0"/>
      <w:marBottom w:val="0"/>
      <w:divBdr>
        <w:top w:val="none" w:sz="0" w:space="0" w:color="auto"/>
        <w:left w:val="none" w:sz="0" w:space="0" w:color="auto"/>
        <w:bottom w:val="none" w:sz="0" w:space="0" w:color="auto"/>
        <w:right w:val="none" w:sz="0" w:space="0" w:color="auto"/>
      </w:divBdr>
    </w:div>
    <w:div w:id="805780515">
      <w:bodyDiv w:val="1"/>
      <w:marLeft w:val="0"/>
      <w:marRight w:val="0"/>
      <w:marTop w:val="0"/>
      <w:marBottom w:val="0"/>
      <w:divBdr>
        <w:top w:val="none" w:sz="0" w:space="0" w:color="auto"/>
        <w:left w:val="none" w:sz="0" w:space="0" w:color="auto"/>
        <w:bottom w:val="none" w:sz="0" w:space="0" w:color="auto"/>
        <w:right w:val="none" w:sz="0" w:space="0" w:color="auto"/>
      </w:divBdr>
      <w:divsChild>
        <w:div w:id="1093010987">
          <w:marLeft w:val="547"/>
          <w:marRight w:val="0"/>
          <w:marTop w:val="120"/>
          <w:marBottom w:val="120"/>
          <w:divBdr>
            <w:top w:val="none" w:sz="0" w:space="0" w:color="auto"/>
            <w:left w:val="none" w:sz="0" w:space="0" w:color="auto"/>
            <w:bottom w:val="none" w:sz="0" w:space="0" w:color="auto"/>
            <w:right w:val="none" w:sz="0" w:space="0" w:color="auto"/>
          </w:divBdr>
        </w:div>
        <w:div w:id="1467972504">
          <w:marLeft w:val="547"/>
          <w:marRight w:val="0"/>
          <w:marTop w:val="120"/>
          <w:marBottom w:val="120"/>
          <w:divBdr>
            <w:top w:val="none" w:sz="0" w:space="0" w:color="auto"/>
            <w:left w:val="none" w:sz="0" w:space="0" w:color="auto"/>
            <w:bottom w:val="none" w:sz="0" w:space="0" w:color="auto"/>
            <w:right w:val="none" w:sz="0" w:space="0" w:color="auto"/>
          </w:divBdr>
        </w:div>
      </w:divsChild>
    </w:div>
    <w:div w:id="821391096">
      <w:bodyDiv w:val="1"/>
      <w:marLeft w:val="0"/>
      <w:marRight w:val="0"/>
      <w:marTop w:val="0"/>
      <w:marBottom w:val="0"/>
      <w:divBdr>
        <w:top w:val="none" w:sz="0" w:space="0" w:color="auto"/>
        <w:left w:val="none" w:sz="0" w:space="0" w:color="auto"/>
        <w:bottom w:val="none" w:sz="0" w:space="0" w:color="auto"/>
        <w:right w:val="none" w:sz="0" w:space="0" w:color="auto"/>
      </w:divBdr>
    </w:div>
    <w:div w:id="822432951">
      <w:bodyDiv w:val="1"/>
      <w:marLeft w:val="0"/>
      <w:marRight w:val="0"/>
      <w:marTop w:val="0"/>
      <w:marBottom w:val="0"/>
      <w:divBdr>
        <w:top w:val="none" w:sz="0" w:space="0" w:color="auto"/>
        <w:left w:val="none" w:sz="0" w:space="0" w:color="auto"/>
        <w:bottom w:val="none" w:sz="0" w:space="0" w:color="auto"/>
        <w:right w:val="none" w:sz="0" w:space="0" w:color="auto"/>
      </w:divBdr>
    </w:div>
    <w:div w:id="828716617">
      <w:bodyDiv w:val="1"/>
      <w:marLeft w:val="0"/>
      <w:marRight w:val="0"/>
      <w:marTop w:val="0"/>
      <w:marBottom w:val="0"/>
      <w:divBdr>
        <w:top w:val="none" w:sz="0" w:space="0" w:color="auto"/>
        <w:left w:val="none" w:sz="0" w:space="0" w:color="auto"/>
        <w:bottom w:val="none" w:sz="0" w:space="0" w:color="auto"/>
        <w:right w:val="none" w:sz="0" w:space="0" w:color="auto"/>
      </w:divBdr>
    </w:div>
    <w:div w:id="843713226">
      <w:bodyDiv w:val="1"/>
      <w:marLeft w:val="0"/>
      <w:marRight w:val="0"/>
      <w:marTop w:val="0"/>
      <w:marBottom w:val="0"/>
      <w:divBdr>
        <w:top w:val="none" w:sz="0" w:space="0" w:color="auto"/>
        <w:left w:val="none" w:sz="0" w:space="0" w:color="auto"/>
        <w:bottom w:val="none" w:sz="0" w:space="0" w:color="auto"/>
        <w:right w:val="none" w:sz="0" w:space="0" w:color="auto"/>
      </w:divBdr>
    </w:div>
    <w:div w:id="843976993">
      <w:bodyDiv w:val="1"/>
      <w:marLeft w:val="0"/>
      <w:marRight w:val="0"/>
      <w:marTop w:val="0"/>
      <w:marBottom w:val="0"/>
      <w:divBdr>
        <w:top w:val="none" w:sz="0" w:space="0" w:color="auto"/>
        <w:left w:val="none" w:sz="0" w:space="0" w:color="auto"/>
        <w:bottom w:val="none" w:sz="0" w:space="0" w:color="auto"/>
        <w:right w:val="none" w:sz="0" w:space="0" w:color="auto"/>
      </w:divBdr>
    </w:div>
    <w:div w:id="851534017">
      <w:bodyDiv w:val="1"/>
      <w:marLeft w:val="0"/>
      <w:marRight w:val="0"/>
      <w:marTop w:val="0"/>
      <w:marBottom w:val="0"/>
      <w:divBdr>
        <w:top w:val="none" w:sz="0" w:space="0" w:color="auto"/>
        <w:left w:val="none" w:sz="0" w:space="0" w:color="auto"/>
        <w:bottom w:val="none" w:sz="0" w:space="0" w:color="auto"/>
        <w:right w:val="none" w:sz="0" w:space="0" w:color="auto"/>
      </w:divBdr>
    </w:div>
    <w:div w:id="871646249">
      <w:bodyDiv w:val="1"/>
      <w:marLeft w:val="0"/>
      <w:marRight w:val="0"/>
      <w:marTop w:val="0"/>
      <w:marBottom w:val="0"/>
      <w:divBdr>
        <w:top w:val="none" w:sz="0" w:space="0" w:color="auto"/>
        <w:left w:val="none" w:sz="0" w:space="0" w:color="auto"/>
        <w:bottom w:val="none" w:sz="0" w:space="0" w:color="auto"/>
        <w:right w:val="none" w:sz="0" w:space="0" w:color="auto"/>
      </w:divBdr>
      <w:divsChild>
        <w:div w:id="531115712">
          <w:marLeft w:val="547"/>
          <w:marRight w:val="0"/>
          <w:marTop w:val="120"/>
          <w:marBottom w:val="120"/>
          <w:divBdr>
            <w:top w:val="none" w:sz="0" w:space="0" w:color="auto"/>
            <w:left w:val="none" w:sz="0" w:space="0" w:color="auto"/>
            <w:bottom w:val="none" w:sz="0" w:space="0" w:color="auto"/>
            <w:right w:val="none" w:sz="0" w:space="0" w:color="auto"/>
          </w:divBdr>
        </w:div>
        <w:div w:id="1251349587">
          <w:marLeft w:val="547"/>
          <w:marRight w:val="0"/>
          <w:marTop w:val="120"/>
          <w:marBottom w:val="120"/>
          <w:divBdr>
            <w:top w:val="none" w:sz="0" w:space="0" w:color="auto"/>
            <w:left w:val="none" w:sz="0" w:space="0" w:color="auto"/>
            <w:bottom w:val="none" w:sz="0" w:space="0" w:color="auto"/>
            <w:right w:val="none" w:sz="0" w:space="0" w:color="auto"/>
          </w:divBdr>
        </w:div>
      </w:divsChild>
    </w:div>
    <w:div w:id="872621579">
      <w:bodyDiv w:val="1"/>
      <w:marLeft w:val="0"/>
      <w:marRight w:val="0"/>
      <w:marTop w:val="0"/>
      <w:marBottom w:val="0"/>
      <w:divBdr>
        <w:top w:val="none" w:sz="0" w:space="0" w:color="auto"/>
        <w:left w:val="none" w:sz="0" w:space="0" w:color="auto"/>
        <w:bottom w:val="none" w:sz="0" w:space="0" w:color="auto"/>
        <w:right w:val="none" w:sz="0" w:space="0" w:color="auto"/>
      </w:divBdr>
    </w:div>
    <w:div w:id="962080478">
      <w:bodyDiv w:val="1"/>
      <w:marLeft w:val="0"/>
      <w:marRight w:val="0"/>
      <w:marTop w:val="0"/>
      <w:marBottom w:val="0"/>
      <w:divBdr>
        <w:top w:val="none" w:sz="0" w:space="0" w:color="auto"/>
        <w:left w:val="none" w:sz="0" w:space="0" w:color="auto"/>
        <w:bottom w:val="none" w:sz="0" w:space="0" w:color="auto"/>
        <w:right w:val="none" w:sz="0" w:space="0" w:color="auto"/>
      </w:divBdr>
    </w:div>
    <w:div w:id="974680293">
      <w:bodyDiv w:val="1"/>
      <w:marLeft w:val="0"/>
      <w:marRight w:val="0"/>
      <w:marTop w:val="0"/>
      <w:marBottom w:val="0"/>
      <w:divBdr>
        <w:top w:val="none" w:sz="0" w:space="0" w:color="auto"/>
        <w:left w:val="none" w:sz="0" w:space="0" w:color="auto"/>
        <w:bottom w:val="none" w:sz="0" w:space="0" w:color="auto"/>
        <w:right w:val="none" w:sz="0" w:space="0" w:color="auto"/>
      </w:divBdr>
    </w:div>
    <w:div w:id="1084842750">
      <w:bodyDiv w:val="1"/>
      <w:marLeft w:val="0"/>
      <w:marRight w:val="0"/>
      <w:marTop w:val="0"/>
      <w:marBottom w:val="0"/>
      <w:divBdr>
        <w:top w:val="none" w:sz="0" w:space="0" w:color="auto"/>
        <w:left w:val="none" w:sz="0" w:space="0" w:color="auto"/>
        <w:bottom w:val="none" w:sz="0" w:space="0" w:color="auto"/>
        <w:right w:val="none" w:sz="0" w:space="0" w:color="auto"/>
      </w:divBdr>
      <w:divsChild>
        <w:div w:id="1170751860">
          <w:marLeft w:val="547"/>
          <w:marRight w:val="0"/>
          <w:marTop w:val="120"/>
          <w:marBottom w:val="120"/>
          <w:divBdr>
            <w:top w:val="none" w:sz="0" w:space="0" w:color="auto"/>
            <w:left w:val="none" w:sz="0" w:space="0" w:color="auto"/>
            <w:bottom w:val="none" w:sz="0" w:space="0" w:color="auto"/>
            <w:right w:val="none" w:sz="0" w:space="0" w:color="auto"/>
          </w:divBdr>
        </w:div>
        <w:div w:id="1558198995">
          <w:marLeft w:val="547"/>
          <w:marRight w:val="0"/>
          <w:marTop w:val="120"/>
          <w:marBottom w:val="120"/>
          <w:divBdr>
            <w:top w:val="none" w:sz="0" w:space="0" w:color="auto"/>
            <w:left w:val="none" w:sz="0" w:space="0" w:color="auto"/>
            <w:bottom w:val="none" w:sz="0" w:space="0" w:color="auto"/>
            <w:right w:val="none" w:sz="0" w:space="0" w:color="auto"/>
          </w:divBdr>
        </w:div>
      </w:divsChild>
    </w:div>
    <w:div w:id="1106535437">
      <w:bodyDiv w:val="1"/>
      <w:marLeft w:val="0"/>
      <w:marRight w:val="0"/>
      <w:marTop w:val="0"/>
      <w:marBottom w:val="0"/>
      <w:divBdr>
        <w:top w:val="none" w:sz="0" w:space="0" w:color="auto"/>
        <w:left w:val="none" w:sz="0" w:space="0" w:color="auto"/>
        <w:bottom w:val="none" w:sz="0" w:space="0" w:color="auto"/>
        <w:right w:val="none" w:sz="0" w:space="0" w:color="auto"/>
      </w:divBdr>
    </w:div>
    <w:div w:id="1195968113">
      <w:bodyDiv w:val="1"/>
      <w:marLeft w:val="0"/>
      <w:marRight w:val="0"/>
      <w:marTop w:val="0"/>
      <w:marBottom w:val="0"/>
      <w:divBdr>
        <w:top w:val="none" w:sz="0" w:space="0" w:color="auto"/>
        <w:left w:val="none" w:sz="0" w:space="0" w:color="auto"/>
        <w:bottom w:val="none" w:sz="0" w:space="0" w:color="auto"/>
        <w:right w:val="none" w:sz="0" w:space="0" w:color="auto"/>
      </w:divBdr>
    </w:div>
    <w:div w:id="1335379244">
      <w:bodyDiv w:val="1"/>
      <w:marLeft w:val="0"/>
      <w:marRight w:val="0"/>
      <w:marTop w:val="0"/>
      <w:marBottom w:val="0"/>
      <w:divBdr>
        <w:top w:val="none" w:sz="0" w:space="0" w:color="auto"/>
        <w:left w:val="none" w:sz="0" w:space="0" w:color="auto"/>
        <w:bottom w:val="none" w:sz="0" w:space="0" w:color="auto"/>
        <w:right w:val="none" w:sz="0" w:space="0" w:color="auto"/>
      </w:divBdr>
    </w:div>
    <w:div w:id="1349058892">
      <w:bodyDiv w:val="1"/>
      <w:marLeft w:val="0"/>
      <w:marRight w:val="0"/>
      <w:marTop w:val="0"/>
      <w:marBottom w:val="0"/>
      <w:divBdr>
        <w:top w:val="none" w:sz="0" w:space="0" w:color="auto"/>
        <w:left w:val="none" w:sz="0" w:space="0" w:color="auto"/>
        <w:bottom w:val="none" w:sz="0" w:space="0" w:color="auto"/>
        <w:right w:val="none" w:sz="0" w:space="0" w:color="auto"/>
      </w:divBdr>
      <w:divsChild>
        <w:div w:id="1184972619">
          <w:marLeft w:val="1267"/>
          <w:marRight w:val="0"/>
          <w:marTop w:val="120"/>
          <w:marBottom w:val="120"/>
          <w:divBdr>
            <w:top w:val="none" w:sz="0" w:space="0" w:color="auto"/>
            <w:left w:val="none" w:sz="0" w:space="0" w:color="auto"/>
            <w:bottom w:val="none" w:sz="0" w:space="0" w:color="auto"/>
            <w:right w:val="none" w:sz="0" w:space="0" w:color="auto"/>
          </w:divBdr>
        </w:div>
        <w:div w:id="1378621289">
          <w:marLeft w:val="547"/>
          <w:marRight w:val="0"/>
          <w:marTop w:val="120"/>
          <w:marBottom w:val="120"/>
          <w:divBdr>
            <w:top w:val="none" w:sz="0" w:space="0" w:color="auto"/>
            <w:left w:val="none" w:sz="0" w:space="0" w:color="auto"/>
            <w:bottom w:val="none" w:sz="0" w:space="0" w:color="auto"/>
            <w:right w:val="none" w:sz="0" w:space="0" w:color="auto"/>
          </w:divBdr>
        </w:div>
        <w:div w:id="1500736113">
          <w:marLeft w:val="1267"/>
          <w:marRight w:val="0"/>
          <w:marTop w:val="120"/>
          <w:marBottom w:val="120"/>
          <w:divBdr>
            <w:top w:val="none" w:sz="0" w:space="0" w:color="auto"/>
            <w:left w:val="none" w:sz="0" w:space="0" w:color="auto"/>
            <w:bottom w:val="none" w:sz="0" w:space="0" w:color="auto"/>
            <w:right w:val="none" w:sz="0" w:space="0" w:color="auto"/>
          </w:divBdr>
        </w:div>
        <w:div w:id="1554805026">
          <w:marLeft w:val="547"/>
          <w:marRight w:val="0"/>
          <w:marTop w:val="120"/>
          <w:marBottom w:val="120"/>
          <w:divBdr>
            <w:top w:val="none" w:sz="0" w:space="0" w:color="auto"/>
            <w:left w:val="none" w:sz="0" w:space="0" w:color="auto"/>
            <w:bottom w:val="none" w:sz="0" w:space="0" w:color="auto"/>
            <w:right w:val="none" w:sz="0" w:space="0" w:color="auto"/>
          </w:divBdr>
        </w:div>
        <w:div w:id="1932665473">
          <w:marLeft w:val="547"/>
          <w:marRight w:val="0"/>
          <w:marTop w:val="120"/>
          <w:marBottom w:val="120"/>
          <w:divBdr>
            <w:top w:val="none" w:sz="0" w:space="0" w:color="auto"/>
            <w:left w:val="none" w:sz="0" w:space="0" w:color="auto"/>
            <w:bottom w:val="none" w:sz="0" w:space="0" w:color="auto"/>
            <w:right w:val="none" w:sz="0" w:space="0" w:color="auto"/>
          </w:divBdr>
        </w:div>
      </w:divsChild>
    </w:div>
    <w:div w:id="1358581502">
      <w:bodyDiv w:val="1"/>
      <w:marLeft w:val="0"/>
      <w:marRight w:val="0"/>
      <w:marTop w:val="0"/>
      <w:marBottom w:val="0"/>
      <w:divBdr>
        <w:top w:val="none" w:sz="0" w:space="0" w:color="auto"/>
        <w:left w:val="none" w:sz="0" w:space="0" w:color="auto"/>
        <w:bottom w:val="none" w:sz="0" w:space="0" w:color="auto"/>
        <w:right w:val="none" w:sz="0" w:space="0" w:color="auto"/>
      </w:divBdr>
      <w:divsChild>
        <w:div w:id="1146043688">
          <w:marLeft w:val="0"/>
          <w:marRight w:val="0"/>
          <w:marTop w:val="0"/>
          <w:marBottom w:val="0"/>
          <w:divBdr>
            <w:top w:val="none" w:sz="0" w:space="0" w:color="auto"/>
            <w:left w:val="none" w:sz="0" w:space="0" w:color="auto"/>
            <w:bottom w:val="none" w:sz="0" w:space="0" w:color="auto"/>
            <w:right w:val="none" w:sz="0" w:space="0" w:color="auto"/>
          </w:divBdr>
          <w:divsChild>
            <w:div w:id="1355889373">
              <w:marLeft w:val="0"/>
              <w:marRight w:val="0"/>
              <w:marTop w:val="0"/>
              <w:marBottom w:val="0"/>
              <w:divBdr>
                <w:top w:val="none" w:sz="0" w:space="0" w:color="auto"/>
                <w:left w:val="none" w:sz="0" w:space="0" w:color="auto"/>
                <w:bottom w:val="none" w:sz="0" w:space="0" w:color="auto"/>
                <w:right w:val="none" w:sz="0" w:space="0" w:color="auto"/>
              </w:divBdr>
              <w:divsChild>
                <w:div w:id="2025665832">
                  <w:marLeft w:val="0"/>
                  <w:marRight w:val="0"/>
                  <w:marTop w:val="0"/>
                  <w:marBottom w:val="0"/>
                  <w:divBdr>
                    <w:top w:val="none" w:sz="0" w:space="0" w:color="auto"/>
                    <w:left w:val="none" w:sz="0" w:space="0" w:color="auto"/>
                    <w:bottom w:val="none" w:sz="0" w:space="0" w:color="auto"/>
                    <w:right w:val="none" w:sz="0" w:space="0" w:color="auto"/>
                  </w:divBdr>
                  <w:divsChild>
                    <w:div w:id="470754153">
                      <w:marLeft w:val="1"/>
                      <w:marRight w:val="1"/>
                      <w:marTop w:val="0"/>
                      <w:marBottom w:val="0"/>
                      <w:divBdr>
                        <w:top w:val="none" w:sz="0" w:space="0" w:color="auto"/>
                        <w:left w:val="none" w:sz="0" w:space="0" w:color="auto"/>
                        <w:bottom w:val="none" w:sz="0" w:space="0" w:color="auto"/>
                        <w:right w:val="none" w:sz="0" w:space="0" w:color="auto"/>
                      </w:divBdr>
                      <w:divsChild>
                        <w:div w:id="1547788802">
                          <w:marLeft w:val="0"/>
                          <w:marRight w:val="0"/>
                          <w:marTop w:val="0"/>
                          <w:marBottom w:val="0"/>
                          <w:divBdr>
                            <w:top w:val="none" w:sz="0" w:space="0" w:color="auto"/>
                            <w:left w:val="none" w:sz="0" w:space="0" w:color="auto"/>
                            <w:bottom w:val="none" w:sz="0" w:space="0" w:color="auto"/>
                            <w:right w:val="none" w:sz="0" w:space="0" w:color="auto"/>
                          </w:divBdr>
                          <w:divsChild>
                            <w:div w:id="1744714415">
                              <w:marLeft w:val="0"/>
                              <w:marRight w:val="0"/>
                              <w:marTop w:val="0"/>
                              <w:marBottom w:val="360"/>
                              <w:divBdr>
                                <w:top w:val="none" w:sz="0" w:space="0" w:color="auto"/>
                                <w:left w:val="none" w:sz="0" w:space="0" w:color="auto"/>
                                <w:bottom w:val="none" w:sz="0" w:space="0" w:color="auto"/>
                                <w:right w:val="none" w:sz="0" w:space="0" w:color="auto"/>
                              </w:divBdr>
                              <w:divsChild>
                                <w:div w:id="88623802">
                                  <w:marLeft w:val="0"/>
                                  <w:marRight w:val="0"/>
                                  <w:marTop w:val="0"/>
                                  <w:marBottom w:val="0"/>
                                  <w:divBdr>
                                    <w:top w:val="none" w:sz="0" w:space="0" w:color="auto"/>
                                    <w:left w:val="none" w:sz="0" w:space="0" w:color="auto"/>
                                    <w:bottom w:val="none" w:sz="0" w:space="0" w:color="auto"/>
                                    <w:right w:val="none" w:sz="0" w:space="0" w:color="auto"/>
                                  </w:divBdr>
                                  <w:divsChild>
                                    <w:div w:id="706103141">
                                      <w:marLeft w:val="0"/>
                                      <w:marRight w:val="0"/>
                                      <w:marTop w:val="0"/>
                                      <w:marBottom w:val="0"/>
                                      <w:divBdr>
                                        <w:top w:val="none" w:sz="0" w:space="0" w:color="auto"/>
                                        <w:left w:val="none" w:sz="0" w:space="0" w:color="auto"/>
                                        <w:bottom w:val="none" w:sz="0" w:space="0" w:color="auto"/>
                                        <w:right w:val="none" w:sz="0" w:space="0" w:color="auto"/>
                                      </w:divBdr>
                                      <w:divsChild>
                                        <w:div w:id="601651463">
                                          <w:marLeft w:val="0"/>
                                          <w:marRight w:val="0"/>
                                          <w:marTop w:val="0"/>
                                          <w:marBottom w:val="0"/>
                                          <w:divBdr>
                                            <w:top w:val="none" w:sz="0" w:space="0" w:color="auto"/>
                                            <w:left w:val="none" w:sz="0" w:space="0" w:color="auto"/>
                                            <w:bottom w:val="none" w:sz="0" w:space="0" w:color="auto"/>
                                            <w:right w:val="none" w:sz="0" w:space="0" w:color="auto"/>
                                          </w:divBdr>
                                          <w:divsChild>
                                            <w:div w:id="2028939348">
                                              <w:marLeft w:val="0"/>
                                              <w:marRight w:val="0"/>
                                              <w:marTop w:val="0"/>
                                              <w:marBottom w:val="0"/>
                                              <w:divBdr>
                                                <w:top w:val="none" w:sz="0" w:space="0" w:color="auto"/>
                                                <w:left w:val="none" w:sz="0" w:space="0" w:color="auto"/>
                                                <w:bottom w:val="none" w:sz="0" w:space="0" w:color="auto"/>
                                                <w:right w:val="none" w:sz="0" w:space="0" w:color="auto"/>
                                              </w:divBdr>
                                              <w:divsChild>
                                                <w:div w:id="1912084995">
                                                  <w:marLeft w:val="0"/>
                                                  <w:marRight w:val="0"/>
                                                  <w:marTop w:val="0"/>
                                                  <w:marBottom w:val="0"/>
                                                  <w:divBdr>
                                                    <w:top w:val="none" w:sz="0" w:space="0" w:color="auto"/>
                                                    <w:left w:val="none" w:sz="0" w:space="0" w:color="auto"/>
                                                    <w:bottom w:val="none" w:sz="0" w:space="0" w:color="auto"/>
                                                    <w:right w:val="none" w:sz="0" w:space="0" w:color="auto"/>
                                                  </w:divBdr>
                                                  <w:divsChild>
                                                    <w:div w:id="871500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88912395">
      <w:bodyDiv w:val="1"/>
      <w:marLeft w:val="0"/>
      <w:marRight w:val="0"/>
      <w:marTop w:val="0"/>
      <w:marBottom w:val="0"/>
      <w:divBdr>
        <w:top w:val="none" w:sz="0" w:space="0" w:color="auto"/>
        <w:left w:val="none" w:sz="0" w:space="0" w:color="auto"/>
        <w:bottom w:val="none" w:sz="0" w:space="0" w:color="auto"/>
        <w:right w:val="none" w:sz="0" w:space="0" w:color="auto"/>
      </w:divBdr>
    </w:div>
    <w:div w:id="1425295946">
      <w:bodyDiv w:val="1"/>
      <w:marLeft w:val="0"/>
      <w:marRight w:val="0"/>
      <w:marTop w:val="0"/>
      <w:marBottom w:val="0"/>
      <w:divBdr>
        <w:top w:val="none" w:sz="0" w:space="0" w:color="auto"/>
        <w:left w:val="none" w:sz="0" w:space="0" w:color="auto"/>
        <w:bottom w:val="none" w:sz="0" w:space="0" w:color="auto"/>
        <w:right w:val="none" w:sz="0" w:space="0" w:color="auto"/>
      </w:divBdr>
    </w:div>
    <w:div w:id="1496989097">
      <w:bodyDiv w:val="1"/>
      <w:marLeft w:val="0"/>
      <w:marRight w:val="0"/>
      <w:marTop w:val="0"/>
      <w:marBottom w:val="0"/>
      <w:divBdr>
        <w:top w:val="none" w:sz="0" w:space="0" w:color="auto"/>
        <w:left w:val="none" w:sz="0" w:space="0" w:color="auto"/>
        <w:bottom w:val="none" w:sz="0" w:space="0" w:color="auto"/>
        <w:right w:val="none" w:sz="0" w:space="0" w:color="auto"/>
      </w:divBdr>
    </w:div>
    <w:div w:id="1498619144">
      <w:bodyDiv w:val="1"/>
      <w:marLeft w:val="0"/>
      <w:marRight w:val="0"/>
      <w:marTop w:val="0"/>
      <w:marBottom w:val="0"/>
      <w:divBdr>
        <w:top w:val="none" w:sz="0" w:space="0" w:color="auto"/>
        <w:left w:val="none" w:sz="0" w:space="0" w:color="auto"/>
        <w:bottom w:val="none" w:sz="0" w:space="0" w:color="auto"/>
        <w:right w:val="none" w:sz="0" w:space="0" w:color="auto"/>
      </w:divBdr>
      <w:divsChild>
        <w:div w:id="1334718046">
          <w:marLeft w:val="547"/>
          <w:marRight w:val="0"/>
          <w:marTop w:val="120"/>
          <w:marBottom w:val="120"/>
          <w:divBdr>
            <w:top w:val="none" w:sz="0" w:space="0" w:color="auto"/>
            <w:left w:val="none" w:sz="0" w:space="0" w:color="auto"/>
            <w:bottom w:val="none" w:sz="0" w:space="0" w:color="auto"/>
            <w:right w:val="none" w:sz="0" w:space="0" w:color="auto"/>
          </w:divBdr>
        </w:div>
        <w:div w:id="1910724800">
          <w:marLeft w:val="547"/>
          <w:marRight w:val="0"/>
          <w:marTop w:val="120"/>
          <w:marBottom w:val="120"/>
          <w:divBdr>
            <w:top w:val="none" w:sz="0" w:space="0" w:color="auto"/>
            <w:left w:val="none" w:sz="0" w:space="0" w:color="auto"/>
            <w:bottom w:val="none" w:sz="0" w:space="0" w:color="auto"/>
            <w:right w:val="none" w:sz="0" w:space="0" w:color="auto"/>
          </w:divBdr>
        </w:div>
      </w:divsChild>
    </w:div>
    <w:div w:id="1503087984">
      <w:bodyDiv w:val="1"/>
      <w:marLeft w:val="0"/>
      <w:marRight w:val="0"/>
      <w:marTop w:val="0"/>
      <w:marBottom w:val="0"/>
      <w:divBdr>
        <w:top w:val="none" w:sz="0" w:space="0" w:color="auto"/>
        <w:left w:val="none" w:sz="0" w:space="0" w:color="auto"/>
        <w:bottom w:val="none" w:sz="0" w:space="0" w:color="auto"/>
        <w:right w:val="none" w:sz="0" w:space="0" w:color="auto"/>
      </w:divBdr>
    </w:div>
    <w:div w:id="1525359563">
      <w:bodyDiv w:val="1"/>
      <w:marLeft w:val="0"/>
      <w:marRight w:val="0"/>
      <w:marTop w:val="0"/>
      <w:marBottom w:val="0"/>
      <w:divBdr>
        <w:top w:val="none" w:sz="0" w:space="0" w:color="auto"/>
        <w:left w:val="none" w:sz="0" w:space="0" w:color="auto"/>
        <w:bottom w:val="none" w:sz="0" w:space="0" w:color="auto"/>
        <w:right w:val="none" w:sz="0" w:space="0" w:color="auto"/>
      </w:divBdr>
    </w:div>
    <w:div w:id="1535144967">
      <w:bodyDiv w:val="1"/>
      <w:marLeft w:val="0"/>
      <w:marRight w:val="0"/>
      <w:marTop w:val="0"/>
      <w:marBottom w:val="0"/>
      <w:divBdr>
        <w:top w:val="none" w:sz="0" w:space="0" w:color="auto"/>
        <w:left w:val="none" w:sz="0" w:space="0" w:color="auto"/>
        <w:bottom w:val="none" w:sz="0" w:space="0" w:color="auto"/>
        <w:right w:val="none" w:sz="0" w:space="0" w:color="auto"/>
      </w:divBdr>
    </w:div>
    <w:div w:id="1597983348">
      <w:bodyDiv w:val="1"/>
      <w:marLeft w:val="0"/>
      <w:marRight w:val="0"/>
      <w:marTop w:val="0"/>
      <w:marBottom w:val="0"/>
      <w:divBdr>
        <w:top w:val="none" w:sz="0" w:space="0" w:color="auto"/>
        <w:left w:val="none" w:sz="0" w:space="0" w:color="auto"/>
        <w:bottom w:val="none" w:sz="0" w:space="0" w:color="auto"/>
        <w:right w:val="none" w:sz="0" w:space="0" w:color="auto"/>
      </w:divBdr>
    </w:div>
    <w:div w:id="1604996733">
      <w:bodyDiv w:val="1"/>
      <w:marLeft w:val="0"/>
      <w:marRight w:val="0"/>
      <w:marTop w:val="0"/>
      <w:marBottom w:val="0"/>
      <w:divBdr>
        <w:top w:val="none" w:sz="0" w:space="0" w:color="auto"/>
        <w:left w:val="none" w:sz="0" w:space="0" w:color="auto"/>
        <w:bottom w:val="none" w:sz="0" w:space="0" w:color="auto"/>
        <w:right w:val="none" w:sz="0" w:space="0" w:color="auto"/>
      </w:divBdr>
    </w:div>
    <w:div w:id="1623803368">
      <w:bodyDiv w:val="1"/>
      <w:marLeft w:val="0"/>
      <w:marRight w:val="0"/>
      <w:marTop w:val="0"/>
      <w:marBottom w:val="0"/>
      <w:divBdr>
        <w:top w:val="none" w:sz="0" w:space="0" w:color="auto"/>
        <w:left w:val="none" w:sz="0" w:space="0" w:color="auto"/>
        <w:bottom w:val="none" w:sz="0" w:space="0" w:color="auto"/>
        <w:right w:val="none" w:sz="0" w:space="0" w:color="auto"/>
      </w:divBdr>
    </w:div>
    <w:div w:id="1634559279">
      <w:bodyDiv w:val="1"/>
      <w:marLeft w:val="0"/>
      <w:marRight w:val="0"/>
      <w:marTop w:val="0"/>
      <w:marBottom w:val="0"/>
      <w:divBdr>
        <w:top w:val="none" w:sz="0" w:space="0" w:color="auto"/>
        <w:left w:val="none" w:sz="0" w:space="0" w:color="auto"/>
        <w:bottom w:val="none" w:sz="0" w:space="0" w:color="auto"/>
        <w:right w:val="none" w:sz="0" w:space="0" w:color="auto"/>
      </w:divBdr>
    </w:div>
    <w:div w:id="1780953536">
      <w:bodyDiv w:val="1"/>
      <w:marLeft w:val="0"/>
      <w:marRight w:val="0"/>
      <w:marTop w:val="0"/>
      <w:marBottom w:val="0"/>
      <w:divBdr>
        <w:top w:val="none" w:sz="0" w:space="0" w:color="auto"/>
        <w:left w:val="none" w:sz="0" w:space="0" w:color="auto"/>
        <w:bottom w:val="none" w:sz="0" w:space="0" w:color="auto"/>
        <w:right w:val="none" w:sz="0" w:space="0" w:color="auto"/>
      </w:divBdr>
    </w:div>
    <w:div w:id="1818372730">
      <w:bodyDiv w:val="1"/>
      <w:marLeft w:val="0"/>
      <w:marRight w:val="0"/>
      <w:marTop w:val="0"/>
      <w:marBottom w:val="0"/>
      <w:divBdr>
        <w:top w:val="none" w:sz="0" w:space="0" w:color="auto"/>
        <w:left w:val="none" w:sz="0" w:space="0" w:color="auto"/>
        <w:bottom w:val="none" w:sz="0" w:space="0" w:color="auto"/>
        <w:right w:val="none" w:sz="0" w:space="0" w:color="auto"/>
      </w:divBdr>
    </w:div>
    <w:div w:id="2072077721">
      <w:bodyDiv w:val="1"/>
      <w:marLeft w:val="0"/>
      <w:marRight w:val="0"/>
      <w:marTop w:val="0"/>
      <w:marBottom w:val="0"/>
      <w:divBdr>
        <w:top w:val="none" w:sz="0" w:space="0" w:color="auto"/>
        <w:left w:val="none" w:sz="0" w:space="0" w:color="auto"/>
        <w:bottom w:val="none" w:sz="0" w:space="0" w:color="auto"/>
        <w:right w:val="none" w:sz="0" w:space="0" w:color="auto"/>
      </w:divBdr>
    </w:div>
    <w:div w:id="2085683279">
      <w:bodyDiv w:val="1"/>
      <w:marLeft w:val="0"/>
      <w:marRight w:val="0"/>
      <w:marTop w:val="0"/>
      <w:marBottom w:val="0"/>
      <w:divBdr>
        <w:top w:val="none" w:sz="0" w:space="0" w:color="auto"/>
        <w:left w:val="none" w:sz="0" w:space="0" w:color="auto"/>
        <w:bottom w:val="none" w:sz="0" w:space="0" w:color="auto"/>
        <w:right w:val="none" w:sz="0" w:space="0" w:color="auto"/>
      </w:divBdr>
      <w:divsChild>
        <w:div w:id="384447457">
          <w:marLeft w:val="1267"/>
          <w:marRight w:val="0"/>
          <w:marTop w:val="120"/>
          <w:marBottom w:val="120"/>
          <w:divBdr>
            <w:top w:val="none" w:sz="0" w:space="0" w:color="auto"/>
            <w:left w:val="none" w:sz="0" w:space="0" w:color="auto"/>
            <w:bottom w:val="none" w:sz="0" w:space="0" w:color="auto"/>
            <w:right w:val="none" w:sz="0" w:space="0" w:color="auto"/>
          </w:divBdr>
        </w:div>
        <w:div w:id="1085809987">
          <w:marLeft w:val="547"/>
          <w:marRight w:val="0"/>
          <w:marTop w:val="120"/>
          <w:marBottom w:val="120"/>
          <w:divBdr>
            <w:top w:val="none" w:sz="0" w:space="0" w:color="auto"/>
            <w:left w:val="none" w:sz="0" w:space="0" w:color="auto"/>
            <w:bottom w:val="none" w:sz="0" w:space="0" w:color="auto"/>
            <w:right w:val="none" w:sz="0" w:space="0" w:color="auto"/>
          </w:divBdr>
        </w:div>
        <w:div w:id="1156873382">
          <w:marLeft w:val="1267"/>
          <w:marRight w:val="0"/>
          <w:marTop w:val="120"/>
          <w:marBottom w:val="120"/>
          <w:divBdr>
            <w:top w:val="none" w:sz="0" w:space="0" w:color="auto"/>
            <w:left w:val="none" w:sz="0" w:space="0" w:color="auto"/>
            <w:bottom w:val="none" w:sz="0" w:space="0" w:color="auto"/>
            <w:right w:val="none" w:sz="0" w:space="0" w:color="auto"/>
          </w:divBdr>
        </w:div>
        <w:div w:id="1197542969">
          <w:marLeft w:val="547"/>
          <w:marRight w:val="0"/>
          <w:marTop w:val="120"/>
          <w:marBottom w:val="120"/>
          <w:divBdr>
            <w:top w:val="none" w:sz="0" w:space="0" w:color="auto"/>
            <w:left w:val="none" w:sz="0" w:space="0" w:color="auto"/>
            <w:bottom w:val="none" w:sz="0" w:space="0" w:color="auto"/>
            <w:right w:val="none" w:sz="0" w:space="0" w:color="auto"/>
          </w:divBdr>
        </w:div>
        <w:div w:id="1322007622">
          <w:marLeft w:val="547"/>
          <w:marRight w:val="0"/>
          <w:marTop w:val="120"/>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www.esma.europa.eu"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C://Users/FarrahMahmood/Downloads/mrer%20proof%20of%20concept-EV0822184ENN%20(1).pdf" TargetMode="Externa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image" Target="media/image3.jpeg"/><Relationship Id="rId25" Type="http://schemas.openxmlformats.org/officeDocument/2006/relationships/hyperlink" Target="https://www.islaemea.org/wp-content/uploads/2025/09/ISLA-SFTR-Known-Issues-list.xlsx" TargetMode="External"/><Relationship Id="rId2" Type="http://schemas.openxmlformats.org/officeDocument/2006/relationships/customXml" Target="../customXml/item2.xml"/><Relationship Id="rId20" Type="http://schemas.openxmlformats.org/officeDocument/2006/relationships/hyperlink" Target="https://www.islaemea.org/common-domain-model/"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s://www.islaemea.org/isla-best-practice-handbook/isla-sftr-best-practices/emir-vs-mifir-comparison/" TargetMode="External"/><Relationship Id="rId5" Type="http://schemas.openxmlformats.org/officeDocument/2006/relationships/numbering" Target="numbering.xml"/><Relationship Id="rId15" Type="http://schemas.openxmlformats.org/officeDocument/2006/relationships/image" Target="media/image2.jpg"/><Relationship Id="rId23" Type="http://schemas.openxmlformats.org/officeDocument/2006/relationships/hyperlink" Target="https://www.islaemea.org/isla-best-practice-handbook/isla-sftr-best-practices/sftr-vs-mifir-comparison/"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www.esma.europa.eu/legal-notic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www.islaemea.org/isla-best-practice-handbook/isla-sftr-best-practices/sftr-vs-emir-comparison/" TargetMode="External"/><Relationship Id="rId27"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hyperlink" Target="https://sherpa.esma.europa.eu/sites/MKT/SMK/_layouts/15/DocIdRedir.aspx?ID=ESMA70-156-1484"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lisovskij\Desktop\Template%20to%20Upload\Guidelines%20and%20Recommendations%20Templates\GuidelinesAndRecommendations_Template_Regula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D5448B2187A3C4E82B143AC0F07903F" ma:contentTypeVersion="19" ma:contentTypeDescription="Create a new document." ma:contentTypeScope="" ma:versionID="57304e5bac755cf316ce0b97bdcf4ab5">
  <xsd:schema xmlns:xsd="http://www.w3.org/2001/XMLSchema" xmlns:xs="http://www.w3.org/2001/XMLSchema" xmlns:p="http://schemas.microsoft.com/office/2006/metadata/properties" xmlns:ns2="d64c42e7-81ce-41a0-b6c1-57d6e2805238" xmlns:ns3="3ecf9566-b028-45c4-a091-e1d15b972bf0" targetNamespace="http://schemas.microsoft.com/office/2006/metadata/properties" ma:root="true" ma:fieldsID="76c6a93ba7e300d35ab2dca63dfc617a" ns2:_="" ns3:_="">
    <xsd:import namespace="d64c42e7-81ce-41a0-b6c1-57d6e2805238"/>
    <xsd:import namespace="3ecf9566-b028-45c4-a091-e1d15b972bf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3:SharedWithUsers" minOccurs="0"/>
                <xsd:element ref="ns3:SharedWithDetails" minOccurs="0"/>
                <xsd:element ref="ns2:MediaServiceAutoKeyPoints" minOccurs="0"/>
                <xsd:element ref="ns2:MediaServiceKeyPoint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4c42e7-81ce-41a0-b6c1-57d6e28052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342193b-1599-4434-b7af-91a0f1fddcd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ecf9566-b028-45c4-a091-e1d15b972bf0"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d444d58-9417-49a1-b67f-d44d02dda1bb}" ma:internalName="TaxCatchAll" ma:showField="CatchAllData" ma:web="3ecf9566-b028-45c4-a091-e1d15b972bf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3ecf9566-b028-45c4-a091-e1d15b972bf0" xsi:nil="true"/>
    <lcf76f155ced4ddcb4097134ff3c332f xmlns="d64c42e7-81ce-41a0-b6c1-57d6e2805238">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2455EB-3D3A-4C02-9873-6A72D376E4F0}">
  <ds:schemaRefs>
    <ds:schemaRef ds:uri="http://schemas.microsoft.com/sharepoint/v3/contenttype/forms"/>
  </ds:schemaRefs>
</ds:datastoreItem>
</file>

<file path=customXml/itemProps2.xml><?xml version="1.0" encoding="utf-8"?>
<ds:datastoreItem xmlns:ds="http://schemas.openxmlformats.org/officeDocument/2006/customXml" ds:itemID="{741D378C-4D9D-42CB-9F5C-7596EB5AD0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4c42e7-81ce-41a0-b6c1-57d6e2805238"/>
    <ds:schemaRef ds:uri="3ecf9566-b028-45c4-a091-e1d15b972b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337F5EE-E87B-49CE-96B5-F95CE63A0DF2}">
  <ds:schemaRefs>
    <ds:schemaRef ds:uri="http://schemas.microsoft.com/office/2006/metadata/properties"/>
    <ds:schemaRef ds:uri="http://schemas.microsoft.com/office/infopath/2007/PartnerControls"/>
    <ds:schemaRef ds:uri="3ecf9566-b028-45c4-a091-e1d15b972bf0"/>
    <ds:schemaRef ds:uri="d64c42e7-81ce-41a0-b6c1-57d6e2805238"/>
  </ds:schemaRefs>
</ds:datastoreItem>
</file>

<file path=customXml/itemProps4.xml><?xml version="1.0" encoding="utf-8"?>
<ds:datastoreItem xmlns:ds="http://schemas.openxmlformats.org/officeDocument/2006/customXml" ds:itemID="{4F80F4C4-F0A0-4061-B9D6-D46D7D39BC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GuidelinesAndRecommendations_Template_Regular</Template>
  <TotalTime>0</TotalTime>
  <Pages>30</Pages>
  <Words>13014</Words>
  <Characters>63383</Characters>
  <Application>Microsoft Office Word</Application>
  <DocSecurity>8</DocSecurity>
  <Lines>3521</Lines>
  <Paragraphs>3055</Paragraphs>
  <ScaleCrop>false</ScaleCrop>
  <Company>ESMA</Company>
  <LinksUpToDate>false</LinksUpToDate>
  <CharactersWithSpaces>73342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Alina.Dragomir@esma.europa.eu</dc:creator>
  <cp:keywords/>
  <cp:lastModifiedBy>Farrah Mahmood</cp:lastModifiedBy>
  <cp:revision>52</cp:revision>
  <cp:lastPrinted>2017-07-24T14:47:00Z</cp:lastPrinted>
  <dcterms:created xsi:type="dcterms:W3CDTF">2025-09-19T20:13:00Z</dcterms:created>
  <dcterms:modified xsi:type="dcterms:W3CDTF">2025-09-19T21:31:00Z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maAudience">
    <vt:lpwstr/>
  </property>
  <property fmtid="{D5CDD505-2E9C-101B-9397-08002B2CF9AE}" pid="3" name="ConfidentialityLevel">
    <vt:lpwstr>6;#Regular|07f1e362-856b-423d-bea6-a14079762141</vt:lpwstr>
  </property>
  <property fmtid="{D5CDD505-2E9C-101B-9397-08002B2CF9AE}" pid="4" name="_dlc_DocIdItemGuid">
    <vt:lpwstr>569bcf0d-12b0-4e1e-b129-58e1e8da7205</vt:lpwstr>
  </property>
  <property fmtid="{D5CDD505-2E9C-101B-9397-08002B2CF9AE}" pid="5" name="DocumentType">
    <vt:lpwstr>20;#Report|78753201-1e9e-4a21-a088-6ff602b5c999</vt:lpwstr>
  </property>
  <property fmtid="{D5CDD505-2E9C-101B-9397-08002B2CF9AE}" pid="6" name="Topic">
    <vt:lpwstr>508;#European Green Bonds|f68cfe7f-8b0c-4445-b5d7-ad808afd8270</vt:lpwstr>
  </property>
  <property fmtid="{D5CDD505-2E9C-101B-9397-08002B2CF9AE}" pid="7" name="_docset_NoMedatataSyncRequired">
    <vt:lpwstr>False</vt:lpwstr>
  </property>
  <property fmtid="{D5CDD505-2E9C-101B-9397-08002B2CF9AE}" pid="8" name="Document_x0020_Language">
    <vt:lpwstr/>
  </property>
  <property fmtid="{D5CDD505-2E9C-101B-9397-08002B2CF9AE}" pid="9" name="Document Language">
    <vt:lpwstr/>
  </property>
  <property fmtid="{D5CDD505-2E9C-101B-9397-08002B2CF9AE}" pid="10" name="TeamName">
    <vt:lpwstr>9;#Credit Ratings Agency Unit|ac587c9e-f6a3-4205-8197-96cf16201777</vt:lpwstr>
  </property>
  <property fmtid="{D5CDD505-2E9C-101B-9397-08002B2CF9AE}" pid="11" name="LegalInstrument">
    <vt:lpwstr>27;#Guidelines|5e144655-8ff3-49e5-b82a-b036da8a9173</vt:lpwstr>
  </property>
  <property fmtid="{D5CDD505-2E9C-101B-9397-08002B2CF9AE}" pid="12" name="MemberState">
    <vt:lpwstr/>
  </property>
  <property fmtid="{D5CDD505-2E9C-101B-9397-08002B2CF9AE}" pid="13" name="Stakeholder">
    <vt:lpwstr/>
  </property>
  <property fmtid="{D5CDD505-2E9C-101B-9397-08002B2CF9AE}" pid="14" name="LegalAct">
    <vt:lpwstr>30;#ESMA Regulation|1f6010a2-1a2c-44cf-adf8-f8fd9b166bb1</vt:lpwstr>
  </property>
  <property fmtid="{D5CDD505-2E9C-101B-9397-08002B2CF9AE}" pid="15" name="Related Legal Acts">
    <vt:lpwstr/>
  </property>
  <property fmtid="{D5CDD505-2E9C-101B-9397-08002B2CF9AE}" pid="16" name="SubTopic">
    <vt:lpwstr>509;#Qualification of crypto-assets - ESMA Guidelines on classification|4332d316-c095-4f91-9af2-56426177b6b7</vt:lpwstr>
  </property>
  <property fmtid="{D5CDD505-2E9C-101B-9397-08002B2CF9AE}" pid="17" name="TeamTopic">
    <vt:lpwstr>87;#Other Work|f1a52b52-917d-42ef-9667-945839604bb2</vt:lpwstr>
  </property>
  <property fmtid="{D5CDD505-2E9C-101B-9397-08002B2CF9AE}" pid="18" name="URL">
    <vt:lpwstr/>
  </property>
  <property fmtid="{D5CDD505-2E9C-101B-9397-08002B2CF9AE}" pid="19" name="DocumentSetDescription">
    <vt:lpwstr/>
  </property>
  <property fmtid="{D5CDD505-2E9C-101B-9397-08002B2CF9AE}" pid="20" name="MSIP_Label_05ae7051-b702-462d-8e81-9ac0b6085f00_Extended_MSFT_Method">
    <vt:lpwstr>Standard</vt:lpwstr>
  </property>
  <property fmtid="{D5CDD505-2E9C-101B-9397-08002B2CF9AE}" pid="21" name="MSIP_Label_05ae7051-b702-462d-8e81-9ac0b6085f00_Removed">
    <vt:lpwstr>False</vt:lpwstr>
  </property>
  <property fmtid="{D5CDD505-2E9C-101B-9397-08002B2CF9AE}" pid="22" name="MSIP_Label_05ae7051-b702-462d-8e81-9ac0b6085f00_ActionId">
    <vt:lpwstr>4dcb8942-b9fd-4687-9c67-fe5cb333f037</vt:lpwstr>
  </property>
  <property fmtid="{D5CDD505-2E9C-101B-9397-08002B2CF9AE}" pid="23" name="MSIP_Label_05ae7051-b702-462d-8e81-9ac0b6085f00_Name">
    <vt:lpwstr>Regular</vt:lpwstr>
  </property>
  <property fmtid="{D5CDD505-2E9C-101B-9397-08002B2CF9AE}" pid="24" name="MSIP_Label_05ae7051-b702-462d-8e81-9ac0b6085f00_SetDate">
    <vt:lpwstr>2025-06-17T15:19:03Z</vt:lpwstr>
  </property>
  <property fmtid="{D5CDD505-2E9C-101B-9397-08002B2CF9AE}" pid="25" name="MSIP_Label_05ae7051-b702-462d-8e81-9ac0b6085f00_SiteId">
    <vt:lpwstr>e406f268-4ae7-4c80-8994-02493da00c03</vt:lpwstr>
  </property>
  <property fmtid="{D5CDD505-2E9C-101B-9397-08002B2CF9AE}" pid="26" name="MSIP_Label_05ae7051-b702-462d-8e81-9ac0b6085f00_Enabled">
    <vt:lpwstr>True</vt:lpwstr>
  </property>
  <property fmtid="{D5CDD505-2E9C-101B-9397-08002B2CF9AE}" pid="27" name="Sensitivity">
    <vt:lpwstr>Regular</vt:lpwstr>
  </property>
  <property fmtid="{D5CDD505-2E9C-101B-9397-08002B2CF9AE}" pid="28" name="ContentTypeId">
    <vt:lpwstr>0x0101005D5448B2187A3C4E82B143AC0F07903F</vt:lpwstr>
  </property>
  <property fmtid="{D5CDD505-2E9C-101B-9397-08002B2CF9AE}" pid="29" name="MediaServiceImageTags">
    <vt:lpwstr/>
  </property>
</Properties>
</file>